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7033D">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7033D">
      <w:pPr>
        <w:jc w:val="right"/>
        <w:rPr>
          <w:b/>
          <w:szCs w:val="22"/>
        </w:rPr>
      </w:pPr>
      <w:bookmarkStart w:id="1" w:name="_Hlk26280526"/>
      <w:r>
        <w:rPr>
          <w:b/>
          <w:szCs w:val="22"/>
        </w:rPr>
        <w:t>DA 20-</w:t>
      </w:r>
      <w:r w:rsidR="00A724ED">
        <w:rPr>
          <w:b/>
          <w:szCs w:val="22"/>
        </w:rPr>
        <w:t>1151</w:t>
      </w:r>
      <w:bookmarkStart w:id="2" w:name="_GoBack"/>
      <w:bookmarkEnd w:id="2"/>
    </w:p>
    <w:p w:rsidR="00E7033D">
      <w:pPr>
        <w:spacing w:before="60"/>
        <w:jc w:val="right"/>
        <w:rPr>
          <w:b/>
          <w:szCs w:val="22"/>
        </w:rPr>
      </w:pPr>
      <w:r>
        <w:rPr>
          <w:b/>
          <w:szCs w:val="22"/>
        </w:rPr>
        <w:t xml:space="preserve">September </w:t>
      </w:r>
      <w:r w:rsidR="00053654">
        <w:rPr>
          <w:b/>
          <w:szCs w:val="22"/>
        </w:rPr>
        <w:t>30</w:t>
      </w:r>
      <w:r w:rsidR="008C294A">
        <w:rPr>
          <w:b/>
          <w:szCs w:val="22"/>
        </w:rPr>
        <w:t>, 2020</w:t>
      </w:r>
    </w:p>
    <w:p w:rsidR="00E7033D">
      <w:pPr>
        <w:tabs>
          <w:tab w:val="left" w:pos="5900"/>
        </w:tabs>
        <w:rPr>
          <w:szCs w:val="22"/>
        </w:rPr>
      </w:pPr>
      <w:r>
        <w:rPr>
          <w:szCs w:val="22"/>
        </w:rPr>
        <w:tab/>
      </w:r>
    </w:p>
    <w:p w:rsidR="003B239F" w:rsidP="00354F18">
      <w:pPr>
        <w:jc w:val="center"/>
        <w:rPr>
          <w:b/>
          <w:bCs/>
          <w:szCs w:val="22"/>
        </w:rPr>
      </w:pPr>
      <w:bookmarkStart w:id="3" w:name="_Hlk519509475"/>
      <w:bookmarkStart w:id="4" w:name="_Hlk502044717"/>
      <w:bookmarkStart w:id="5" w:name="_Hlk516578398"/>
      <w:r>
        <w:rPr>
          <w:b/>
          <w:bCs/>
          <w:szCs w:val="22"/>
        </w:rPr>
        <w:t>APPLICATION</w:t>
      </w:r>
      <w:r w:rsidR="00354F18">
        <w:rPr>
          <w:b/>
          <w:bCs/>
          <w:szCs w:val="22"/>
        </w:rPr>
        <w:t>S</w:t>
      </w:r>
      <w:r>
        <w:rPr>
          <w:b/>
          <w:bCs/>
          <w:szCs w:val="22"/>
        </w:rPr>
        <w:t xml:space="preserve"> FILED FOR THE TRANSFER OF CONTROL OF </w:t>
      </w:r>
    </w:p>
    <w:p w:rsidR="003B239F" w:rsidP="003B239F">
      <w:pPr>
        <w:jc w:val="center"/>
        <w:rPr>
          <w:b/>
          <w:bCs/>
          <w:szCs w:val="22"/>
        </w:rPr>
      </w:pPr>
      <w:r>
        <w:rPr>
          <w:b/>
          <w:bCs/>
          <w:szCs w:val="22"/>
        </w:rPr>
        <w:t xml:space="preserve">CONTERRA ULTRA BROADBAND, LLC, NETWORK USA, LLC, </w:t>
      </w:r>
    </w:p>
    <w:p w:rsidR="003B239F" w:rsidP="003B239F">
      <w:pPr>
        <w:jc w:val="center"/>
        <w:rPr>
          <w:b/>
          <w:bCs/>
          <w:szCs w:val="22"/>
        </w:rPr>
      </w:pPr>
      <w:r>
        <w:rPr>
          <w:b/>
          <w:bCs/>
          <w:szCs w:val="22"/>
        </w:rPr>
        <w:t>DETEL WIRELESS, LLC, BROADPLEX, LLC</w:t>
      </w:r>
      <w:r w:rsidR="00AF0513">
        <w:rPr>
          <w:b/>
          <w:bCs/>
          <w:szCs w:val="22"/>
        </w:rPr>
        <w:t>,</w:t>
      </w:r>
      <w:r w:rsidR="00FB729A">
        <w:rPr>
          <w:b/>
          <w:bCs/>
          <w:szCs w:val="22"/>
        </w:rPr>
        <w:t xml:space="preserve"> AND </w:t>
      </w:r>
    </w:p>
    <w:p w:rsidR="0056506E" w:rsidP="003B239F">
      <w:pPr>
        <w:jc w:val="center"/>
        <w:rPr>
          <w:b/>
          <w:bCs/>
          <w:szCs w:val="22"/>
        </w:rPr>
      </w:pPr>
      <w:r>
        <w:rPr>
          <w:b/>
          <w:bCs/>
          <w:szCs w:val="22"/>
        </w:rPr>
        <w:t xml:space="preserve">TIM </w:t>
      </w:r>
      <w:r>
        <w:rPr>
          <w:b/>
          <w:bCs/>
          <w:szCs w:val="22"/>
        </w:rPr>
        <w:t xml:space="preserve">RON </w:t>
      </w:r>
      <w:r>
        <w:rPr>
          <w:b/>
          <w:bCs/>
          <w:szCs w:val="22"/>
        </w:rPr>
        <w:t>ENTER</w:t>
      </w:r>
      <w:r w:rsidR="00F25C6B">
        <w:rPr>
          <w:b/>
          <w:bCs/>
          <w:szCs w:val="22"/>
        </w:rPr>
        <w:t>P</w:t>
      </w:r>
      <w:r>
        <w:rPr>
          <w:b/>
          <w:bCs/>
          <w:szCs w:val="22"/>
        </w:rPr>
        <w:t>RISES, LLC</w:t>
      </w:r>
      <w:r w:rsidR="00AF0513">
        <w:rPr>
          <w:b/>
          <w:bCs/>
          <w:szCs w:val="22"/>
        </w:rPr>
        <w:t xml:space="preserve"> </w:t>
      </w:r>
      <w:r w:rsidR="008B0083">
        <w:rPr>
          <w:b/>
          <w:bCs/>
          <w:szCs w:val="22"/>
        </w:rPr>
        <w:t>D</w:t>
      </w:r>
      <w:r w:rsidR="00AF0513">
        <w:rPr>
          <w:b/>
          <w:bCs/>
          <w:szCs w:val="22"/>
        </w:rPr>
        <w:t>/</w:t>
      </w:r>
      <w:r w:rsidR="008B0083">
        <w:rPr>
          <w:b/>
          <w:bCs/>
          <w:szCs w:val="22"/>
        </w:rPr>
        <w:t>B</w:t>
      </w:r>
      <w:r w:rsidR="00AF0513">
        <w:rPr>
          <w:b/>
          <w:bCs/>
          <w:szCs w:val="22"/>
        </w:rPr>
        <w:t>/</w:t>
      </w:r>
      <w:r w:rsidR="008B0083">
        <w:rPr>
          <w:b/>
          <w:bCs/>
          <w:szCs w:val="22"/>
        </w:rPr>
        <w:t>A</w:t>
      </w:r>
      <w:r w:rsidR="00AF0513">
        <w:rPr>
          <w:b/>
          <w:bCs/>
          <w:szCs w:val="22"/>
        </w:rPr>
        <w:t xml:space="preserve"> NETWORK COMMUNICATIONS</w:t>
      </w:r>
      <w:r>
        <w:rPr>
          <w:b/>
          <w:bCs/>
          <w:szCs w:val="22"/>
        </w:rPr>
        <w:t xml:space="preserve"> </w:t>
      </w:r>
    </w:p>
    <w:bookmarkEnd w:id="3"/>
    <w:bookmarkEnd w:id="4"/>
    <w:bookmarkEnd w:id="5"/>
    <w:p w:rsidR="00E7033D" w:rsidP="00B908C9">
      <w:pPr>
        <w:autoSpaceDE w:val="0"/>
        <w:autoSpaceDN w:val="0"/>
        <w:adjustRightInd w:val="0"/>
        <w:jc w:val="right"/>
        <w:rPr>
          <w:b/>
          <w:bCs/>
          <w:szCs w:val="22"/>
        </w:rPr>
      </w:pPr>
    </w:p>
    <w:p w:rsidR="00E7033D">
      <w:pPr>
        <w:jc w:val="center"/>
        <w:rPr>
          <w:b/>
          <w:szCs w:val="22"/>
        </w:rPr>
      </w:pPr>
      <w:r>
        <w:rPr>
          <w:b/>
          <w:szCs w:val="22"/>
        </w:rPr>
        <w:t>PLEADING CYCLE ESTABLISHED</w:t>
      </w:r>
    </w:p>
    <w:p w:rsidR="00E7033D">
      <w:pPr>
        <w:jc w:val="center"/>
        <w:rPr>
          <w:b/>
          <w:szCs w:val="22"/>
        </w:rPr>
      </w:pPr>
    </w:p>
    <w:p w:rsidR="00E7033D">
      <w:pPr>
        <w:jc w:val="center"/>
        <w:rPr>
          <w:b/>
          <w:szCs w:val="22"/>
        </w:rPr>
      </w:pPr>
      <w:r>
        <w:rPr>
          <w:b/>
          <w:szCs w:val="22"/>
        </w:rPr>
        <w:t xml:space="preserve"> WC Docket No. 20-</w:t>
      </w:r>
      <w:r w:rsidR="00EE37C8">
        <w:rPr>
          <w:b/>
          <w:szCs w:val="22"/>
        </w:rPr>
        <w:t>240</w:t>
      </w:r>
    </w:p>
    <w:p w:rsidR="00E7033D">
      <w:pPr>
        <w:jc w:val="center"/>
        <w:rPr>
          <w:szCs w:val="22"/>
        </w:rPr>
      </w:pPr>
    </w:p>
    <w:p w:rsidR="00E7033D">
      <w:pPr>
        <w:pStyle w:val="NoSpacing"/>
        <w:rPr>
          <w:b/>
          <w:szCs w:val="22"/>
        </w:rPr>
      </w:pPr>
      <w:r>
        <w:rPr>
          <w:b/>
          <w:szCs w:val="22"/>
        </w:rPr>
        <w:t xml:space="preserve">Comments Due:  </w:t>
      </w:r>
      <w:r w:rsidR="00051872">
        <w:rPr>
          <w:b/>
          <w:szCs w:val="22"/>
        </w:rPr>
        <w:t>October</w:t>
      </w:r>
      <w:r w:rsidR="007C01FE">
        <w:rPr>
          <w:b/>
          <w:szCs w:val="22"/>
        </w:rPr>
        <w:t xml:space="preserve"> </w:t>
      </w:r>
      <w:r w:rsidR="00053654">
        <w:rPr>
          <w:b/>
          <w:szCs w:val="22"/>
        </w:rPr>
        <w:t>30</w:t>
      </w:r>
      <w:r>
        <w:rPr>
          <w:b/>
          <w:szCs w:val="22"/>
        </w:rPr>
        <w:t>, 2020</w:t>
      </w:r>
    </w:p>
    <w:p w:rsidR="00E7033D">
      <w:pPr>
        <w:pStyle w:val="NoSpacing"/>
        <w:rPr>
          <w:b/>
          <w:szCs w:val="22"/>
        </w:rPr>
      </w:pPr>
      <w:r>
        <w:rPr>
          <w:b/>
          <w:szCs w:val="22"/>
        </w:rPr>
        <w:t xml:space="preserve">Reply Comments Due:  </w:t>
      </w:r>
      <w:r w:rsidR="00F60AC8">
        <w:rPr>
          <w:b/>
          <w:szCs w:val="22"/>
        </w:rPr>
        <w:t>November</w:t>
      </w:r>
      <w:r w:rsidR="007C01FE">
        <w:rPr>
          <w:b/>
          <w:szCs w:val="22"/>
        </w:rPr>
        <w:t xml:space="preserve"> </w:t>
      </w:r>
      <w:r w:rsidR="00F60AC8">
        <w:rPr>
          <w:b/>
          <w:szCs w:val="22"/>
        </w:rPr>
        <w:t>1</w:t>
      </w:r>
      <w:r w:rsidR="00053654">
        <w:rPr>
          <w:b/>
          <w:szCs w:val="22"/>
        </w:rPr>
        <w:t>6</w:t>
      </w:r>
      <w:r w:rsidR="00F60AC8">
        <w:rPr>
          <w:b/>
          <w:szCs w:val="22"/>
        </w:rPr>
        <w:t>,</w:t>
      </w:r>
      <w:r>
        <w:rPr>
          <w:b/>
          <w:szCs w:val="22"/>
        </w:rPr>
        <w:t xml:space="preserve"> 2020</w:t>
      </w:r>
    </w:p>
    <w:bookmarkEnd w:id="1"/>
    <w:p w:rsidR="00E7033D">
      <w:pPr>
        <w:tabs>
          <w:tab w:val="left" w:pos="6221"/>
        </w:tabs>
        <w:autoSpaceDE w:val="0"/>
        <w:autoSpaceDN w:val="0"/>
        <w:adjustRightInd w:val="0"/>
        <w:rPr>
          <w:rFonts w:ascii="TimesNewRomanPSMT" w:hAnsi="TimesNewRomanPSMT" w:cs="TimesNewRomanPSMT"/>
          <w:szCs w:val="22"/>
        </w:rPr>
      </w:pPr>
      <w:r>
        <w:rPr>
          <w:rFonts w:ascii="TimesNewRomanPSMT" w:hAnsi="TimesNewRomanPSMT" w:cs="TimesNewRomanPSMT"/>
          <w:szCs w:val="22"/>
        </w:rPr>
        <w:tab/>
      </w:r>
    </w:p>
    <w:p w:rsidR="000C678A" w:rsidP="009C07A6">
      <w:pPr>
        <w:autoSpaceDE w:val="0"/>
        <w:autoSpaceDN w:val="0"/>
        <w:adjustRightInd w:val="0"/>
        <w:ind w:firstLine="720"/>
        <w:rPr>
          <w:szCs w:val="22"/>
        </w:rPr>
      </w:pPr>
      <w:r w:rsidRPr="008E4A80">
        <w:rPr>
          <w:szCs w:val="22"/>
        </w:rPr>
        <w:t>By this Public Notice, the Wireline Competition Bureau</w:t>
      </w:r>
      <w:r w:rsidR="006B103D">
        <w:rPr>
          <w:szCs w:val="22"/>
        </w:rPr>
        <w:t>,</w:t>
      </w:r>
      <w:r w:rsidRPr="008E4A80">
        <w:rPr>
          <w:szCs w:val="22"/>
        </w:rPr>
        <w:t xml:space="preserve"> </w:t>
      </w:r>
      <w:r w:rsidRPr="008E4A80" w:rsidR="00BD3BC3">
        <w:rPr>
          <w:szCs w:val="22"/>
        </w:rPr>
        <w:t>Wireless Telecommunications Bureau</w:t>
      </w:r>
      <w:r w:rsidR="006B103D">
        <w:rPr>
          <w:szCs w:val="22"/>
        </w:rPr>
        <w:t>, and International Bureau</w:t>
      </w:r>
      <w:r w:rsidRPr="008E4A80" w:rsidR="00BD3BC3">
        <w:rPr>
          <w:szCs w:val="22"/>
        </w:rPr>
        <w:t xml:space="preserve"> </w:t>
      </w:r>
      <w:r w:rsidRPr="008E4A80">
        <w:rPr>
          <w:szCs w:val="22"/>
        </w:rPr>
        <w:t>seek comment from interested parties on application</w:t>
      </w:r>
      <w:r w:rsidRPr="008E4A80" w:rsidR="00354F18">
        <w:rPr>
          <w:szCs w:val="22"/>
        </w:rPr>
        <w:t>s</w:t>
      </w:r>
      <w:r w:rsidRPr="008E4A80">
        <w:rPr>
          <w:szCs w:val="22"/>
        </w:rPr>
        <w:t xml:space="preserve"> filed by </w:t>
      </w:r>
      <w:r w:rsidRPr="008E4A80" w:rsidR="004C712F">
        <w:rPr>
          <w:szCs w:val="22"/>
        </w:rPr>
        <w:t>Court Square Capital GP III, LLC (CSC GP), EagleCrest CUB GP Inc. (EagleCrest CUB GP</w:t>
      </w:r>
      <w:r w:rsidRPr="008E4A80" w:rsidR="005036F8">
        <w:rPr>
          <w:szCs w:val="22"/>
        </w:rPr>
        <w:t>)</w:t>
      </w:r>
      <w:r w:rsidRPr="008E4A80" w:rsidR="004C712F">
        <w:rPr>
          <w:szCs w:val="22"/>
        </w:rPr>
        <w:t>, Draden Investors, LLC (APG US)</w:t>
      </w:r>
      <w:r w:rsidRPr="008E4A80" w:rsidR="005036F8">
        <w:rPr>
          <w:szCs w:val="22"/>
        </w:rPr>
        <w:t>,</w:t>
      </w:r>
      <w:r w:rsidRPr="008E4A80" w:rsidR="004C712F">
        <w:rPr>
          <w:szCs w:val="22"/>
        </w:rPr>
        <w:t xml:space="preserve"> </w:t>
      </w:r>
      <w:r w:rsidRPr="008E4A80" w:rsidR="00EE37C8">
        <w:rPr>
          <w:szCs w:val="22"/>
        </w:rPr>
        <w:t xml:space="preserve">Conterra Ultra Broadband, LLC (CUB), </w:t>
      </w:r>
      <w:r w:rsidRPr="008E4A80" w:rsidR="002B16FA">
        <w:rPr>
          <w:szCs w:val="22"/>
        </w:rPr>
        <w:t>Network</w:t>
      </w:r>
      <w:r w:rsidRPr="008E4A80" w:rsidR="00EE37C8">
        <w:rPr>
          <w:szCs w:val="22"/>
        </w:rPr>
        <w:t xml:space="preserve"> USA, LLC (Network USA), Detel Wireless L</w:t>
      </w:r>
      <w:r w:rsidR="0056506E">
        <w:rPr>
          <w:szCs w:val="22"/>
        </w:rPr>
        <w:t>L</w:t>
      </w:r>
      <w:r w:rsidRPr="008E4A80" w:rsidR="00EE37C8">
        <w:rPr>
          <w:szCs w:val="22"/>
        </w:rPr>
        <w:t xml:space="preserve">C (Detel), BroadPlex, LLC (BroadPlex), </w:t>
      </w:r>
      <w:r w:rsidRPr="008E4A80" w:rsidR="008E5FD0">
        <w:rPr>
          <w:szCs w:val="22"/>
        </w:rPr>
        <w:t xml:space="preserve">and </w:t>
      </w:r>
      <w:r w:rsidRPr="008E4A80" w:rsidR="00EE37C8">
        <w:rPr>
          <w:szCs w:val="22"/>
        </w:rPr>
        <w:t>Tim Ron Enterprises, LLC d/b/a Network Communications (Network Communications</w:t>
      </w:r>
      <w:r w:rsidRPr="008E4A80" w:rsidR="008E5FD0">
        <w:rPr>
          <w:szCs w:val="22"/>
        </w:rPr>
        <w:t>,</w:t>
      </w:r>
      <w:r w:rsidRPr="008E4A80" w:rsidR="00EE37C8">
        <w:rPr>
          <w:szCs w:val="22"/>
        </w:rPr>
        <w:t xml:space="preserve"> and together with CUB, Network USA, Detel</w:t>
      </w:r>
      <w:r w:rsidR="00B33C4A">
        <w:rPr>
          <w:szCs w:val="22"/>
        </w:rPr>
        <w:t>,</w:t>
      </w:r>
      <w:r w:rsidRPr="008E4A80" w:rsidR="00EE37C8">
        <w:rPr>
          <w:szCs w:val="22"/>
        </w:rPr>
        <w:t xml:space="preserve"> and BroadPlex</w:t>
      </w:r>
      <w:r w:rsidRPr="008E4A80" w:rsidR="00444A31">
        <w:rPr>
          <w:szCs w:val="22"/>
        </w:rPr>
        <w:t xml:space="preserve">, </w:t>
      </w:r>
      <w:r w:rsidRPr="008E4A80" w:rsidR="005036F8">
        <w:rPr>
          <w:szCs w:val="22"/>
        </w:rPr>
        <w:t>Licensees</w:t>
      </w:r>
      <w:r w:rsidRPr="008E4A80" w:rsidR="008E5FD0">
        <w:rPr>
          <w:szCs w:val="22"/>
        </w:rPr>
        <w:t>,</w:t>
      </w:r>
      <w:r w:rsidRPr="008E4A80" w:rsidR="005036F8">
        <w:rPr>
          <w:szCs w:val="22"/>
        </w:rPr>
        <w:t xml:space="preserve"> </w:t>
      </w:r>
      <w:r w:rsidRPr="008E4A80" w:rsidR="00EE37C8">
        <w:rPr>
          <w:szCs w:val="22"/>
        </w:rPr>
        <w:t>and together with CSC GP</w:t>
      </w:r>
      <w:r w:rsidRPr="008E4A80" w:rsidR="0023776E">
        <w:rPr>
          <w:szCs w:val="22"/>
        </w:rPr>
        <w:t>,</w:t>
      </w:r>
      <w:r w:rsidRPr="008E4A80" w:rsidR="00EE37C8">
        <w:rPr>
          <w:szCs w:val="22"/>
        </w:rPr>
        <w:t xml:space="preserve"> EagleCrest CUB GP</w:t>
      </w:r>
      <w:r w:rsidRPr="008E4A80" w:rsidR="005036F8">
        <w:rPr>
          <w:szCs w:val="22"/>
        </w:rPr>
        <w:t xml:space="preserve">, </w:t>
      </w:r>
      <w:r w:rsidRPr="008E4A80" w:rsidR="0023776E">
        <w:rPr>
          <w:szCs w:val="22"/>
        </w:rPr>
        <w:t xml:space="preserve">and APG US, </w:t>
      </w:r>
      <w:r w:rsidRPr="008E4A80" w:rsidR="00EE37C8">
        <w:rPr>
          <w:szCs w:val="22"/>
        </w:rPr>
        <w:t>collectively, Applicants</w:t>
      </w:r>
      <w:r w:rsidRPr="008E4A80" w:rsidR="008E5FD0">
        <w:rPr>
          <w:szCs w:val="22"/>
        </w:rPr>
        <w:t>)</w:t>
      </w:r>
      <w:r w:rsidRPr="008E4A80" w:rsidR="00EE37C8">
        <w:rPr>
          <w:szCs w:val="22"/>
        </w:rPr>
        <w:t xml:space="preserve">, </w:t>
      </w:r>
      <w:r w:rsidRPr="008E4A80">
        <w:rPr>
          <w:szCs w:val="22"/>
        </w:rPr>
        <w:t>pursuant to section</w:t>
      </w:r>
      <w:r w:rsidR="003E11B3">
        <w:rPr>
          <w:szCs w:val="22"/>
        </w:rPr>
        <w:t>s</w:t>
      </w:r>
      <w:r w:rsidRPr="008E4A80">
        <w:rPr>
          <w:szCs w:val="22"/>
        </w:rPr>
        <w:t xml:space="preserve"> 214 </w:t>
      </w:r>
      <w:r w:rsidRPr="008E4A80" w:rsidR="00A342B9">
        <w:rPr>
          <w:szCs w:val="22"/>
        </w:rPr>
        <w:t xml:space="preserve">and 310(d) </w:t>
      </w:r>
      <w:r w:rsidRPr="008E4A80">
        <w:rPr>
          <w:szCs w:val="22"/>
        </w:rPr>
        <w:t>of the Communications Act of 1934, as amended, and sections 63.03</w:t>
      </w:r>
      <w:r w:rsidR="00053654">
        <w:rPr>
          <w:szCs w:val="22"/>
        </w:rPr>
        <w:t xml:space="preserve"> and 63.</w:t>
      </w:r>
      <w:r w:rsidRPr="008E4A80">
        <w:rPr>
          <w:szCs w:val="22"/>
        </w:rPr>
        <w:t xml:space="preserve">04 of the Commission’s rules, requesting consent to transfer control of </w:t>
      </w:r>
      <w:r w:rsidRPr="008E4A80" w:rsidR="005036F8">
        <w:rPr>
          <w:szCs w:val="22"/>
        </w:rPr>
        <w:t xml:space="preserve">the Licensees </w:t>
      </w:r>
      <w:r w:rsidRPr="008E4A80" w:rsidR="00EE37C8">
        <w:rPr>
          <w:szCs w:val="22"/>
        </w:rPr>
        <w:t xml:space="preserve">from </w:t>
      </w:r>
      <w:r w:rsidRPr="008E4A80" w:rsidR="00AF0513">
        <w:rPr>
          <w:szCs w:val="22"/>
        </w:rPr>
        <w:t xml:space="preserve">CSC GP </w:t>
      </w:r>
      <w:r w:rsidRPr="008E4A80" w:rsidR="00EE37C8">
        <w:rPr>
          <w:szCs w:val="22"/>
        </w:rPr>
        <w:t xml:space="preserve">to EagleCrest CUB GP and </w:t>
      </w:r>
      <w:r w:rsidRPr="008E4A80" w:rsidR="00B477E7">
        <w:rPr>
          <w:szCs w:val="22"/>
        </w:rPr>
        <w:t>APG US</w:t>
      </w:r>
      <w:r w:rsidRPr="008E4A80" w:rsidR="00EE37C8">
        <w:rPr>
          <w:szCs w:val="22"/>
        </w:rPr>
        <w:t>.</w:t>
      </w:r>
      <w:r>
        <w:rPr>
          <w:rStyle w:val="FootnoteReference"/>
          <w:szCs w:val="22"/>
        </w:rPr>
        <w:footnoteReference w:id="3"/>
      </w:r>
      <w:r w:rsidRPr="008E4A80" w:rsidR="009B7B8A">
        <w:rPr>
          <w:szCs w:val="22"/>
        </w:rPr>
        <w:t xml:space="preserve"> </w:t>
      </w:r>
      <w:r w:rsidRPr="008E4A80" w:rsidR="00A342B9">
        <w:rPr>
          <w:szCs w:val="22"/>
        </w:rPr>
        <w:t xml:space="preserve"> Applicants also filed a petition for declaratory ruling (Petition) to permit foreign investment in</w:t>
      </w:r>
      <w:r w:rsidR="009F346E">
        <w:rPr>
          <w:szCs w:val="22"/>
        </w:rPr>
        <w:t xml:space="preserve"> Conterra Ultra Broadband Holdings, Inc. (CUB Holdings), the direct controlling U.S</w:t>
      </w:r>
      <w:r w:rsidR="004875D6">
        <w:rPr>
          <w:szCs w:val="22"/>
        </w:rPr>
        <w:t>.</w:t>
      </w:r>
      <w:r w:rsidR="009F346E">
        <w:rPr>
          <w:szCs w:val="22"/>
        </w:rPr>
        <w:t xml:space="preserve"> parent </w:t>
      </w:r>
      <w:r w:rsidR="004875D6">
        <w:rPr>
          <w:szCs w:val="22"/>
        </w:rPr>
        <w:t>of</w:t>
      </w:r>
      <w:r w:rsidRPr="008E4A80" w:rsidR="00A342B9">
        <w:rPr>
          <w:szCs w:val="22"/>
        </w:rPr>
        <w:t xml:space="preserve"> </w:t>
      </w:r>
      <w:r w:rsidRPr="008E4A80" w:rsidR="00607711">
        <w:rPr>
          <w:szCs w:val="22"/>
        </w:rPr>
        <w:t>CUB, Network USA, and Detel</w:t>
      </w:r>
      <w:r w:rsidRPr="008E4A80" w:rsidR="00A342B9">
        <w:rPr>
          <w:szCs w:val="22"/>
        </w:rPr>
        <w:t xml:space="preserve"> above the 25</w:t>
      </w:r>
      <w:r w:rsidR="00B33C4A">
        <w:rPr>
          <w:szCs w:val="22"/>
        </w:rPr>
        <w:t>%</w:t>
      </w:r>
      <w:r w:rsidRPr="008E4A80" w:rsidR="00A342B9">
        <w:rPr>
          <w:szCs w:val="22"/>
        </w:rPr>
        <w:t xml:space="preserve"> benchmark in section 310(b)(4) of the Act and section 1.5000(a)(1) of the Commission’s rules.</w:t>
      </w:r>
      <w:r>
        <w:rPr>
          <w:szCs w:val="22"/>
          <w:vertAlign w:val="superscript"/>
        </w:rPr>
        <w:footnoteReference w:id="4"/>
      </w:r>
    </w:p>
    <w:p w:rsidR="00EB0620" w:rsidP="00EB0620">
      <w:pPr>
        <w:autoSpaceDE w:val="0"/>
        <w:autoSpaceDN w:val="0"/>
        <w:adjustRightInd w:val="0"/>
        <w:rPr>
          <w:szCs w:val="22"/>
        </w:rPr>
      </w:pPr>
    </w:p>
    <w:p w:rsidR="00EB0620" w:rsidRPr="00EB0620" w:rsidP="00EB0620">
      <w:pPr>
        <w:autoSpaceDE w:val="0"/>
        <w:autoSpaceDN w:val="0"/>
        <w:adjustRightInd w:val="0"/>
        <w:rPr>
          <w:szCs w:val="22"/>
        </w:rPr>
      </w:pPr>
      <w:r>
        <w:rPr>
          <w:szCs w:val="22"/>
          <w:u w:val="single"/>
        </w:rPr>
        <w:t>Applicants</w:t>
      </w:r>
    </w:p>
    <w:p w:rsidR="006C591C" w:rsidRPr="008E4A80" w:rsidP="00EE37C8">
      <w:pPr>
        <w:autoSpaceDE w:val="0"/>
        <w:autoSpaceDN w:val="0"/>
        <w:adjustRightInd w:val="0"/>
        <w:ind w:firstLine="720"/>
        <w:rPr>
          <w:szCs w:val="22"/>
        </w:rPr>
      </w:pPr>
    </w:p>
    <w:p w:rsidR="0061137C" w:rsidRPr="008E4A80" w:rsidP="00AA1009">
      <w:pPr>
        <w:autoSpaceDE w:val="0"/>
        <w:autoSpaceDN w:val="0"/>
        <w:adjustRightInd w:val="0"/>
        <w:ind w:firstLine="720"/>
        <w:rPr>
          <w:szCs w:val="22"/>
        </w:rPr>
      </w:pPr>
      <w:r>
        <w:rPr>
          <w:szCs w:val="22"/>
        </w:rPr>
        <w:t xml:space="preserve">The Licensees are </w:t>
      </w:r>
      <w:r w:rsidR="007A2B83">
        <w:rPr>
          <w:szCs w:val="22"/>
        </w:rPr>
        <w:t xml:space="preserve">direct </w:t>
      </w:r>
      <w:r>
        <w:rPr>
          <w:szCs w:val="22"/>
        </w:rPr>
        <w:t>wholly-owned subsidiaries of CUB Holdings</w:t>
      </w:r>
      <w:r w:rsidR="00066781">
        <w:rPr>
          <w:szCs w:val="22"/>
        </w:rPr>
        <w:t>.</w:t>
      </w:r>
      <w:r w:rsidRPr="00066781" w:rsidR="00066781">
        <w:rPr>
          <w:rStyle w:val="FootnoteReference"/>
          <w:szCs w:val="22"/>
        </w:rPr>
        <w:t xml:space="preserve"> </w:t>
      </w:r>
      <w:r>
        <w:rPr>
          <w:rStyle w:val="FootnoteReference"/>
          <w:szCs w:val="22"/>
        </w:rPr>
        <w:footnoteReference w:id="5"/>
      </w:r>
      <w:r w:rsidRPr="008E4A80" w:rsidR="00066781">
        <w:rPr>
          <w:szCs w:val="22"/>
        </w:rPr>
        <w:t xml:space="preserve"> </w:t>
      </w:r>
      <w:r w:rsidR="00D235B6">
        <w:rPr>
          <w:szCs w:val="22"/>
        </w:rPr>
        <w:t xml:space="preserve">  CUB Holdings is a </w:t>
      </w:r>
      <w:r w:rsidR="007A2B83">
        <w:rPr>
          <w:szCs w:val="22"/>
        </w:rPr>
        <w:t xml:space="preserve">direct </w:t>
      </w:r>
      <w:r w:rsidR="00D235B6">
        <w:rPr>
          <w:szCs w:val="22"/>
        </w:rPr>
        <w:t>wholly-owned subsidiary of CUB Parent Inc. (CUB Parent).</w:t>
      </w:r>
      <w:r>
        <w:rPr>
          <w:rStyle w:val="FootnoteReference"/>
          <w:szCs w:val="22"/>
        </w:rPr>
        <w:footnoteReference w:id="6"/>
      </w:r>
      <w:r w:rsidR="00D235B6">
        <w:rPr>
          <w:szCs w:val="22"/>
        </w:rPr>
        <w:t xml:space="preserve">  CUB Parent is majority owned and controlled by </w:t>
      </w:r>
      <w:r w:rsidRPr="008E4A80" w:rsidR="00D235B6">
        <w:rPr>
          <w:szCs w:val="22"/>
        </w:rPr>
        <w:t xml:space="preserve">CSC CUB Holdings LP (CSC CUB Holdings), </w:t>
      </w:r>
      <w:r w:rsidR="00D235B6">
        <w:rPr>
          <w:szCs w:val="22"/>
        </w:rPr>
        <w:t xml:space="preserve">with CSC CUB Holdings owning </w:t>
      </w:r>
      <w:r w:rsidR="007A2B83">
        <w:rPr>
          <w:szCs w:val="22"/>
        </w:rPr>
        <w:t xml:space="preserve">a </w:t>
      </w:r>
      <w:r w:rsidRPr="008E4A80" w:rsidR="00D235B6">
        <w:rPr>
          <w:szCs w:val="22"/>
        </w:rPr>
        <w:t>majority, controlling interest (75.4</w:t>
      </w:r>
      <w:r w:rsidRPr="00CC0CD5" w:rsidR="00D235B6">
        <w:rPr>
          <w:szCs w:val="22"/>
        </w:rPr>
        <w:t>%</w:t>
      </w:r>
      <w:r w:rsidRPr="00CC0CD5" w:rsidR="002C3287">
        <w:rPr>
          <w:szCs w:val="22"/>
        </w:rPr>
        <w:t xml:space="preserve"> equity)</w:t>
      </w:r>
      <w:r w:rsidR="00D235B6">
        <w:rPr>
          <w:szCs w:val="22"/>
        </w:rPr>
        <w:t xml:space="preserve"> of</w:t>
      </w:r>
      <w:r w:rsidR="007A2B83">
        <w:rPr>
          <w:szCs w:val="22"/>
        </w:rPr>
        <w:t xml:space="preserve"> CUB Parent.</w:t>
      </w:r>
      <w:r>
        <w:rPr>
          <w:rStyle w:val="FootnoteReference"/>
          <w:szCs w:val="22"/>
        </w:rPr>
        <w:footnoteReference w:id="7"/>
      </w:r>
      <w:r w:rsidR="007A2B83">
        <w:rPr>
          <w:szCs w:val="22"/>
        </w:rPr>
        <w:t xml:space="preserve">  CSC CUB Holdings is controlled by its general partner,</w:t>
      </w:r>
      <w:r w:rsidR="00D235B6">
        <w:rPr>
          <w:szCs w:val="22"/>
        </w:rPr>
        <w:t xml:space="preserve"> </w:t>
      </w:r>
      <w:r w:rsidRPr="008E4A80" w:rsidR="002B16FA">
        <w:rPr>
          <w:szCs w:val="22"/>
        </w:rPr>
        <w:t>CSC GP</w:t>
      </w:r>
      <w:r w:rsidR="007A2B83">
        <w:rPr>
          <w:szCs w:val="22"/>
        </w:rPr>
        <w:t>.</w:t>
      </w:r>
      <w:r>
        <w:rPr>
          <w:rStyle w:val="FootnoteReference"/>
          <w:szCs w:val="22"/>
        </w:rPr>
        <w:footnoteReference w:id="8"/>
      </w:r>
      <w:r w:rsidR="00516D34">
        <w:rPr>
          <w:szCs w:val="22"/>
        </w:rPr>
        <w:t xml:space="preserve">  </w:t>
      </w:r>
      <w:r w:rsidR="00626C28">
        <w:t>The remaining 24.6%</w:t>
      </w:r>
      <w:r w:rsidR="002C3287">
        <w:t xml:space="preserve"> </w:t>
      </w:r>
      <w:r w:rsidRPr="00CC0CD5" w:rsidR="002C3287">
        <w:t>of the economic</w:t>
      </w:r>
      <w:r w:rsidRPr="00CC0CD5" w:rsidR="00626C28">
        <w:t xml:space="preserve"> interest</w:t>
      </w:r>
      <w:r w:rsidRPr="00CC0CD5" w:rsidR="002C3287">
        <w:t>s</w:t>
      </w:r>
      <w:r w:rsidRPr="00CC0CD5" w:rsidR="00626C28">
        <w:t xml:space="preserve"> in CUB Parent is held by management of CUB </w:t>
      </w:r>
      <w:r w:rsidRPr="00CC0CD5" w:rsidR="001A5C64">
        <w:t xml:space="preserve">Parent </w:t>
      </w:r>
      <w:r w:rsidRPr="00CC0CD5" w:rsidR="00626C28">
        <w:t>(15.</w:t>
      </w:r>
      <w:r w:rsidRPr="00CC0CD5" w:rsidR="002C3287">
        <w:t>9% equity</w:t>
      </w:r>
      <w:r w:rsidRPr="00CC0CD5" w:rsidR="00626C28">
        <w:t>) and by EagleCrest CUB LP</w:t>
      </w:r>
      <w:r w:rsidRPr="00CC0CD5" w:rsidR="002D0DBD">
        <w:t xml:space="preserve"> (8.7%</w:t>
      </w:r>
      <w:r w:rsidRPr="00CC0CD5" w:rsidR="002C3287">
        <w:t xml:space="preserve"> equity</w:t>
      </w:r>
      <w:r w:rsidRPr="00CC0CD5" w:rsidR="002D0DBD">
        <w:t>)</w:t>
      </w:r>
      <w:r w:rsidRPr="00CC0CD5" w:rsidR="00626C28">
        <w:t>.</w:t>
      </w:r>
      <w:r>
        <w:rPr>
          <w:rStyle w:val="FootnoteReference"/>
        </w:rPr>
        <w:footnoteReference w:id="9"/>
      </w:r>
      <w:r w:rsidRPr="00CC0CD5" w:rsidR="00626C28">
        <w:t xml:space="preserve"> </w:t>
      </w:r>
      <w:r w:rsidRPr="00CC0CD5" w:rsidR="00066781">
        <w:t xml:space="preserve"> </w:t>
      </w:r>
      <w:r w:rsidRPr="00CC0CD5" w:rsidR="006C591C">
        <w:rPr>
          <w:szCs w:val="22"/>
        </w:rPr>
        <w:t xml:space="preserve">CSC GP also controls, in its role as general partner, the Court Square investment funds (CSC Funds) that currently hold 84.3% of the </w:t>
      </w:r>
      <w:r w:rsidRPr="00CC0CD5" w:rsidR="00D60D83">
        <w:rPr>
          <w:szCs w:val="22"/>
        </w:rPr>
        <w:t>equity</w:t>
      </w:r>
      <w:r w:rsidR="00D60D83">
        <w:rPr>
          <w:szCs w:val="22"/>
        </w:rPr>
        <w:t xml:space="preserve"> interest</w:t>
      </w:r>
      <w:r w:rsidR="00604147">
        <w:rPr>
          <w:szCs w:val="22"/>
        </w:rPr>
        <w:t>s</w:t>
      </w:r>
      <w:r w:rsidRPr="008E4A80" w:rsidR="006C591C">
        <w:rPr>
          <w:szCs w:val="22"/>
        </w:rPr>
        <w:t xml:space="preserve"> in CSC CUB Holdings.</w:t>
      </w:r>
      <w:r>
        <w:rPr>
          <w:rStyle w:val="FootnoteReference"/>
          <w:szCs w:val="22"/>
        </w:rPr>
        <w:footnoteReference w:id="10"/>
      </w:r>
      <w:r w:rsidRPr="008E4A80" w:rsidR="008038CD">
        <w:rPr>
          <w:szCs w:val="22"/>
        </w:rPr>
        <w:t xml:space="preserve">  </w:t>
      </w:r>
      <w:r w:rsidRPr="008E4A80" w:rsidR="00631D96">
        <w:rPr>
          <w:szCs w:val="22"/>
        </w:rPr>
        <w:t xml:space="preserve">CUB </w:t>
      </w:r>
      <w:r w:rsidRPr="008E4A80" w:rsidR="00B04DD0">
        <w:rPr>
          <w:szCs w:val="22"/>
        </w:rPr>
        <w:t>Parent</w:t>
      </w:r>
      <w:r w:rsidRPr="008E4A80" w:rsidR="008038CD">
        <w:rPr>
          <w:szCs w:val="22"/>
        </w:rPr>
        <w:t>, through the Licensees,</w:t>
      </w:r>
      <w:r w:rsidRPr="008E4A80" w:rsidR="00254EE6">
        <w:rPr>
          <w:szCs w:val="22"/>
        </w:rPr>
        <w:t xml:space="preserve"> operate</w:t>
      </w:r>
      <w:r w:rsidR="00B33C4A">
        <w:rPr>
          <w:szCs w:val="22"/>
        </w:rPr>
        <w:t>s</w:t>
      </w:r>
      <w:r w:rsidRPr="008E4A80" w:rsidR="00254EE6">
        <w:rPr>
          <w:szCs w:val="22"/>
        </w:rPr>
        <w:t xml:space="preserve"> competitive fiber and microwave-based networks to provide data and voice services in the United States.</w:t>
      </w:r>
      <w:r>
        <w:rPr>
          <w:rStyle w:val="FootnoteReference"/>
          <w:szCs w:val="22"/>
        </w:rPr>
        <w:footnoteReference w:id="11"/>
      </w:r>
      <w:r w:rsidRPr="008E4A80" w:rsidR="00AA1009">
        <w:rPr>
          <w:szCs w:val="22"/>
        </w:rPr>
        <w:t xml:space="preserve">  </w:t>
      </w:r>
      <w:r w:rsidRPr="008E4A80" w:rsidR="009A0D7F">
        <w:t xml:space="preserve">CUB </w:t>
      </w:r>
      <w:r w:rsidR="00B33C4A">
        <w:t xml:space="preserve">provides transport services for wireless carriers and </w:t>
      </w:r>
      <w:r w:rsidRPr="008E4A80" w:rsidR="009A0D7F">
        <w:t>i</w:t>
      </w:r>
      <w:r w:rsidRPr="008E4A80" w:rsidR="00647283">
        <w:t>s</w:t>
      </w:r>
      <w:r w:rsidRPr="008E4A80" w:rsidR="00254EE6">
        <w:t xml:space="preserve"> </w:t>
      </w:r>
      <w:r w:rsidRPr="008E4A80" w:rsidR="009A0D7F">
        <w:t xml:space="preserve">authorized to provide </w:t>
      </w:r>
      <w:r w:rsidRPr="008E4A80" w:rsidR="00151151">
        <w:t xml:space="preserve">service as a </w:t>
      </w:r>
      <w:r w:rsidRPr="008E4A80" w:rsidR="009A0D7F">
        <w:t>competitive local exchange</w:t>
      </w:r>
      <w:r w:rsidRPr="008E4A80" w:rsidR="00434C96">
        <w:t xml:space="preserve"> </w:t>
      </w:r>
      <w:r w:rsidR="00B33C4A">
        <w:t>carrier (LEC) i</w:t>
      </w:r>
      <w:r w:rsidRPr="008E4A80" w:rsidR="00434C96">
        <w:t xml:space="preserve">n </w:t>
      </w:r>
      <w:r w:rsidRPr="008E4A80" w:rsidR="00254EE6">
        <w:t>multiple</w:t>
      </w:r>
      <w:r w:rsidRPr="008E4A80" w:rsidR="00434C96">
        <w:t xml:space="preserve"> states</w:t>
      </w:r>
      <w:r w:rsidRPr="008E4A80" w:rsidR="00254EE6">
        <w:t>.</w:t>
      </w:r>
      <w:r>
        <w:rPr>
          <w:rStyle w:val="FootnoteReference"/>
        </w:rPr>
        <w:footnoteReference w:id="12"/>
      </w:r>
      <w:r w:rsidRPr="008E4A80" w:rsidR="00434C96">
        <w:t xml:space="preserve">  </w:t>
      </w:r>
      <w:r w:rsidRPr="008E4A80" w:rsidR="00061106">
        <w:t>Detel</w:t>
      </w:r>
      <w:r w:rsidRPr="008E4A80" w:rsidR="00151151">
        <w:t xml:space="preserve"> </w:t>
      </w:r>
      <w:r w:rsidR="00B33C4A">
        <w:t xml:space="preserve">is authorized to </w:t>
      </w:r>
      <w:r w:rsidRPr="008E4A80" w:rsidR="00151151">
        <w:t>provide</w:t>
      </w:r>
      <w:r w:rsidRPr="008E4A80" w:rsidR="00706D49">
        <w:t xml:space="preserve"> competitive </w:t>
      </w:r>
      <w:r w:rsidR="00B33C4A">
        <w:t>LEC s</w:t>
      </w:r>
      <w:r w:rsidRPr="008E4A80" w:rsidR="00706D49">
        <w:t>ervices in Louisiana and Mississippi</w:t>
      </w:r>
      <w:r w:rsidR="00B33C4A">
        <w:t xml:space="preserve"> </w:t>
      </w:r>
      <w:bookmarkStart w:id="6" w:name="_Hlk47962427"/>
      <w:r w:rsidR="00B33C4A">
        <w:t>and holds wireless licenses for common carrier point-to-point microwave services</w:t>
      </w:r>
      <w:bookmarkEnd w:id="6"/>
      <w:r w:rsidRPr="008E4A80" w:rsidR="00706D49">
        <w:t>.</w:t>
      </w:r>
      <w:r>
        <w:rPr>
          <w:rStyle w:val="FootnoteReference"/>
        </w:rPr>
        <w:footnoteReference w:id="13"/>
      </w:r>
      <w:r w:rsidRPr="008E4A80" w:rsidR="00706D49">
        <w:t xml:space="preserve">  </w:t>
      </w:r>
      <w:r w:rsidRPr="008E4A80" w:rsidR="00262E65">
        <w:t xml:space="preserve">Network USA </w:t>
      </w:r>
      <w:r w:rsidRPr="008E4A80" w:rsidR="00151151">
        <w:t xml:space="preserve">provides </w:t>
      </w:r>
      <w:r w:rsidRPr="008E4A80" w:rsidR="00061106">
        <w:t>access and transport services</w:t>
      </w:r>
      <w:r w:rsidRPr="008E4A80" w:rsidR="00262E65">
        <w:t xml:space="preserve"> </w:t>
      </w:r>
      <w:r w:rsidRPr="008E4A80" w:rsidR="00061106">
        <w:t xml:space="preserve">over its own fiber optic network </w:t>
      </w:r>
      <w:r w:rsidRPr="008E4A80" w:rsidR="00262E65">
        <w:t>in Arkansas, Louisiana, Mississippi, and Texas</w:t>
      </w:r>
      <w:r w:rsidR="00B33C4A">
        <w:t xml:space="preserve"> and holds wireless licenses for common carrier point-to-point microwave services</w:t>
      </w:r>
      <w:r w:rsidRPr="008E4A80" w:rsidR="00262E65">
        <w:t>.</w:t>
      </w:r>
      <w:r>
        <w:rPr>
          <w:rStyle w:val="FootnoteReference"/>
        </w:rPr>
        <w:footnoteReference w:id="14"/>
      </w:r>
      <w:r w:rsidRPr="008E4A80" w:rsidR="00262E65">
        <w:t xml:space="preserve">  </w:t>
      </w:r>
      <w:r w:rsidRPr="008E4A80" w:rsidR="0084778A">
        <w:t xml:space="preserve">Network Communications </w:t>
      </w:r>
      <w:r w:rsidRPr="008E4A80" w:rsidR="003D1AD8">
        <w:t xml:space="preserve">provides facilities-based </w:t>
      </w:r>
      <w:r w:rsidRPr="008E4A80" w:rsidR="0084778A">
        <w:t xml:space="preserve">competitive </w:t>
      </w:r>
      <w:r w:rsidR="00B33C4A">
        <w:t>LEC</w:t>
      </w:r>
      <w:r w:rsidRPr="008E4A80" w:rsidR="0084778A">
        <w:t xml:space="preserve"> services in Louisiana and Texas.</w:t>
      </w:r>
      <w:r>
        <w:rPr>
          <w:rStyle w:val="FootnoteReference"/>
        </w:rPr>
        <w:footnoteReference w:id="15"/>
      </w:r>
      <w:r w:rsidRPr="008E4A80" w:rsidR="00061106">
        <w:t xml:space="preserve">  </w:t>
      </w:r>
      <w:r w:rsidRPr="008E4A80" w:rsidR="005C403A">
        <w:t>BroadPlex</w:t>
      </w:r>
      <w:r w:rsidR="0056506E">
        <w:t xml:space="preserve"> </w:t>
      </w:r>
      <w:r w:rsidR="00F57B32">
        <w:t>provides</w:t>
      </w:r>
      <w:r w:rsidR="0056506E">
        <w:t xml:space="preserve"> competitive telecommunications services in </w:t>
      </w:r>
      <w:r w:rsidRPr="008E4A80" w:rsidR="005C403A">
        <w:t>North Carolina and South Carolina.</w:t>
      </w:r>
      <w:r>
        <w:rPr>
          <w:rStyle w:val="FootnoteReference"/>
        </w:rPr>
        <w:footnoteReference w:id="16"/>
      </w:r>
      <w:r w:rsidRPr="008E4A80" w:rsidR="005C403A">
        <w:t xml:space="preserve">  </w:t>
      </w:r>
      <w:r w:rsidRPr="008E4A80" w:rsidR="00151151">
        <w:t>All entities are U.S.-</w:t>
      </w:r>
      <w:r w:rsidR="00252F66">
        <w:t>organized</w:t>
      </w:r>
      <w:r w:rsidRPr="008E4A80" w:rsidR="00151151">
        <w:t>.</w:t>
      </w:r>
      <w:r>
        <w:rPr>
          <w:rStyle w:val="FootnoteReference"/>
        </w:rPr>
        <w:footnoteReference w:id="17"/>
      </w:r>
    </w:p>
    <w:p w:rsidR="00061106" w:rsidRPr="008E4A80" w:rsidP="00061106">
      <w:pPr>
        <w:autoSpaceDE w:val="0"/>
        <w:autoSpaceDN w:val="0"/>
        <w:adjustRightInd w:val="0"/>
      </w:pPr>
    </w:p>
    <w:p w:rsidR="00DD0968" w:rsidRPr="008E4A80" w:rsidP="000F02F7">
      <w:pPr>
        <w:autoSpaceDE w:val="0"/>
        <w:autoSpaceDN w:val="0"/>
        <w:adjustRightInd w:val="0"/>
        <w:ind w:firstLine="720"/>
      </w:pPr>
      <w:r w:rsidRPr="008E4A80">
        <w:t>EagleCrest CUB GP</w:t>
      </w:r>
      <w:r w:rsidRPr="008E4A80" w:rsidR="00AA1009">
        <w:t>, a Delaware entity,</w:t>
      </w:r>
      <w:r w:rsidRPr="008E4A80">
        <w:t xml:space="preserve"> is the general partner of EagleCrest CUB LP</w:t>
      </w:r>
      <w:r w:rsidRPr="008E4A80" w:rsidR="00AA1009">
        <w:t>,</w:t>
      </w:r>
      <w:r w:rsidRPr="008E4A80">
        <w:t xml:space="preserve"> and </w:t>
      </w:r>
      <w:r w:rsidRPr="00CC0CD5">
        <w:t>w</w:t>
      </w:r>
      <w:r w:rsidRPr="00CC0CD5" w:rsidR="00A40181">
        <w:t xml:space="preserve">ould </w:t>
      </w:r>
      <w:r w:rsidRPr="00CC0CD5">
        <w:t xml:space="preserve">be, upon consummation of the proposed transaction, </w:t>
      </w:r>
      <w:r w:rsidRPr="00CC0CD5" w:rsidR="00972942">
        <w:t xml:space="preserve">the </w:t>
      </w:r>
      <w:r w:rsidRPr="00CC0CD5">
        <w:t>general partner of CSC CUB</w:t>
      </w:r>
      <w:r w:rsidRPr="008E4A80">
        <w:t xml:space="preserve"> Holdings</w:t>
      </w:r>
      <w:r w:rsidRPr="008E4A80" w:rsidR="007F752B">
        <w:t>.</w:t>
      </w:r>
      <w:r>
        <w:rPr>
          <w:rStyle w:val="FootnoteReference"/>
        </w:rPr>
        <w:footnoteReference w:id="18"/>
      </w:r>
      <w:r w:rsidRPr="008E4A80" w:rsidR="007F752B">
        <w:t xml:space="preserve"> </w:t>
      </w:r>
      <w:r w:rsidRPr="008E4A80">
        <w:t xml:space="preserve"> CSC CUB Holdings w</w:t>
      </w:r>
      <w:r w:rsidR="000074D2">
        <w:t>ould</w:t>
      </w:r>
      <w:r w:rsidRPr="008E4A80">
        <w:t xml:space="preserve"> hold</w:t>
      </w:r>
      <w:r w:rsidR="000074D2">
        <w:t>, post-consummation,</w:t>
      </w:r>
      <w:r w:rsidRPr="008E4A80">
        <w:t xml:space="preserve"> a direct voting and </w:t>
      </w:r>
      <w:r w:rsidR="00867C19">
        <w:t>equity</w:t>
      </w:r>
      <w:r w:rsidRPr="008E4A80" w:rsidR="00867C19">
        <w:t xml:space="preserve"> </w:t>
      </w:r>
      <w:r w:rsidRPr="008E4A80">
        <w:t xml:space="preserve">interest </w:t>
      </w:r>
      <w:r w:rsidRPr="008E4A80">
        <w:t xml:space="preserve">of 25.5% in CUB Parent, and EagleCrest CUB </w:t>
      </w:r>
      <w:r w:rsidR="002C3287">
        <w:t>w</w:t>
      </w:r>
      <w:r w:rsidRPr="008E4A80" w:rsidR="002C3287">
        <w:t>o</w:t>
      </w:r>
      <w:r w:rsidR="002C3287">
        <w:t>uld</w:t>
      </w:r>
      <w:r w:rsidRPr="008E4A80">
        <w:t xml:space="preserve"> hold a direct voting and </w:t>
      </w:r>
      <w:r w:rsidR="00E07E7B">
        <w:t>equity</w:t>
      </w:r>
      <w:r w:rsidRPr="008E4A80" w:rsidR="00E07E7B">
        <w:t xml:space="preserve"> </w:t>
      </w:r>
      <w:r w:rsidRPr="008E4A80">
        <w:t xml:space="preserve">interest of </w:t>
      </w:r>
      <w:r w:rsidR="000074D2">
        <w:t xml:space="preserve">up to </w:t>
      </w:r>
      <w:r w:rsidRPr="008E4A80">
        <w:t>23.2% in CUB Parent.</w:t>
      </w:r>
      <w:r>
        <w:rPr>
          <w:rStyle w:val="FootnoteReference"/>
        </w:rPr>
        <w:footnoteReference w:id="19"/>
      </w:r>
      <w:r w:rsidRPr="008E4A80">
        <w:t xml:space="preserve"> </w:t>
      </w:r>
      <w:r w:rsidRPr="008E4A80" w:rsidR="007F752B">
        <w:t xml:space="preserve"> </w:t>
      </w:r>
      <w:r w:rsidRPr="008E4A80">
        <w:t>EagleCrest CUB GP w</w:t>
      </w:r>
      <w:r w:rsidR="00567B1D">
        <w:t>ould</w:t>
      </w:r>
      <w:r w:rsidRPr="008E4A80">
        <w:t xml:space="preserve"> also control any other limited partnership formed for the purposes of holding some of the shares in CUB Parent, up to 14.9%.</w:t>
      </w:r>
      <w:r>
        <w:rPr>
          <w:rStyle w:val="FootnoteReference"/>
        </w:rPr>
        <w:footnoteReference w:id="20"/>
      </w:r>
      <w:r w:rsidRPr="008E4A80" w:rsidR="00D5373A">
        <w:t xml:space="preserve">  </w:t>
      </w:r>
      <w:r w:rsidRPr="008E4A80">
        <w:t>Upon consummation of the proposed transaction, EagleCrest CUB GP w</w:t>
      </w:r>
      <w:r w:rsidR="005532A2">
        <w:t>ould</w:t>
      </w:r>
      <w:r w:rsidRPr="008E4A80">
        <w:t xml:space="preserve"> </w:t>
      </w:r>
      <w:r w:rsidRPr="008E4A80" w:rsidR="00D5373A">
        <w:t xml:space="preserve">therefore </w:t>
      </w:r>
      <w:r w:rsidRPr="008E4A80">
        <w:t xml:space="preserve">exercise control over the combined 48.7% voting and </w:t>
      </w:r>
      <w:r w:rsidR="00867C19">
        <w:t>equity</w:t>
      </w:r>
      <w:r w:rsidRPr="008E4A80" w:rsidR="00867C19">
        <w:t xml:space="preserve"> </w:t>
      </w:r>
      <w:r w:rsidRPr="008E4A80">
        <w:t>interest held by</w:t>
      </w:r>
      <w:r w:rsidR="00567B1D">
        <w:t xml:space="preserve"> the</w:t>
      </w:r>
      <w:r w:rsidRPr="008E4A80">
        <w:t xml:space="preserve"> two </w:t>
      </w:r>
      <w:r w:rsidR="00567B1D">
        <w:t xml:space="preserve">above-named </w:t>
      </w:r>
      <w:r w:rsidRPr="008E4A80">
        <w:t>limited partnerships in CUB Parent</w:t>
      </w:r>
      <w:r w:rsidRPr="008E4A80" w:rsidR="00D5373A">
        <w:t xml:space="preserve"> and </w:t>
      </w:r>
      <w:r w:rsidRPr="008E4A80">
        <w:t>also exercise negative control over CUB Parent.</w:t>
      </w:r>
      <w:r>
        <w:rPr>
          <w:rStyle w:val="FootnoteReference"/>
        </w:rPr>
        <w:footnoteReference w:id="21"/>
      </w:r>
      <w:r w:rsidRPr="008E4A80">
        <w:t xml:space="preserve"> </w:t>
      </w:r>
      <w:r w:rsidRPr="008E4A80" w:rsidR="00D5373A">
        <w:t xml:space="preserve"> </w:t>
      </w:r>
      <w:r w:rsidRPr="008E4A80" w:rsidR="000F02F7">
        <w:t xml:space="preserve">Ultimate operating control of EagleCrest CUB GP is exercised by </w:t>
      </w:r>
      <w:r w:rsidRPr="007124CC" w:rsidR="000F02F7">
        <w:t>Fiera Infrastructure Inc. (Fiera),</w:t>
      </w:r>
      <w:r w:rsidRPr="008E4A80" w:rsidR="000F02F7">
        <w:t xml:space="preserve"> a Canadian federal corporation whose immediate parent, Fiera Capital,</w:t>
      </w:r>
      <w:r w:rsidRPr="008E4A80" w:rsidR="00D5373A">
        <w:t xml:space="preserve"> a Canadian investment firm,</w:t>
      </w:r>
      <w:r w:rsidRPr="008E4A80" w:rsidR="000F02F7">
        <w:t xml:space="preserve"> is indirectly controlled by Mr. Jean-Guy Desjardins, a Canadian citizen.</w:t>
      </w:r>
      <w:r>
        <w:rPr>
          <w:rStyle w:val="FootnoteReference"/>
        </w:rPr>
        <w:footnoteReference w:id="22"/>
      </w:r>
      <w:r w:rsidRPr="008E4A80" w:rsidR="000F02F7">
        <w:t xml:space="preserve">  </w:t>
      </w:r>
    </w:p>
    <w:p w:rsidR="00D5373A" w:rsidRPr="008E4A80" w:rsidP="000F02F7">
      <w:pPr>
        <w:autoSpaceDE w:val="0"/>
        <w:autoSpaceDN w:val="0"/>
        <w:adjustRightInd w:val="0"/>
        <w:ind w:firstLine="720"/>
      </w:pPr>
    </w:p>
    <w:p w:rsidR="00DD0968" w:rsidRPr="00CC0CD5" w:rsidP="00604CFF">
      <w:pPr>
        <w:autoSpaceDE w:val="0"/>
        <w:autoSpaceDN w:val="0"/>
        <w:adjustRightInd w:val="0"/>
        <w:ind w:firstLine="720"/>
        <w:rPr>
          <w:szCs w:val="22"/>
        </w:rPr>
      </w:pPr>
      <w:r w:rsidRPr="008E4A80">
        <w:rPr>
          <w:szCs w:val="22"/>
        </w:rPr>
        <w:t>APG US</w:t>
      </w:r>
      <w:r w:rsidRPr="008E4A80" w:rsidR="007F752B">
        <w:rPr>
          <w:szCs w:val="22"/>
        </w:rPr>
        <w:t xml:space="preserve">, </w:t>
      </w:r>
      <w:r w:rsidRPr="008E4A80">
        <w:rPr>
          <w:szCs w:val="22"/>
        </w:rPr>
        <w:t xml:space="preserve">a Delaware </w:t>
      </w:r>
      <w:r w:rsidRPr="008E4A80" w:rsidR="007F752B">
        <w:rPr>
          <w:szCs w:val="22"/>
        </w:rPr>
        <w:t>entity, was formed for the purposes of the proposed trans</w:t>
      </w:r>
      <w:r w:rsidRPr="008E4A80" w:rsidR="006C62D8">
        <w:rPr>
          <w:szCs w:val="22"/>
        </w:rPr>
        <w:t xml:space="preserve">action and is </w:t>
      </w:r>
      <w:r w:rsidRPr="008E4A80">
        <w:rPr>
          <w:szCs w:val="22"/>
        </w:rPr>
        <w:t xml:space="preserve">controlled by </w:t>
      </w:r>
      <w:r w:rsidRPr="008E4A80" w:rsidR="006C62D8">
        <w:rPr>
          <w:szCs w:val="22"/>
        </w:rPr>
        <w:t>APG Asset Management US Inc. (AGP Asset Management US), also a Delaware entity, which, in turn, is indirectly wholly owned and controlled by</w:t>
      </w:r>
      <w:r w:rsidRPr="008E4A80">
        <w:rPr>
          <w:szCs w:val="22"/>
        </w:rPr>
        <w:t xml:space="preserve"> Stichting Pensioenfonds ABP (SPF ABP)</w:t>
      </w:r>
      <w:r w:rsidRPr="008E4A80" w:rsidR="006C62D8">
        <w:rPr>
          <w:szCs w:val="22"/>
        </w:rPr>
        <w:t>, a Netherlands pension fund.</w:t>
      </w:r>
      <w:r>
        <w:rPr>
          <w:rStyle w:val="FootnoteReference"/>
          <w:szCs w:val="22"/>
        </w:rPr>
        <w:footnoteReference w:id="23"/>
      </w:r>
      <w:r w:rsidRPr="008E4A80">
        <w:rPr>
          <w:szCs w:val="22"/>
        </w:rPr>
        <w:t xml:space="preserve"> </w:t>
      </w:r>
      <w:r w:rsidRPr="008E4A80" w:rsidR="00F50F28">
        <w:rPr>
          <w:szCs w:val="22"/>
        </w:rPr>
        <w:t xml:space="preserve"> The sole member and owner of all of the economic interest in APG US is APG Infrastructure Pool 2020-2021 (APG Pool 2020-2021), a Netherlands investment pool.</w:t>
      </w:r>
      <w:r>
        <w:rPr>
          <w:rStyle w:val="FootnoteReference"/>
          <w:szCs w:val="22"/>
        </w:rPr>
        <w:footnoteReference w:id="24"/>
      </w:r>
      <w:r w:rsidRPr="008E4A80" w:rsidR="00F50F28">
        <w:rPr>
          <w:szCs w:val="22"/>
        </w:rPr>
        <w:t xml:space="preserve">  </w:t>
      </w:r>
      <w:r w:rsidRPr="008E4A80" w:rsidR="00AD3CE9">
        <w:rPr>
          <w:szCs w:val="22"/>
        </w:rPr>
        <w:t xml:space="preserve">Applicants state that </w:t>
      </w:r>
      <w:r w:rsidRPr="008E4A80" w:rsidR="00F50F28">
        <w:rPr>
          <w:szCs w:val="22"/>
        </w:rPr>
        <w:t>legal authority for the pool is exercised by Stichting Depositary APG Infrastructure Pool 2020-2021</w:t>
      </w:r>
      <w:r w:rsidRPr="008E4A80" w:rsidR="00AD3CE9">
        <w:rPr>
          <w:szCs w:val="22"/>
        </w:rPr>
        <w:t xml:space="preserve"> </w:t>
      </w:r>
      <w:r w:rsidRPr="008E4A80" w:rsidR="00F50F28">
        <w:rPr>
          <w:szCs w:val="22"/>
        </w:rPr>
        <w:t>(APG Depositary, and, together with APG Pool 2020-2021, APG Pool).</w:t>
      </w:r>
      <w:r>
        <w:rPr>
          <w:rStyle w:val="FootnoteReference"/>
          <w:szCs w:val="22"/>
        </w:rPr>
        <w:footnoteReference w:id="25"/>
      </w:r>
      <w:r w:rsidRPr="00F50F28" w:rsidR="00F50F28">
        <w:rPr>
          <w:szCs w:val="22"/>
        </w:rPr>
        <w:t xml:space="preserve"> </w:t>
      </w:r>
      <w:r w:rsidR="00AD3CE9">
        <w:rPr>
          <w:szCs w:val="22"/>
        </w:rPr>
        <w:t xml:space="preserve"> </w:t>
      </w:r>
      <w:r w:rsidRPr="00F50F28" w:rsidR="00F50F28">
        <w:rPr>
          <w:szCs w:val="22"/>
        </w:rPr>
        <w:t xml:space="preserve">SPF ABP owns 99.4-percent of the voting and </w:t>
      </w:r>
      <w:r w:rsidR="00867C19">
        <w:rPr>
          <w:szCs w:val="22"/>
        </w:rPr>
        <w:t>equity</w:t>
      </w:r>
      <w:r w:rsidRPr="00F50F28" w:rsidR="00867C19">
        <w:rPr>
          <w:szCs w:val="22"/>
        </w:rPr>
        <w:t xml:space="preserve"> </w:t>
      </w:r>
      <w:r w:rsidRPr="00F50F28" w:rsidR="00F50F28">
        <w:rPr>
          <w:szCs w:val="22"/>
        </w:rPr>
        <w:t xml:space="preserve">interest in APG </w:t>
      </w:r>
      <w:r w:rsidRPr="00CC0CD5" w:rsidR="00F50F28">
        <w:rPr>
          <w:szCs w:val="22"/>
        </w:rPr>
        <w:t>Pool.</w:t>
      </w:r>
      <w:r>
        <w:rPr>
          <w:rStyle w:val="FootnoteReference"/>
          <w:szCs w:val="22"/>
        </w:rPr>
        <w:footnoteReference w:id="26"/>
      </w:r>
      <w:r w:rsidRPr="00CC0CD5" w:rsidR="00F50F28">
        <w:rPr>
          <w:szCs w:val="22"/>
        </w:rPr>
        <w:t xml:space="preserve"> </w:t>
      </w:r>
      <w:r w:rsidRPr="00CC0CD5" w:rsidR="00AD3CE9">
        <w:rPr>
          <w:szCs w:val="22"/>
        </w:rPr>
        <w:t xml:space="preserve"> </w:t>
      </w:r>
      <w:r w:rsidRPr="00CC0CD5" w:rsidR="00F50F28">
        <w:rPr>
          <w:szCs w:val="22"/>
        </w:rPr>
        <w:t xml:space="preserve">Upon consummation of the </w:t>
      </w:r>
      <w:r w:rsidR="001D108C">
        <w:rPr>
          <w:szCs w:val="22"/>
        </w:rPr>
        <w:t>p</w:t>
      </w:r>
      <w:r w:rsidRPr="00CC0CD5" w:rsidR="00F50F28">
        <w:rPr>
          <w:szCs w:val="22"/>
        </w:rPr>
        <w:t xml:space="preserve">roposed </w:t>
      </w:r>
      <w:r w:rsidR="001D108C">
        <w:rPr>
          <w:szCs w:val="22"/>
        </w:rPr>
        <w:t>t</w:t>
      </w:r>
      <w:r w:rsidRPr="00CC0CD5" w:rsidR="00F50F28">
        <w:rPr>
          <w:szCs w:val="22"/>
        </w:rPr>
        <w:t>ransaction, APG US w</w:t>
      </w:r>
      <w:r w:rsidRPr="00CC0CD5" w:rsidR="00A40181">
        <w:rPr>
          <w:szCs w:val="22"/>
        </w:rPr>
        <w:t>ould</w:t>
      </w:r>
      <w:r w:rsidRPr="00CC0CD5" w:rsidR="00F50F28">
        <w:rPr>
          <w:szCs w:val="22"/>
        </w:rPr>
        <w:t xml:space="preserve"> hold a 49.9-percent voting and </w:t>
      </w:r>
      <w:r w:rsidRPr="00CC0CD5" w:rsidR="00867C19">
        <w:rPr>
          <w:szCs w:val="22"/>
        </w:rPr>
        <w:t xml:space="preserve">equity </w:t>
      </w:r>
      <w:r w:rsidRPr="00CC0CD5" w:rsidR="00F50F28">
        <w:rPr>
          <w:szCs w:val="22"/>
        </w:rPr>
        <w:t xml:space="preserve">interest in, and </w:t>
      </w:r>
      <w:r w:rsidRPr="00CC0CD5" w:rsidR="00A40181">
        <w:rPr>
          <w:szCs w:val="22"/>
        </w:rPr>
        <w:t xml:space="preserve">would </w:t>
      </w:r>
      <w:r w:rsidRPr="00CC0CD5" w:rsidR="00F50F28">
        <w:rPr>
          <w:szCs w:val="22"/>
        </w:rPr>
        <w:t>exercise negative control over CUB Parent.</w:t>
      </w:r>
      <w:r>
        <w:rPr>
          <w:rStyle w:val="FootnoteReference"/>
          <w:szCs w:val="22"/>
        </w:rPr>
        <w:footnoteReference w:id="27"/>
      </w:r>
      <w:r w:rsidRPr="00CC0CD5" w:rsidR="00B04DD0">
        <w:rPr>
          <w:szCs w:val="22"/>
        </w:rPr>
        <w:t xml:space="preserve">  </w:t>
      </w:r>
    </w:p>
    <w:p w:rsidR="00DD0968" w:rsidRPr="00CC0CD5" w:rsidP="00E55A96">
      <w:pPr>
        <w:autoSpaceDE w:val="0"/>
        <w:autoSpaceDN w:val="0"/>
        <w:adjustRightInd w:val="0"/>
        <w:rPr>
          <w:szCs w:val="22"/>
        </w:rPr>
      </w:pPr>
    </w:p>
    <w:p w:rsidR="00EB0620" w:rsidRPr="00CC0CD5" w:rsidP="00E55A96">
      <w:pPr>
        <w:autoSpaceDE w:val="0"/>
        <w:autoSpaceDN w:val="0"/>
        <w:adjustRightInd w:val="0"/>
        <w:rPr>
          <w:szCs w:val="22"/>
        </w:rPr>
      </w:pPr>
      <w:r w:rsidRPr="00CC0CD5">
        <w:rPr>
          <w:szCs w:val="22"/>
          <w:u w:val="single"/>
        </w:rPr>
        <w:t>Description of the Transaction</w:t>
      </w:r>
    </w:p>
    <w:p w:rsidR="00EB0620" w:rsidRPr="00CC0CD5" w:rsidP="00E55A96">
      <w:pPr>
        <w:autoSpaceDE w:val="0"/>
        <w:autoSpaceDN w:val="0"/>
        <w:adjustRightInd w:val="0"/>
        <w:rPr>
          <w:szCs w:val="22"/>
        </w:rPr>
      </w:pPr>
    </w:p>
    <w:p w:rsidR="0046682C" w:rsidRPr="004D611C" w:rsidP="004D611C">
      <w:pPr>
        <w:autoSpaceDE w:val="0"/>
        <w:autoSpaceDN w:val="0"/>
        <w:adjustRightInd w:val="0"/>
        <w:ind w:firstLine="720"/>
        <w:rPr>
          <w:sz w:val="24"/>
          <w:szCs w:val="24"/>
        </w:rPr>
      </w:pPr>
      <w:r w:rsidRPr="00CC0CD5">
        <w:rPr>
          <w:szCs w:val="22"/>
        </w:rPr>
        <w:t xml:space="preserve">Upon consummation of the </w:t>
      </w:r>
      <w:r w:rsidRPr="00CC0CD5" w:rsidR="00EB0620">
        <w:rPr>
          <w:szCs w:val="22"/>
        </w:rPr>
        <w:t>p</w:t>
      </w:r>
      <w:r w:rsidRPr="00CC0CD5">
        <w:rPr>
          <w:szCs w:val="22"/>
        </w:rPr>
        <w:t xml:space="preserve">roposed </w:t>
      </w:r>
      <w:r w:rsidRPr="00CC0CD5" w:rsidR="00EB0620">
        <w:rPr>
          <w:szCs w:val="22"/>
        </w:rPr>
        <w:t>t</w:t>
      </w:r>
      <w:r w:rsidRPr="00CC0CD5">
        <w:rPr>
          <w:szCs w:val="22"/>
        </w:rPr>
        <w:t xml:space="preserve">ransaction, </w:t>
      </w:r>
      <w:r w:rsidRPr="00CC0CD5" w:rsidR="00CC1BD8">
        <w:rPr>
          <w:szCs w:val="22"/>
        </w:rPr>
        <w:t>the Licensees</w:t>
      </w:r>
      <w:r w:rsidRPr="00CC0CD5">
        <w:rPr>
          <w:szCs w:val="22"/>
        </w:rPr>
        <w:t xml:space="preserve"> </w:t>
      </w:r>
      <w:r w:rsidRPr="00CC0CD5" w:rsidR="00402FAD">
        <w:rPr>
          <w:szCs w:val="22"/>
        </w:rPr>
        <w:t>would</w:t>
      </w:r>
      <w:r w:rsidRPr="00CC0CD5">
        <w:rPr>
          <w:szCs w:val="22"/>
        </w:rPr>
        <w:t xml:space="preserve"> continue to be</w:t>
      </w:r>
      <w:r w:rsidRPr="00CC0CD5" w:rsidR="00CC1BD8">
        <w:rPr>
          <w:szCs w:val="22"/>
        </w:rPr>
        <w:t xml:space="preserve"> directly and indirectly</w:t>
      </w:r>
      <w:r w:rsidRPr="00CC0CD5" w:rsidR="004D611C">
        <w:rPr>
          <w:szCs w:val="22"/>
        </w:rPr>
        <w:t xml:space="preserve"> </w:t>
      </w:r>
      <w:r w:rsidRPr="00CC0CD5" w:rsidR="00CC1BD8">
        <w:rPr>
          <w:szCs w:val="22"/>
        </w:rPr>
        <w:t>wholly</w:t>
      </w:r>
      <w:r w:rsidR="001D108C">
        <w:rPr>
          <w:szCs w:val="22"/>
        </w:rPr>
        <w:t>-</w:t>
      </w:r>
      <w:r w:rsidRPr="00CC0CD5">
        <w:rPr>
          <w:szCs w:val="22"/>
        </w:rPr>
        <w:t>owned by CUB Holdings</w:t>
      </w:r>
      <w:r w:rsidRPr="00CC0CD5" w:rsidR="00CC1BD8">
        <w:rPr>
          <w:szCs w:val="22"/>
        </w:rPr>
        <w:t xml:space="preserve"> and</w:t>
      </w:r>
      <w:r w:rsidRPr="00CC0CD5">
        <w:rPr>
          <w:szCs w:val="22"/>
        </w:rPr>
        <w:t xml:space="preserve"> CUB Parent</w:t>
      </w:r>
      <w:r w:rsidRPr="00CC0CD5" w:rsidR="00CC1BD8">
        <w:rPr>
          <w:szCs w:val="22"/>
        </w:rPr>
        <w:t>, respectively</w:t>
      </w:r>
      <w:r w:rsidRPr="00CC0CD5">
        <w:rPr>
          <w:szCs w:val="22"/>
        </w:rPr>
        <w:t>.</w:t>
      </w:r>
      <w:r>
        <w:rPr>
          <w:rStyle w:val="FootnoteReference"/>
          <w:szCs w:val="22"/>
        </w:rPr>
        <w:footnoteReference w:id="28"/>
      </w:r>
      <w:r w:rsidRPr="00CC0CD5">
        <w:rPr>
          <w:szCs w:val="22"/>
        </w:rPr>
        <w:t xml:space="preserve"> </w:t>
      </w:r>
      <w:r w:rsidRPr="00CC0CD5" w:rsidR="002C3287">
        <w:rPr>
          <w:szCs w:val="22"/>
        </w:rPr>
        <w:t xml:space="preserve"> </w:t>
      </w:r>
      <w:r w:rsidRPr="00CC0CD5">
        <w:rPr>
          <w:szCs w:val="22"/>
        </w:rPr>
        <w:t xml:space="preserve">CUB Parent </w:t>
      </w:r>
      <w:r w:rsidRPr="00CC0CD5" w:rsidR="007E33EC">
        <w:rPr>
          <w:szCs w:val="22"/>
        </w:rPr>
        <w:t>would</w:t>
      </w:r>
      <w:r w:rsidRPr="00CC0CD5">
        <w:rPr>
          <w:szCs w:val="22"/>
        </w:rPr>
        <w:t xml:space="preserve"> be owned 49.9</w:t>
      </w:r>
      <w:r w:rsidRPr="00CC0CD5" w:rsidR="004D611C">
        <w:rPr>
          <w:szCs w:val="22"/>
        </w:rPr>
        <w:t>%</w:t>
      </w:r>
      <w:r w:rsidRPr="00CC0CD5">
        <w:rPr>
          <w:szCs w:val="22"/>
        </w:rPr>
        <w:t xml:space="preserve"> by APG US and 48.7</w:t>
      </w:r>
      <w:r w:rsidRPr="00CC0CD5" w:rsidR="004D611C">
        <w:rPr>
          <w:szCs w:val="22"/>
        </w:rPr>
        <w:t>%</w:t>
      </w:r>
      <w:r w:rsidRPr="00CC0CD5">
        <w:rPr>
          <w:szCs w:val="22"/>
        </w:rPr>
        <w:t xml:space="preserve"> by </w:t>
      </w:r>
      <w:r w:rsidRPr="00CC0CD5" w:rsidR="004D611C">
        <w:rPr>
          <w:szCs w:val="22"/>
        </w:rPr>
        <w:t>C</w:t>
      </w:r>
      <w:r w:rsidRPr="00CC0CD5">
        <w:rPr>
          <w:szCs w:val="22"/>
        </w:rPr>
        <w:t>SC CUB</w:t>
      </w:r>
      <w:r w:rsidRPr="00CC0CD5" w:rsidR="004D611C">
        <w:rPr>
          <w:szCs w:val="22"/>
        </w:rPr>
        <w:t xml:space="preserve"> </w:t>
      </w:r>
      <w:r w:rsidRPr="00CC0CD5">
        <w:rPr>
          <w:szCs w:val="22"/>
        </w:rPr>
        <w:t>LP and EagleCrest CUB LP</w:t>
      </w:r>
      <w:r w:rsidRPr="00CC0CD5" w:rsidR="004D611C">
        <w:rPr>
          <w:szCs w:val="22"/>
        </w:rPr>
        <w:t xml:space="preserve">, </w:t>
      </w:r>
      <w:r w:rsidRPr="00CC0CD5">
        <w:rPr>
          <w:szCs w:val="22"/>
        </w:rPr>
        <w:t>each controlled by EagleCrest CUB GP,</w:t>
      </w:r>
      <w:r w:rsidRPr="00CC0CD5" w:rsidR="004D611C">
        <w:rPr>
          <w:szCs w:val="22"/>
        </w:rPr>
        <w:t xml:space="preserve"> </w:t>
      </w:r>
      <w:r w:rsidRPr="00CC0CD5">
        <w:rPr>
          <w:szCs w:val="22"/>
        </w:rPr>
        <w:t>with the remaining 1.4 percent owned by CUB Holdings management</w:t>
      </w:r>
      <w:r w:rsidRPr="00CC0CD5">
        <w:rPr>
          <w:szCs w:val="22"/>
        </w:rPr>
        <w:t>.</w:t>
      </w:r>
      <w:r>
        <w:rPr>
          <w:rStyle w:val="FootnoteReference"/>
          <w:szCs w:val="22"/>
        </w:rPr>
        <w:footnoteReference w:id="29"/>
      </w:r>
      <w:r w:rsidRPr="00CC0CD5">
        <w:rPr>
          <w:szCs w:val="22"/>
        </w:rPr>
        <w:t xml:space="preserve"> </w:t>
      </w:r>
      <w:r w:rsidRPr="00CC0CD5" w:rsidR="00295931">
        <w:rPr>
          <w:szCs w:val="22"/>
        </w:rPr>
        <w:t xml:space="preserve"> Applicants further state that n</w:t>
      </w:r>
      <w:r w:rsidRPr="00CC0CD5">
        <w:rPr>
          <w:szCs w:val="22"/>
        </w:rPr>
        <w:t>o entity or individual w</w:t>
      </w:r>
      <w:r w:rsidRPr="00CC0CD5" w:rsidR="00A40181">
        <w:rPr>
          <w:szCs w:val="22"/>
        </w:rPr>
        <w:t>ould</w:t>
      </w:r>
      <w:r w:rsidRPr="00CC0CD5">
        <w:rPr>
          <w:szCs w:val="22"/>
        </w:rPr>
        <w:t xml:space="preserve"> exercise </w:t>
      </w:r>
      <w:r w:rsidRPr="00CC0CD5">
        <w:rPr>
          <w:i/>
          <w:iCs/>
          <w:szCs w:val="22"/>
        </w:rPr>
        <w:t>de</w:t>
      </w:r>
      <w:r w:rsidRPr="00CC0CD5">
        <w:rPr>
          <w:szCs w:val="22"/>
        </w:rPr>
        <w:t xml:space="preserve"> </w:t>
      </w:r>
      <w:r w:rsidRPr="00CC0CD5">
        <w:rPr>
          <w:i/>
          <w:iCs/>
          <w:szCs w:val="22"/>
        </w:rPr>
        <w:t>jure</w:t>
      </w:r>
      <w:r w:rsidRPr="00CC0CD5">
        <w:rPr>
          <w:szCs w:val="22"/>
        </w:rPr>
        <w:t xml:space="preserve"> control over CUB Parent</w:t>
      </w:r>
      <w:r w:rsidRPr="00CC0CD5" w:rsidR="00B41370">
        <w:rPr>
          <w:szCs w:val="22"/>
        </w:rPr>
        <w:t>;</w:t>
      </w:r>
      <w:r w:rsidRPr="00CC0CD5" w:rsidR="00295931">
        <w:rPr>
          <w:szCs w:val="22"/>
        </w:rPr>
        <w:t xml:space="preserve"> however, </w:t>
      </w:r>
      <w:r w:rsidRPr="00CC0CD5">
        <w:rPr>
          <w:szCs w:val="22"/>
        </w:rPr>
        <w:t>through a shareholders’ agreement by and among CSC CUB Holdings, EagleCrest CUB LP, APG US</w:t>
      </w:r>
      <w:r w:rsidRPr="00CC0CD5" w:rsidR="00295931">
        <w:rPr>
          <w:szCs w:val="22"/>
        </w:rPr>
        <w:t>,</w:t>
      </w:r>
      <w:r w:rsidRPr="00CC0CD5">
        <w:rPr>
          <w:szCs w:val="22"/>
        </w:rPr>
        <w:t xml:space="preserve"> and CUB Parent, each of EagleCrest CUB GP and APG US w</w:t>
      </w:r>
      <w:r w:rsidRPr="00CC0CD5" w:rsidR="00A40181">
        <w:rPr>
          <w:szCs w:val="22"/>
        </w:rPr>
        <w:t>ould</w:t>
      </w:r>
      <w:r w:rsidRPr="00CC0CD5">
        <w:rPr>
          <w:szCs w:val="22"/>
        </w:rPr>
        <w:t xml:space="preserve"> exercise negative control over CUB Parent.</w:t>
      </w:r>
      <w:r>
        <w:rPr>
          <w:rStyle w:val="FootnoteReference"/>
          <w:szCs w:val="22"/>
        </w:rPr>
        <w:footnoteReference w:id="30"/>
      </w:r>
    </w:p>
    <w:p w:rsidR="0046682C" w:rsidP="00EB0620">
      <w:pPr>
        <w:autoSpaceDE w:val="0"/>
        <w:autoSpaceDN w:val="0"/>
        <w:adjustRightInd w:val="0"/>
        <w:rPr>
          <w:szCs w:val="22"/>
        </w:rPr>
      </w:pPr>
    </w:p>
    <w:p w:rsidR="00EB0620" w:rsidRPr="00EB0620" w:rsidP="00EB0620">
      <w:pPr>
        <w:autoSpaceDE w:val="0"/>
        <w:autoSpaceDN w:val="0"/>
        <w:adjustRightInd w:val="0"/>
        <w:rPr>
          <w:szCs w:val="22"/>
        </w:rPr>
      </w:pPr>
      <w:r>
        <w:rPr>
          <w:szCs w:val="22"/>
          <w:u w:val="single"/>
        </w:rPr>
        <w:t>Statement of Public Interest</w:t>
      </w:r>
    </w:p>
    <w:p w:rsidR="00EB0620" w:rsidP="00F80BCD">
      <w:pPr>
        <w:autoSpaceDE w:val="0"/>
        <w:autoSpaceDN w:val="0"/>
        <w:adjustRightInd w:val="0"/>
        <w:ind w:firstLine="720"/>
        <w:rPr>
          <w:szCs w:val="22"/>
        </w:rPr>
      </w:pPr>
    </w:p>
    <w:p w:rsidR="00295931" w:rsidP="00295931">
      <w:pPr>
        <w:autoSpaceDE w:val="0"/>
        <w:autoSpaceDN w:val="0"/>
        <w:adjustRightInd w:val="0"/>
        <w:ind w:firstLine="720"/>
        <w:rPr>
          <w:szCs w:val="22"/>
        </w:rPr>
      </w:pPr>
      <w:r w:rsidRPr="00295931">
        <w:rPr>
          <w:szCs w:val="22"/>
        </w:rPr>
        <w:t xml:space="preserve">Applicant asserts that a grant of the applications would serve the public interest, convenience, and necessity, </w:t>
      </w:r>
      <w:r w:rsidR="004A746A">
        <w:rPr>
          <w:szCs w:val="22"/>
        </w:rPr>
        <w:t>foster the continued growth of</w:t>
      </w:r>
      <w:r w:rsidRPr="00295931">
        <w:rPr>
          <w:szCs w:val="22"/>
        </w:rPr>
        <w:t xml:space="preserve"> </w:t>
      </w:r>
      <w:r>
        <w:rPr>
          <w:szCs w:val="22"/>
        </w:rPr>
        <w:t>the Licensees</w:t>
      </w:r>
      <w:r w:rsidRPr="00295931">
        <w:rPr>
          <w:szCs w:val="22"/>
        </w:rPr>
        <w:t>, and result in no anti-competitive concerns.</w:t>
      </w:r>
      <w:r>
        <w:rPr>
          <w:szCs w:val="22"/>
          <w:vertAlign w:val="superscript"/>
        </w:rPr>
        <w:footnoteReference w:id="31"/>
      </w:r>
      <w:r w:rsidRPr="00295931">
        <w:rPr>
          <w:szCs w:val="22"/>
        </w:rPr>
        <w:t xml:space="preserve">  </w:t>
      </w:r>
    </w:p>
    <w:p w:rsidR="00EB0620" w:rsidP="00EB0620">
      <w:pPr>
        <w:autoSpaceDE w:val="0"/>
        <w:autoSpaceDN w:val="0"/>
        <w:adjustRightInd w:val="0"/>
        <w:rPr>
          <w:szCs w:val="22"/>
        </w:rPr>
      </w:pPr>
    </w:p>
    <w:p w:rsidR="00D12C21" w:rsidP="00EB0620">
      <w:pPr>
        <w:autoSpaceDE w:val="0"/>
        <w:autoSpaceDN w:val="0"/>
        <w:adjustRightInd w:val="0"/>
        <w:rPr>
          <w:rFonts w:ascii="TimesNewRoman,Bold" w:hAnsi="TimesNewRoman,Bold" w:cs="TimesNewRoman,Bold"/>
          <w:color w:val="010101"/>
          <w:szCs w:val="22"/>
          <w:u w:val="single"/>
        </w:rPr>
      </w:pPr>
    </w:p>
    <w:p w:rsidR="00D12C21" w:rsidP="00EB0620">
      <w:pPr>
        <w:autoSpaceDE w:val="0"/>
        <w:autoSpaceDN w:val="0"/>
        <w:adjustRightInd w:val="0"/>
        <w:rPr>
          <w:rFonts w:ascii="TimesNewRoman,Bold" w:hAnsi="TimesNewRoman,Bold" w:cs="TimesNewRoman,Bold"/>
          <w:color w:val="010101"/>
          <w:szCs w:val="22"/>
          <w:u w:val="single"/>
        </w:rPr>
      </w:pPr>
    </w:p>
    <w:p w:rsidR="00EB0620" w:rsidRPr="00D43E2D" w:rsidP="00EB0620">
      <w:pPr>
        <w:autoSpaceDE w:val="0"/>
        <w:autoSpaceDN w:val="0"/>
        <w:adjustRightInd w:val="0"/>
        <w:rPr>
          <w:rFonts w:ascii="TimesNewRoman,Bold" w:hAnsi="TimesNewRoman,Bold" w:cs="TimesNewRoman,Bold"/>
          <w:color w:val="010101"/>
          <w:szCs w:val="22"/>
          <w:u w:val="single"/>
        </w:rPr>
      </w:pPr>
      <w:r w:rsidRPr="00D43E2D">
        <w:rPr>
          <w:rFonts w:ascii="TimesNewRoman,Bold" w:hAnsi="TimesNewRoman,Bold" w:cs="TimesNewRoman,Bold"/>
          <w:color w:val="010101"/>
          <w:szCs w:val="22"/>
          <w:u w:val="single"/>
        </w:rPr>
        <w:t>Petition for Declaratory Ruling Under Section 310(b)(4)</w:t>
      </w:r>
    </w:p>
    <w:p w:rsidR="00EB0620" w:rsidP="00EB0620">
      <w:pPr>
        <w:autoSpaceDE w:val="0"/>
        <w:autoSpaceDN w:val="0"/>
        <w:adjustRightInd w:val="0"/>
        <w:rPr>
          <w:szCs w:val="22"/>
        </w:rPr>
      </w:pPr>
    </w:p>
    <w:p w:rsidR="0088514F" w:rsidRPr="00CC0CD5" w:rsidP="0088514F">
      <w:pPr>
        <w:ind w:firstLine="720"/>
      </w:pPr>
      <w:r>
        <w:t xml:space="preserve">The Applicants </w:t>
      </w:r>
      <w:r w:rsidR="00604C49">
        <w:t xml:space="preserve">have filed a petition for declaratory ruling (Petition) pursuant to section 310(b)(4) of the Communications Act of 1934, as amended, 47 U.S.C. </w:t>
      </w:r>
      <w:r w:rsidRPr="0066763D" w:rsidR="00604C49">
        <w:t>§</w:t>
      </w:r>
      <w:r w:rsidR="00604C49">
        <w:t xml:space="preserve"> 310(b)(4), and section 1.5000(a)(</w:t>
      </w:r>
      <w:r w:rsidRPr="00CC0CD5" w:rsidR="00604C49">
        <w:t>1) of the Commission’s rules, 47 CFR § 1.5000(a)(1), to permit</w:t>
      </w:r>
      <w:r w:rsidRPr="00CC0CD5" w:rsidR="001D5BE1">
        <w:t xml:space="preserve"> post-transaction</w:t>
      </w:r>
      <w:r w:rsidRPr="00CC0CD5" w:rsidR="00604C49">
        <w:t xml:space="preserve"> foreign ownership of </w:t>
      </w:r>
      <w:r w:rsidRPr="00CC0CD5" w:rsidR="001D5BE1">
        <w:t xml:space="preserve">CUB Holdings, </w:t>
      </w:r>
      <w:r w:rsidRPr="00CC0CD5" w:rsidR="00604C49">
        <w:t xml:space="preserve">the </w:t>
      </w:r>
      <w:r w:rsidRPr="00CC0CD5" w:rsidR="00211EA7">
        <w:t xml:space="preserve">direct </w:t>
      </w:r>
      <w:r w:rsidRPr="00CC0CD5" w:rsidR="00604C49">
        <w:t>controlling U.S. parent</w:t>
      </w:r>
      <w:r w:rsidRPr="00CC0CD5">
        <w:t xml:space="preserve"> of </w:t>
      </w:r>
      <w:r w:rsidRPr="00CC0CD5" w:rsidR="001D5BE1">
        <w:t>common carrier</w:t>
      </w:r>
      <w:r w:rsidRPr="00CC0CD5" w:rsidR="00A40181">
        <w:t xml:space="preserve"> point-to-point microwave</w:t>
      </w:r>
      <w:r w:rsidRPr="00CC0CD5" w:rsidR="001D5BE1">
        <w:t xml:space="preserve"> licensees</w:t>
      </w:r>
      <w:r w:rsidR="00D12C21">
        <w:t>,</w:t>
      </w:r>
      <w:r w:rsidRPr="00CC0CD5" w:rsidR="001D5BE1">
        <w:t xml:space="preserve"> CUB, Network USA, and Detel</w:t>
      </w:r>
      <w:r w:rsidRPr="00CC0CD5" w:rsidR="00604C49">
        <w:t>, to exceed the 25% benchmark specified in section 310(b)(4) of the Act.</w:t>
      </w:r>
    </w:p>
    <w:p w:rsidR="0088514F" w:rsidRPr="00CC0CD5" w:rsidP="0088514F">
      <w:pPr>
        <w:ind w:firstLine="720"/>
      </w:pPr>
    </w:p>
    <w:p w:rsidR="0088514F" w:rsidRPr="00CC0CD5" w:rsidP="0088514F">
      <w:pPr>
        <w:ind w:firstLine="720"/>
      </w:pPr>
      <w:r w:rsidRPr="00CC0CD5">
        <w:t>As described above</w:t>
      </w:r>
      <w:r w:rsidRPr="00CC0CD5" w:rsidR="001D5BE1">
        <w:t xml:space="preserve"> and in the Petition</w:t>
      </w:r>
      <w:r w:rsidRPr="00CC0CD5">
        <w:t>, u</w:t>
      </w:r>
      <w:r w:rsidRPr="00CC0CD5" w:rsidR="00604C49">
        <w:t>pon consummation of the proposed transaction</w:t>
      </w:r>
      <w:r w:rsidRPr="00CC0CD5" w:rsidR="001D5BE1">
        <w:t>,</w:t>
      </w:r>
      <w:r w:rsidRPr="00CC0CD5" w:rsidR="00604C49">
        <w:t xml:space="preserve"> the Licensees </w:t>
      </w:r>
      <w:r w:rsidRPr="00CC0CD5" w:rsidR="007E33EC">
        <w:t>w</w:t>
      </w:r>
      <w:r w:rsidRPr="00CC0CD5" w:rsidR="00A40181">
        <w:t>ould</w:t>
      </w:r>
      <w:r w:rsidRPr="00CC0CD5" w:rsidR="007E33EC">
        <w:t xml:space="preserve"> remain direct and indirect </w:t>
      </w:r>
      <w:r w:rsidRPr="00CC0CD5" w:rsidR="00604C49">
        <w:t>wholly</w:t>
      </w:r>
      <w:r w:rsidRPr="00CC0CD5" w:rsidR="001D5BE1">
        <w:t>-</w:t>
      </w:r>
      <w:r w:rsidRPr="00CC0CD5" w:rsidR="00604C49">
        <w:t>owned subsidiaries of CUB Holdings</w:t>
      </w:r>
      <w:r w:rsidRPr="00CC0CD5" w:rsidR="007E33EC">
        <w:t xml:space="preserve"> and</w:t>
      </w:r>
      <w:r w:rsidRPr="00CC0CD5" w:rsidR="00604C49">
        <w:t xml:space="preserve"> CUB Parent</w:t>
      </w:r>
      <w:r w:rsidRPr="00CC0CD5" w:rsidR="00610BCF">
        <w:t>, respectively</w:t>
      </w:r>
      <w:r w:rsidRPr="00CC0CD5" w:rsidR="00604C49">
        <w:t>.  Equity and voting interests in CUB Parent w</w:t>
      </w:r>
      <w:r w:rsidRPr="00CC0CD5" w:rsidR="00A40181">
        <w:t>ould</w:t>
      </w:r>
      <w:r w:rsidRPr="00CC0CD5" w:rsidR="00604C49">
        <w:t xml:space="preserve"> be owned 25.5% by CSC CUB Holdings, </w:t>
      </w:r>
      <w:r w:rsidRPr="00CC0CD5" w:rsidR="001D5BE1">
        <w:t xml:space="preserve">up to </w:t>
      </w:r>
      <w:r w:rsidRPr="00CC0CD5" w:rsidR="00604C49">
        <w:t>23.2% by EagleCrest CUB, 49.99% by APG US, and 1.4% by management personnel of CUB Holdings.</w:t>
      </w:r>
      <w:r>
        <w:rPr>
          <w:rStyle w:val="FootnoteReference"/>
          <w:szCs w:val="22"/>
        </w:rPr>
        <w:footnoteReference w:id="32"/>
      </w:r>
      <w:r w:rsidRPr="00CC0CD5" w:rsidR="00604C49">
        <w:t xml:space="preserve">  The Petition states </w:t>
      </w:r>
      <w:r w:rsidRPr="00CC0CD5" w:rsidR="00B41370">
        <w:t xml:space="preserve">that </w:t>
      </w:r>
      <w:r w:rsidRPr="00CC0CD5" w:rsidR="00604C49">
        <w:t>both CSC CUB Holdings and EagleCrest CUB w</w:t>
      </w:r>
      <w:r w:rsidRPr="00CC0CD5" w:rsidR="00A40181">
        <w:t>ould</w:t>
      </w:r>
      <w:r w:rsidRPr="00CC0CD5" w:rsidR="00604C49">
        <w:t xml:space="preserve"> be 100%-controlled by the same general partner, EagleCrest CUB GP, a Canada corporation, whereas APG US w</w:t>
      </w:r>
      <w:r w:rsidRPr="00CC0CD5" w:rsidR="00A40181">
        <w:t>ould</w:t>
      </w:r>
      <w:r w:rsidRPr="00CC0CD5" w:rsidR="00604C49">
        <w:t xml:space="preserve"> be indirectly wholly owned and controlled by Stichting Pensioenfonds ABP (SPF ABP), a Netherlands pension fund.</w:t>
      </w:r>
      <w:r>
        <w:rPr>
          <w:rStyle w:val="FootnoteReference"/>
          <w:szCs w:val="22"/>
        </w:rPr>
        <w:footnoteReference w:id="33"/>
      </w:r>
      <w:r w:rsidRPr="00CC0CD5" w:rsidR="00604C49">
        <w:t xml:space="preserve">  Under a shareholders’ agreement by and among CSC </w:t>
      </w:r>
      <w:r w:rsidRPr="00CC0CD5" w:rsidR="00610BCF">
        <w:t>C</w:t>
      </w:r>
      <w:r w:rsidRPr="00CC0CD5" w:rsidR="00604C49">
        <w:t>UB Holdings, EagleCrest CUB LP, APG US, and CUB Parent, EagleCrest CUB GP and APG US w</w:t>
      </w:r>
      <w:r w:rsidRPr="00CC0CD5" w:rsidR="00A40181">
        <w:t>ould</w:t>
      </w:r>
      <w:r w:rsidRPr="00CC0CD5" w:rsidR="00604C49">
        <w:t xml:space="preserve"> indirectly exercise negative control over CUB Parent.</w:t>
      </w:r>
      <w:r>
        <w:rPr>
          <w:rStyle w:val="FootnoteReference"/>
          <w:szCs w:val="22"/>
        </w:rPr>
        <w:footnoteReference w:id="34"/>
      </w:r>
    </w:p>
    <w:p w:rsidR="0088514F" w:rsidRPr="00CC0CD5" w:rsidP="0088514F">
      <w:pPr>
        <w:ind w:firstLine="720"/>
      </w:pPr>
    </w:p>
    <w:p w:rsidR="0088514F" w:rsidRPr="00CC0CD5" w:rsidP="0088514F">
      <w:pPr>
        <w:ind w:firstLine="720"/>
      </w:pPr>
      <w:r w:rsidRPr="00CC0CD5">
        <w:t>According to the Petition,</w:t>
      </w:r>
      <w:r w:rsidRPr="00CC0CD5" w:rsidR="00604C49">
        <w:t xml:space="preserve"> the ultimate</w:t>
      </w:r>
      <w:r w:rsidR="00604C49">
        <w:t xml:space="preserve"> operating control of EagleCrest CUB GP is exercised by Fiera Infrastructure Inc. (Fiera), a Canada corporation.</w:t>
      </w:r>
      <w:r>
        <w:rPr>
          <w:rStyle w:val="FootnoteReference"/>
          <w:szCs w:val="22"/>
        </w:rPr>
        <w:footnoteReference w:id="35"/>
      </w:r>
      <w:r w:rsidR="00604C49">
        <w:t xml:space="preserve">  Fiera Capital Corporation, also a Canada corporation, is the immediate parent of Fiera and is indirectly controlled by Mr. Jean-Guy Desjardins, a Canadian citizen.</w:t>
      </w:r>
      <w:r>
        <w:rPr>
          <w:rStyle w:val="FootnoteReference"/>
          <w:szCs w:val="22"/>
        </w:rPr>
        <w:footnoteReference w:id="36"/>
      </w:r>
      <w:r w:rsidR="00604C49">
        <w:t xml:space="preserve">  The ultimate operating control of APG US is exercised by its non-member manger, APG Asset Management US Inc. (AGP Asset Management US), a Delaware corporation.  AGP Asset Management US, in turn, is indirectly owned and controlled by SPF ABP.   The Petition states that APG </w:t>
      </w:r>
      <w:r w:rsidRPr="00CC0CD5" w:rsidR="00604C49">
        <w:t>Infrastructure Pool 2020-2021, a Netherlands investment pool that is 99.4% owned and controlled by SPF APB, w</w:t>
      </w:r>
      <w:r w:rsidRPr="00CC0CD5">
        <w:t>ould</w:t>
      </w:r>
      <w:r w:rsidRPr="00CC0CD5" w:rsidR="00604C49">
        <w:t xml:space="preserve"> hold 100% equity interest in APG US as </w:t>
      </w:r>
      <w:r w:rsidRPr="00CC0CD5">
        <w:t>the</w:t>
      </w:r>
      <w:r w:rsidRPr="00CC0CD5" w:rsidR="00604C49">
        <w:t xml:space="preserve"> sole member.</w:t>
      </w:r>
    </w:p>
    <w:p w:rsidR="0088514F" w:rsidRPr="00CC0CD5" w:rsidP="0088514F">
      <w:pPr>
        <w:ind w:firstLine="720"/>
      </w:pPr>
    </w:p>
    <w:p w:rsidR="00604C49" w:rsidRPr="00CC0CD5" w:rsidP="0088514F">
      <w:pPr>
        <w:ind w:firstLine="720"/>
      </w:pPr>
      <w:r w:rsidRPr="00CC0CD5">
        <w:t>U</w:t>
      </w:r>
      <w:r w:rsidRPr="00CC0CD5">
        <w:t xml:space="preserve">pon completion of the proposed transaction, CUB Holdings would have aggregate indirect foreign equity and voting interests of 100%.  Pursuant to section 1.5001(i) of the rules, </w:t>
      </w:r>
      <w:r w:rsidRPr="00CC0CD5">
        <w:t xml:space="preserve">the </w:t>
      </w:r>
      <w:r w:rsidRPr="00CC0CD5">
        <w:t>Petition request</w:t>
      </w:r>
      <w:r w:rsidRPr="00CC0CD5">
        <w:t>s</w:t>
      </w:r>
      <w:r w:rsidRPr="00CC0CD5">
        <w:t xml:space="preserve"> that the Commission specifically approve the direct and/or indirect foreign equity and/or voting interests that would be held in CUB Holdings upon completion of the proposed transaction by foreign-organized entities and foreign individuals as follows:</w:t>
      </w:r>
      <w:r>
        <w:rPr>
          <w:rStyle w:val="FootnoteReference"/>
          <w:szCs w:val="22"/>
        </w:rPr>
        <w:footnoteReference w:id="37"/>
      </w:r>
    </w:p>
    <w:p w:rsidR="0088514F" w:rsidRPr="00CC0CD5" w:rsidP="00142898">
      <w:pPr>
        <w:ind w:firstLine="720"/>
      </w:pPr>
    </w:p>
    <w:p w:rsidR="00604C49" w:rsidP="00604C49">
      <w:pPr>
        <w:ind w:left="720"/>
      </w:pPr>
      <w:r w:rsidRPr="00CC0CD5">
        <w:t>EagleCrest Portfolio Holdings LP (47.7% equity;</w:t>
      </w:r>
      <w:r>
        <w:t xml:space="preserve"> 100% voting) (Canada); </w:t>
      </w:r>
    </w:p>
    <w:p w:rsidR="00604C49" w:rsidP="00604C49">
      <w:pPr>
        <w:ind w:left="720"/>
      </w:pPr>
      <w:r>
        <w:t>EagleCrest Infrastructure Canada LP (29% equity; 100% voting) (Canada);</w:t>
      </w:r>
    </w:p>
    <w:p w:rsidR="00604C49" w:rsidP="00604C49">
      <w:pPr>
        <w:ind w:left="720"/>
      </w:pPr>
      <w:r>
        <w:t>Eagl</w:t>
      </w:r>
      <w:r w:rsidR="0096621E">
        <w:t>e</w:t>
      </w:r>
      <w:r>
        <w:t xml:space="preserve">Crest Infrastructure SCSP (19.5% equity; 39.84% voting) (Luxembourg); </w:t>
      </w:r>
    </w:p>
    <w:p w:rsidR="00604C49" w:rsidP="00604C49">
      <w:pPr>
        <w:ind w:left="720"/>
      </w:pPr>
      <w:r>
        <w:t>Fiera Infrastructure Fund (21.8% equity; 100% voting) (Canada);</w:t>
      </w:r>
    </w:p>
    <w:p w:rsidR="00604C49" w:rsidP="00604C49">
      <w:pPr>
        <w:ind w:left="720"/>
      </w:pPr>
      <w:r>
        <w:t>Ingka Investments Financial Assets Ireland Limited (15.8% equity; 39.84% voting) (Ireland);</w:t>
      </w:r>
    </w:p>
    <w:p w:rsidR="00604C49" w:rsidP="00604C49">
      <w:pPr>
        <w:ind w:left="720"/>
      </w:pPr>
      <w:r>
        <w:t>Ingka Investments B.V. (15.8% equity; 39.84% voting) (Netherlands);</w:t>
      </w:r>
    </w:p>
    <w:p w:rsidR="00604C49" w:rsidP="00604C49">
      <w:pPr>
        <w:ind w:left="720"/>
      </w:pPr>
      <w:r>
        <w:t>Ingka Pro Holdings B.V. (15.8% equity; 39.84% voting) (Netherlands);</w:t>
      </w:r>
    </w:p>
    <w:p w:rsidR="009A654F" w:rsidP="00604C49">
      <w:pPr>
        <w:ind w:left="720"/>
      </w:pPr>
      <w:r>
        <w:t>Ingka Holding B.V. (15.8% equity; 39.84% voting) (Netherlands);</w:t>
      </w:r>
    </w:p>
    <w:p w:rsidR="00604C49" w:rsidP="00604C49">
      <w:pPr>
        <w:ind w:left="720"/>
      </w:pPr>
      <w:r>
        <w:t>Stichting Ingka Foundation (15.8% equity; 39.84% voting) (Netherlands);</w:t>
      </w:r>
    </w:p>
    <w:p w:rsidR="00604C49" w:rsidP="00604C49">
      <w:pPr>
        <w:ind w:left="720"/>
      </w:pPr>
      <w:r>
        <w:t>Fiera Infra GP Inc. (0% equity; 100% voting) (Canada);</w:t>
      </w:r>
    </w:p>
    <w:p w:rsidR="00604C49" w:rsidP="00604C49">
      <w:pPr>
        <w:ind w:left="720"/>
      </w:pPr>
      <w:r>
        <w:t>EagleCrest Infrastructure GP S.A.R.L. (0% equity; 39.84% voting) (Luxembourg);</w:t>
      </w:r>
    </w:p>
    <w:p w:rsidR="00604C49" w:rsidP="00604C49">
      <w:pPr>
        <w:ind w:left="720"/>
      </w:pPr>
      <w:r>
        <w:t>Fiera Infrastructure Inc. (0% equity; 100% voting) (Canada);</w:t>
      </w:r>
    </w:p>
    <w:p w:rsidR="00604C49" w:rsidP="00604C49">
      <w:pPr>
        <w:ind w:left="720"/>
      </w:pPr>
      <w:r>
        <w:t>Aquila Management Holdco Inc. (0% equity; 25% voting) (Canada);</w:t>
      </w:r>
    </w:p>
    <w:p w:rsidR="00604C49" w:rsidP="00604C49">
      <w:pPr>
        <w:ind w:left="720"/>
      </w:pPr>
      <w:r>
        <w:t>Alina Osorio (0% equity; 25% voting) (Canada);</w:t>
      </w:r>
    </w:p>
    <w:p w:rsidR="00604C49" w:rsidP="00604C49">
      <w:pPr>
        <w:ind w:left="720"/>
      </w:pPr>
      <w:r>
        <w:t>Fiera Capital Corporation (0% equity; 100% voting) (Canada);</w:t>
      </w:r>
    </w:p>
    <w:p w:rsidR="00604C49" w:rsidP="00604C49">
      <w:pPr>
        <w:ind w:left="720"/>
      </w:pPr>
      <w:r>
        <w:t>Fiera Capital L.P. (0% equity; 100% voting) (Canada);</w:t>
      </w:r>
    </w:p>
    <w:p w:rsidR="00604C49" w:rsidP="00604C49">
      <w:pPr>
        <w:ind w:left="720"/>
      </w:pPr>
      <w:r>
        <w:t>Fiera Holdings Inc. (0% equity; 100% voting) (Canada);</w:t>
      </w:r>
    </w:p>
    <w:p w:rsidR="00604C49" w:rsidP="00604C49">
      <w:pPr>
        <w:ind w:left="720"/>
      </w:pPr>
      <w:r>
        <w:t>Arvestia Inc. (0% equity; 100% voting) (Canada);</w:t>
      </w:r>
    </w:p>
    <w:p w:rsidR="00604C49" w:rsidP="00604C49">
      <w:pPr>
        <w:ind w:left="720"/>
      </w:pPr>
      <w:r>
        <w:t>DJM Capital Inc. (0% equity; 100% voting) (Canada);</w:t>
      </w:r>
    </w:p>
    <w:p w:rsidR="00604C49" w:rsidP="00604C49">
      <w:pPr>
        <w:ind w:left="720"/>
      </w:pPr>
      <w:r>
        <w:t>Fiera International Inc. (0% equity; 100% voting) (Canada);</w:t>
      </w:r>
    </w:p>
    <w:p w:rsidR="00604C49" w:rsidP="00604C49">
      <w:pPr>
        <w:ind w:left="720"/>
      </w:pPr>
      <w:r>
        <w:t>Fiera Corporation (0% equity; 100% voting) (Canada);</w:t>
      </w:r>
    </w:p>
    <w:p w:rsidR="00604C49" w:rsidP="00604C49">
      <w:pPr>
        <w:ind w:left="720"/>
      </w:pPr>
      <w:r>
        <w:t>Jean-Guy Desjardins (0% equity;</w:t>
      </w:r>
      <w:r w:rsidRPr="00FA4BA9">
        <w:t xml:space="preserve"> </w:t>
      </w:r>
      <w:r>
        <w:t>100% voting) (Canada);</w:t>
      </w:r>
    </w:p>
    <w:p w:rsidR="00604C49" w:rsidP="00604C49">
      <w:pPr>
        <w:ind w:left="720"/>
      </w:pPr>
      <w:r>
        <w:t>Libermont Inc. (0% equity; 20% voting) (Canada);</w:t>
      </w:r>
    </w:p>
    <w:p w:rsidR="00604C49" w:rsidP="00604C49">
      <w:pPr>
        <w:ind w:left="720"/>
      </w:pPr>
      <w:r>
        <w:t>Jean Claude Monty (0% equity; 20% voting) (Canada);</w:t>
      </w:r>
    </w:p>
    <w:p w:rsidR="00604C49" w:rsidP="00604C49">
      <w:pPr>
        <w:ind w:left="720"/>
      </w:pPr>
      <w:r>
        <w:t>Desjardins Financial Holdings Inc. (0% equity; 37.20% voting) (Canada);</w:t>
      </w:r>
    </w:p>
    <w:p w:rsidR="00604C49" w:rsidP="00604C49">
      <w:pPr>
        <w:ind w:left="720"/>
      </w:pPr>
      <w:r>
        <w:t xml:space="preserve">Federation des caisses Desjardins du </w:t>
      </w:r>
      <w:r w:rsidRPr="005900F4">
        <w:t xml:space="preserve">Québec </w:t>
      </w:r>
      <w:r>
        <w:t xml:space="preserve">(0% equity; 37.20% voting) (Canada); </w:t>
      </w:r>
    </w:p>
    <w:p w:rsidR="00604C49" w:rsidP="00604C49">
      <w:pPr>
        <w:ind w:left="720"/>
      </w:pPr>
      <w:r>
        <w:t>Desjardins Group (0% equity; 37.20% voting) (Canada);</w:t>
      </w:r>
    </w:p>
    <w:p w:rsidR="00604C49" w:rsidP="00604C49">
      <w:pPr>
        <w:ind w:left="720"/>
      </w:pPr>
      <w:r>
        <w:t>Natixis Investment Managers Canada Holdings Ltd. (0% equity; 10.40% voting) (Canada);</w:t>
      </w:r>
    </w:p>
    <w:p w:rsidR="00604C49" w:rsidP="00604C49">
      <w:pPr>
        <w:ind w:left="720"/>
      </w:pPr>
      <w:r>
        <w:t>Natixis Investment Managers Participations 1 SASU (0% equity; 10.40% voting) (France);</w:t>
      </w:r>
    </w:p>
    <w:p w:rsidR="00604C49" w:rsidP="00604C49">
      <w:pPr>
        <w:ind w:left="720"/>
      </w:pPr>
      <w:r>
        <w:t>Natixis Investment Managers S.A. (0% equity; 10.40% voting) (France);</w:t>
      </w:r>
    </w:p>
    <w:p w:rsidR="00604C49" w:rsidP="00604C49">
      <w:pPr>
        <w:ind w:left="720"/>
      </w:pPr>
      <w:r>
        <w:t>Natixis, S.A. (0% equity; 10.40% voting) (France);</w:t>
      </w:r>
    </w:p>
    <w:p w:rsidR="00604C49" w:rsidP="00604C49">
      <w:pPr>
        <w:ind w:left="720"/>
      </w:pPr>
      <w:r>
        <w:t>Groupe BCPE (0% equity; 10.40% voting) (France);</w:t>
      </w:r>
    </w:p>
    <w:p w:rsidR="00604C49" w:rsidP="00604C49">
      <w:pPr>
        <w:ind w:left="720"/>
      </w:pPr>
      <w:r>
        <w:t>APG Asset Management N.V. (0% equity;</w:t>
      </w:r>
      <w:r w:rsidR="001B2C69">
        <w:t xml:space="preserve"> 100% voting</w:t>
      </w:r>
      <w:r>
        <w:t>) (Netherlands);</w:t>
      </w:r>
    </w:p>
    <w:p w:rsidR="00604C49" w:rsidP="00604C49">
      <w:pPr>
        <w:ind w:left="720"/>
      </w:pPr>
      <w:r>
        <w:t>APG Groep N.V. (0% equity; 100% voting) (Netherlands);</w:t>
      </w:r>
    </w:p>
    <w:p w:rsidR="00604C49" w:rsidP="00604C49">
      <w:pPr>
        <w:ind w:left="720"/>
      </w:pPr>
      <w:r>
        <w:t xml:space="preserve">APG Infrastructure Pool 2020-2021/Stichting Depository APG Infrastructure Pool 2020-2021 (49.9% equity; 100% voting) (Netherlands); and </w:t>
      </w:r>
    </w:p>
    <w:p w:rsidR="00604C49" w:rsidP="00604C49">
      <w:pPr>
        <w:ind w:left="720"/>
      </w:pPr>
      <w:r>
        <w:t xml:space="preserve">Stichting Pensioenfonds ABP (49.9% equity; 100% voting) (Netherlands). </w:t>
      </w:r>
    </w:p>
    <w:p w:rsidR="0088514F" w:rsidP="00604C49"/>
    <w:p w:rsidR="00604C49" w:rsidP="0088514F">
      <w:pPr>
        <w:ind w:firstLine="720"/>
      </w:pPr>
      <w:r>
        <w:t>Petitioners also request advance approval, pursuant to section 1.5001(k), for the following foreign-organized and foreign individuals to increase their direct and/or direct equity and/or voting interests in CUB Holdings:</w:t>
      </w:r>
    </w:p>
    <w:p w:rsidR="0088514F" w:rsidP="0019389C">
      <w:pPr>
        <w:ind w:firstLine="720"/>
      </w:pPr>
    </w:p>
    <w:p w:rsidR="00604C49" w:rsidP="00604C49">
      <w:pPr>
        <w:ind w:left="720"/>
      </w:pPr>
      <w:r>
        <w:t xml:space="preserve">EagleCrest Portfolio Holdings LP (100% equity and voting) (Canada); </w:t>
      </w:r>
    </w:p>
    <w:p w:rsidR="00604C49" w:rsidP="00604C49">
      <w:pPr>
        <w:ind w:left="720"/>
      </w:pPr>
      <w:r>
        <w:t>EagleCrest Infrastructure Canada LP (100% equity and voting) (Canada);</w:t>
      </w:r>
    </w:p>
    <w:p w:rsidR="00604C49" w:rsidP="00604C49">
      <w:pPr>
        <w:ind w:left="720"/>
      </w:pPr>
      <w:r>
        <w:t xml:space="preserve">EagelCrest Infrastructure SCSP (49.9% equity and voting) (Luxembourg); </w:t>
      </w:r>
    </w:p>
    <w:p w:rsidR="00604C49" w:rsidP="00604C49">
      <w:pPr>
        <w:ind w:left="720"/>
      </w:pPr>
      <w:r>
        <w:t>Fiera Infrastructure Fund (100% equity and voting) (Canada);</w:t>
      </w:r>
    </w:p>
    <w:p w:rsidR="00604C49" w:rsidP="00604C49">
      <w:pPr>
        <w:ind w:left="720"/>
      </w:pPr>
      <w:r>
        <w:t>Ingka Investments Financial Assets Ireland Limited (49.9% equity and voting) (Ireland);</w:t>
      </w:r>
    </w:p>
    <w:p w:rsidR="00604C49" w:rsidP="00604C49">
      <w:pPr>
        <w:ind w:left="720"/>
      </w:pPr>
      <w:r>
        <w:t>Ingka Investments B.V. (49.9% equity and voting) (Netherlands);</w:t>
      </w:r>
    </w:p>
    <w:p w:rsidR="00604C49" w:rsidP="00604C49">
      <w:pPr>
        <w:ind w:left="720"/>
      </w:pPr>
      <w:r>
        <w:t>Ingka Pro Holdings B.V. (49.9% equity and voting) (Netherlands);</w:t>
      </w:r>
    </w:p>
    <w:p w:rsidR="00604C49" w:rsidP="00604C49">
      <w:pPr>
        <w:ind w:left="720"/>
      </w:pPr>
      <w:r>
        <w:t>Stichting Ingka Foundation (49.9% equity and voting) (Netherlands);</w:t>
      </w:r>
    </w:p>
    <w:p w:rsidR="00604C49" w:rsidP="00604C49">
      <w:pPr>
        <w:ind w:left="720"/>
      </w:pPr>
      <w:r>
        <w:t>Fiera Infra GP Inc. (100% equity and voting) (Canada);</w:t>
      </w:r>
    </w:p>
    <w:p w:rsidR="00604C49" w:rsidP="00604C49">
      <w:pPr>
        <w:ind w:left="720"/>
      </w:pPr>
      <w:r>
        <w:t>EagleCrest Infrastructure GP S.A.R.L. (49.9% equity and voting) (Luxembourg);</w:t>
      </w:r>
    </w:p>
    <w:p w:rsidR="00604C49" w:rsidP="00604C49">
      <w:pPr>
        <w:ind w:left="720"/>
      </w:pPr>
      <w:r>
        <w:t>Fiera Infrastructure Inc. (100% equity and voting) (Canada);</w:t>
      </w:r>
    </w:p>
    <w:p w:rsidR="00604C49" w:rsidP="00604C49">
      <w:pPr>
        <w:ind w:left="720"/>
      </w:pPr>
      <w:r>
        <w:t>Aquila Management Holdco Inc. (49.9% equity and voting) (Canada);</w:t>
      </w:r>
    </w:p>
    <w:p w:rsidR="00604C49" w:rsidP="00604C49">
      <w:pPr>
        <w:ind w:left="720"/>
      </w:pPr>
      <w:r>
        <w:t>Alina Osorio (49.9% equity and voting) (Canada);</w:t>
      </w:r>
    </w:p>
    <w:p w:rsidR="00604C49" w:rsidP="00604C49">
      <w:pPr>
        <w:ind w:left="720"/>
      </w:pPr>
      <w:r>
        <w:t>Fiera Capital Corporation (100% equity and voting) (Canada);</w:t>
      </w:r>
    </w:p>
    <w:p w:rsidR="00604C49" w:rsidP="00604C49">
      <w:pPr>
        <w:ind w:left="720"/>
      </w:pPr>
      <w:r>
        <w:t>Fiera Capital L.P. (100% equity and voting) (Canada);</w:t>
      </w:r>
    </w:p>
    <w:p w:rsidR="00604C49" w:rsidP="00604C49">
      <w:pPr>
        <w:ind w:left="720"/>
      </w:pPr>
      <w:r>
        <w:t>Fiera Holdings Inc. (100% equity and voting) (Canada);</w:t>
      </w:r>
    </w:p>
    <w:p w:rsidR="00604C49" w:rsidP="00604C49">
      <w:pPr>
        <w:ind w:left="720"/>
      </w:pPr>
      <w:r>
        <w:t>Arvestia Holdings Inc. (100% equity and voting) (Canada);</w:t>
      </w:r>
    </w:p>
    <w:p w:rsidR="00604C49" w:rsidP="00604C49">
      <w:pPr>
        <w:ind w:left="720"/>
      </w:pPr>
      <w:r>
        <w:t>DJM Capital Inc. (100% equity and voting) (Canada);</w:t>
      </w:r>
    </w:p>
    <w:p w:rsidR="00604C49" w:rsidP="00604C49">
      <w:pPr>
        <w:ind w:left="720"/>
      </w:pPr>
      <w:r>
        <w:t>Fiera International Inc. (100% equity and voting) (Canada);</w:t>
      </w:r>
    </w:p>
    <w:p w:rsidR="00604C49" w:rsidP="00604C49">
      <w:pPr>
        <w:ind w:left="720"/>
      </w:pPr>
      <w:r>
        <w:t>Fiera Corporation (100% equity and voting) (Canada);</w:t>
      </w:r>
    </w:p>
    <w:p w:rsidR="00604C49" w:rsidP="00604C49">
      <w:pPr>
        <w:ind w:left="720"/>
      </w:pPr>
      <w:r>
        <w:t>Jean-Guy Desjardins (100% equity and voting) (Canada);</w:t>
      </w:r>
    </w:p>
    <w:p w:rsidR="00604C49" w:rsidP="00604C49">
      <w:pPr>
        <w:ind w:left="720"/>
      </w:pPr>
      <w:r>
        <w:t>Libermont Inc. (49.9% equity and voting) (Canada);</w:t>
      </w:r>
    </w:p>
    <w:p w:rsidR="00604C49" w:rsidP="00604C49">
      <w:pPr>
        <w:ind w:left="720"/>
      </w:pPr>
      <w:r>
        <w:t>Jean Claude Monty (49.9% equity and voting) (Canada);</w:t>
      </w:r>
    </w:p>
    <w:p w:rsidR="00604C49" w:rsidP="00604C49">
      <w:pPr>
        <w:ind w:left="720"/>
      </w:pPr>
      <w:r>
        <w:t>Desjardins Financial Holdings Inc. (49.9% equity and voting) (Canada);</w:t>
      </w:r>
    </w:p>
    <w:p w:rsidR="00604C49" w:rsidP="00604C49">
      <w:pPr>
        <w:ind w:left="720"/>
      </w:pPr>
      <w:r>
        <w:t xml:space="preserve">Federation des caisses Desjardins du </w:t>
      </w:r>
      <w:r w:rsidRPr="005900F4">
        <w:t xml:space="preserve">Québec </w:t>
      </w:r>
      <w:r>
        <w:t xml:space="preserve">(49.9% equity and voting) (Canada); </w:t>
      </w:r>
    </w:p>
    <w:p w:rsidR="00604C49" w:rsidP="00604C49">
      <w:pPr>
        <w:ind w:left="720"/>
      </w:pPr>
      <w:r>
        <w:t>Desjardins Group (49.94% equity and voting) (Canada);</w:t>
      </w:r>
    </w:p>
    <w:p w:rsidR="00604C49" w:rsidP="00604C49">
      <w:pPr>
        <w:ind w:left="720"/>
      </w:pPr>
      <w:r>
        <w:t>Natixis Investment Managers Canada Holdings Ltd. (49.9% equity and voting) (Canada);</w:t>
      </w:r>
    </w:p>
    <w:p w:rsidR="00604C49" w:rsidP="00604C49">
      <w:pPr>
        <w:ind w:left="720"/>
      </w:pPr>
      <w:r>
        <w:t>Natixis Investment Managers Participations 1 SASU (49.9% equity and voting) (France);</w:t>
      </w:r>
    </w:p>
    <w:p w:rsidR="00604C49" w:rsidP="00604C49">
      <w:pPr>
        <w:ind w:left="720"/>
      </w:pPr>
      <w:r>
        <w:t>Natixis Investment Managers S.A. (49.9% equity and voting) (France);</w:t>
      </w:r>
    </w:p>
    <w:p w:rsidR="00604C49" w:rsidP="00604C49">
      <w:pPr>
        <w:ind w:left="720"/>
      </w:pPr>
      <w:r>
        <w:t>Natixis, S.A. (49.9% equity and voting) (France);</w:t>
      </w:r>
    </w:p>
    <w:p w:rsidR="00604C49" w:rsidP="00604C49">
      <w:pPr>
        <w:ind w:left="720"/>
      </w:pPr>
      <w:r>
        <w:t>Groupe BCPE (49.9% equity and voting) (France);</w:t>
      </w:r>
    </w:p>
    <w:p w:rsidR="00604C49" w:rsidP="00604C49">
      <w:pPr>
        <w:ind w:left="720"/>
      </w:pPr>
      <w:r>
        <w:t>APG Asset Management N.V. (100% equity and voting) (Netherlands);</w:t>
      </w:r>
    </w:p>
    <w:p w:rsidR="00604C49" w:rsidP="00604C49">
      <w:pPr>
        <w:ind w:left="720"/>
      </w:pPr>
      <w:r>
        <w:t>APG Groep N.V. (100% equity and voting) (Netherlands);</w:t>
      </w:r>
    </w:p>
    <w:p w:rsidR="00604C49" w:rsidP="00604C49">
      <w:pPr>
        <w:ind w:left="720"/>
      </w:pPr>
      <w:r>
        <w:t xml:space="preserve">APG Infrastructure Pool 2020-2021/Stichting Depository APG Infrastructure Pool 2020-2021 (100% equity and voting) (Netherlands); and </w:t>
      </w:r>
    </w:p>
    <w:p w:rsidR="00604C49" w:rsidP="00604C49">
      <w:pPr>
        <w:ind w:left="720"/>
      </w:pPr>
      <w:r>
        <w:t>Stichting Pensioenfonds ABP (</w:t>
      </w:r>
      <w:r w:rsidR="00C5792C">
        <w:t>10</w:t>
      </w:r>
      <w:r>
        <w:t xml:space="preserve">0% equity; 100% voting) (Netherlands). </w:t>
      </w:r>
    </w:p>
    <w:p w:rsidR="00C73621" w:rsidP="00604C49">
      <w:pPr>
        <w:ind w:left="720"/>
      </w:pPr>
    </w:p>
    <w:p w:rsidR="00C73621" w:rsidRPr="00E651E5" w:rsidP="00C73621">
      <w:pPr>
        <w:autoSpaceDE w:val="0"/>
        <w:autoSpaceDN w:val="0"/>
        <w:adjustRightInd w:val="0"/>
        <w:ind w:firstLine="720"/>
        <w:rPr>
          <w:szCs w:val="22"/>
        </w:rPr>
      </w:pPr>
      <w:r w:rsidRPr="00D12C21">
        <w:rPr>
          <w:rFonts w:ascii="TimesNewRomanPSMT" w:hAnsi="TimesNewRomanPSMT" w:cs="TimesNewRomanPSMT"/>
          <w:szCs w:val="22"/>
          <w:u w:val="single"/>
        </w:rPr>
        <w:t>Referral to Executive Branch Agencies</w:t>
      </w:r>
      <w:r w:rsidRPr="009F031E">
        <w:rPr>
          <w:rFonts w:ascii="TimesNewRomanPSMT" w:hAnsi="TimesNewRomanPSMT" w:cs="TimesNewRomanPSMT"/>
          <w:i/>
          <w:iCs/>
          <w:szCs w:val="22"/>
        </w:rPr>
        <w:t>.</w:t>
      </w:r>
      <w:r>
        <w:rPr>
          <w:rFonts w:ascii="TimesNewRomanPSMT" w:hAnsi="TimesNewRomanPSMT" w:cs="TimesNewRomanPSMT"/>
          <w:szCs w:val="22"/>
        </w:rPr>
        <w:t xml:space="preserve"> Through this Public Notice, pursuant to Commission practice, these applications are being referred to the relevant Executive Branch agencies for their views on any national security, law enforcement, foreign policy or trade policy concerns related to the foreign ownership of the Applicants.</w:t>
      </w:r>
      <w:r>
        <w:rPr>
          <w:rStyle w:val="FootnoteReference"/>
          <w:rFonts w:ascii="TimesNewRomanPSMT" w:hAnsi="TimesNewRomanPSMT" w:cs="TimesNewRomanPSMT"/>
          <w:szCs w:val="22"/>
        </w:rPr>
        <w:footnoteReference w:id="38"/>
      </w:r>
    </w:p>
    <w:p w:rsidR="00EB0620">
      <w:pPr>
        <w:autoSpaceDE w:val="0"/>
        <w:autoSpaceDN w:val="0"/>
        <w:adjustRightInd w:val="0"/>
        <w:rPr>
          <w:b/>
          <w:szCs w:val="22"/>
          <w:u w:val="single"/>
        </w:rPr>
      </w:pPr>
    </w:p>
    <w:p w:rsidR="00E7033D">
      <w:pPr>
        <w:autoSpaceDE w:val="0"/>
        <w:autoSpaceDN w:val="0"/>
        <w:adjustRightInd w:val="0"/>
        <w:rPr>
          <w:szCs w:val="22"/>
        </w:rPr>
      </w:pPr>
      <w:r>
        <w:rPr>
          <w:b/>
          <w:szCs w:val="22"/>
          <w:u w:val="single"/>
        </w:rPr>
        <w:t>GENERAL INFORMATION</w:t>
      </w:r>
    </w:p>
    <w:p w:rsidR="00E7033D">
      <w:pPr>
        <w:autoSpaceDE w:val="0"/>
        <w:autoSpaceDN w:val="0"/>
        <w:adjustRightInd w:val="0"/>
        <w:rPr>
          <w:szCs w:val="22"/>
        </w:rPr>
      </w:pPr>
    </w:p>
    <w:p w:rsidR="004A746A" w:rsidP="004A746A">
      <w:pPr>
        <w:autoSpaceDE w:val="0"/>
        <w:autoSpaceDN w:val="0"/>
        <w:adjustRightInd w:val="0"/>
        <w:ind w:firstLine="720"/>
        <w:rPr>
          <w:szCs w:val="22"/>
        </w:rPr>
      </w:pPr>
      <w:r w:rsidRPr="004A746A">
        <w:rPr>
          <w:szCs w:val="22"/>
        </w:rPr>
        <w:t>The applications identified herein have been found, upon initial review, to be acceptable for filing.  The Commission reserves the right to return any application if, upon further examination, it is determined to be defective and not in conformance with the Commission’s rules and policies.</w:t>
      </w:r>
    </w:p>
    <w:p w:rsidR="00B81C8F" w:rsidRPr="004A746A" w:rsidP="004A746A">
      <w:pPr>
        <w:autoSpaceDE w:val="0"/>
        <w:autoSpaceDN w:val="0"/>
        <w:adjustRightInd w:val="0"/>
        <w:ind w:firstLine="720"/>
        <w:rPr>
          <w:szCs w:val="22"/>
        </w:rPr>
      </w:pPr>
    </w:p>
    <w:p w:rsidR="004A746A" w:rsidP="004A746A">
      <w:pPr>
        <w:autoSpaceDE w:val="0"/>
        <w:autoSpaceDN w:val="0"/>
        <w:adjustRightInd w:val="0"/>
        <w:ind w:firstLine="720"/>
        <w:rPr>
          <w:szCs w:val="22"/>
        </w:rPr>
      </w:pPr>
      <w:r w:rsidRPr="004A746A">
        <w:rPr>
          <w:szCs w:val="22"/>
        </w:rPr>
        <w:t xml:space="preserve">Interested parties may file comments and petitions </w:t>
      </w:r>
      <w:r w:rsidRPr="004A746A">
        <w:rPr>
          <w:b/>
          <w:szCs w:val="22"/>
        </w:rPr>
        <w:t>on or before</w:t>
      </w:r>
      <w:r w:rsidRPr="004A746A">
        <w:rPr>
          <w:szCs w:val="22"/>
        </w:rPr>
        <w:t xml:space="preserve"> </w:t>
      </w:r>
      <w:r w:rsidR="00051872">
        <w:rPr>
          <w:b/>
          <w:bCs/>
          <w:szCs w:val="22"/>
        </w:rPr>
        <w:t>October</w:t>
      </w:r>
      <w:r w:rsidR="00D12C21">
        <w:rPr>
          <w:b/>
          <w:bCs/>
          <w:szCs w:val="22"/>
        </w:rPr>
        <w:t xml:space="preserve"> 30</w:t>
      </w:r>
      <w:r w:rsidRPr="004A746A">
        <w:rPr>
          <w:b/>
          <w:szCs w:val="22"/>
        </w:rPr>
        <w:t>, 2020</w:t>
      </w:r>
      <w:r w:rsidRPr="004A746A">
        <w:rPr>
          <w:szCs w:val="22"/>
        </w:rPr>
        <w:t xml:space="preserve"> and reply comments or oppositions to petitions </w:t>
      </w:r>
      <w:r w:rsidRPr="004A746A">
        <w:rPr>
          <w:b/>
          <w:szCs w:val="22"/>
        </w:rPr>
        <w:t xml:space="preserve">on or before </w:t>
      </w:r>
      <w:r w:rsidR="00D12C21">
        <w:rPr>
          <w:b/>
          <w:szCs w:val="22"/>
        </w:rPr>
        <w:t>November 1</w:t>
      </w:r>
      <w:r w:rsidR="00053654">
        <w:rPr>
          <w:b/>
          <w:szCs w:val="22"/>
        </w:rPr>
        <w:t>6</w:t>
      </w:r>
      <w:r w:rsidRPr="004A746A">
        <w:rPr>
          <w:b/>
          <w:szCs w:val="22"/>
        </w:rPr>
        <w:t>, 2020</w:t>
      </w:r>
      <w:r w:rsidRPr="004A746A">
        <w:rPr>
          <w:szCs w:val="22"/>
        </w:rPr>
        <w:t xml:space="preserve">.  Comments may be filed using the Commission’s Electronic Comment Filing System (ECFS) or by paper.  All filings </w:t>
      </w:r>
      <w:r w:rsidRPr="004A746A">
        <w:rPr>
          <w:szCs w:val="22"/>
        </w:rPr>
        <w:t>must be addressed to the Commission’s Secretary, Office of the Secretary, Federal Communications Commission.</w:t>
      </w:r>
    </w:p>
    <w:p w:rsidR="00B81C8F" w:rsidRPr="004A746A" w:rsidP="004A746A">
      <w:pPr>
        <w:autoSpaceDE w:val="0"/>
        <w:autoSpaceDN w:val="0"/>
        <w:adjustRightInd w:val="0"/>
        <w:ind w:firstLine="720"/>
        <w:rPr>
          <w:szCs w:val="22"/>
        </w:rPr>
      </w:pPr>
    </w:p>
    <w:p w:rsidR="004A746A" w:rsidRPr="004A746A" w:rsidP="004A746A">
      <w:pPr>
        <w:numPr>
          <w:ilvl w:val="0"/>
          <w:numId w:val="20"/>
        </w:numPr>
        <w:autoSpaceDE w:val="0"/>
        <w:autoSpaceDN w:val="0"/>
        <w:adjustRightInd w:val="0"/>
        <w:rPr>
          <w:szCs w:val="22"/>
        </w:rPr>
      </w:pPr>
      <w:r w:rsidRPr="004A746A">
        <w:rPr>
          <w:szCs w:val="22"/>
        </w:rPr>
        <w:t>Electronic Filers:  Comments may be filed electronically by accessing ECFS at </w:t>
      </w:r>
      <w:hyperlink r:id="rId8" w:history="1">
        <w:r w:rsidRPr="004A746A">
          <w:rPr>
            <w:rStyle w:val="Hyperlink"/>
            <w:szCs w:val="22"/>
          </w:rPr>
          <w:t>http://apps.fcc.gov/ecfs/</w:t>
        </w:r>
      </w:hyperlink>
      <w:r w:rsidRPr="004A746A">
        <w:rPr>
          <w:szCs w:val="22"/>
        </w:rPr>
        <w:t>.</w:t>
      </w:r>
    </w:p>
    <w:p w:rsidR="004A746A" w:rsidRPr="004A746A" w:rsidP="004A746A">
      <w:pPr>
        <w:autoSpaceDE w:val="0"/>
        <w:autoSpaceDN w:val="0"/>
        <w:adjustRightInd w:val="0"/>
        <w:ind w:firstLine="720"/>
        <w:rPr>
          <w:szCs w:val="22"/>
        </w:rPr>
      </w:pPr>
    </w:p>
    <w:p w:rsidR="004A746A" w:rsidRPr="004A746A" w:rsidP="004A746A">
      <w:pPr>
        <w:numPr>
          <w:ilvl w:val="0"/>
          <w:numId w:val="21"/>
        </w:numPr>
        <w:autoSpaceDE w:val="0"/>
        <w:autoSpaceDN w:val="0"/>
        <w:adjustRightInd w:val="0"/>
        <w:rPr>
          <w:szCs w:val="22"/>
        </w:rPr>
      </w:pPr>
      <w:r w:rsidRPr="004A746A">
        <w:rPr>
          <w:i/>
          <w:iCs/>
          <w:szCs w:val="22"/>
        </w:rPr>
        <w:t>Paper Filers</w:t>
      </w:r>
      <w:r w:rsidRPr="004A746A">
        <w:rPr>
          <w:szCs w:val="22"/>
        </w:rPr>
        <w:t>: Parties who choose to file by paper must file an original and one copy of each filing.  If more than one docket or rulemaking number appears in the caption of this proceeding, filers must submit one additional copy for each additional docket or rulemaking number.</w:t>
      </w:r>
    </w:p>
    <w:p w:rsidR="004A746A" w:rsidRPr="004A746A" w:rsidP="004A746A">
      <w:pPr>
        <w:autoSpaceDE w:val="0"/>
        <w:autoSpaceDN w:val="0"/>
        <w:adjustRightInd w:val="0"/>
        <w:ind w:firstLine="720"/>
        <w:rPr>
          <w:szCs w:val="22"/>
        </w:rPr>
      </w:pPr>
    </w:p>
    <w:p w:rsidR="004A746A" w:rsidRPr="004A746A" w:rsidP="004A746A">
      <w:pPr>
        <w:numPr>
          <w:ilvl w:val="1"/>
          <w:numId w:val="21"/>
        </w:numPr>
        <w:autoSpaceDE w:val="0"/>
        <w:autoSpaceDN w:val="0"/>
        <w:adjustRightInd w:val="0"/>
        <w:rPr>
          <w:szCs w:val="22"/>
        </w:rPr>
      </w:pPr>
      <w:r w:rsidRPr="004A746A">
        <w:rPr>
          <w:szCs w:val="22"/>
        </w:rPr>
        <w:t>Filings can be sent by commercial overnight courier or by first-class or overnight U.S. Postal Service mail.</w:t>
      </w:r>
      <w:r>
        <w:rPr>
          <w:szCs w:val="22"/>
          <w:vertAlign w:val="superscript"/>
        </w:rPr>
        <w:footnoteReference w:id="39"/>
      </w:r>
      <w:r w:rsidRPr="004A746A">
        <w:rPr>
          <w:szCs w:val="22"/>
        </w:rPr>
        <w:t xml:space="preserve">  All filings must be addressed to the Commission’s Secretary, Office of the Secretary, Federal Communications Commission.</w:t>
      </w:r>
    </w:p>
    <w:p w:rsidR="004A746A" w:rsidRPr="004A746A" w:rsidP="004A746A">
      <w:pPr>
        <w:autoSpaceDE w:val="0"/>
        <w:autoSpaceDN w:val="0"/>
        <w:adjustRightInd w:val="0"/>
        <w:ind w:firstLine="720"/>
        <w:rPr>
          <w:szCs w:val="22"/>
        </w:rPr>
      </w:pPr>
    </w:p>
    <w:p w:rsidR="004A746A" w:rsidRPr="004A746A" w:rsidP="004A746A">
      <w:pPr>
        <w:numPr>
          <w:ilvl w:val="1"/>
          <w:numId w:val="21"/>
        </w:numPr>
        <w:autoSpaceDE w:val="0"/>
        <w:autoSpaceDN w:val="0"/>
        <w:adjustRightInd w:val="0"/>
        <w:rPr>
          <w:szCs w:val="22"/>
        </w:rPr>
      </w:pPr>
      <w:r w:rsidRPr="004A746A">
        <w:rPr>
          <w:szCs w:val="22"/>
        </w:rPr>
        <w:t>Commercial overnight mail (other than U.S. Postal Service Express Mail and Priority Mail) must be sent to 9050 Junction Drive, Annapolis Junction, MD 20701.</w:t>
      </w:r>
    </w:p>
    <w:p w:rsidR="004A746A" w:rsidRPr="004A746A" w:rsidP="004A746A">
      <w:pPr>
        <w:autoSpaceDE w:val="0"/>
        <w:autoSpaceDN w:val="0"/>
        <w:adjustRightInd w:val="0"/>
        <w:ind w:firstLine="720"/>
        <w:rPr>
          <w:szCs w:val="22"/>
        </w:rPr>
      </w:pPr>
    </w:p>
    <w:p w:rsidR="004A746A" w:rsidRPr="004A746A" w:rsidP="004A746A">
      <w:pPr>
        <w:numPr>
          <w:ilvl w:val="1"/>
          <w:numId w:val="21"/>
        </w:numPr>
        <w:autoSpaceDE w:val="0"/>
        <w:autoSpaceDN w:val="0"/>
        <w:adjustRightInd w:val="0"/>
        <w:rPr>
          <w:szCs w:val="22"/>
        </w:rPr>
      </w:pPr>
      <w:r w:rsidRPr="004A746A">
        <w:rPr>
          <w:szCs w:val="22"/>
        </w:rPr>
        <w:t>U.S. Postal Service first-class, Express, and Priority mail must be addressed to 445 12</w:t>
      </w:r>
      <w:r w:rsidRPr="004A746A">
        <w:rPr>
          <w:szCs w:val="22"/>
          <w:vertAlign w:val="superscript"/>
        </w:rPr>
        <w:t>th</w:t>
      </w:r>
      <w:r w:rsidRPr="004A746A">
        <w:rPr>
          <w:szCs w:val="22"/>
        </w:rPr>
        <w:t xml:space="preserve"> Street, SW, Washington, DC 20554.</w:t>
      </w:r>
    </w:p>
    <w:p w:rsidR="004A746A" w:rsidRPr="004A746A" w:rsidP="004A746A">
      <w:pPr>
        <w:autoSpaceDE w:val="0"/>
        <w:autoSpaceDN w:val="0"/>
        <w:adjustRightInd w:val="0"/>
        <w:ind w:firstLine="720"/>
        <w:rPr>
          <w:szCs w:val="22"/>
        </w:rPr>
      </w:pPr>
    </w:p>
    <w:p w:rsidR="004A746A" w:rsidRPr="004A746A" w:rsidP="004A746A">
      <w:pPr>
        <w:autoSpaceDE w:val="0"/>
        <w:autoSpaceDN w:val="0"/>
        <w:adjustRightInd w:val="0"/>
        <w:ind w:firstLine="720"/>
        <w:rPr>
          <w:szCs w:val="22"/>
        </w:rPr>
      </w:pPr>
      <w:r w:rsidRPr="004A746A">
        <w:rPr>
          <w:szCs w:val="22"/>
        </w:rPr>
        <w:t xml:space="preserve">People with Disabilities:  To request materials in accessible formats for people with disabilities (braille, large print, electronic files, audio format), send an e-mail to fcc504@fcc.gov or call the Consumer and Governmental Affairs Bureau at 202-418-0530 (voice), 1-888-835-5322 (tty). </w:t>
      </w:r>
    </w:p>
    <w:p w:rsidR="00A342B9" w:rsidRPr="00A342B9" w:rsidP="00A342B9">
      <w:pPr>
        <w:autoSpaceDE w:val="0"/>
        <w:autoSpaceDN w:val="0"/>
        <w:adjustRightInd w:val="0"/>
        <w:ind w:firstLine="720"/>
        <w:rPr>
          <w:szCs w:val="22"/>
        </w:rPr>
      </w:pPr>
    </w:p>
    <w:p w:rsidR="00A342B9" w:rsidRPr="00A342B9" w:rsidP="00A342B9">
      <w:pPr>
        <w:autoSpaceDE w:val="0"/>
        <w:autoSpaceDN w:val="0"/>
        <w:adjustRightInd w:val="0"/>
        <w:ind w:firstLine="720"/>
        <w:rPr>
          <w:b/>
          <w:szCs w:val="22"/>
        </w:rPr>
      </w:pPr>
      <w:r w:rsidRPr="00A342B9">
        <w:rPr>
          <w:b/>
          <w:szCs w:val="22"/>
        </w:rPr>
        <w:t>In addition, e-mail one copy of each pleading to each of the following:</w:t>
      </w:r>
    </w:p>
    <w:p w:rsidR="00A342B9" w:rsidRPr="00A342B9" w:rsidP="00A342B9">
      <w:pPr>
        <w:autoSpaceDE w:val="0"/>
        <w:autoSpaceDN w:val="0"/>
        <w:adjustRightInd w:val="0"/>
        <w:ind w:firstLine="720"/>
        <w:rPr>
          <w:szCs w:val="22"/>
        </w:rPr>
      </w:pPr>
    </w:p>
    <w:p w:rsidR="00A342B9" w:rsidRPr="00A342B9" w:rsidP="00A342B9">
      <w:pPr>
        <w:numPr>
          <w:ilvl w:val="0"/>
          <w:numId w:val="18"/>
        </w:numPr>
        <w:autoSpaceDE w:val="0"/>
        <w:autoSpaceDN w:val="0"/>
        <w:adjustRightInd w:val="0"/>
        <w:rPr>
          <w:szCs w:val="22"/>
        </w:rPr>
      </w:pPr>
      <w:r w:rsidRPr="00A342B9">
        <w:rPr>
          <w:szCs w:val="22"/>
        </w:rPr>
        <w:t xml:space="preserve">Gregory Kwan, Competition Policy Division, Wireline Competition Bureau, </w:t>
      </w:r>
      <w:hyperlink r:id="rId9" w:history="1">
        <w:r w:rsidRPr="00A342B9">
          <w:rPr>
            <w:rStyle w:val="Hyperlink"/>
            <w:szCs w:val="22"/>
          </w:rPr>
          <w:t>gregory.kwan@fcc.gov</w:t>
        </w:r>
      </w:hyperlink>
      <w:r w:rsidRPr="00A342B9">
        <w:rPr>
          <w:szCs w:val="22"/>
        </w:rPr>
        <w:t xml:space="preserve">; </w:t>
      </w:r>
    </w:p>
    <w:p w:rsidR="00A342B9" w:rsidRPr="00A342B9" w:rsidP="00A342B9">
      <w:pPr>
        <w:autoSpaceDE w:val="0"/>
        <w:autoSpaceDN w:val="0"/>
        <w:adjustRightInd w:val="0"/>
        <w:ind w:firstLine="720"/>
        <w:rPr>
          <w:szCs w:val="22"/>
        </w:rPr>
      </w:pPr>
      <w:bookmarkStart w:id="7" w:name="_Hlk520384977"/>
    </w:p>
    <w:p w:rsidR="00A342B9" w:rsidP="00A342B9">
      <w:pPr>
        <w:numPr>
          <w:ilvl w:val="0"/>
          <w:numId w:val="18"/>
        </w:numPr>
        <w:autoSpaceDE w:val="0"/>
        <w:autoSpaceDN w:val="0"/>
        <w:adjustRightInd w:val="0"/>
        <w:rPr>
          <w:szCs w:val="22"/>
        </w:rPr>
      </w:pPr>
      <w:r w:rsidRPr="00A342B9">
        <w:rPr>
          <w:szCs w:val="22"/>
        </w:rPr>
        <w:t xml:space="preserve">Linda Ray, Broadband Division, Wireless Telecommunications Bureau; </w:t>
      </w:r>
      <w:hyperlink r:id="rId10" w:history="1">
        <w:r w:rsidRPr="00A342B9">
          <w:rPr>
            <w:rStyle w:val="Hyperlink"/>
            <w:szCs w:val="22"/>
          </w:rPr>
          <w:t>linda.ray@fcc.gov</w:t>
        </w:r>
      </w:hyperlink>
      <w:r w:rsidRPr="00A342B9">
        <w:rPr>
          <w:szCs w:val="22"/>
        </w:rPr>
        <w:t>;</w:t>
      </w:r>
    </w:p>
    <w:p w:rsidR="00B94E83" w:rsidP="00FF74E6">
      <w:pPr>
        <w:pStyle w:val="ListParagraph"/>
        <w:rPr>
          <w:szCs w:val="22"/>
        </w:rPr>
      </w:pPr>
    </w:p>
    <w:p w:rsidR="00B94E83" w:rsidRPr="00A342B9" w:rsidP="00A342B9">
      <w:pPr>
        <w:numPr>
          <w:ilvl w:val="0"/>
          <w:numId w:val="18"/>
        </w:numPr>
        <w:autoSpaceDE w:val="0"/>
        <w:autoSpaceDN w:val="0"/>
        <w:adjustRightInd w:val="0"/>
        <w:rPr>
          <w:szCs w:val="22"/>
        </w:rPr>
      </w:pPr>
      <w:r>
        <w:rPr>
          <w:szCs w:val="22"/>
        </w:rPr>
        <w:t xml:space="preserve">Kimberly Cook, </w:t>
      </w:r>
      <w:r w:rsidRPr="00604C49" w:rsidR="00604C49">
        <w:rPr>
          <w:szCs w:val="22"/>
        </w:rPr>
        <w:t>Telecommunications &amp; Analysis Division</w:t>
      </w:r>
      <w:r w:rsidR="00604C49">
        <w:rPr>
          <w:szCs w:val="22"/>
        </w:rPr>
        <w:t xml:space="preserve">, International Bureau; </w:t>
      </w:r>
      <w:hyperlink r:id="rId11" w:history="1">
        <w:r w:rsidRPr="00F15DE7" w:rsidR="00604C49">
          <w:rPr>
            <w:rStyle w:val="Hyperlink"/>
            <w:szCs w:val="22"/>
          </w:rPr>
          <w:t>kimberly.cook@fcc.gov</w:t>
        </w:r>
      </w:hyperlink>
      <w:r w:rsidR="00604C49">
        <w:rPr>
          <w:szCs w:val="22"/>
        </w:rPr>
        <w:t>; and</w:t>
      </w:r>
    </w:p>
    <w:bookmarkEnd w:id="7"/>
    <w:p w:rsidR="00A342B9" w:rsidRPr="00A342B9" w:rsidP="00A342B9">
      <w:pPr>
        <w:autoSpaceDE w:val="0"/>
        <w:autoSpaceDN w:val="0"/>
        <w:adjustRightInd w:val="0"/>
        <w:ind w:firstLine="720"/>
        <w:rPr>
          <w:szCs w:val="22"/>
        </w:rPr>
      </w:pPr>
    </w:p>
    <w:p w:rsidR="00A342B9" w:rsidRPr="00A342B9" w:rsidP="00A342B9">
      <w:pPr>
        <w:numPr>
          <w:ilvl w:val="0"/>
          <w:numId w:val="18"/>
        </w:numPr>
        <w:autoSpaceDE w:val="0"/>
        <w:autoSpaceDN w:val="0"/>
        <w:adjustRightInd w:val="0"/>
        <w:rPr>
          <w:szCs w:val="22"/>
        </w:rPr>
      </w:pPr>
      <w:r w:rsidRPr="00A342B9">
        <w:rPr>
          <w:szCs w:val="22"/>
        </w:rPr>
        <w:t xml:space="preserve">Jim Bird, Office of General Counsel, </w:t>
      </w:r>
      <w:hyperlink r:id="rId12" w:history="1">
        <w:r w:rsidRPr="00A342B9">
          <w:rPr>
            <w:rStyle w:val="Hyperlink"/>
            <w:szCs w:val="22"/>
          </w:rPr>
          <w:t>jim.bird@fcc.gov</w:t>
        </w:r>
      </w:hyperlink>
      <w:r w:rsidRPr="00A342B9">
        <w:rPr>
          <w:szCs w:val="22"/>
        </w:rPr>
        <w:t>.</w:t>
      </w:r>
    </w:p>
    <w:p w:rsidR="00A342B9" w:rsidRPr="00A342B9" w:rsidP="00A342B9">
      <w:pPr>
        <w:autoSpaceDE w:val="0"/>
        <w:autoSpaceDN w:val="0"/>
        <w:adjustRightInd w:val="0"/>
        <w:ind w:firstLine="720"/>
        <w:rPr>
          <w:szCs w:val="22"/>
        </w:rPr>
      </w:pPr>
    </w:p>
    <w:p w:rsidR="00A342B9" w:rsidRPr="00A342B9" w:rsidP="00A342B9">
      <w:pPr>
        <w:autoSpaceDE w:val="0"/>
        <w:autoSpaceDN w:val="0"/>
        <w:adjustRightInd w:val="0"/>
        <w:ind w:firstLine="720"/>
        <w:rPr>
          <w:szCs w:val="22"/>
        </w:rPr>
      </w:pPr>
      <w:r w:rsidRPr="00A342B9">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A342B9" w:rsidRPr="00A342B9" w:rsidP="00A342B9">
      <w:pPr>
        <w:autoSpaceDE w:val="0"/>
        <w:autoSpaceDN w:val="0"/>
        <w:adjustRightInd w:val="0"/>
        <w:ind w:firstLine="720"/>
        <w:rPr>
          <w:szCs w:val="22"/>
        </w:rPr>
      </w:pPr>
    </w:p>
    <w:p w:rsidR="00A342B9" w:rsidRPr="00A342B9" w:rsidP="00A342B9">
      <w:pPr>
        <w:autoSpaceDE w:val="0"/>
        <w:autoSpaceDN w:val="0"/>
        <w:adjustRightInd w:val="0"/>
        <w:ind w:firstLine="720"/>
        <w:rPr>
          <w:szCs w:val="22"/>
        </w:rPr>
      </w:pPr>
      <w:r w:rsidRPr="00A342B9">
        <w:rPr>
          <w:szCs w:val="22"/>
        </w:rPr>
        <w:t xml:space="preserve">The proceeding in this Notice shall be treated as a “permit-but-disclose” proceeding in accordance with the Commission’s </w:t>
      </w:r>
      <w:r w:rsidRPr="00A342B9">
        <w:rPr>
          <w:i/>
          <w:szCs w:val="22"/>
        </w:rPr>
        <w:t>ex parte</w:t>
      </w:r>
      <w:r w:rsidRPr="00A342B9">
        <w:rPr>
          <w:szCs w:val="22"/>
        </w:rPr>
        <w:t xml:space="preserve"> rules.  Persons making </w:t>
      </w:r>
      <w:r w:rsidRPr="00A342B9">
        <w:rPr>
          <w:i/>
          <w:szCs w:val="22"/>
        </w:rPr>
        <w:t>ex parte</w:t>
      </w:r>
      <w:r w:rsidRPr="00A342B9">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A342B9">
        <w:rPr>
          <w:i/>
          <w:szCs w:val="22"/>
        </w:rPr>
        <w:t>ex parte</w:t>
      </w:r>
      <w:r w:rsidRPr="00A342B9">
        <w:rPr>
          <w:szCs w:val="22"/>
        </w:rPr>
        <w:t xml:space="preserve"> presentations are reminded that memoranda summarizing the presentation must (1) list all persons attending or otherwise participating in the meeting at which the </w:t>
      </w:r>
      <w:r w:rsidRPr="00A342B9">
        <w:rPr>
          <w:i/>
          <w:szCs w:val="22"/>
        </w:rPr>
        <w:t>ex parte</w:t>
      </w:r>
      <w:r w:rsidRPr="00A342B9">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342B9">
        <w:rPr>
          <w:i/>
          <w:szCs w:val="22"/>
        </w:rPr>
        <w:t>ex parte</w:t>
      </w:r>
      <w:r w:rsidRPr="00A342B9">
        <w:rPr>
          <w:szCs w:val="22"/>
        </w:rPr>
        <w:t xml:space="preserve"> meetings are deemed to be written </w:t>
      </w:r>
      <w:r w:rsidRPr="00A342B9">
        <w:rPr>
          <w:i/>
          <w:szCs w:val="22"/>
        </w:rPr>
        <w:t>ex parte</w:t>
      </w:r>
      <w:r w:rsidRPr="00A342B9">
        <w:rPr>
          <w:szCs w:val="22"/>
        </w:rPr>
        <w:t xml:space="preserve"> presentations and must be filed consistent with rule 1.1206(b), 47 CFR § 1.1206(b).  Participants in this proceeding should familiarize themselves with the Commission’s </w:t>
      </w:r>
      <w:r w:rsidRPr="00A342B9">
        <w:rPr>
          <w:i/>
          <w:szCs w:val="22"/>
        </w:rPr>
        <w:t>ex parte</w:t>
      </w:r>
      <w:r w:rsidRPr="00A342B9">
        <w:rPr>
          <w:szCs w:val="22"/>
        </w:rPr>
        <w:t xml:space="preserve"> rules.</w:t>
      </w:r>
    </w:p>
    <w:p w:rsidR="00A342B9" w:rsidRPr="00A342B9" w:rsidP="00A342B9">
      <w:pPr>
        <w:autoSpaceDE w:val="0"/>
        <w:autoSpaceDN w:val="0"/>
        <w:adjustRightInd w:val="0"/>
        <w:ind w:firstLine="720"/>
        <w:rPr>
          <w:szCs w:val="22"/>
        </w:rPr>
      </w:pPr>
    </w:p>
    <w:p w:rsidR="00A342B9" w:rsidRPr="00A342B9" w:rsidP="00A342B9">
      <w:pPr>
        <w:autoSpaceDE w:val="0"/>
        <w:autoSpaceDN w:val="0"/>
        <w:adjustRightInd w:val="0"/>
        <w:ind w:firstLine="720"/>
        <w:rPr>
          <w:szCs w:val="22"/>
        </w:rPr>
      </w:pPr>
      <w:r w:rsidRPr="00A342B9">
        <w:rPr>
          <w:szCs w:val="22"/>
        </w:rPr>
        <w:t>To allow the Commission to consider fully all substantive issues regarding the applications in as timely and efficient a manner as possible, petitioners and commenters should raise all issues in their initial filings.  New issues may not be raised in responses or replies.</w:t>
      </w:r>
      <w:r>
        <w:rPr>
          <w:szCs w:val="22"/>
          <w:vertAlign w:val="superscript"/>
        </w:rPr>
        <w:footnoteReference w:id="40"/>
      </w:r>
      <w:r w:rsidRPr="00A342B9">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A342B9" w:rsidRPr="00A342B9" w:rsidP="00A342B9">
      <w:pPr>
        <w:autoSpaceDE w:val="0"/>
        <w:autoSpaceDN w:val="0"/>
        <w:adjustRightInd w:val="0"/>
        <w:ind w:firstLine="720"/>
        <w:rPr>
          <w:szCs w:val="22"/>
        </w:rPr>
      </w:pPr>
    </w:p>
    <w:p w:rsidR="00A342B9" w:rsidRPr="00A342B9" w:rsidP="00A342B9">
      <w:pPr>
        <w:autoSpaceDE w:val="0"/>
        <w:autoSpaceDN w:val="0"/>
        <w:adjustRightInd w:val="0"/>
        <w:ind w:firstLine="720"/>
        <w:rPr>
          <w:szCs w:val="22"/>
        </w:rPr>
      </w:pPr>
      <w:r w:rsidRPr="00A342B9">
        <w:rPr>
          <w:szCs w:val="22"/>
        </w:rPr>
        <w:t>For further information, please contact Gregory Kwan, Wireline Competition Bureau, (202) 418-1191; Linda Ray, Wireless Telecommunications Bureau, (202) 418-0257</w:t>
      </w:r>
      <w:r w:rsidR="00B94E83">
        <w:rPr>
          <w:szCs w:val="22"/>
        </w:rPr>
        <w:t>; or Kimberly Cook, International Bureau, (202) 418-7532</w:t>
      </w:r>
      <w:r w:rsidRPr="00A342B9">
        <w:rPr>
          <w:szCs w:val="22"/>
        </w:rPr>
        <w:t>.</w:t>
      </w:r>
    </w:p>
    <w:p w:rsidR="00A342B9" w:rsidRPr="00A342B9" w:rsidP="00A342B9">
      <w:pPr>
        <w:autoSpaceDE w:val="0"/>
        <w:autoSpaceDN w:val="0"/>
        <w:adjustRightInd w:val="0"/>
        <w:ind w:firstLine="720"/>
        <w:rPr>
          <w:b/>
          <w:szCs w:val="22"/>
        </w:rPr>
      </w:pPr>
      <w:r w:rsidRPr="00A342B9">
        <w:rPr>
          <w:b/>
          <w:szCs w:val="22"/>
        </w:rPr>
        <w:br w:type="page"/>
      </w:r>
    </w:p>
    <w:p w:rsidR="00A342B9" w:rsidRPr="00A342B9" w:rsidP="00D12C21">
      <w:pPr>
        <w:autoSpaceDE w:val="0"/>
        <w:autoSpaceDN w:val="0"/>
        <w:adjustRightInd w:val="0"/>
        <w:jc w:val="center"/>
        <w:rPr>
          <w:b/>
          <w:szCs w:val="22"/>
          <w:u w:val="single"/>
        </w:rPr>
      </w:pPr>
      <w:r w:rsidRPr="00A342B9">
        <w:rPr>
          <w:b/>
          <w:szCs w:val="22"/>
          <w:u w:val="single"/>
        </w:rPr>
        <w:t>ATTACHMENT A</w:t>
      </w:r>
    </w:p>
    <w:p w:rsidR="00A342B9" w:rsidP="00A342B9">
      <w:pPr>
        <w:autoSpaceDE w:val="0"/>
        <w:autoSpaceDN w:val="0"/>
        <w:adjustRightInd w:val="0"/>
        <w:ind w:firstLine="720"/>
        <w:rPr>
          <w:b/>
          <w:szCs w:val="22"/>
        </w:rPr>
      </w:pPr>
    </w:p>
    <w:p w:rsidR="00EB0620" w:rsidRPr="00585942" w:rsidP="00EB0620">
      <w:pPr>
        <w:rPr>
          <w:b/>
          <w:color w:val="000000"/>
          <w:szCs w:val="22"/>
        </w:rPr>
      </w:pPr>
    </w:p>
    <w:p w:rsidR="00EB0620" w:rsidRPr="0022664E" w:rsidP="00EB0620">
      <w:pPr>
        <w:rPr>
          <w:color w:val="000000"/>
          <w:szCs w:val="22"/>
        </w:rPr>
      </w:pPr>
      <w:r w:rsidRPr="00585942">
        <w:rPr>
          <w:b/>
          <w:color w:val="000000"/>
          <w:szCs w:val="22"/>
        </w:rPr>
        <w:t>SECTION 214 AUTHORIZATIONS</w:t>
      </w:r>
    </w:p>
    <w:p w:rsidR="00EB0620" w:rsidRPr="0022664E" w:rsidP="00EB0620">
      <w:pPr>
        <w:rPr>
          <w:color w:val="000000"/>
          <w:szCs w:val="22"/>
        </w:rPr>
      </w:pPr>
    </w:p>
    <w:p w:rsidR="00EB0620" w:rsidRPr="0022664E" w:rsidP="00EB0620">
      <w:pPr>
        <w:rPr>
          <w:color w:val="000000"/>
          <w:szCs w:val="22"/>
        </w:rPr>
      </w:pPr>
      <w:r w:rsidRPr="0022664E">
        <w:rPr>
          <w:color w:val="000000"/>
          <w:szCs w:val="22"/>
        </w:rPr>
        <w:t>The Applicants filed an application to transfer control of domestic section 214 authority in connection with the proposed transaction – WC Docket No</w:t>
      </w:r>
      <w:r w:rsidRPr="00D463D2">
        <w:rPr>
          <w:color w:val="000000"/>
          <w:szCs w:val="22"/>
        </w:rPr>
        <w:t xml:space="preserve">. </w:t>
      </w:r>
      <w:r>
        <w:rPr>
          <w:szCs w:val="22"/>
        </w:rPr>
        <w:t>20-240.</w:t>
      </w:r>
      <w:r w:rsidRPr="008E581F">
        <w:rPr>
          <w:color w:val="000000"/>
          <w:szCs w:val="22"/>
        </w:rPr>
        <w:t xml:space="preserve">  </w:t>
      </w:r>
      <w:r w:rsidRPr="00B62EDB">
        <w:rPr>
          <w:color w:val="000000"/>
          <w:szCs w:val="22"/>
        </w:rPr>
        <w:t xml:space="preserve">In light of the multiple applications pending before the Commission with respect to this transaction and the public interest review associated with them, the </w:t>
      </w:r>
      <w:r>
        <w:rPr>
          <w:color w:val="000000"/>
          <w:szCs w:val="22"/>
        </w:rPr>
        <w:t>domestic transfer of control application</w:t>
      </w:r>
      <w:r w:rsidRPr="00B62EDB">
        <w:rPr>
          <w:color w:val="000000"/>
          <w:szCs w:val="22"/>
        </w:rPr>
        <w:t xml:space="preserve"> </w:t>
      </w:r>
      <w:r>
        <w:rPr>
          <w:color w:val="000000"/>
          <w:szCs w:val="22"/>
        </w:rPr>
        <w:t xml:space="preserve">is </w:t>
      </w:r>
      <w:r w:rsidRPr="00B62EDB">
        <w:rPr>
          <w:color w:val="000000"/>
          <w:szCs w:val="22"/>
        </w:rPr>
        <w:t>not subject to streamlined treatment</w:t>
      </w:r>
      <w:r>
        <w:rPr>
          <w:color w:val="000000"/>
          <w:szCs w:val="22"/>
        </w:rPr>
        <w:t>.</w:t>
      </w:r>
      <w:r>
        <w:rPr>
          <w:color w:val="000000"/>
          <w:szCs w:val="22"/>
          <w:vertAlign w:val="superscript"/>
        </w:rPr>
        <w:footnoteReference w:id="41"/>
      </w:r>
      <w:r w:rsidRPr="00B62EDB">
        <w:rPr>
          <w:color w:val="000000"/>
          <w:szCs w:val="22"/>
        </w:rPr>
        <w:t xml:space="preserve"> </w:t>
      </w:r>
    </w:p>
    <w:tbl>
      <w:tblPr>
        <w:tblW w:w="9744" w:type="dxa"/>
        <w:tblLook w:val="01E0"/>
      </w:tblPr>
      <w:tblGrid>
        <w:gridCol w:w="2882"/>
        <w:gridCol w:w="3890"/>
        <w:gridCol w:w="2972"/>
      </w:tblGrid>
      <w:tr w:rsidTr="007B2AF9">
        <w:tblPrEx>
          <w:tblW w:w="9744" w:type="dxa"/>
          <w:tblLook w:val="01E0"/>
        </w:tblPrEx>
        <w:trPr>
          <w:trHeight w:val="297"/>
        </w:trPr>
        <w:tc>
          <w:tcPr>
            <w:tcW w:w="2882" w:type="dxa"/>
          </w:tcPr>
          <w:p w:rsidR="00EB0620" w:rsidRPr="0022664E" w:rsidP="007B2AF9">
            <w:pPr>
              <w:rPr>
                <w:color w:val="000000"/>
                <w:szCs w:val="22"/>
              </w:rPr>
            </w:pPr>
          </w:p>
        </w:tc>
        <w:tc>
          <w:tcPr>
            <w:tcW w:w="3890" w:type="dxa"/>
          </w:tcPr>
          <w:p w:rsidR="00EB0620" w:rsidRPr="0022664E" w:rsidP="007B2AF9">
            <w:pPr>
              <w:rPr>
                <w:color w:val="000000"/>
                <w:szCs w:val="22"/>
              </w:rPr>
            </w:pPr>
          </w:p>
        </w:tc>
        <w:tc>
          <w:tcPr>
            <w:tcW w:w="2972" w:type="dxa"/>
          </w:tcPr>
          <w:p w:rsidR="00EB0620" w:rsidRPr="0022664E" w:rsidP="007B2AF9">
            <w:pPr>
              <w:rPr>
                <w:color w:val="000000"/>
                <w:szCs w:val="22"/>
              </w:rPr>
            </w:pPr>
          </w:p>
        </w:tc>
      </w:tr>
    </w:tbl>
    <w:p w:rsidR="00EB0620" w:rsidRPr="00585942" w:rsidP="00EB0620">
      <w:pPr>
        <w:rPr>
          <w:b/>
          <w:color w:val="000000"/>
          <w:szCs w:val="22"/>
        </w:rPr>
      </w:pPr>
      <w:r w:rsidRPr="00585942">
        <w:rPr>
          <w:b/>
          <w:color w:val="000000"/>
          <w:szCs w:val="22"/>
        </w:rPr>
        <w:t>SECTION 310(d) APPLICATIONS</w:t>
      </w:r>
    </w:p>
    <w:p w:rsidR="00EB0620" w:rsidRPr="0022664E" w:rsidP="00EB0620">
      <w:pPr>
        <w:rPr>
          <w:color w:val="000000"/>
          <w:szCs w:val="22"/>
        </w:rPr>
      </w:pPr>
    </w:p>
    <w:p w:rsidR="00EB0620" w:rsidRPr="0022664E" w:rsidP="00EB0620">
      <w:pPr>
        <w:rPr>
          <w:color w:val="000000"/>
          <w:szCs w:val="22"/>
        </w:rPr>
      </w:pPr>
      <w:r w:rsidRPr="0022664E">
        <w:rPr>
          <w:color w:val="000000"/>
          <w:szCs w:val="22"/>
        </w:rPr>
        <w:t xml:space="preserve">The applications for consent to the </w:t>
      </w:r>
      <w:r>
        <w:rPr>
          <w:color w:val="000000"/>
          <w:szCs w:val="22"/>
        </w:rPr>
        <w:t xml:space="preserve">assignment and </w:t>
      </w:r>
      <w:r w:rsidRPr="0022664E">
        <w:rPr>
          <w:color w:val="000000"/>
          <w:szCs w:val="22"/>
        </w:rPr>
        <w:t>transfer of control of license</w:t>
      </w:r>
      <w:r>
        <w:rPr>
          <w:color w:val="000000"/>
          <w:szCs w:val="22"/>
        </w:rPr>
        <w:t>s</w:t>
      </w:r>
      <w:r w:rsidRPr="0022664E">
        <w:rPr>
          <w:color w:val="000000"/>
          <w:szCs w:val="22"/>
        </w:rPr>
        <w:t xml:space="preserve"> under section 310(d) have been assigned the file numbers listed below.</w:t>
      </w:r>
    </w:p>
    <w:p w:rsidR="00EB0620" w:rsidRPr="0022664E" w:rsidP="00EB0620">
      <w:pPr>
        <w:rPr>
          <w:color w:val="000000"/>
          <w:szCs w:val="22"/>
        </w:rPr>
      </w:pPr>
    </w:p>
    <w:p w:rsidR="00EB0620" w:rsidRPr="00585942" w:rsidP="00EB0620">
      <w:pPr>
        <w:rPr>
          <w:b/>
          <w:color w:val="000000"/>
          <w:szCs w:val="22"/>
        </w:rPr>
      </w:pPr>
      <w:r w:rsidRPr="00585942">
        <w:rPr>
          <w:b/>
          <w:color w:val="000000"/>
          <w:szCs w:val="22"/>
        </w:rPr>
        <w:t xml:space="preserve">WIRELESS </w:t>
      </w:r>
      <w:r>
        <w:rPr>
          <w:b/>
          <w:color w:val="000000"/>
          <w:szCs w:val="22"/>
        </w:rPr>
        <w:t>LICENSES</w:t>
      </w:r>
      <w:r w:rsidRPr="00585942">
        <w:rPr>
          <w:b/>
          <w:color w:val="000000"/>
          <w:szCs w:val="22"/>
        </w:rPr>
        <w:t xml:space="preserve"> </w:t>
      </w:r>
    </w:p>
    <w:p w:rsidR="00EB0620" w:rsidRPr="0022664E" w:rsidP="00EB0620">
      <w:pPr>
        <w:rPr>
          <w:color w:val="000000"/>
          <w:szCs w:val="22"/>
        </w:rPr>
      </w:pPr>
    </w:p>
    <w:tbl>
      <w:tblPr>
        <w:tblW w:w="10188" w:type="dxa"/>
        <w:tblLook w:val="01E0"/>
      </w:tblPr>
      <w:tblGrid>
        <w:gridCol w:w="2448"/>
        <w:gridCol w:w="4770"/>
        <w:gridCol w:w="2970"/>
      </w:tblGrid>
      <w:tr w:rsidTr="00EB0620">
        <w:tblPrEx>
          <w:tblW w:w="10188" w:type="dxa"/>
          <w:tblLook w:val="01E0"/>
        </w:tblPrEx>
        <w:trPr>
          <w:trHeight w:val="372"/>
        </w:trPr>
        <w:tc>
          <w:tcPr>
            <w:tcW w:w="2448" w:type="dxa"/>
          </w:tcPr>
          <w:p w:rsidR="00EB0620" w:rsidRPr="0022664E" w:rsidP="007B2AF9">
            <w:pPr>
              <w:rPr>
                <w:color w:val="000000"/>
                <w:szCs w:val="22"/>
              </w:rPr>
            </w:pPr>
            <w:r w:rsidRPr="0022664E">
              <w:rPr>
                <w:color w:val="000000"/>
                <w:szCs w:val="22"/>
                <w:u w:val="single"/>
              </w:rPr>
              <w:t>ULS File Number</w:t>
            </w:r>
          </w:p>
        </w:tc>
        <w:tc>
          <w:tcPr>
            <w:tcW w:w="4770" w:type="dxa"/>
          </w:tcPr>
          <w:p w:rsidR="00EB0620" w:rsidRPr="0022664E" w:rsidP="007B2AF9">
            <w:pPr>
              <w:rPr>
                <w:color w:val="000000"/>
                <w:szCs w:val="22"/>
                <w:u w:val="single"/>
              </w:rPr>
            </w:pPr>
            <w:r w:rsidRPr="0022664E">
              <w:rPr>
                <w:color w:val="000000"/>
                <w:szCs w:val="22"/>
                <w:u w:val="single"/>
              </w:rPr>
              <w:t>Licensee</w:t>
            </w:r>
          </w:p>
        </w:tc>
        <w:tc>
          <w:tcPr>
            <w:tcW w:w="2970" w:type="dxa"/>
          </w:tcPr>
          <w:p w:rsidR="00EB0620" w:rsidRPr="0022664E" w:rsidP="009F031E">
            <w:pPr>
              <w:rPr>
                <w:color w:val="000000"/>
                <w:szCs w:val="22"/>
                <w:u w:val="single"/>
              </w:rPr>
            </w:pPr>
          </w:p>
        </w:tc>
      </w:tr>
      <w:tr w:rsidTr="007B2AF9">
        <w:tblPrEx>
          <w:tblW w:w="10188" w:type="dxa"/>
          <w:tblLook w:val="01E0"/>
        </w:tblPrEx>
        <w:trPr>
          <w:trHeight w:val="288"/>
        </w:trPr>
        <w:tc>
          <w:tcPr>
            <w:tcW w:w="2448" w:type="dxa"/>
          </w:tcPr>
          <w:p w:rsidR="00EB0620" w:rsidP="007B2AF9">
            <w:pPr>
              <w:rPr>
                <w:color w:val="000000"/>
                <w:szCs w:val="22"/>
              </w:rPr>
            </w:pPr>
            <w:r>
              <w:rPr>
                <w:color w:val="000000"/>
                <w:szCs w:val="22"/>
              </w:rPr>
              <w:t>000</w:t>
            </w:r>
            <w:r w:rsidRPr="00272B18">
              <w:rPr>
                <w:color w:val="000000"/>
                <w:szCs w:val="22"/>
              </w:rPr>
              <w:t>9166979</w:t>
            </w:r>
          </w:p>
          <w:p w:rsidR="00272B18" w:rsidP="007B2AF9">
            <w:pPr>
              <w:rPr>
                <w:color w:val="000000"/>
                <w:szCs w:val="22"/>
              </w:rPr>
            </w:pPr>
            <w:r>
              <w:rPr>
                <w:color w:val="000000"/>
                <w:szCs w:val="22"/>
              </w:rPr>
              <w:t>000</w:t>
            </w:r>
            <w:r w:rsidRPr="00272B18">
              <w:rPr>
                <w:color w:val="000000"/>
                <w:szCs w:val="22"/>
              </w:rPr>
              <w:t>9166980</w:t>
            </w:r>
          </w:p>
          <w:p w:rsidR="00272B18" w:rsidP="007B2AF9">
            <w:pPr>
              <w:rPr>
                <w:color w:val="000000"/>
                <w:szCs w:val="22"/>
              </w:rPr>
            </w:pPr>
            <w:r w:rsidRPr="00272B18">
              <w:rPr>
                <w:color w:val="000000"/>
                <w:szCs w:val="22"/>
              </w:rPr>
              <w:t>0009166981</w:t>
            </w:r>
          </w:p>
          <w:p w:rsidR="00272B18" w:rsidP="007B2AF9">
            <w:pPr>
              <w:rPr>
                <w:color w:val="000000"/>
                <w:szCs w:val="22"/>
              </w:rPr>
            </w:pPr>
            <w:r w:rsidRPr="00272B18">
              <w:rPr>
                <w:color w:val="000000"/>
                <w:szCs w:val="22"/>
              </w:rPr>
              <w:t>0009166984</w:t>
            </w:r>
          </w:p>
          <w:p w:rsidR="00272B18" w:rsidRPr="00272B18" w:rsidP="007B2AF9">
            <w:pPr>
              <w:rPr>
                <w:color w:val="000000"/>
                <w:szCs w:val="22"/>
              </w:rPr>
            </w:pPr>
            <w:r w:rsidRPr="00272B18">
              <w:rPr>
                <w:color w:val="000000"/>
                <w:szCs w:val="22"/>
              </w:rPr>
              <w:t>0009166985</w:t>
            </w:r>
          </w:p>
        </w:tc>
        <w:tc>
          <w:tcPr>
            <w:tcW w:w="4770" w:type="dxa"/>
          </w:tcPr>
          <w:p w:rsidR="00EB0620" w:rsidP="007B2AF9">
            <w:pPr>
              <w:rPr>
                <w:color w:val="000000"/>
                <w:szCs w:val="22"/>
              </w:rPr>
            </w:pPr>
            <w:r>
              <w:rPr>
                <w:color w:val="000000"/>
                <w:szCs w:val="22"/>
              </w:rPr>
              <w:t>Detel Wireless, LLC</w:t>
            </w:r>
          </w:p>
          <w:p w:rsidR="00031DB7" w:rsidP="007B2AF9">
            <w:pPr>
              <w:rPr>
                <w:color w:val="000000"/>
                <w:szCs w:val="22"/>
              </w:rPr>
            </w:pPr>
            <w:r>
              <w:rPr>
                <w:color w:val="000000"/>
                <w:szCs w:val="22"/>
              </w:rPr>
              <w:t>Network USA, LLC</w:t>
            </w:r>
          </w:p>
          <w:p w:rsidR="00031DB7" w:rsidP="007B2AF9">
            <w:pPr>
              <w:rPr>
                <w:color w:val="000000"/>
                <w:szCs w:val="22"/>
              </w:rPr>
            </w:pPr>
            <w:r>
              <w:rPr>
                <w:color w:val="000000"/>
                <w:szCs w:val="22"/>
              </w:rPr>
              <w:t>Conterra Ultra Broadband, LLC</w:t>
            </w:r>
          </w:p>
          <w:p w:rsidR="00031DB7" w:rsidP="007B2AF9">
            <w:pPr>
              <w:rPr>
                <w:color w:val="000000"/>
                <w:szCs w:val="22"/>
              </w:rPr>
            </w:pPr>
            <w:r>
              <w:rPr>
                <w:color w:val="000000"/>
                <w:szCs w:val="22"/>
              </w:rPr>
              <w:t>Conterra Ultra Broadband, LLC</w:t>
            </w:r>
          </w:p>
          <w:p w:rsidR="00031DB7" w:rsidRPr="00031DB7" w:rsidP="007B2AF9">
            <w:pPr>
              <w:rPr>
                <w:color w:val="000000"/>
                <w:szCs w:val="22"/>
              </w:rPr>
            </w:pPr>
            <w:r>
              <w:rPr>
                <w:color w:val="000000"/>
                <w:szCs w:val="22"/>
              </w:rPr>
              <w:t>Conterra Ultra Broadband, LLC</w:t>
            </w:r>
          </w:p>
        </w:tc>
        <w:tc>
          <w:tcPr>
            <w:tcW w:w="2970" w:type="dxa"/>
          </w:tcPr>
          <w:p w:rsidR="00EB0620" w:rsidRPr="00531A68" w:rsidP="007B2AF9">
            <w:pPr>
              <w:rPr>
                <w:color w:val="000000"/>
                <w:szCs w:val="22"/>
              </w:rPr>
            </w:pPr>
          </w:p>
        </w:tc>
      </w:tr>
      <w:tr w:rsidTr="007B2AF9">
        <w:tblPrEx>
          <w:tblW w:w="10188" w:type="dxa"/>
          <w:tblLook w:val="01E0"/>
        </w:tblPrEx>
        <w:trPr>
          <w:trHeight w:val="288"/>
        </w:trPr>
        <w:tc>
          <w:tcPr>
            <w:tcW w:w="2448" w:type="dxa"/>
          </w:tcPr>
          <w:p w:rsidR="00EB0620" w:rsidRPr="000B2940" w:rsidP="007B2AF9"/>
        </w:tc>
        <w:tc>
          <w:tcPr>
            <w:tcW w:w="4770" w:type="dxa"/>
          </w:tcPr>
          <w:p w:rsidR="00EB0620" w:rsidRPr="00116919" w:rsidP="007B2AF9">
            <w:pPr>
              <w:rPr>
                <w:color w:val="000000"/>
                <w:szCs w:val="22"/>
              </w:rPr>
            </w:pPr>
          </w:p>
        </w:tc>
        <w:tc>
          <w:tcPr>
            <w:tcW w:w="2970" w:type="dxa"/>
          </w:tcPr>
          <w:p w:rsidR="00EB0620" w:rsidRPr="00116919" w:rsidP="007B2AF9">
            <w:pPr>
              <w:rPr>
                <w:color w:val="000000"/>
                <w:szCs w:val="22"/>
              </w:rPr>
            </w:pPr>
          </w:p>
        </w:tc>
      </w:tr>
    </w:tbl>
    <w:p w:rsidR="00EB0620" w:rsidP="00EB0620">
      <w:pPr>
        <w:autoSpaceDE w:val="0"/>
        <w:autoSpaceDN w:val="0"/>
        <w:adjustRightInd w:val="0"/>
        <w:rPr>
          <w:rFonts w:ascii="TimesNewRoman,Bold" w:hAnsi="TimesNewRoman,Bold" w:cs="TimesNewRoman,Bold"/>
          <w:b/>
          <w:bCs/>
          <w:color w:val="010101"/>
          <w:szCs w:val="22"/>
        </w:rPr>
      </w:pPr>
      <w:r>
        <w:rPr>
          <w:rFonts w:ascii="TimesNewRoman,Bold" w:hAnsi="TimesNewRoman,Bold" w:cs="TimesNewRoman,Bold"/>
          <w:b/>
          <w:bCs/>
          <w:color w:val="010101"/>
          <w:szCs w:val="22"/>
        </w:rPr>
        <w:t>PETITION FOR DECLARATORY RULING UNDER SECTION 310(B)(4)</w:t>
      </w:r>
    </w:p>
    <w:p w:rsidR="00EB0620" w:rsidP="00EB0620">
      <w:pPr>
        <w:autoSpaceDE w:val="0"/>
        <w:autoSpaceDN w:val="0"/>
        <w:adjustRightInd w:val="0"/>
        <w:rPr>
          <w:rFonts w:ascii="TimesNewRoman,Bold" w:hAnsi="TimesNewRoman,Bold" w:cs="TimesNewRoman,Bold"/>
          <w:b/>
          <w:bCs/>
          <w:color w:val="010101"/>
          <w:szCs w:val="22"/>
        </w:rPr>
      </w:pPr>
    </w:p>
    <w:p w:rsidR="00EB0620" w:rsidRPr="00C67BB9" w:rsidP="00EB0620">
      <w:pPr>
        <w:rPr>
          <w:szCs w:val="22"/>
        </w:rPr>
      </w:pPr>
      <w:bookmarkStart w:id="8" w:name="_Hlk14958152"/>
      <w:r w:rsidRPr="00C67BB9">
        <w:rPr>
          <w:szCs w:val="22"/>
        </w:rPr>
        <w:t>The Petition has been assigned File No.</w:t>
      </w:r>
      <w:r w:rsidRPr="00C65F08" w:rsidR="00C65F08">
        <w:t xml:space="preserve"> </w:t>
      </w:r>
      <w:r w:rsidRPr="00C65F08" w:rsidR="00C65F08">
        <w:rPr>
          <w:szCs w:val="22"/>
        </w:rPr>
        <w:t>ISP-PDR-20200728-00006</w:t>
      </w:r>
      <w:r w:rsidRPr="00C67BB9">
        <w:rPr>
          <w:szCs w:val="22"/>
        </w:rPr>
        <w:t>.</w:t>
      </w:r>
    </w:p>
    <w:bookmarkEnd w:id="8"/>
    <w:p w:rsidR="00EB0620" w:rsidP="00EB0620">
      <w:pPr>
        <w:autoSpaceDE w:val="0"/>
        <w:autoSpaceDN w:val="0"/>
        <w:adjustRightInd w:val="0"/>
        <w:rPr>
          <w:b/>
          <w:szCs w:val="22"/>
        </w:rPr>
      </w:pPr>
    </w:p>
    <w:p w:rsidR="00EB0620" w:rsidP="00EB0620">
      <w:pPr>
        <w:autoSpaceDE w:val="0"/>
        <w:autoSpaceDN w:val="0"/>
        <w:adjustRightInd w:val="0"/>
        <w:rPr>
          <w:b/>
          <w:szCs w:val="22"/>
        </w:rPr>
      </w:pPr>
    </w:p>
    <w:p w:rsidR="00EB0620" w:rsidRPr="00993C29" w:rsidP="00EB0620">
      <w:pPr>
        <w:jc w:val="center"/>
        <w:rPr>
          <w:b/>
          <w:szCs w:val="22"/>
        </w:rPr>
      </w:pPr>
      <w:r w:rsidRPr="00993C29">
        <w:rPr>
          <w:b/>
          <w:szCs w:val="22"/>
        </w:rPr>
        <w:t>- FCC –</w:t>
      </w:r>
    </w:p>
    <w:p w:rsidR="00EB0620" w:rsidP="00EB0620">
      <w:pPr>
        <w:autoSpaceDE w:val="0"/>
        <w:autoSpaceDN w:val="0"/>
        <w:adjustRightInd w:val="0"/>
        <w:jc w:val="center"/>
        <w:rPr>
          <w:color w:val="000000"/>
          <w:szCs w:val="22"/>
        </w:rPr>
      </w:pPr>
    </w:p>
    <w:p w:rsidR="004A746A" w:rsidP="00EB0620">
      <w:pPr>
        <w:autoSpaceDE w:val="0"/>
        <w:autoSpaceDN w:val="0"/>
        <w:adjustRightInd w:val="0"/>
        <w:rPr>
          <w:b/>
          <w:szCs w:val="22"/>
        </w:rPr>
      </w:pPr>
    </w:p>
    <w:p w:rsidR="00EB0620" w:rsidP="00EB0620">
      <w:pPr>
        <w:autoSpaceDE w:val="0"/>
        <w:autoSpaceDN w:val="0"/>
        <w:adjustRightInd w:val="0"/>
        <w:rPr>
          <w:b/>
          <w:szCs w:val="22"/>
        </w:rPr>
      </w:pPr>
    </w:p>
    <w:p w:rsidR="00EB0620" w:rsidP="00EB0620">
      <w:pPr>
        <w:autoSpaceDE w:val="0"/>
        <w:autoSpaceDN w:val="0"/>
        <w:adjustRightInd w:val="0"/>
        <w:rPr>
          <w:b/>
          <w:szCs w:val="22"/>
        </w:rPr>
      </w:pPr>
    </w:p>
    <w:p w:rsidR="00E7033D">
      <w:pPr>
        <w:autoSpaceDE w:val="0"/>
        <w:autoSpaceDN w:val="0"/>
        <w:adjustRightInd w:val="0"/>
        <w:jc w:val="center"/>
        <w:rPr>
          <w:b/>
          <w:szCs w:val="22"/>
        </w:rPr>
      </w:pPr>
    </w:p>
    <w:p w:rsidR="00E7033D">
      <w:pPr>
        <w:autoSpaceDE w:val="0"/>
        <w:autoSpaceDN w:val="0"/>
        <w:adjustRightInd w:val="0"/>
        <w:rPr>
          <w:color w:val="000000"/>
          <w:szCs w:val="22"/>
        </w:rPr>
      </w:pPr>
    </w:p>
    <w:sectPr>
      <w:footerReference w:type="default" r:id="rId13"/>
      <w:headerReference w:type="first" r:id="rId14"/>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p w:rsidR="00E703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46131">
      <w:r>
        <w:separator/>
      </w:r>
    </w:p>
  </w:footnote>
  <w:footnote w:type="continuationSeparator" w:id="1">
    <w:p w:rsidR="00246131">
      <w:r>
        <w:continuationSeparator/>
      </w:r>
    </w:p>
  </w:footnote>
  <w:footnote w:type="continuationNotice" w:id="2">
    <w:p w:rsidR="00246131"/>
  </w:footnote>
  <w:footnote w:id="3">
    <w:p w:rsidR="00E7033D" w:rsidRPr="00F60AC8" w:rsidP="00531A68">
      <w:pPr>
        <w:pStyle w:val="FootnoteText"/>
        <w:spacing w:after="120"/>
        <w:rPr>
          <w:sz w:val="20"/>
        </w:rPr>
      </w:pPr>
      <w:r w:rsidRPr="002F57A2">
        <w:rPr>
          <w:rStyle w:val="FootnoteReference"/>
          <w:sz w:val="20"/>
        </w:rPr>
        <w:footnoteRef/>
      </w:r>
      <w:r w:rsidRPr="002F57A2">
        <w:rPr>
          <w:sz w:val="20"/>
        </w:rPr>
        <w:t xml:space="preserve"> </w:t>
      </w:r>
      <w:r w:rsidRPr="00F60AC8">
        <w:rPr>
          <w:i/>
          <w:sz w:val="20"/>
        </w:rPr>
        <w:t>See</w:t>
      </w:r>
      <w:r w:rsidRPr="00F60AC8">
        <w:rPr>
          <w:sz w:val="20"/>
        </w:rPr>
        <w:t xml:space="preserve"> 47 U.S.C. §</w:t>
      </w:r>
      <w:r w:rsidRPr="00F60AC8" w:rsidR="00A342B9">
        <w:rPr>
          <w:sz w:val="20"/>
        </w:rPr>
        <w:t>§</w:t>
      </w:r>
      <w:r w:rsidRPr="00F60AC8">
        <w:rPr>
          <w:sz w:val="20"/>
        </w:rPr>
        <w:t xml:space="preserve"> 214</w:t>
      </w:r>
      <w:r w:rsidRPr="00F60AC8" w:rsidR="00A342B9">
        <w:rPr>
          <w:sz w:val="20"/>
        </w:rPr>
        <w:t>, 310(d)</w:t>
      </w:r>
      <w:r w:rsidRPr="00F60AC8">
        <w:rPr>
          <w:sz w:val="20"/>
        </w:rPr>
        <w:t>; 47 CFR §§ 63.03-</w:t>
      </w:r>
      <w:r w:rsidR="00053654">
        <w:rPr>
          <w:sz w:val="20"/>
        </w:rPr>
        <w:t>63.</w:t>
      </w:r>
      <w:r w:rsidRPr="00F60AC8">
        <w:rPr>
          <w:sz w:val="20"/>
        </w:rPr>
        <w:t xml:space="preserve">04. </w:t>
      </w:r>
      <w:r w:rsidRPr="00F60AC8" w:rsidR="00A342B9">
        <w:rPr>
          <w:sz w:val="20"/>
        </w:rPr>
        <w:t xml:space="preserve"> </w:t>
      </w:r>
      <w:r w:rsidRPr="00F60AC8" w:rsidR="00727D94">
        <w:rPr>
          <w:sz w:val="20"/>
        </w:rPr>
        <w:t>Application of Court Square Capital GP II, LLC et al. for Consent to Transfer Indirect Control of Domestic Section 214 Authority Under the Communications Act of 1934, as Amended, WC Docket No. 20-240 (filed July 28, 2020)</w:t>
      </w:r>
      <w:r w:rsidRPr="00F60AC8" w:rsidR="008C5F16">
        <w:rPr>
          <w:sz w:val="20"/>
        </w:rPr>
        <w:t xml:space="preserve"> (</w:t>
      </w:r>
      <w:r w:rsidRPr="00F60AC8" w:rsidR="00BD3BC3">
        <w:rPr>
          <w:sz w:val="20"/>
        </w:rPr>
        <w:t xml:space="preserve">Lead </w:t>
      </w:r>
      <w:r w:rsidRPr="00F60AC8" w:rsidR="008C5F16">
        <w:rPr>
          <w:sz w:val="20"/>
        </w:rPr>
        <w:t xml:space="preserve">Application).  </w:t>
      </w:r>
      <w:r w:rsidRPr="00F60AC8" w:rsidR="00466B46">
        <w:rPr>
          <w:sz w:val="20"/>
        </w:rPr>
        <w:t xml:space="preserve">On August </w:t>
      </w:r>
      <w:r w:rsidRPr="00F60AC8" w:rsidR="00CC2B79">
        <w:rPr>
          <w:sz w:val="20"/>
        </w:rPr>
        <w:t>11</w:t>
      </w:r>
      <w:r w:rsidRPr="00F60AC8" w:rsidR="00466B46">
        <w:rPr>
          <w:sz w:val="20"/>
        </w:rPr>
        <w:t xml:space="preserve">, 2020, Applicants filed a supplement to their domestic section 214 application.  Letter from Colleen Sechrest, </w:t>
      </w:r>
      <w:r w:rsidRPr="00F60AC8" w:rsidR="0056506E">
        <w:rPr>
          <w:sz w:val="20"/>
        </w:rPr>
        <w:t>C</w:t>
      </w:r>
      <w:r w:rsidRPr="00F60AC8" w:rsidR="00466B46">
        <w:rPr>
          <w:sz w:val="20"/>
        </w:rPr>
        <w:t>ounsel to EagleCrest CUB GP and APG US, to Marlene Dortch, Secretary, FCC (filed Aug</w:t>
      </w:r>
      <w:r w:rsidR="00F60AC8">
        <w:rPr>
          <w:sz w:val="20"/>
        </w:rPr>
        <w:t>.</w:t>
      </w:r>
      <w:r w:rsidRPr="00F60AC8" w:rsidR="00CC2B79">
        <w:rPr>
          <w:sz w:val="20"/>
        </w:rPr>
        <w:t xml:space="preserve"> 11, 2020</w:t>
      </w:r>
      <w:r w:rsidRPr="00F60AC8" w:rsidR="00466B46">
        <w:rPr>
          <w:sz w:val="20"/>
        </w:rPr>
        <w:t>) (on file in WC Docket No. 20-240)</w:t>
      </w:r>
      <w:r w:rsidRPr="00F60AC8" w:rsidR="00CC2B79">
        <w:rPr>
          <w:sz w:val="20"/>
        </w:rPr>
        <w:t xml:space="preserve"> (Supplement)</w:t>
      </w:r>
      <w:r w:rsidRPr="00F60AC8" w:rsidR="00466B46">
        <w:rPr>
          <w:sz w:val="20"/>
        </w:rPr>
        <w:t xml:space="preserve">.  </w:t>
      </w:r>
      <w:r w:rsidRPr="00F60AC8" w:rsidR="00A342B9">
        <w:rPr>
          <w:i/>
          <w:iCs/>
          <w:sz w:val="20"/>
        </w:rPr>
        <w:t xml:space="preserve">See </w:t>
      </w:r>
      <w:r w:rsidRPr="00F60AC8" w:rsidR="00A342B9">
        <w:rPr>
          <w:sz w:val="20"/>
        </w:rPr>
        <w:t xml:space="preserve">Attachment A </w:t>
      </w:r>
      <w:r w:rsidRPr="00F60AC8" w:rsidR="00516D34">
        <w:rPr>
          <w:sz w:val="20"/>
        </w:rPr>
        <w:t>below for a list of authorizations to be transferred.</w:t>
      </w:r>
      <w:r w:rsidRPr="00F60AC8" w:rsidR="00A342B9">
        <w:rPr>
          <w:sz w:val="20"/>
        </w:rPr>
        <w:t xml:space="preserve"> </w:t>
      </w:r>
    </w:p>
  </w:footnote>
  <w:footnote w:id="4">
    <w:p w:rsidR="00A342B9" w:rsidRPr="00F60AC8" w:rsidP="00A342B9">
      <w:pPr>
        <w:pStyle w:val="FootnoteText"/>
        <w:rPr>
          <w:sz w:val="20"/>
        </w:rPr>
      </w:pPr>
      <w:r w:rsidRPr="00F60AC8">
        <w:rPr>
          <w:rStyle w:val="FootnoteReference"/>
          <w:sz w:val="20"/>
        </w:rPr>
        <w:footnoteRef/>
      </w:r>
      <w:r w:rsidRPr="00F60AC8">
        <w:rPr>
          <w:sz w:val="20"/>
        </w:rPr>
        <w:t xml:space="preserve"> 47 U.S.C. § 310(b)(4); 47 CFR § 1.5000(a)(1).</w:t>
      </w:r>
      <w:r w:rsidRPr="00F60AC8" w:rsidR="00561E2C">
        <w:rPr>
          <w:sz w:val="20"/>
        </w:rPr>
        <w:t xml:space="preserve"> </w:t>
      </w:r>
      <w:r w:rsidRPr="00F60AC8" w:rsidR="00370F20">
        <w:rPr>
          <w:sz w:val="20"/>
        </w:rPr>
        <w:t xml:space="preserve"> Conterra Ultra Broadband, LLC, et al., Petition for Declaratory Ruling Under Section 310(b)(4) of the Communications Act of 1934, as amended, IBFS File No. ISP-PDR-20200728-00006 (filed July 28, 2020) (Petition).</w:t>
      </w:r>
    </w:p>
  </w:footnote>
  <w:footnote w:id="5">
    <w:p w:rsidR="00066781" w:rsidRPr="00053654" w:rsidP="00066781">
      <w:pPr>
        <w:pStyle w:val="FootnoteText"/>
        <w:rPr>
          <w:sz w:val="20"/>
        </w:rPr>
      </w:pPr>
      <w:r w:rsidRPr="002F57A2">
        <w:rPr>
          <w:rStyle w:val="FootnoteReference"/>
          <w:sz w:val="20"/>
        </w:rPr>
        <w:footnoteRef/>
      </w:r>
      <w:r w:rsidRPr="002F57A2">
        <w:rPr>
          <w:sz w:val="20"/>
        </w:rPr>
        <w:t xml:space="preserve"> </w:t>
      </w:r>
      <w:r w:rsidRPr="00053654">
        <w:rPr>
          <w:sz w:val="20"/>
        </w:rPr>
        <w:t>Lead Application at 4.</w:t>
      </w:r>
    </w:p>
  </w:footnote>
  <w:footnote w:id="6">
    <w:p w:rsidR="00F60AC8" w:rsidRPr="00053654">
      <w:pPr>
        <w:pStyle w:val="FootnoteText"/>
        <w:rPr>
          <w:sz w:val="20"/>
        </w:rPr>
      </w:pPr>
      <w:r w:rsidRPr="00053654">
        <w:rPr>
          <w:rStyle w:val="FootnoteReference"/>
          <w:sz w:val="20"/>
        </w:rPr>
        <w:footnoteRef/>
      </w:r>
      <w:r w:rsidRPr="00053654">
        <w:rPr>
          <w:sz w:val="20"/>
        </w:rPr>
        <w:t xml:space="preserve"> </w:t>
      </w:r>
      <w:r w:rsidRPr="00053654">
        <w:rPr>
          <w:i/>
          <w:iCs/>
          <w:sz w:val="20"/>
        </w:rPr>
        <w:t>Id</w:t>
      </w:r>
      <w:r w:rsidRPr="00053654">
        <w:rPr>
          <w:sz w:val="20"/>
        </w:rPr>
        <w:t>. at 3.</w:t>
      </w:r>
    </w:p>
  </w:footnote>
  <w:footnote w:id="7">
    <w:p w:rsidR="00F60AC8" w:rsidRPr="00053654">
      <w:pPr>
        <w:pStyle w:val="FootnoteText"/>
        <w:rPr>
          <w:sz w:val="20"/>
        </w:rPr>
      </w:pPr>
      <w:r w:rsidRPr="00053654">
        <w:rPr>
          <w:rStyle w:val="FootnoteReference"/>
          <w:sz w:val="20"/>
        </w:rPr>
        <w:footnoteRef/>
      </w:r>
      <w:r w:rsidRPr="00053654">
        <w:rPr>
          <w:sz w:val="20"/>
        </w:rPr>
        <w:t xml:space="preserve"> </w:t>
      </w:r>
      <w:r w:rsidRPr="00053654">
        <w:rPr>
          <w:i/>
          <w:iCs/>
          <w:sz w:val="20"/>
        </w:rPr>
        <w:t>Id</w:t>
      </w:r>
      <w:r w:rsidRPr="00053654">
        <w:rPr>
          <w:sz w:val="20"/>
        </w:rPr>
        <w:t>. at 4.</w:t>
      </w:r>
    </w:p>
  </w:footnote>
  <w:footnote w:id="8">
    <w:p w:rsidR="00654021" w:rsidRPr="00053654">
      <w:pPr>
        <w:pStyle w:val="FootnoteText"/>
        <w:rPr>
          <w:sz w:val="20"/>
        </w:rPr>
      </w:pPr>
      <w:r w:rsidRPr="00053654">
        <w:rPr>
          <w:rStyle w:val="FootnoteReference"/>
          <w:sz w:val="20"/>
        </w:rPr>
        <w:footnoteRef/>
      </w:r>
      <w:r w:rsidRPr="00053654">
        <w:rPr>
          <w:sz w:val="20"/>
        </w:rPr>
        <w:t xml:space="preserve"> Petition at 2.</w:t>
      </w:r>
    </w:p>
  </w:footnote>
  <w:footnote w:id="9">
    <w:p w:rsidR="00626C28" w:rsidRPr="00053654">
      <w:pPr>
        <w:pStyle w:val="FootnoteText"/>
        <w:rPr>
          <w:sz w:val="20"/>
        </w:rPr>
      </w:pPr>
      <w:r w:rsidRPr="00053654">
        <w:rPr>
          <w:rStyle w:val="FootnoteReference"/>
          <w:sz w:val="20"/>
        </w:rPr>
        <w:footnoteRef/>
      </w:r>
      <w:r w:rsidRPr="00053654">
        <w:rPr>
          <w:sz w:val="20"/>
        </w:rPr>
        <w:t xml:space="preserve"> </w:t>
      </w:r>
      <w:r w:rsidRPr="00053654" w:rsidR="003920F4">
        <w:rPr>
          <w:i/>
          <w:iCs/>
          <w:sz w:val="20"/>
        </w:rPr>
        <w:t>Id</w:t>
      </w:r>
      <w:r w:rsidRPr="00053654" w:rsidR="003920F4">
        <w:rPr>
          <w:sz w:val="20"/>
        </w:rPr>
        <w:t>.</w:t>
      </w:r>
      <w:r w:rsidRPr="00053654">
        <w:rPr>
          <w:sz w:val="20"/>
        </w:rPr>
        <w:t xml:space="preserve"> at 2-3.</w:t>
      </w:r>
    </w:p>
  </w:footnote>
  <w:footnote w:id="10">
    <w:p w:rsidR="00516D34" w:rsidRPr="002F57A2">
      <w:pPr>
        <w:pStyle w:val="FootnoteText"/>
        <w:rPr>
          <w:sz w:val="20"/>
        </w:rPr>
      </w:pPr>
      <w:r w:rsidRPr="002F57A2">
        <w:rPr>
          <w:rStyle w:val="FootnoteReference"/>
          <w:sz w:val="20"/>
        </w:rPr>
        <w:footnoteRef/>
      </w:r>
      <w:r w:rsidRPr="002F57A2">
        <w:rPr>
          <w:sz w:val="20"/>
        </w:rPr>
        <w:t xml:space="preserve"> </w:t>
      </w:r>
      <w:r w:rsidRPr="002F57A2">
        <w:rPr>
          <w:i/>
          <w:iCs/>
          <w:sz w:val="20"/>
        </w:rPr>
        <w:t>Id</w:t>
      </w:r>
      <w:r w:rsidRPr="002F57A2">
        <w:rPr>
          <w:sz w:val="20"/>
        </w:rPr>
        <w:t>.</w:t>
      </w:r>
      <w:r w:rsidR="00654021">
        <w:rPr>
          <w:sz w:val="20"/>
        </w:rPr>
        <w:t>; Petition at 2.</w:t>
      </w:r>
      <w:r w:rsidR="00CE6E81">
        <w:rPr>
          <w:sz w:val="20"/>
        </w:rPr>
        <w:t xml:space="preserve">  </w:t>
      </w:r>
    </w:p>
  </w:footnote>
  <w:footnote w:id="11">
    <w:p w:rsidR="00516D34" w:rsidRPr="002F57A2">
      <w:pPr>
        <w:pStyle w:val="FootnoteText"/>
        <w:rPr>
          <w:sz w:val="20"/>
        </w:rPr>
      </w:pPr>
      <w:r w:rsidRPr="002F57A2">
        <w:rPr>
          <w:rStyle w:val="FootnoteReference"/>
          <w:sz w:val="20"/>
        </w:rPr>
        <w:footnoteRef/>
      </w:r>
      <w:r w:rsidRPr="002F57A2">
        <w:rPr>
          <w:rStyle w:val="FootnoteReference"/>
          <w:sz w:val="20"/>
        </w:rPr>
        <w:t xml:space="preserve"> </w:t>
      </w:r>
      <w:r w:rsidRPr="002F57A2">
        <w:rPr>
          <w:sz w:val="20"/>
        </w:rPr>
        <w:t xml:space="preserve"> </w:t>
      </w:r>
      <w:r w:rsidR="00654021">
        <w:rPr>
          <w:sz w:val="20"/>
        </w:rPr>
        <w:t>Lead Application</w:t>
      </w:r>
      <w:r w:rsidRPr="002F57A2">
        <w:rPr>
          <w:sz w:val="20"/>
        </w:rPr>
        <w:t xml:space="preserve"> at 2.</w:t>
      </w:r>
    </w:p>
  </w:footnote>
  <w:footnote w:id="12">
    <w:p w:rsidR="00254EE6" w:rsidRPr="002F57A2">
      <w:pPr>
        <w:pStyle w:val="FootnoteText"/>
        <w:rPr>
          <w:sz w:val="20"/>
        </w:rPr>
      </w:pPr>
      <w:r w:rsidRPr="002F57A2">
        <w:rPr>
          <w:rStyle w:val="FootnoteReference"/>
          <w:sz w:val="20"/>
        </w:rPr>
        <w:footnoteRef/>
      </w:r>
      <w:r w:rsidRPr="002F57A2">
        <w:rPr>
          <w:sz w:val="20"/>
        </w:rPr>
        <w:t xml:space="preserve"> </w:t>
      </w:r>
      <w:r w:rsidRPr="002F57A2" w:rsidR="00516D34">
        <w:rPr>
          <w:i/>
          <w:iCs/>
          <w:sz w:val="20"/>
        </w:rPr>
        <w:t>Id</w:t>
      </w:r>
      <w:r w:rsidRPr="002F57A2" w:rsidR="00516D34">
        <w:rPr>
          <w:sz w:val="20"/>
        </w:rPr>
        <w:t xml:space="preserve">. at 4-5.  </w:t>
      </w:r>
    </w:p>
  </w:footnote>
  <w:footnote w:id="13">
    <w:p w:rsidR="00516D34" w:rsidRPr="002F57A2">
      <w:pPr>
        <w:pStyle w:val="FootnoteText"/>
        <w:rPr>
          <w:sz w:val="20"/>
        </w:rPr>
      </w:pPr>
      <w:r w:rsidRPr="002F57A2">
        <w:rPr>
          <w:rStyle w:val="FootnoteReference"/>
          <w:sz w:val="20"/>
        </w:rPr>
        <w:footnoteRef/>
      </w:r>
      <w:r w:rsidRPr="002F57A2">
        <w:rPr>
          <w:sz w:val="20"/>
        </w:rPr>
        <w:t xml:space="preserve"> </w:t>
      </w:r>
      <w:r w:rsidRPr="002F57A2">
        <w:rPr>
          <w:i/>
          <w:iCs/>
          <w:sz w:val="20"/>
        </w:rPr>
        <w:t>Id</w:t>
      </w:r>
      <w:r w:rsidRPr="002F57A2">
        <w:rPr>
          <w:sz w:val="20"/>
        </w:rPr>
        <w:t>. at 5.</w:t>
      </w:r>
    </w:p>
  </w:footnote>
  <w:footnote w:id="14">
    <w:p w:rsidR="00FF4039" w:rsidRPr="002F57A2">
      <w:pPr>
        <w:pStyle w:val="FootnoteText"/>
        <w:rPr>
          <w:sz w:val="20"/>
        </w:rPr>
      </w:pPr>
      <w:r w:rsidRPr="002F57A2">
        <w:rPr>
          <w:rStyle w:val="FootnoteReference"/>
          <w:sz w:val="20"/>
        </w:rPr>
        <w:footnoteRef/>
      </w:r>
      <w:r w:rsidRPr="002F57A2">
        <w:rPr>
          <w:sz w:val="20"/>
        </w:rPr>
        <w:t xml:space="preserve"> </w:t>
      </w:r>
      <w:r w:rsidRPr="002F57A2">
        <w:rPr>
          <w:i/>
          <w:iCs/>
          <w:sz w:val="20"/>
        </w:rPr>
        <w:t>Id</w:t>
      </w:r>
      <w:r w:rsidRPr="002F57A2">
        <w:rPr>
          <w:sz w:val="20"/>
        </w:rPr>
        <w:t>. at 5-6.</w:t>
      </w:r>
    </w:p>
  </w:footnote>
  <w:footnote w:id="15">
    <w:p w:rsidR="00FF4039" w:rsidRPr="002F57A2">
      <w:pPr>
        <w:pStyle w:val="FootnoteText"/>
        <w:rPr>
          <w:sz w:val="20"/>
        </w:rPr>
      </w:pPr>
      <w:r w:rsidRPr="002F57A2">
        <w:rPr>
          <w:rStyle w:val="FootnoteReference"/>
          <w:sz w:val="20"/>
        </w:rPr>
        <w:footnoteRef/>
      </w:r>
      <w:r w:rsidRPr="002F57A2">
        <w:rPr>
          <w:rStyle w:val="FootnoteReference"/>
          <w:sz w:val="20"/>
        </w:rPr>
        <w:t xml:space="preserve"> </w:t>
      </w:r>
      <w:r w:rsidRPr="002F57A2">
        <w:rPr>
          <w:i/>
          <w:iCs/>
          <w:sz w:val="20"/>
        </w:rPr>
        <w:t>Id</w:t>
      </w:r>
      <w:r w:rsidRPr="002F57A2">
        <w:rPr>
          <w:sz w:val="20"/>
        </w:rPr>
        <w:t>. at 6.</w:t>
      </w:r>
    </w:p>
  </w:footnote>
  <w:footnote w:id="16">
    <w:p w:rsidR="00FF4039" w:rsidRPr="002F57A2">
      <w:pPr>
        <w:pStyle w:val="FootnoteText"/>
        <w:rPr>
          <w:sz w:val="20"/>
        </w:rPr>
      </w:pPr>
      <w:r w:rsidRPr="002F57A2">
        <w:rPr>
          <w:rStyle w:val="FootnoteReference"/>
          <w:sz w:val="20"/>
        </w:rPr>
        <w:footnoteRef/>
      </w:r>
      <w:r w:rsidRPr="002F57A2">
        <w:rPr>
          <w:sz w:val="20"/>
        </w:rPr>
        <w:t xml:space="preserve"> </w:t>
      </w:r>
      <w:r w:rsidRPr="002F57A2">
        <w:rPr>
          <w:i/>
          <w:iCs/>
          <w:sz w:val="20"/>
        </w:rPr>
        <w:t>Id</w:t>
      </w:r>
      <w:r w:rsidRPr="002F57A2">
        <w:rPr>
          <w:sz w:val="20"/>
        </w:rPr>
        <w:t>. at 6-7.</w:t>
      </w:r>
    </w:p>
  </w:footnote>
  <w:footnote w:id="17">
    <w:p w:rsidR="00FF4039" w:rsidRPr="002F57A2">
      <w:pPr>
        <w:pStyle w:val="FootnoteText"/>
        <w:rPr>
          <w:sz w:val="20"/>
        </w:rPr>
      </w:pPr>
      <w:r w:rsidRPr="002F57A2">
        <w:rPr>
          <w:rStyle w:val="FootnoteReference"/>
          <w:sz w:val="20"/>
        </w:rPr>
        <w:footnoteRef/>
      </w:r>
      <w:r w:rsidRPr="002F57A2">
        <w:rPr>
          <w:sz w:val="20"/>
        </w:rPr>
        <w:t xml:space="preserve"> </w:t>
      </w:r>
      <w:r w:rsidRPr="002F57A2">
        <w:rPr>
          <w:i/>
          <w:iCs/>
          <w:sz w:val="20"/>
        </w:rPr>
        <w:t>Id</w:t>
      </w:r>
      <w:r w:rsidRPr="002F57A2">
        <w:rPr>
          <w:sz w:val="20"/>
        </w:rPr>
        <w:t>. at 4-7.</w:t>
      </w:r>
      <w:r w:rsidR="00D30CAC">
        <w:rPr>
          <w:sz w:val="20"/>
        </w:rPr>
        <w:t xml:space="preserve"> </w:t>
      </w:r>
    </w:p>
  </w:footnote>
  <w:footnote w:id="18">
    <w:p w:rsidR="00FE4AAE" w:rsidRPr="002F57A2">
      <w:pPr>
        <w:pStyle w:val="FootnoteText"/>
        <w:rPr>
          <w:sz w:val="20"/>
        </w:rPr>
      </w:pPr>
      <w:r w:rsidRPr="002F57A2">
        <w:rPr>
          <w:rStyle w:val="FootnoteReference"/>
          <w:sz w:val="20"/>
        </w:rPr>
        <w:footnoteRef/>
      </w:r>
      <w:r w:rsidRPr="002F57A2">
        <w:rPr>
          <w:sz w:val="20"/>
        </w:rPr>
        <w:t xml:space="preserve"> Applicants provide detailed post-transaction ownership information</w:t>
      </w:r>
      <w:r w:rsidRPr="002F57A2" w:rsidR="00575BA8">
        <w:rPr>
          <w:sz w:val="20"/>
        </w:rPr>
        <w:t xml:space="preserve"> and</w:t>
      </w:r>
      <w:r w:rsidRPr="002F57A2">
        <w:rPr>
          <w:sz w:val="20"/>
        </w:rPr>
        <w:t xml:space="preserve"> charts</w:t>
      </w:r>
      <w:r w:rsidRPr="002F57A2" w:rsidR="00575BA8">
        <w:rPr>
          <w:sz w:val="20"/>
        </w:rPr>
        <w:t>,</w:t>
      </w:r>
      <w:r w:rsidRPr="002F57A2" w:rsidR="00022E59">
        <w:rPr>
          <w:sz w:val="20"/>
        </w:rPr>
        <w:t xml:space="preserve"> as well as information on </w:t>
      </w:r>
      <w:r w:rsidRPr="002F57A2" w:rsidR="00C35308">
        <w:rPr>
          <w:sz w:val="20"/>
        </w:rPr>
        <w:t xml:space="preserve">other </w:t>
      </w:r>
      <w:r w:rsidRPr="002F57A2" w:rsidR="00022E59">
        <w:rPr>
          <w:sz w:val="20"/>
        </w:rPr>
        <w:t xml:space="preserve">intermediate </w:t>
      </w:r>
      <w:r w:rsidRPr="002F57A2" w:rsidR="000E0814">
        <w:rPr>
          <w:sz w:val="20"/>
        </w:rPr>
        <w:t>entities</w:t>
      </w:r>
      <w:r w:rsidRPr="002F57A2" w:rsidR="008D142D">
        <w:rPr>
          <w:sz w:val="20"/>
        </w:rPr>
        <w:t>, including entities with foreign ownership</w:t>
      </w:r>
      <w:r w:rsidRPr="002F57A2" w:rsidR="00575BA8">
        <w:rPr>
          <w:sz w:val="20"/>
        </w:rPr>
        <w:t xml:space="preserve"> from Canada, Luxembourg, Ireland, France, and the Netherlands</w:t>
      </w:r>
      <w:r w:rsidRPr="002F57A2">
        <w:rPr>
          <w:sz w:val="20"/>
        </w:rPr>
        <w:t xml:space="preserve">.  </w:t>
      </w:r>
      <w:r w:rsidRPr="002F57A2" w:rsidR="00E43537">
        <w:rPr>
          <w:sz w:val="20"/>
        </w:rPr>
        <w:t xml:space="preserve">Lead </w:t>
      </w:r>
      <w:r w:rsidRPr="002F57A2">
        <w:rPr>
          <w:sz w:val="20"/>
        </w:rPr>
        <w:t>Application at 7-8</w:t>
      </w:r>
      <w:r w:rsidRPr="002F57A2" w:rsidR="00FF4039">
        <w:rPr>
          <w:sz w:val="20"/>
        </w:rPr>
        <w:t xml:space="preserve"> and</w:t>
      </w:r>
      <w:r w:rsidRPr="002F57A2" w:rsidR="008A2481">
        <w:rPr>
          <w:sz w:val="20"/>
        </w:rPr>
        <w:t xml:space="preserve"> </w:t>
      </w:r>
      <w:r w:rsidRPr="002F57A2">
        <w:rPr>
          <w:sz w:val="20"/>
        </w:rPr>
        <w:t>App</w:t>
      </w:r>
      <w:r w:rsidRPr="002F57A2" w:rsidR="00FF4039">
        <w:rPr>
          <w:sz w:val="20"/>
        </w:rPr>
        <w:t xml:space="preserve">. </w:t>
      </w:r>
      <w:r w:rsidRPr="002F57A2" w:rsidR="00D5373A">
        <w:rPr>
          <w:sz w:val="20"/>
        </w:rPr>
        <w:t xml:space="preserve">B </w:t>
      </w:r>
      <w:r w:rsidRPr="002F57A2" w:rsidR="00FF4039">
        <w:rPr>
          <w:sz w:val="20"/>
        </w:rPr>
        <w:t xml:space="preserve">(CUB Parent, Inc., Fiera Capital Corporation, and Draden Investors, LLC Post-Close Ownership Structure) </w:t>
      </w:r>
      <w:r w:rsidRPr="002F57A2" w:rsidR="00D5373A">
        <w:rPr>
          <w:sz w:val="20"/>
        </w:rPr>
        <w:t>and</w:t>
      </w:r>
      <w:r w:rsidRPr="002F57A2">
        <w:rPr>
          <w:sz w:val="20"/>
        </w:rPr>
        <w:t xml:space="preserve"> </w:t>
      </w:r>
      <w:r w:rsidR="003920F4">
        <w:rPr>
          <w:sz w:val="20"/>
        </w:rPr>
        <w:t xml:space="preserve">App. </w:t>
      </w:r>
      <w:r w:rsidRPr="002F57A2">
        <w:rPr>
          <w:sz w:val="20"/>
        </w:rPr>
        <w:t>C</w:t>
      </w:r>
      <w:r w:rsidRPr="002F57A2" w:rsidR="00FF4039">
        <w:rPr>
          <w:sz w:val="20"/>
        </w:rPr>
        <w:t xml:space="preserve"> (CUB Parent Authority Holders Post-Close Ownership Interests)</w:t>
      </w:r>
      <w:r w:rsidRPr="002F57A2">
        <w:rPr>
          <w:sz w:val="20"/>
        </w:rPr>
        <w:t>.</w:t>
      </w:r>
      <w:r w:rsidRPr="002F57A2" w:rsidR="00E87805">
        <w:rPr>
          <w:sz w:val="20"/>
        </w:rPr>
        <w:t xml:space="preserve"> </w:t>
      </w:r>
    </w:p>
  </w:footnote>
  <w:footnote w:id="19">
    <w:p w:rsidR="00D5373A" w:rsidRPr="002F57A2">
      <w:pPr>
        <w:pStyle w:val="FootnoteText"/>
        <w:rPr>
          <w:sz w:val="20"/>
        </w:rPr>
      </w:pPr>
      <w:r w:rsidRPr="002F57A2">
        <w:rPr>
          <w:rStyle w:val="FootnoteReference"/>
          <w:sz w:val="20"/>
        </w:rPr>
        <w:footnoteRef/>
      </w:r>
      <w:r w:rsidRPr="002F57A2">
        <w:rPr>
          <w:sz w:val="20"/>
        </w:rPr>
        <w:t xml:space="preserve"> </w:t>
      </w:r>
      <w:r w:rsidRPr="003920F4" w:rsidR="003C5B41">
        <w:rPr>
          <w:i/>
          <w:iCs/>
          <w:sz w:val="20"/>
        </w:rPr>
        <w:t>Id</w:t>
      </w:r>
      <w:r w:rsidRPr="002F57A2" w:rsidR="003C5B41">
        <w:rPr>
          <w:sz w:val="20"/>
        </w:rPr>
        <w:t>.</w:t>
      </w:r>
      <w:r w:rsidRPr="002F57A2">
        <w:rPr>
          <w:sz w:val="20"/>
        </w:rPr>
        <w:t xml:space="preserve"> at 7</w:t>
      </w:r>
      <w:r w:rsidRPr="002F57A2" w:rsidR="008A2481">
        <w:rPr>
          <w:sz w:val="20"/>
        </w:rPr>
        <w:t xml:space="preserve"> and </w:t>
      </w:r>
      <w:r w:rsidRPr="002F57A2">
        <w:rPr>
          <w:sz w:val="20"/>
        </w:rPr>
        <w:t>App</w:t>
      </w:r>
      <w:r w:rsidRPr="002F57A2" w:rsidR="00FF4039">
        <w:rPr>
          <w:sz w:val="20"/>
        </w:rPr>
        <w:t>.</w:t>
      </w:r>
      <w:r w:rsidRPr="002F57A2">
        <w:rPr>
          <w:sz w:val="20"/>
        </w:rPr>
        <w:t xml:space="preserve"> C at 2.</w:t>
      </w:r>
    </w:p>
  </w:footnote>
  <w:footnote w:id="20">
    <w:p w:rsidR="00D5373A" w:rsidRPr="002F57A2">
      <w:pPr>
        <w:pStyle w:val="FootnoteText"/>
        <w:rPr>
          <w:sz w:val="20"/>
        </w:rPr>
      </w:pPr>
      <w:r w:rsidRPr="002F57A2">
        <w:rPr>
          <w:rStyle w:val="FootnoteReference"/>
          <w:sz w:val="20"/>
        </w:rPr>
        <w:footnoteRef/>
      </w:r>
      <w:r w:rsidRPr="002F57A2">
        <w:rPr>
          <w:sz w:val="20"/>
        </w:rPr>
        <w:t xml:space="preserve"> </w:t>
      </w:r>
      <w:r w:rsidRPr="002F57A2" w:rsidR="00FF4039">
        <w:rPr>
          <w:i/>
          <w:iCs/>
          <w:sz w:val="20"/>
        </w:rPr>
        <w:t>Id</w:t>
      </w:r>
      <w:r w:rsidRPr="002F57A2" w:rsidR="00FF4039">
        <w:rPr>
          <w:sz w:val="20"/>
        </w:rPr>
        <w:t>.</w:t>
      </w:r>
      <w:r w:rsidRPr="002F57A2">
        <w:rPr>
          <w:sz w:val="20"/>
        </w:rPr>
        <w:t xml:space="preserve"> at 7</w:t>
      </w:r>
      <w:r w:rsidRPr="002F57A2" w:rsidR="00FF4039">
        <w:rPr>
          <w:sz w:val="20"/>
        </w:rPr>
        <w:t>, 10,</w:t>
      </w:r>
      <w:r w:rsidRPr="002F57A2" w:rsidR="00B04DD0">
        <w:rPr>
          <w:sz w:val="20"/>
        </w:rPr>
        <w:t xml:space="preserve"> </w:t>
      </w:r>
      <w:r w:rsidRPr="002F57A2" w:rsidR="00022E59">
        <w:rPr>
          <w:sz w:val="20"/>
        </w:rPr>
        <w:t>App</w:t>
      </w:r>
      <w:r w:rsidRPr="002F57A2" w:rsidR="00FF4039">
        <w:rPr>
          <w:sz w:val="20"/>
        </w:rPr>
        <w:t>.</w:t>
      </w:r>
      <w:r w:rsidRPr="002F57A2" w:rsidR="00022E59">
        <w:rPr>
          <w:sz w:val="20"/>
        </w:rPr>
        <w:t xml:space="preserve"> B at 1</w:t>
      </w:r>
      <w:r w:rsidRPr="002F57A2" w:rsidR="00FF4039">
        <w:rPr>
          <w:sz w:val="20"/>
        </w:rPr>
        <w:t>,</w:t>
      </w:r>
      <w:r w:rsidRPr="002F57A2" w:rsidR="0031552F">
        <w:rPr>
          <w:sz w:val="20"/>
        </w:rPr>
        <w:t xml:space="preserve"> </w:t>
      </w:r>
      <w:r w:rsidRPr="002F57A2" w:rsidR="00B04DD0">
        <w:rPr>
          <w:sz w:val="20"/>
        </w:rPr>
        <w:t>App</w:t>
      </w:r>
      <w:r w:rsidRPr="002F57A2" w:rsidR="00FF4039">
        <w:rPr>
          <w:sz w:val="20"/>
        </w:rPr>
        <w:t>.</w:t>
      </w:r>
      <w:r w:rsidRPr="002F57A2" w:rsidR="00B04DD0">
        <w:rPr>
          <w:sz w:val="20"/>
        </w:rPr>
        <w:t xml:space="preserve"> C at 14.</w:t>
      </w:r>
      <w:r w:rsidRPr="002F57A2" w:rsidR="000E012C">
        <w:rPr>
          <w:sz w:val="20"/>
        </w:rPr>
        <w:t xml:space="preserve">     </w:t>
      </w:r>
    </w:p>
  </w:footnote>
  <w:footnote w:id="21">
    <w:p w:rsidR="00D5373A" w:rsidRPr="002F57A2">
      <w:pPr>
        <w:pStyle w:val="FootnoteText"/>
        <w:rPr>
          <w:sz w:val="20"/>
        </w:rPr>
      </w:pPr>
      <w:r w:rsidRPr="002F57A2">
        <w:rPr>
          <w:rStyle w:val="FootnoteReference"/>
          <w:sz w:val="20"/>
        </w:rPr>
        <w:footnoteRef/>
      </w:r>
      <w:r w:rsidRPr="002F57A2">
        <w:rPr>
          <w:sz w:val="20"/>
        </w:rPr>
        <w:t xml:space="preserve"> </w:t>
      </w:r>
      <w:r w:rsidR="00E07E7B">
        <w:rPr>
          <w:sz w:val="20"/>
        </w:rPr>
        <w:t>Lead Application</w:t>
      </w:r>
      <w:r w:rsidRPr="002F57A2" w:rsidR="0031552F">
        <w:rPr>
          <w:sz w:val="20"/>
        </w:rPr>
        <w:t xml:space="preserve"> at 7</w:t>
      </w:r>
      <w:r w:rsidR="003920F4">
        <w:rPr>
          <w:sz w:val="20"/>
        </w:rPr>
        <w:t xml:space="preserve">, </w:t>
      </w:r>
      <w:r w:rsidRPr="002F57A2" w:rsidR="0031552F">
        <w:rPr>
          <w:sz w:val="20"/>
        </w:rPr>
        <w:t>10</w:t>
      </w:r>
      <w:r w:rsidR="00E07E7B">
        <w:rPr>
          <w:sz w:val="20"/>
        </w:rPr>
        <w:t>; Petition at 4</w:t>
      </w:r>
      <w:r w:rsidRPr="002F57A2" w:rsidR="0031552F">
        <w:rPr>
          <w:sz w:val="20"/>
        </w:rPr>
        <w:t>.</w:t>
      </w:r>
    </w:p>
  </w:footnote>
  <w:footnote w:id="22">
    <w:p w:rsidR="00E87805" w:rsidRPr="002F57A2">
      <w:pPr>
        <w:pStyle w:val="FootnoteText"/>
        <w:rPr>
          <w:i/>
          <w:iCs/>
          <w:sz w:val="20"/>
        </w:rPr>
      </w:pPr>
      <w:r w:rsidRPr="002F57A2">
        <w:rPr>
          <w:rStyle w:val="FootnoteReference"/>
          <w:sz w:val="20"/>
        </w:rPr>
        <w:footnoteRef/>
      </w:r>
      <w:r w:rsidRPr="002F57A2">
        <w:rPr>
          <w:sz w:val="20"/>
        </w:rPr>
        <w:t xml:space="preserve"> </w:t>
      </w:r>
      <w:r w:rsidRPr="0019389C" w:rsidR="00E07E7B">
        <w:rPr>
          <w:sz w:val="20"/>
        </w:rPr>
        <w:t>Lead Application</w:t>
      </w:r>
      <w:r w:rsidRPr="002F57A2" w:rsidR="003C5B41">
        <w:rPr>
          <w:sz w:val="20"/>
        </w:rPr>
        <w:t xml:space="preserve"> </w:t>
      </w:r>
      <w:r w:rsidRPr="002F57A2" w:rsidR="00022E59">
        <w:rPr>
          <w:sz w:val="20"/>
        </w:rPr>
        <w:t>at 7</w:t>
      </w:r>
      <w:r w:rsidRPr="002F57A2" w:rsidR="003C5B41">
        <w:rPr>
          <w:sz w:val="20"/>
        </w:rPr>
        <w:t>, App. B at 1-2, App. C</w:t>
      </w:r>
      <w:r w:rsidRPr="002F57A2" w:rsidR="00022E59">
        <w:rPr>
          <w:sz w:val="20"/>
        </w:rPr>
        <w:t xml:space="preserve"> at 9</w:t>
      </w:r>
      <w:r w:rsidR="00E07E7B">
        <w:rPr>
          <w:sz w:val="20"/>
        </w:rPr>
        <w:t>; Petition at 4</w:t>
      </w:r>
      <w:r w:rsidRPr="002F57A2" w:rsidR="00022E59">
        <w:rPr>
          <w:sz w:val="20"/>
        </w:rPr>
        <w:t xml:space="preserve">.  </w:t>
      </w:r>
      <w:r w:rsidRPr="002F57A2" w:rsidR="00153EC4">
        <w:rPr>
          <w:sz w:val="20"/>
        </w:rPr>
        <w:t>Applicants state that other than the minority direct and indirect interest in CUB Parent currently held by EagleCrest CUB LP, no entity controlled by Fiera and EagleCrest CUB GP identified in the Application at Appendices B and C holds any direct or indirect interest in a domestic telecommunications service provider.  Supplement at 2.  Applicants f</w:t>
      </w:r>
      <w:r w:rsidRPr="002F57A2" w:rsidR="00E659CA">
        <w:rPr>
          <w:sz w:val="20"/>
        </w:rPr>
        <w:t xml:space="preserve">urther state that they are not aware of any 10% or greater interest </w:t>
      </w:r>
      <w:r w:rsidRPr="002F57A2" w:rsidR="00576871">
        <w:rPr>
          <w:sz w:val="20"/>
        </w:rPr>
        <w:t xml:space="preserve">in a domestic telecommunications provider </w:t>
      </w:r>
      <w:r w:rsidRPr="002F57A2" w:rsidR="00E659CA">
        <w:rPr>
          <w:sz w:val="20"/>
        </w:rPr>
        <w:t xml:space="preserve">held by </w:t>
      </w:r>
      <w:r w:rsidRPr="002F57A2" w:rsidR="007124CC">
        <w:rPr>
          <w:sz w:val="20"/>
        </w:rPr>
        <w:t xml:space="preserve">Fiera Capital, any of </w:t>
      </w:r>
      <w:r w:rsidRPr="002F57A2" w:rsidR="00E659CA">
        <w:rPr>
          <w:sz w:val="20"/>
        </w:rPr>
        <w:t xml:space="preserve">the upstream entities </w:t>
      </w:r>
      <w:r w:rsidRPr="002F57A2" w:rsidR="00576871">
        <w:rPr>
          <w:sz w:val="20"/>
        </w:rPr>
        <w:t>which have a</w:t>
      </w:r>
      <w:r w:rsidRPr="002F57A2" w:rsidR="007124CC">
        <w:rPr>
          <w:sz w:val="20"/>
        </w:rPr>
        <w:t>n</w:t>
      </w:r>
      <w:r w:rsidRPr="002F57A2" w:rsidR="00576871">
        <w:rPr>
          <w:sz w:val="20"/>
        </w:rPr>
        <w:t xml:space="preserve"> </w:t>
      </w:r>
      <w:r w:rsidRPr="002F57A2" w:rsidR="007124CC">
        <w:rPr>
          <w:sz w:val="20"/>
        </w:rPr>
        <w:t xml:space="preserve">indirect controlling </w:t>
      </w:r>
      <w:r w:rsidRPr="002F57A2" w:rsidR="00576871">
        <w:rPr>
          <w:sz w:val="20"/>
        </w:rPr>
        <w:t>interest in Fiera or Fiera Capital</w:t>
      </w:r>
      <w:r w:rsidRPr="002F57A2" w:rsidR="007124CC">
        <w:rPr>
          <w:sz w:val="20"/>
        </w:rPr>
        <w:t>,</w:t>
      </w:r>
      <w:r w:rsidRPr="002F57A2" w:rsidR="00576871">
        <w:rPr>
          <w:sz w:val="20"/>
        </w:rPr>
        <w:t xml:space="preserve"> nor any entities which have an indirect non-controlling and passive interest in the limited partnerships controlled by EagleCrest CUB GP.  </w:t>
      </w:r>
      <w:r w:rsidRPr="002F57A2" w:rsidR="00576871">
        <w:rPr>
          <w:i/>
          <w:iCs/>
          <w:sz w:val="20"/>
        </w:rPr>
        <w:t>Id</w:t>
      </w:r>
    </w:p>
  </w:footnote>
  <w:footnote w:id="23">
    <w:p w:rsidR="00E87805" w:rsidRPr="002F57A2">
      <w:pPr>
        <w:pStyle w:val="FootnoteText"/>
        <w:rPr>
          <w:sz w:val="20"/>
        </w:rPr>
      </w:pPr>
      <w:r w:rsidRPr="002F57A2">
        <w:rPr>
          <w:rStyle w:val="FootnoteReference"/>
          <w:sz w:val="20"/>
        </w:rPr>
        <w:footnoteRef/>
      </w:r>
      <w:r w:rsidRPr="002F57A2">
        <w:rPr>
          <w:sz w:val="20"/>
        </w:rPr>
        <w:t xml:space="preserve"> </w:t>
      </w:r>
      <w:r w:rsidR="0031620B">
        <w:rPr>
          <w:sz w:val="20"/>
        </w:rPr>
        <w:t>Lead Application</w:t>
      </w:r>
      <w:r w:rsidRPr="002F57A2" w:rsidR="003C5B41">
        <w:rPr>
          <w:sz w:val="20"/>
        </w:rPr>
        <w:t xml:space="preserve"> </w:t>
      </w:r>
      <w:r w:rsidRPr="002F57A2">
        <w:rPr>
          <w:sz w:val="20"/>
        </w:rPr>
        <w:t>at 7</w:t>
      </w:r>
      <w:r w:rsidRPr="002F57A2" w:rsidR="003C5B41">
        <w:rPr>
          <w:sz w:val="20"/>
        </w:rPr>
        <w:t xml:space="preserve">, App. B </w:t>
      </w:r>
      <w:r w:rsidRPr="002F57A2" w:rsidR="00022E59">
        <w:rPr>
          <w:sz w:val="20"/>
        </w:rPr>
        <w:t>at 3</w:t>
      </w:r>
      <w:r w:rsidRPr="002F57A2" w:rsidR="003C5B41">
        <w:rPr>
          <w:sz w:val="20"/>
        </w:rPr>
        <w:t xml:space="preserve">, App. C </w:t>
      </w:r>
      <w:r w:rsidRPr="002F57A2" w:rsidR="000E0814">
        <w:rPr>
          <w:sz w:val="20"/>
        </w:rPr>
        <w:t>at 12-13</w:t>
      </w:r>
      <w:r w:rsidR="0031620B">
        <w:rPr>
          <w:sz w:val="20"/>
        </w:rPr>
        <w:t>; Petition at 4</w:t>
      </w:r>
      <w:r w:rsidRPr="002F57A2" w:rsidR="000E0814">
        <w:rPr>
          <w:sz w:val="20"/>
        </w:rPr>
        <w:t>.</w:t>
      </w:r>
      <w:r w:rsidRPr="002F57A2" w:rsidR="007124CC">
        <w:rPr>
          <w:sz w:val="20"/>
        </w:rPr>
        <w:t xml:space="preserve">  Applicants provide information on the current board of directors of SPF ABP, each citizens of the Netherlands.   Supplement at 3.</w:t>
      </w:r>
    </w:p>
  </w:footnote>
  <w:footnote w:id="24">
    <w:p w:rsidR="00E87805" w:rsidRPr="002F57A2">
      <w:pPr>
        <w:pStyle w:val="FootnoteText"/>
        <w:rPr>
          <w:sz w:val="20"/>
        </w:rPr>
      </w:pPr>
      <w:r w:rsidRPr="002F57A2">
        <w:rPr>
          <w:rStyle w:val="FootnoteReference"/>
          <w:sz w:val="20"/>
        </w:rPr>
        <w:footnoteRef/>
      </w:r>
      <w:r w:rsidRPr="002F57A2" w:rsidR="000E0814">
        <w:rPr>
          <w:sz w:val="20"/>
        </w:rPr>
        <w:t xml:space="preserve"> </w:t>
      </w:r>
      <w:r w:rsidR="003920F4">
        <w:rPr>
          <w:sz w:val="20"/>
        </w:rPr>
        <w:t>Lead Application</w:t>
      </w:r>
      <w:r w:rsidRPr="002F57A2" w:rsidR="000E0814">
        <w:rPr>
          <w:sz w:val="20"/>
        </w:rPr>
        <w:t xml:space="preserve"> at 8</w:t>
      </w:r>
      <w:r w:rsidRPr="002F57A2" w:rsidR="003C5B41">
        <w:rPr>
          <w:sz w:val="20"/>
        </w:rPr>
        <w:t xml:space="preserve">, App. B at 3, App. C at </w:t>
      </w:r>
      <w:r w:rsidRPr="002F57A2" w:rsidR="00727D94">
        <w:rPr>
          <w:sz w:val="20"/>
        </w:rPr>
        <w:t>13.</w:t>
      </w:r>
    </w:p>
  </w:footnote>
  <w:footnote w:id="25">
    <w:p w:rsidR="00E87805" w:rsidRPr="002F57A2">
      <w:pPr>
        <w:pStyle w:val="FootnoteText"/>
        <w:rPr>
          <w:i/>
          <w:iCs/>
          <w:sz w:val="20"/>
        </w:rPr>
      </w:pPr>
      <w:r w:rsidRPr="002F57A2">
        <w:rPr>
          <w:rStyle w:val="FootnoteReference"/>
          <w:sz w:val="20"/>
        </w:rPr>
        <w:footnoteRef/>
      </w:r>
      <w:r w:rsidRPr="002F57A2">
        <w:rPr>
          <w:sz w:val="20"/>
        </w:rPr>
        <w:t xml:space="preserve"> </w:t>
      </w:r>
      <w:r w:rsidRPr="002F57A2" w:rsidR="00727D94">
        <w:rPr>
          <w:i/>
          <w:iCs/>
          <w:sz w:val="20"/>
        </w:rPr>
        <w:t>Id.</w:t>
      </w:r>
    </w:p>
  </w:footnote>
  <w:footnote w:id="26">
    <w:p w:rsidR="0075593C" w:rsidRPr="002F57A2">
      <w:pPr>
        <w:pStyle w:val="FootnoteText"/>
        <w:rPr>
          <w:sz w:val="20"/>
        </w:rPr>
      </w:pPr>
      <w:r w:rsidRPr="002F57A2">
        <w:rPr>
          <w:rStyle w:val="FootnoteReference"/>
          <w:sz w:val="20"/>
        </w:rPr>
        <w:footnoteRef/>
      </w:r>
      <w:r w:rsidRPr="002F57A2">
        <w:rPr>
          <w:sz w:val="20"/>
        </w:rPr>
        <w:t xml:space="preserve"> </w:t>
      </w:r>
      <w:r w:rsidRPr="002F57A2" w:rsidR="00727D94">
        <w:rPr>
          <w:i/>
          <w:iCs/>
          <w:sz w:val="20"/>
        </w:rPr>
        <w:t>Id.</w:t>
      </w:r>
      <w:r w:rsidRPr="002F57A2" w:rsidR="00727D94">
        <w:rPr>
          <w:sz w:val="20"/>
        </w:rPr>
        <w:t xml:space="preserve"> </w:t>
      </w:r>
      <w:r w:rsidRPr="002F57A2">
        <w:rPr>
          <w:sz w:val="20"/>
        </w:rPr>
        <w:t xml:space="preserve">Applicants state that APG Asset </w:t>
      </w:r>
      <w:r w:rsidRPr="00CC0CD5">
        <w:rPr>
          <w:sz w:val="20"/>
        </w:rPr>
        <w:t>Management US w</w:t>
      </w:r>
      <w:r w:rsidRPr="00CC0CD5" w:rsidR="000B353D">
        <w:rPr>
          <w:sz w:val="20"/>
        </w:rPr>
        <w:t>ould</w:t>
      </w:r>
      <w:r w:rsidRPr="00CC0CD5">
        <w:rPr>
          <w:sz w:val="20"/>
        </w:rPr>
        <w:t xml:space="preserve"> exercise operational</w:t>
      </w:r>
      <w:r w:rsidRPr="002F57A2">
        <w:rPr>
          <w:sz w:val="20"/>
        </w:rPr>
        <w:t xml:space="preserve"> control over APG US pursuant to a power of attorney and subadvisory agreement in place with its immediate parent, APG Asset Management N.V. (APG Asset Management), which in turn has management and investment authority for APG Pool.</w:t>
      </w:r>
      <w:r w:rsidRPr="002F57A2" w:rsidR="00727D94">
        <w:rPr>
          <w:sz w:val="20"/>
        </w:rPr>
        <w:t xml:space="preserve">  </w:t>
      </w:r>
      <w:r w:rsidRPr="002F57A2" w:rsidR="008A2481">
        <w:rPr>
          <w:sz w:val="20"/>
        </w:rPr>
        <w:t xml:space="preserve">Lead </w:t>
      </w:r>
      <w:r w:rsidRPr="002F57A2" w:rsidR="00727D94">
        <w:rPr>
          <w:sz w:val="20"/>
        </w:rPr>
        <w:t>Application at 8</w:t>
      </w:r>
      <w:r w:rsidRPr="002F57A2" w:rsidR="003C5B41">
        <w:rPr>
          <w:sz w:val="20"/>
        </w:rPr>
        <w:t>, App. C</w:t>
      </w:r>
      <w:r w:rsidRPr="002F57A2" w:rsidR="00727D94">
        <w:rPr>
          <w:sz w:val="20"/>
        </w:rPr>
        <w:t xml:space="preserve"> at 12-13.</w:t>
      </w:r>
      <w:r w:rsidRPr="002F57A2" w:rsidR="00AE30C4">
        <w:rPr>
          <w:sz w:val="20"/>
        </w:rPr>
        <w:t xml:space="preserve">  </w:t>
      </w:r>
    </w:p>
  </w:footnote>
  <w:footnote w:id="27">
    <w:p w:rsidR="00F80BCD" w:rsidRPr="002F57A2">
      <w:pPr>
        <w:pStyle w:val="FootnoteText"/>
        <w:rPr>
          <w:sz w:val="20"/>
        </w:rPr>
      </w:pPr>
      <w:r w:rsidRPr="002F57A2">
        <w:rPr>
          <w:rStyle w:val="FootnoteReference"/>
          <w:sz w:val="20"/>
        </w:rPr>
        <w:footnoteRef/>
      </w:r>
      <w:r w:rsidRPr="002F57A2">
        <w:rPr>
          <w:sz w:val="20"/>
        </w:rPr>
        <w:t xml:space="preserve"> </w:t>
      </w:r>
      <w:r w:rsidRPr="002F57A2" w:rsidR="008A2481">
        <w:rPr>
          <w:sz w:val="20"/>
        </w:rPr>
        <w:t xml:space="preserve">Lead </w:t>
      </w:r>
      <w:r w:rsidRPr="002F57A2">
        <w:rPr>
          <w:sz w:val="20"/>
        </w:rPr>
        <w:t>Application at 8; App</w:t>
      </w:r>
      <w:r w:rsidRPr="002F57A2" w:rsidR="003C5B41">
        <w:rPr>
          <w:sz w:val="20"/>
        </w:rPr>
        <w:t>.</w:t>
      </w:r>
      <w:r w:rsidRPr="002F57A2">
        <w:rPr>
          <w:sz w:val="20"/>
        </w:rPr>
        <w:t xml:space="preserve"> B at 1; </w:t>
      </w:r>
      <w:r w:rsidRPr="002F57A2" w:rsidR="003C5B41">
        <w:rPr>
          <w:sz w:val="20"/>
        </w:rPr>
        <w:t>App.</w:t>
      </w:r>
      <w:r w:rsidRPr="002F57A2">
        <w:rPr>
          <w:sz w:val="20"/>
        </w:rPr>
        <w:t xml:space="preserve"> C at 12.</w:t>
      </w:r>
      <w:r w:rsidRPr="002F57A2" w:rsidR="00CC2B79">
        <w:rPr>
          <w:sz w:val="20"/>
        </w:rPr>
        <w:t xml:space="preserve">  Applicants state that APG US does not currently hold any direct or direct interest in any domestic telecommunications service provider, however, some of APG US’s indirect owners and/or controlling entities hold a minority (non-controlling) interest in DQE Communications LLC, a competitive service provider in Western Pennsylvania.</w:t>
      </w:r>
      <w:r w:rsidRPr="002F57A2" w:rsidR="00FC4055">
        <w:rPr>
          <w:sz w:val="20"/>
        </w:rPr>
        <w:t xml:space="preserve">  Supplement at 2.</w:t>
      </w:r>
    </w:p>
  </w:footnote>
  <w:footnote w:id="28">
    <w:p w:rsidR="004D611C" w:rsidRPr="002F57A2">
      <w:pPr>
        <w:pStyle w:val="FootnoteText"/>
        <w:rPr>
          <w:sz w:val="20"/>
        </w:rPr>
      </w:pPr>
      <w:r w:rsidRPr="002F57A2">
        <w:rPr>
          <w:rStyle w:val="FootnoteReference"/>
          <w:sz w:val="20"/>
        </w:rPr>
        <w:footnoteRef/>
      </w:r>
      <w:r w:rsidRPr="002F57A2">
        <w:rPr>
          <w:sz w:val="20"/>
        </w:rPr>
        <w:t xml:space="preserve"> </w:t>
      </w:r>
      <w:r w:rsidR="003920F4">
        <w:rPr>
          <w:sz w:val="20"/>
        </w:rPr>
        <w:t>Lead Application</w:t>
      </w:r>
      <w:r w:rsidRPr="002F57A2">
        <w:rPr>
          <w:sz w:val="20"/>
        </w:rPr>
        <w:t xml:space="preserve"> at 2.</w:t>
      </w:r>
    </w:p>
  </w:footnote>
  <w:footnote w:id="29">
    <w:p w:rsidR="00295931" w:rsidRPr="00635996">
      <w:pPr>
        <w:pStyle w:val="FootnoteText"/>
        <w:rPr>
          <w:sz w:val="20"/>
        </w:rPr>
      </w:pPr>
      <w:r w:rsidRPr="00E66A68">
        <w:rPr>
          <w:rStyle w:val="FootnoteReference"/>
          <w:sz w:val="20"/>
        </w:rPr>
        <w:footnoteRef/>
      </w:r>
      <w:r w:rsidRPr="00E66A68">
        <w:rPr>
          <w:sz w:val="20"/>
        </w:rPr>
        <w:t xml:space="preserve"> </w:t>
      </w:r>
      <w:r w:rsidRPr="00D12C21" w:rsidR="00D12C21">
        <w:rPr>
          <w:i/>
          <w:iCs/>
          <w:sz w:val="20"/>
        </w:rPr>
        <w:t>Id</w:t>
      </w:r>
      <w:r w:rsidR="00D12C21">
        <w:rPr>
          <w:sz w:val="20"/>
        </w:rPr>
        <w:t xml:space="preserve">. at 9-10.  </w:t>
      </w:r>
      <w:r w:rsidRPr="00D12C21" w:rsidR="00E66A68">
        <w:rPr>
          <w:sz w:val="20"/>
        </w:rPr>
        <w:t>Applicants</w:t>
      </w:r>
      <w:r w:rsidRPr="007E33EC" w:rsidR="00E66A68">
        <w:rPr>
          <w:sz w:val="20"/>
        </w:rPr>
        <w:t xml:space="preserve"> state that, upon Commission consent, they would undertake a series of simultaneous transactions:  (1) CSC GP </w:t>
      </w:r>
      <w:r w:rsidR="000B353D">
        <w:rPr>
          <w:sz w:val="20"/>
        </w:rPr>
        <w:t xml:space="preserve">would </w:t>
      </w:r>
      <w:r w:rsidRPr="007E33EC" w:rsidR="00E66A68">
        <w:rPr>
          <w:sz w:val="20"/>
        </w:rPr>
        <w:t xml:space="preserve">resign as general partner of CSC CUB Holdings and the CSC Funds’ equity interests in CSC CUB Holdings </w:t>
      </w:r>
      <w:r w:rsidR="000B353D">
        <w:rPr>
          <w:sz w:val="20"/>
        </w:rPr>
        <w:t>would</w:t>
      </w:r>
      <w:r w:rsidRPr="007E33EC" w:rsidR="00E66A68">
        <w:rPr>
          <w:sz w:val="20"/>
        </w:rPr>
        <w:t xml:space="preserve"> be redeemed through a distribution of CUB Parent shares, with CSC CUB Holdings retaining (post-recapitalization) a direct 25.5% voting and equity interest in CUB Parent; (2) EagleCrest CUB GP, the general partner of EagleCrest CUB LP, </w:t>
      </w:r>
      <w:r w:rsidR="000B353D">
        <w:rPr>
          <w:sz w:val="20"/>
        </w:rPr>
        <w:t>would</w:t>
      </w:r>
      <w:r w:rsidRPr="007E33EC" w:rsidR="00E66A68">
        <w:rPr>
          <w:sz w:val="20"/>
        </w:rPr>
        <w:t xml:space="preserve"> be appointed as the general partner of CSC CUB Holdings, thus acquiring 100% of the voting interest of CSC CUB Holdings; (3) EagleCrest CUB LP, which currently holds 8.7% of CUB Parent’s Class L shares</w:t>
      </w:r>
      <w:r w:rsidR="00D12C21">
        <w:rPr>
          <w:sz w:val="20"/>
        </w:rPr>
        <w:t>,</w:t>
      </w:r>
      <w:r w:rsidRPr="007E33EC" w:rsidR="00E66A68">
        <w:rPr>
          <w:sz w:val="20"/>
        </w:rPr>
        <w:t xml:space="preserve"> </w:t>
      </w:r>
      <w:r w:rsidR="000B353D">
        <w:rPr>
          <w:sz w:val="20"/>
        </w:rPr>
        <w:t>would</w:t>
      </w:r>
      <w:r w:rsidRPr="007E33EC" w:rsidR="00E66A68">
        <w:rPr>
          <w:sz w:val="20"/>
        </w:rPr>
        <w:t xml:space="preserve"> acquire from the CSC Funds and management investors shares representing (post-recapitalization) an additional 14.9% direct voting and equity interest in CUB Parent, bringing its total direct equity and voting interest in CUB Parent to 23.2%, and EagleCrest CUB GP’s total indirect voting interest in CUB Parent to 48.7%; (4) APG US </w:t>
      </w:r>
      <w:r w:rsidR="000B353D">
        <w:rPr>
          <w:sz w:val="20"/>
        </w:rPr>
        <w:t>would</w:t>
      </w:r>
      <w:r w:rsidRPr="007E33EC" w:rsidR="00E66A68">
        <w:rPr>
          <w:sz w:val="20"/>
        </w:rPr>
        <w:t xml:space="preserve"> acquire from the CSC Funds and management investors a 49.9% voting and equity interest in CUB Parent; and (5) CUB Holdings management </w:t>
      </w:r>
      <w:r w:rsidR="000B353D">
        <w:rPr>
          <w:sz w:val="20"/>
        </w:rPr>
        <w:t>would</w:t>
      </w:r>
      <w:r w:rsidRPr="007E33EC" w:rsidR="00E66A68">
        <w:rPr>
          <w:sz w:val="20"/>
        </w:rPr>
        <w:t xml:space="preserve"> hold the remaining 1.4% voting and equity interest in CUB Parent.</w:t>
      </w:r>
      <w:r w:rsidR="00635996">
        <w:rPr>
          <w:sz w:val="20"/>
        </w:rPr>
        <w:t xml:space="preserve">  </w:t>
      </w:r>
      <w:r w:rsidRPr="00E66A68" w:rsidR="003C5B41">
        <w:rPr>
          <w:i/>
          <w:iCs/>
          <w:sz w:val="20"/>
        </w:rPr>
        <w:t>Id</w:t>
      </w:r>
      <w:r w:rsidRPr="00E66A68" w:rsidR="003C5B41">
        <w:rPr>
          <w:sz w:val="20"/>
        </w:rPr>
        <w:t>.</w:t>
      </w:r>
      <w:r w:rsidRPr="00635996">
        <w:rPr>
          <w:sz w:val="20"/>
        </w:rPr>
        <w:t xml:space="preserve"> </w:t>
      </w:r>
    </w:p>
  </w:footnote>
  <w:footnote w:id="30">
    <w:p w:rsidR="00295931" w:rsidRPr="002F57A2">
      <w:pPr>
        <w:pStyle w:val="FootnoteText"/>
        <w:rPr>
          <w:sz w:val="20"/>
        </w:rPr>
      </w:pPr>
      <w:r w:rsidRPr="002F57A2">
        <w:rPr>
          <w:rStyle w:val="FootnoteReference"/>
          <w:sz w:val="20"/>
        </w:rPr>
        <w:footnoteRef/>
      </w:r>
      <w:r w:rsidRPr="002F57A2">
        <w:rPr>
          <w:sz w:val="20"/>
        </w:rPr>
        <w:t xml:space="preserve"> </w:t>
      </w:r>
      <w:r w:rsidRPr="002F57A2">
        <w:rPr>
          <w:i/>
          <w:iCs/>
          <w:sz w:val="20"/>
        </w:rPr>
        <w:t>Id.</w:t>
      </w:r>
      <w:r w:rsidRPr="002F57A2" w:rsidR="008A2481">
        <w:rPr>
          <w:sz w:val="20"/>
        </w:rPr>
        <w:t xml:space="preserve"> at 10.</w:t>
      </w:r>
      <w:r w:rsidRPr="002F57A2" w:rsidR="00516D34">
        <w:rPr>
          <w:sz w:val="20"/>
        </w:rPr>
        <w:t xml:space="preserve">  </w:t>
      </w:r>
    </w:p>
  </w:footnote>
  <w:footnote w:id="31">
    <w:p w:rsidR="00295931" w:rsidRPr="002F57A2" w:rsidP="00295931">
      <w:pPr>
        <w:pStyle w:val="FootnoteText"/>
        <w:rPr>
          <w:sz w:val="20"/>
        </w:rPr>
      </w:pPr>
      <w:r w:rsidRPr="002F57A2">
        <w:rPr>
          <w:rStyle w:val="FootnoteReference"/>
          <w:sz w:val="20"/>
        </w:rPr>
        <w:footnoteRef/>
      </w:r>
      <w:r w:rsidRPr="002F57A2">
        <w:rPr>
          <w:sz w:val="20"/>
        </w:rPr>
        <w:t xml:space="preserve"> </w:t>
      </w:r>
      <w:r w:rsidRPr="002F57A2">
        <w:rPr>
          <w:i/>
          <w:iCs/>
          <w:sz w:val="20"/>
        </w:rPr>
        <w:t>Id</w:t>
      </w:r>
      <w:r w:rsidRPr="002F57A2">
        <w:rPr>
          <w:sz w:val="20"/>
        </w:rPr>
        <w:t xml:space="preserve">. at </w:t>
      </w:r>
      <w:r w:rsidRPr="002F57A2" w:rsidR="004A746A">
        <w:rPr>
          <w:sz w:val="20"/>
        </w:rPr>
        <w:t>12-13</w:t>
      </w:r>
      <w:r w:rsidRPr="002F57A2">
        <w:rPr>
          <w:sz w:val="20"/>
        </w:rPr>
        <w:t xml:space="preserve">. </w:t>
      </w:r>
    </w:p>
  </w:footnote>
  <w:footnote w:id="32">
    <w:p w:rsidR="008749E1" w:rsidRPr="002F57A2" w:rsidP="008749E1">
      <w:pPr>
        <w:pStyle w:val="FootnoteText"/>
        <w:rPr>
          <w:sz w:val="20"/>
        </w:rPr>
      </w:pPr>
      <w:r w:rsidRPr="002F57A2">
        <w:rPr>
          <w:rStyle w:val="FootnoteReference"/>
          <w:sz w:val="20"/>
        </w:rPr>
        <w:footnoteRef/>
      </w:r>
      <w:r w:rsidRPr="008749E1">
        <w:rPr>
          <w:sz w:val="20"/>
        </w:rPr>
        <w:t xml:space="preserve"> </w:t>
      </w:r>
      <w:r w:rsidRPr="009A654F">
        <w:rPr>
          <w:sz w:val="20"/>
        </w:rPr>
        <w:t>Petition at 3-4</w:t>
      </w:r>
      <w:r w:rsidRPr="002F57A2">
        <w:rPr>
          <w:sz w:val="20"/>
        </w:rPr>
        <w:t>.</w:t>
      </w:r>
    </w:p>
  </w:footnote>
  <w:footnote w:id="33">
    <w:p w:rsidR="0032236A" w:rsidRPr="002F57A2" w:rsidP="0032236A">
      <w:pPr>
        <w:pStyle w:val="FootnoteText"/>
        <w:rPr>
          <w:sz w:val="20"/>
        </w:rPr>
      </w:pPr>
      <w:r w:rsidRPr="002F57A2">
        <w:rPr>
          <w:rStyle w:val="FootnoteReference"/>
          <w:sz w:val="20"/>
        </w:rPr>
        <w:footnoteRef/>
      </w:r>
      <w:r w:rsidRPr="008749E1">
        <w:rPr>
          <w:sz w:val="20"/>
        </w:rPr>
        <w:t xml:space="preserve"> </w:t>
      </w:r>
      <w:r w:rsidR="00051872">
        <w:rPr>
          <w:i/>
          <w:iCs/>
          <w:sz w:val="20"/>
        </w:rPr>
        <w:t>Id.</w:t>
      </w:r>
      <w:r w:rsidRPr="00AD1485">
        <w:rPr>
          <w:sz w:val="20"/>
        </w:rPr>
        <w:t xml:space="preserve"> at</w:t>
      </w:r>
      <w:r>
        <w:rPr>
          <w:sz w:val="20"/>
        </w:rPr>
        <w:t xml:space="preserve"> </w:t>
      </w:r>
      <w:r w:rsidRPr="00AD1485">
        <w:rPr>
          <w:sz w:val="20"/>
        </w:rPr>
        <w:t>4</w:t>
      </w:r>
      <w:r w:rsidRPr="002F57A2">
        <w:rPr>
          <w:sz w:val="20"/>
        </w:rPr>
        <w:t>.</w:t>
      </w:r>
    </w:p>
  </w:footnote>
  <w:footnote w:id="34">
    <w:p w:rsidR="0032236A" w:rsidRPr="002F57A2" w:rsidP="0032236A">
      <w:pPr>
        <w:pStyle w:val="FootnoteText"/>
        <w:rPr>
          <w:sz w:val="20"/>
        </w:rPr>
      </w:pPr>
      <w:r w:rsidRPr="002F57A2">
        <w:rPr>
          <w:rStyle w:val="FootnoteReference"/>
          <w:sz w:val="20"/>
        </w:rPr>
        <w:footnoteRef/>
      </w:r>
      <w:r w:rsidRPr="008749E1">
        <w:rPr>
          <w:sz w:val="20"/>
        </w:rPr>
        <w:t xml:space="preserve"> </w:t>
      </w:r>
      <w:r w:rsidRPr="009A654F">
        <w:rPr>
          <w:i/>
          <w:iCs/>
          <w:sz w:val="20"/>
        </w:rPr>
        <w:t>Id</w:t>
      </w:r>
      <w:r w:rsidRPr="002F57A2">
        <w:rPr>
          <w:sz w:val="20"/>
        </w:rPr>
        <w:t>.</w:t>
      </w:r>
    </w:p>
  </w:footnote>
  <w:footnote w:id="35">
    <w:p w:rsidR="00142898" w:rsidRPr="002F57A2" w:rsidP="00142898">
      <w:pPr>
        <w:pStyle w:val="FootnoteText"/>
        <w:rPr>
          <w:sz w:val="20"/>
        </w:rPr>
      </w:pPr>
      <w:r w:rsidRPr="002F57A2">
        <w:rPr>
          <w:rStyle w:val="FootnoteReference"/>
          <w:sz w:val="20"/>
        </w:rPr>
        <w:footnoteRef/>
      </w:r>
      <w:r w:rsidRPr="008749E1">
        <w:rPr>
          <w:sz w:val="20"/>
        </w:rPr>
        <w:t xml:space="preserve"> </w:t>
      </w:r>
      <w:r w:rsidRPr="009A654F">
        <w:rPr>
          <w:i/>
          <w:iCs/>
          <w:sz w:val="20"/>
        </w:rPr>
        <w:t>Id</w:t>
      </w:r>
      <w:r w:rsidRPr="002F57A2">
        <w:rPr>
          <w:sz w:val="20"/>
        </w:rPr>
        <w:t>.</w:t>
      </w:r>
    </w:p>
  </w:footnote>
  <w:footnote w:id="36">
    <w:p w:rsidR="00142898" w:rsidRPr="002F57A2" w:rsidP="00142898">
      <w:pPr>
        <w:pStyle w:val="FootnoteText"/>
        <w:rPr>
          <w:sz w:val="20"/>
        </w:rPr>
      </w:pPr>
      <w:r w:rsidRPr="002F57A2">
        <w:rPr>
          <w:rStyle w:val="FootnoteReference"/>
          <w:sz w:val="20"/>
        </w:rPr>
        <w:footnoteRef/>
      </w:r>
      <w:r w:rsidRPr="008749E1">
        <w:rPr>
          <w:sz w:val="20"/>
        </w:rPr>
        <w:t xml:space="preserve"> </w:t>
      </w:r>
      <w:r w:rsidRPr="00AD1485">
        <w:rPr>
          <w:i/>
          <w:iCs/>
          <w:sz w:val="20"/>
        </w:rPr>
        <w:t>Id</w:t>
      </w:r>
      <w:r w:rsidRPr="002F57A2">
        <w:rPr>
          <w:sz w:val="20"/>
        </w:rPr>
        <w:t>.</w:t>
      </w:r>
    </w:p>
  </w:footnote>
  <w:footnote w:id="37">
    <w:p w:rsidR="00142898" w:rsidRPr="00142898" w:rsidP="00142898">
      <w:pPr>
        <w:pStyle w:val="FootnoteText"/>
        <w:rPr>
          <w:sz w:val="20"/>
        </w:rPr>
      </w:pPr>
      <w:r w:rsidRPr="002F57A2">
        <w:rPr>
          <w:rStyle w:val="FootnoteReference"/>
          <w:sz w:val="20"/>
        </w:rPr>
        <w:footnoteRef/>
      </w:r>
      <w:r w:rsidRPr="008749E1">
        <w:rPr>
          <w:sz w:val="20"/>
        </w:rPr>
        <w:t xml:space="preserve"> </w:t>
      </w:r>
      <w:r>
        <w:rPr>
          <w:sz w:val="20"/>
        </w:rPr>
        <w:t xml:space="preserve">Petitioner notes that no other foreign interest holder </w:t>
      </w:r>
      <w:r w:rsidR="000B353D">
        <w:rPr>
          <w:sz w:val="20"/>
        </w:rPr>
        <w:t>would</w:t>
      </w:r>
      <w:r>
        <w:rPr>
          <w:sz w:val="20"/>
        </w:rPr>
        <w:t xml:space="preserve"> have a 5% (if uninsulated) or 10% (if insulated) direct or indirect interest in CUB Parent upon consummation of the Proposed Transaction.  </w:t>
      </w:r>
      <w:r w:rsidRPr="003920F4" w:rsidR="003920F4">
        <w:rPr>
          <w:i/>
          <w:iCs/>
          <w:sz w:val="20"/>
        </w:rPr>
        <w:t>Id</w:t>
      </w:r>
      <w:r w:rsidR="003920F4">
        <w:rPr>
          <w:sz w:val="20"/>
        </w:rPr>
        <w:t xml:space="preserve">. </w:t>
      </w:r>
      <w:r>
        <w:rPr>
          <w:sz w:val="20"/>
        </w:rPr>
        <w:t>at 9.</w:t>
      </w:r>
    </w:p>
  </w:footnote>
  <w:footnote w:id="38">
    <w:p w:rsidR="00C73621" w:rsidP="00C73621">
      <w:pPr>
        <w:autoSpaceDE w:val="0"/>
        <w:autoSpaceDN w:val="0"/>
        <w:adjustRightInd w:val="0"/>
        <w:spacing w:after="120"/>
      </w:pPr>
      <w:r>
        <w:rPr>
          <w:rStyle w:val="FootnoteReference"/>
        </w:rPr>
        <w:footnoteRef/>
      </w:r>
      <w:r>
        <w:t xml:space="preserve"> </w:t>
      </w:r>
      <w:r>
        <w:rPr>
          <w:rFonts w:ascii="TimesNewRomanPS-ItalicMT" w:hAnsi="TimesNewRomanPS-ItalicMT" w:cs="TimesNewRomanPS-ItalicMT"/>
          <w:i/>
          <w:iCs/>
          <w:sz w:val="20"/>
        </w:rPr>
        <w:t>See Rules and Policies on Foreign Participation in the U.S. Telecommunications Market; Market Entry and Regulation of Foreign- Affiliated Entities</w:t>
      </w:r>
      <w:r>
        <w:rPr>
          <w:rFonts w:ascii="TimesNewRomanPSMT" w:hAnsi="TimesNewRomanPSMT" w:cs="TimesNewRomanPSMT"/>
          <w:sz w:val="20"/>
        </w:rPr>
        <w:t>, IB Docket Nos. 97-142 and 95-22, Report and Order and Order on Reconsideration, 12 FCC Rcd 23891, 23918-19, paras. 61-63 (1997) (</w:t>
      </w:r>
      <w:r>
        <w:rPr>
          <w:rFonts w:ascii="TimesNewRomanPS-ItalicMT" w:hAnsi="TimesNewRomanPS-ItalicMT" w:cs="TimesNewRomanPS-ItalicMT"/>
          <w:i/>
          <w:iCs/>
          <w:sz w:val="20"/>
        </w:rPr>
        <w:t>Foreign Participation Order</w:t>
      </w:r>
      <w:r>
        <w:rPr>
          <w:rFonts w:ascii="TimesNewRomanPSMT" w:hAnsi="TimesNewRomanPSMT" w:cs="TimesNewRomanPSMT"/>
          <w:sz w:val="20"/>
        </w:rPr>
        <w:t>), recon. denied, 15 FCC Rcd 18158 (2000).</w:t>
      </w:r>
    </w:p>
  </w:footnote>
  <w:footnote w:id="39">
    <w:p w:rsidR="004A746A" w:rsidRPr="002F57A2" w:rsidP="004A746A">
      <w:pPr>
        <w:pStyle w:val="FootnoteText"/>
        <w:rPr>
          <w:sz w:val="20"/>
        </w:rPr>
      </w:pPr>
      <w:r w:rsidRPr="002F57A2">
        <w:rPr>
          <w:rStyle w:val="FootnoteReference"/>
          <w:sz w:val="20"/>
        </w:rPr>
        <w:footnoteRef/>
      </w:r>
      <w:r w:rsidRPr="002F57A2">
        <w:rPr>
          <w:sz w:val="20"/>
        </w:rPr>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2F57A2">
        <w:rPr>
          <w:i/>
          <w:iCs/>
          <w:sz w:val="20"/>
        </w:rPr>
        <w:t xml:space="preserve">  FCC Announces Closure of FCC Headquarters Open Window and Change in Hand-Delivery Filing</w:t>
      </w:r>
      <w:r w:rsidRPr="002F57A2">
        <w:rPr>
          <w:sz w:val="20"/>
        </w:rPr>
        <w:t>,</w:t>
      </w:r>
      <w:r w:rsidRPr="002F57A2">
        <w:rPr>
          <w:i/>
          <w:iCs/>
          <w:sz w:val="20"/>
        </w:rPr>
        <w:t xml:space="preserve"> </w:t>
      </w:r>
      <w:r w:rsidRPr="002F57A2">
        <w:rPr>
          <w:sz w:val="20"/>
        </w:rPr>
        <w:t xml:space="preserve">Public Notice, DA 20-304 (rel. Mar. 19, 2020). </w:t>
      </w:r>
      <w:r w:rsidRPr="002F57A2">
        <w:rPr>
          <w:b/>
          <w:bCs/>
          <w:color w:val="201F1E"/>
          <w:sz w:val="20"/>
          <w:shd w:val="clear" w:color="auto" w:fill="FFFFFF"/>
        </w:rPr>
        <w:t> </w:t>
      </w:r>
      <w:hyperlink r:id="rId1" w:tgtFrame="_blank" w:history="1">
        <w:r w:rsidRPr="002F57A2">
          <w:rPr>
            <w:color w:val="0563C1"/>
            <w:sz w:val="20"/>
            <w:u w:val="single"/>
            <w:bdr w:val="none" w:sz="0" w:space="0" w:color="auto" w:frame="1"/>
            <w:shd w:val="clear" w:color="auto" w:fill="FFFFFF"/>
          </w:rPr>
          <w:t>https://www.fcc.gov/document/fcc-closes-headquarters-open-window-and-changes-hand-delivery-policy</w:t>
        </w:r>
      </w:hyperlink>
      <w:r w:rsidRPr="002F57A2">
        <w:rPr>
          <w:sz w:val="20"/>
        </w:rPr>
        <w:t>.</w:t>
      </w:r>
      <w:r w:rsidRPr="002F57A2">
        <w:rPr>
          <w:color w:val="201F1E"/>
          <w:sz w:val="20"/>
          <w:shd w:val="clear" w:color="auto" w:fill="FFFFFF"/>
        </w:rPr>
        <w:t> </w:t>
      </w:r>
    </w:p>
  </w:footnote>
  <w:footnote w:id="40">
    <w:p w:rsidR="00A342B9" w:rsidRPr="002F57A2" w:rsidP="00A342B9">
      <w:pPr>
        <w:pStyle w:val="FootnoteText"/>
        <w:tabs>
          <w:tab w:val="clear" w:pos="720"/>
        </w:tabs>
        <w:spacing w:after="120"/>
        <w:rPr>
          <w:sz w:val="20"/>
        </w:rPr>
      </w:pPr>
      <w:r w:rsidRPr="002F57A2">
        <w:rPr>
          <w:rStyle w:val="FootnoteReference"/>
          <w:sz w:val="20"/>
        </w:rPr>
        <w:footnoteRef/>
      </w:r>
      <w:r w:rsidRPr="002F57A2">
        <w:rPr>
          <w:sz w:val="20"/>
        </w:rPr>
        <w:t xml:space="preserve"> </w:t>
      </w:r>
      <w:r w:rsidRPr="002F57A2">
        <w:rPr>
          <w:i/>
          <w:sz w:val="20"/>
        </w:rPr>
        <w:t>See</w:t>
      </w:r>
      <w:r w:rsidRPr="002F57A2">
        <w:rPr>
          <w:sz w:val="20"/>
        </w:rPr>
        <w:t xml:space="preserve"> 47 CFR § 1.45(c).</w:t>
      </w:r>
    </w:p>
  </w:footnote>
  <w:footnote w:id="41">
    <w:p w:rsidR="00EB0620" w:rsidRPr="002F57A2" w:rsidP="00EB0620">
      <w:pPr>
        <w:pStyle w:val="FootnoteText"/>
        <w:rPr>
          <w:color w:val="000000"/>
          <w:sz w:val="20"/>
        </w:rPr>
      </w:pPr>
      <w:r w:rsidRPr="002F57A2">
        <w:rPr>
          <w:rStyle w:val="FootnoteReference"/>
          <w:color w:val="000000"/>
          <w:sz w:val="20"/>
        </w:rPr>
        <w:footnoteRef/>
      </w:r>
      <w:r w:rsidRPr="002F57A2">
        <w:rPr>
          <w:color w:val="000000"/>
          <w:sz w:val="20"/>
        </w:rPr>
        <w:t xml:space="preserve"> 47 CFR § 63.03.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pPr>
                  <w:rPr>
                    <w:rFonts w:ascii="Arial" w:hAnsi="Arial"/>
                    <w:b/>
                  </w:rPr>
                </w:pPr>
                <w:r>
                  <w:rPr>
                    <w:rFonts w:ascii="Arial" w:hAnsi="Arial"/>
                    <w:b/>
                  </w:rPr>
                  <w:t>Federal Communications Commission</w:t>
                </w:r>
              </w:p>
              <w:p w:rsidR="00E7033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7033D">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pPr>
                  <w:spacing w:before="40"/>
                  <w:jc w:val="right"/>
                  <w:rPr>
                    <w:rFonts w:ascii="Arial" w:hAnsi="Arial"/>
                    <w:b/>
                    <w:sz w:val="16"/>
                  </w:rPr>
                </w:pPr>
                <w:r>
                  <w:rPr>
                    <w:rFonts w:ascii="Arial" w:hAnsi="Arial"/>
                    <w:b/>
                    <w:sz w:val="16"/>
                  </w:rPr>
                  <w:t>News Media Information 202 / 418-0500</w:t>
                </w:r>
              </w:p>
              <w:p w:rsidR="00E7033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pPr>
                  <w:jc w:val="right"/>
                  <w:rPr>
                    <w:rFonts w:ascii="Arial" w:hAnsi="Arial"/>
                    <w:b/>
                    <w:sz w:val="16"/>
                  </w:rPr>
                </w:pPr>
                <w:r>
                  <w:rPr>
                    <w:rFonts w:ascii="Arial" w:hAnsi="Arial"/>
                    <w:b/>
                    <w:sz w:val="16"/>
                  </w:rPr>
                  <w:t>TTY: 1-888-835-5322</w:t>
                </w:r>
              </w:p>
              <w:p w:rsidR="00E7033D">
                <w:pPr>
                  <w:jc w:val="right"/>
                </w:pPr>
              </w:p>
            </w:txbxContent>
          </v:textbox>
        </v:shape>
      </w:pict>
    </w:r>
  </w:p>
  <w:p w:rsidR="00E7033D">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74D2"/>
    <w:rsid w:val="0001135F"/>
    <w:rsid w:val="00021EBD"/>
    <w:rsid w:val="00022E59"/>
    <w:rsid w:val="00031DB7"/>
    <w:rsid w:val="00033A26"/>
    <w:rsid w:val="00034E56"/>
    <w:rsid w:val="00051872"/>
    <w:rsid w:val="000534AC"/>
    <w:rsid w:val="00053654"/>
    <w:rsid w:val="00061106"/>
    <w:rsid w:val="00066781"/>
    <w:rsid w:val="000735C8"/>
    <w:rsid w:val="00083A6B"/>
    <w:rsid w:val="000B2940"/>
    <w:rsid w:val="000B353D"/>
    <w:rsid w:val="000B4EDD"/>
    <w:rsid w:val="000C1917"/>
    <w:rsid w:val="000C678A"/>
    <w:rsid w:val="000E012C"/>
    <w:rsid w:val="000E0814"/>
    <w:rsid w:val="000F02F7"/>
    <w:rsid w:val="000F1528"/>
    <w:rsid w:val="0011194A"/>
    <w:rsid w:val="00116919"/>
    <w:rsid w:val="00123233"/>
    <w:rsid w:val="001335E0"/>
    <w:rsid w:val="00142898"/>
    <w:rsid w:val="00151151"/>
    <w:rsid w:val="00151515"/>
    <w:rsid w:val="00153EC4"/>
    <w:rsid w:val="00163872"/>
    <w:rsid w:val="00176D9C"/>
    <w:rsid w:val="00181D77"/>
    <w:rsid w:val="0019389C"/>
    <w:rsid w:val="001A324E"/>
    <w:rsid w:val="001A5C64"/>
    <w:rsid w:val="001B2C69"/>
    <w:rsid w:val="001C65E9"/>
    <w:rsid w:val="001C7311"/>
    <w:rsid w:val="001D108C"/>
    <w:rsid w:val="001D13DB"/>
    <w:rsid w:val="001D268C"/>
    <w:rsid w:val="001D5BE1"/>
    <w:rsid w:val="001F227E"/>
    <w:rsid w:val="001F51E8"/>
    <w:rsid w:val="00211EA7"/>
    <w:rsid w:val="0022449B"/>
    <w:rsid w:val="0022664E"/>
    <w:rsid w:val="00226870"/>
    <w:rsid w:val="00235D06"/>
    <w:rsid w:val="0023776E"/>
    <w:rsid w:val="0024102E"/>
    <w:rsid w:val="00246131"/>
    <w:rsid w:val="00252F66"/>
    <w:rsid w:val="00253247"/>
    <w:rsid w:val="00254EE6"/>
    <w:rsid w:val="00262E65"/>
    <w:rsid w:val="00272B18"/>
    <w:rsid w:val="00295931"/>
    <w:rsid w:val="002A245D"/>
    <w:rsid w:val="002A3E4B"/>
    <w:rsid w:val="002A53DA"/>
    <w:rsid w:val="002B16FA"/>
    <w:rsid w:val="002C0F33"/>
    <w:rsid w:val="002C203E"/>
    <w:rsid w:val="002C3287"/>
    <w:rsid w:val="002D0DBD"/>
    <w:rsid w:val="002E6A10"/>
    <w:rsid w:val="002F57A2"/>
    <w:rsid w:val="003102C2"/>
    <w:rsid w:val="0031146D"/>
    <w:rsid w:val="00314AD9"/>
    <w:rsid w:val="0031552F"/>
    <w:rsid w:val="0031620B"/>
    <w:rsid w:val="0032236A"/>
    <w:rsid w:val="00332E80"/>
    <w:rsid w:val="00351335"/>
    <w:rsid w:val="00353CB5"/>
    <w:rsid w:val="00354F18"/>
    <w:rsid w:val="00365194"/>
    <w:rsid w:val="00370F20"/>
    <w:rsid w:val="003741F8"/>
    <w:rsid w:val="003920F4"/>
    <w:rsid w:val="003927E4"/>
    <w:rsid w:val="003B239F"/>
    <w:rsid w:val="003B2FC0"/>
    <w:rsid w:val="003B5567"/>
    <w:rsid w:val="003B5CEE"/>
    <w:rsid w:val="003C5B41"/>
    <w:rsid w:val="003D1AD8"/>
    <w:rsid w:val="003E11B3"/>
    <w:rsid w:val="00402FAD"/>
    <w:rsid w:val="0040730E"/>
    <w:rsid w:val="004246F3"/>
    <w:rsid w:val="00434C96"/>
    <w:rsid w:val="00440473"/>
    <w:rsid w:val="0044132D"/>
    <w:rsid w:val="00444A31"/>
    <w:rsid w:val="0046682C"/>
    <w:rsid w:val="00466B46"/>
    <w:rsid w:val="004808FC"/>
    <w:rsid w:val="00481F63"/>
    <w:rsid w:val="00482EB0"/>
    <w:rsid w:val="004875D6"/>
    <w:rsid w:val="00496842"/>
    <w:rsid w:val="004A746A"/>
    <w:rsid w:val="004B393F"/>
    <w:rsid w:val="004C5851"/>
    <w:rsid w:val="004C61A8"/>
    <w:rsid w:val="004C712F"/>
    <w:rsid w:val="004D611C"/>
    <w:rsid w:val="004E1C69"/>
    <w:rsid w:val="004F3603"/>
    <w:rsid w:val="005036F8"/>
    <w:rsid w:val="0051675E"/>
    <w:rsid w:val="00516D34"/>
    <w:rsid w:val="005172B7"/>
    <w:rsid w:val="00531A68"/>
    <w:rsid w:val="00537245"/>
    <w:rsid w:val="00542866"/>
    <w:rsid w:val="005532A2"/>
    <w:rsid w:val="0056058F"/>
    <w:rsid w:val="00561E2C"/>
    <w:rsid w:val="0056506E"/>
    <w:rsid w:val="00567B1D"/>
    <w:rsid w:val="00575BA8"/>
    <w:rsid w:val="00576871"/>
    <w:rsid w:val="00585942"/>
    <w:rsid w:val="005900F4"/>
    <w:rsid w:val="005932BA"/>
    <w:rsid w:val="005A0450"/>
    <w:rsid w:val="005A64A7"/>
    <w:rsid w:val="005A7336"/>
    <w:rsid w:val="005C2DE9"/>
    <w:rsid w:val="005C403A"/>
    <w:rsid w:val="005F094D"/>
    <w:rsid w:val="00604147"/>
    <w:rsid w:val="00604C49"/>
    <w:rsid w:val="00604CFF"/>
    <w:rsid w:val="00607711"/>
    <w:rsid w:val="00610BCF"/>
    <w:rsid w:val="0061137C"/>
    <w:rsid w:val="006178C8"/>
    <w:rsid w:val="0062070C"/>
    <w:rsid w:val="00622161"/>
    <w:rsid w:val="00622A2A"/>
    <w:rsid w:val="00626C28"/>
    <w:rsid w:val="00631D96"/>
    <w:rsid w:val="00635996"/>
    <w:rsid w:val="00645DD8"/>
    <w:rsid w:val="00647283"/>
    <w:rsid w:val="00652590"/>
    <w:rsid w:val="00654021"/>
    <w:rsid w:val="0066763D"/>
    <w:rsid w:val="006768CC"/>
    <w:rsid w:val="00694019"/>
    <w:rsid w:val="006B103D"/>
    <w:rsid w:val="006C591C"/>
    <w:rsid w:val="006C62D8"/>
    <w:rsid w:val="006E0DAA"/>
    <w:rsid w:val="006E7452"/>
    <w:rsid w:val="00706D49"/>
    <w:rsid w:val="0071041E"/>
    <w:rsid w:val="007124CC"/>
    <w:rsid w:val="0071435F"/>
    <w:rsid w:val="007235F4"/>
    <w:rsid w:val="00724722"/>
    <w:rsid w:val="00727D94"/>
    <w:rsid w:val="00754DC4"/>
    <w:rsid w:val="0075593C"/>
    <w:rsid w:val="0076750B"/>
    <w:rsid w:val="00773C02"/>
    <w:rsid w:val="00774066"/>
    <w:rsid w:val="00780F55"/>
    <w:rsid w:val="00794E20"/>
    <w:rsid w:val="007A2B83"/>
    <w:rsid w:val="007A6B7B"/>
    <w:rsid w:val="007B2AF9"/>
    <w:rsid w:val="007C01FE"/>
    <w:rsid w:val="007E1000"/>
    <w:rsid w:val="007E33EC"/>
    <w:rsid w:val="007E3F64"/>
    <w:rsid w:val="007F752B"/>
    <w:rsid w:val="00801DA1"/>
    <w:rsid w:val="008038CD"/>
    <w:rsid w:val="00807669"/>
    <w:rsid w:val="00810227"/>
    <w:rsid w:val="00813C6D"/>
    <w:rsid w:val="008260D8"/>
    <w:rsid w:val="00833442"/>
    <w:rsid w:val="00835A69"/>
    <w:rsid w:val="0084778A"/>
    <w:rsid w:val="00867C19"/>
    <w:rsid w:val="00871AE2"/>
    <w:rsid w:val="008749E1"/>
    <w:rsid w:val="0087554B"/>
    <w:rsid w:val="0088514F"/>
    <w:rsid w:val="00895FD6"/>
    <w:rsid w:val="008A2481"/>
    <w:rsid w:val="008A24E7"/>
    <w:rsid w:val="008B0083"/>
    <w:rsid w:val="008C294A"/>
    <w:rsid w:val="008C3892"/>
    <w:rsid w:val="008C5F16"/>
    <w:rsid w:val="008D142D"/>
    <w:rsid w:val="008D42E3"/>
    <w:rsid w:val="008E4A80"/>
    <w:rsid w:val="008E581F"/>
    <w:rsid w:val="008E5FD0"/>
    <w:rsid w:val="008F1238"/>
    <w:rsid w:val="008F6981"/>
    <w:rsid w:val="008F69C7"/>
    <w:rsid w:val="00903DE0"/>
    <w:rsid w:val="00926205"/>
    <w:rsid w:val="009401ED"/>
    <w:rsid w:val="00942BD5"/>
    <w:rsid w:val="00957259"/>
    <w:rsid w:val="0096621E"/>
    <w:rsid w:val="00972942"/>
    <w:rsid w:val="009937CC"/>
    <w:rsid w:val="00993C29"/>
    <w:rsid w:val="009A0D7F"/>
    <w:rsid w:val="009A654F"/>
    <w:rsid w:val="009B7B8A"/>
    <w:rsid w:val="009C07A6"/>
    <w:rsid w:val="009E1B0C"/>
    <w:rsid w:val="009E77B4"/>
    <w:rsid w:val="009F031E"/>
    <w:rsid w:val="009F346E"/>
    <w:rsid w:val="009F6B87"/>
    <w:rsid w:val="00A0451E"/>
    <w:rsid w:val="00A10496"/>
    <w:rsid w:val="00A11865"/>
    <w:rsid w:val="00A30C82"/>
    <w:rsid w:val="00A342B9"/>
    <w:rsid w:val="00A40181"/>
    <w:rsid w:val="00A4140F"/>
    <w:rsid w:val="00A4604B"/>
    <w:rsid w:val="00A724ED"/>
    <w:rsid w:val="00A93D07"/>
    <w:rsid w:val="00AA1009"/>
    <w:rsid w:val="00AA3691"/>
    <w:rsid w:val="00AB2CE7"/>
    <w:rsid w:val="00AC160F"/>
    <w:rsid w:val="00AD1485"/>
    <w:rsid w:val="00AD3CE9"/>
    <w:rsid w:val="00AE30C4"/>
    <w:rsid w:val="00AE5890"/>
    <w:rsid w:val="00AF0513"/>
    <w:rsid w:val="00AF68D1"/>
    <w:rsid w:val="00B01C44"/>
    <w:rsid w:val="00B02CE4"/>
    <w:rsid w:val="00B04DD0"/>
    <w:rsid w:val="00B33C4A"/>
    <w:rsid w:val="00B41370"/>
    <w:rsid w:val="00B477E7"/>
    <w:rsid w:val="00B5239C"/>
    <w:rsid w:val="00B62EDB"/>
    <w:rsid w:val="00B73AED"/>
    <w:rsid w:val="00B81C8F"/>
    <w:rsid w:val="00B908C9"/>
    <w:rsid w:val="00B94E83"/>
    <w:rsid w:val="00BA323D"/>
    <w:rsid w:val="00BB4191"/>
    <w:rsid w:val="00BD3BC3"/>
    <w:rsid w:val="00BD57EF"/>
    <w:rsid w:val="00BD7F02"/>
    <w:rsid w:val="00BF0B00"/>
    <w:rsid w:val="00C32FF3"/>
    <w:rsid w:val="00C35308"/>
    <w:rsid w:val="00C40247"/>
    <w:rsid w:val="00C413BB"/>
    <w:rsid w:val="00C5792C"/>
    <w:rsid w:val="00C612FD"/>
    <w:rsid w:val="00C65F08"/>
    <w:rsid w:val="00C67BB9"/>
    <w:rsid w:val="00C70D2A"/>
    <w:rsid w:val="00C73621"/>
    <w:rsid w:val="00C749BC"/>
    <w:rsid w:val="00CA7863"/>
    <w:rsid w:val="00CB5722"/>
    <w:rsid w:val="00CC0CD5"/>
    <w:rsid w:val="00CC1BD8"/>
    <w:rsid w:val="00CC2B79"/>
    <w:rsid w:val="00CD0901"/>
    <w:rsid w:val="00CE03DE"/>
    <w:rsid w:val="00CE6E81"/>
    <w:rsid w:val="00D111DF"/>
    <w:rsid w:val="00D12C21"/>
    <w:rsid w:val="00D16669"/>
    <w:rsid w:val="00D235B6"/>
    <w:rsid w:val="00D27296"/>
    <w:rsid w:val="00D30CAC"/>
    <w:rsid w:val="00D328F5"/>
    <w:rsid w:val="00D43E2D"/>
    <w:rsid w:val="00D463D2"/>
    <w:rsid w:val="00D5373A"/>
    <w:rsid w:val="00D5668E"/>
    <w:rsid w:val="00D60D83"/>
    <w:rsid w:val="00D65C8A"/>
    <w:rsid w:val="00DA1507"/>
    <w:rsid w:val="00DD0968"/>
    <w:rsid w:val="00DE41BC"/>
    <w:rsid w:val="00DE6036"/>
    <w:rsid w:val="00DF33A8"/>
    <w:rsid w:val="00E00476"/>
    <w:rsid w:val="00E01E2C"/>
    <w:rsid w:val="00E07E7B"/>
    <w:rsid w:val="00E43537"/>
    <w:rsid w:val="00E54722"/>
    <w:rsid w:val="00E55A96"/>
    <w:rsid w:val="00E651E5"/>
    <w:rsid w:val="00E659CA"/>
    <w:rsid w:val="00E66A68"/>
    <w:rsid w:val="00E7033D"/>
    <w:rsid w:val="00E825F1"/>
    <w:rsid w:val="00E87805"/>
    <w:rsid w:val="00EB0620"/>
    <w:rsid w:val="00EC0FDA"/>
    <w:rsid w:val="00ED40B2"/>
    <w:rsid w:val="00EE37C8"/>
    <w:rsid w:val="00EF6A66"/>
    <w:rsid w:val="00F0046A"/>
    <w:rsid w:val="00F03CD1"/>
    <w:rsid w:val="00F05755"/>
    <w:rsid w:val="00F05CF3"/>
    <w:rsid w:val="00F12E85"/>
    <w:rsid w:val="00F15DE7"/>
    <w:rsid w:val="00F16FA8"/>
    <w:rsid w:val="00F25C6B"/>
    <w:rsid w:val="00F268BD"/>
    <w:rsid w:val="00F3092F"/>
    <w:rsid w:val="00F4470D"/>
    <w:rsid w:val="00F50F28"/>
    <w:rsid w:val="00F57B32"/>
    <w:rsid w:val="00F60AC8"/>
    <w:rsid w:val="00F80BCD"/>
    <w:rsid w:val="00FA4BA9"/>
    <w:rsid w:val="00FA546C"/>
    <w:rsid w:val="00FB729A"/>
    <w:rsid w:val="00FC4055"/>
    <w:rsid w:val="00FE4AAE"/>
    <w:rsid w:val="00FE7761"/>
    <w:rsid w:val="00FF4039"/>
    <w:rsid w:val="00FF74E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uiPriority w:val="99"/>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uiPriority w:val="99"/>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
    <w:name w:val="Unresolved Mention"/>
    <w:rsid w:val="00482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linda.ray@fcc.gov" TargetMode="External" /><Relationship Id="rId11" Type="http://schemas.openxmlformats.org/officeDocument/2006/relationships/hyperlink" Target="mailto:kimberly.cook@fcc.gov" TargetMode="External" /><Relationship Id="rId12" Type="http://schemas.openxmlformats.org/officeDocument/2006/relationships/hyperlink" Target="mailto:jim.bird@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gregory.kwan@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N:\My%20Documents\Onvoy-Garden%20Valley%20TOCPN%20(4%202%2020).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Onvoy-Garden Valley TOCPN (4 2 20)</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