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03556557" w14:textId="72C6A833">
      <w:pPr>
        <w:jc w:val="right"/>
        <w:rPr>
          <w:b/>
          <w:sz w:val="24"/>
        </w:rPr>
      </w:pPr>
      <w:r>
        <w:rPr>
          <w:b/>
          <w:sz w:val="24"/>
        </w:rPr>
        <w:t xml:space="preserve">DA </w:t>
      </w:r>
      <w:r w:rsidR="00830BCE">
        <w:rPr>
          <w:b/>
          <w:sz w:val="24"/>
        </w:rPr>
        <w:t>20-1154</w:t>
      </w:r>
    </w:p>
    <w:p w:rsidR="00013A8B" w:rsidRPr="00B20363" w:rsidP="00013A8B" w14:paraId="7E1D769F" w14:textId="1B42B9F2">
      <w:pPr>
        <w:spacing w:before="60"/>
        <w:jc w:val="right"/>
        <w:rPr>
          <w:b/>
          <w:sz w:val="24"/>
        </w:rPr>
      </w:pPr>
      <w:r>
        <w:rPr>
          <w:b/>
          <w:sz w:val="24"/>
        </w:rPr>
        <w:t xml:space="preserve">Released:  </w:t>
      </w:r>
      <w:r w:rsidR="00830BCE">
        <w:rPr>
          <w:b/>
          <w:sz w:val="24"/>
        </w:rPr>
        <w:t>October 1, 2020</w:t>
      </w:r>
    </w:p>
    <w:p w:rsidR="00013A8B" w:rsidP="00013A8B" w14:paraId="4B5C9E8F" w14:textId="77777777">
      <w:pPr>
        <w:jc w:val="right"/>
        <w:rPr>
          <w:sz w:val="24"/>
        </w:rPr>
      </w:pPr>
    </w:p>
    <w:p w:rsidR="00013A8B" w:rsidRPr="00B20363" w:rsidP="00013A8B" w14:paraId="3B3BBAFA" w14:textId="77777777">
      <w:pPr>
        <w:spacing w:after="240"/>
        <w:jc w:val="center"/>
        <w:rPr>
          <w:rFonts w:ascii="Times New Roman Bold" w:hAnsi="Times New Roman Bold"/>
          <w:b/>
          <w:caps/>
          <w:sz w:val="24"/>
        </w:rPr>
      </w:pPr>
      <w:bookmarkStart w:id="0" w:name="_Hlk52436509"/>
      <w:r>
        <w:rPr>
          <w:rFonts w:ascii="Times New Roman Bold" w:hAnsi="Times New Roman Bold"/>
          <w:b/>
          <w:caps/>
          <w:sz w:val="24"/>
        </w:rPr>
        <w:t xml:space="preserve">Wireline </w:t>
      </w:r>
      <w:r w:rsidR="00522FBC">
        <w:rPr>
          <w:rFonts w:ascii="Times New Roman Bold" w:hAnsi="Times New Roman Bold"/>
          <w:b/>
          <w:caps/>
          <w:sz w:val="24"/>
        </w:rPr>
        <w:t>Competition Bureau Invites Comment on Caller ID Authentication Best Practices</w:t>
      </w:r>
    </w:p>
    <w:bookmarkEnd w:id="0"/>
    <w:p w:rsidR="00013A8B" w:rsidP="00013A8B" w14:paraId="531CEF3B" w14:textId="21E23A5D">
      <w:pPr>
        <w:jc w:val="center"/>
        <w:rPr>
          <w:b/>
          <w:sz w:val="24"/>
        </w:rPr>
      </w:pPr>
      <w:r>
        <w:rPr>
          <w:b/>
          <w:sz w:val="24"/>
        </w:rPr>
        <w:t xml:space="preserve">WC Docket No. </w:t>
      </w:r>
      <w:r w:rsidR="00830BCE">
        <w:rPr>
          <w:b/>
          <w:sz w:val="24"/>
        </w:rPr>
        <w:t>20-324</w:t>
      </w:r>
    </w:p>
    <w:p w:rsidR="00F96F63" w:rsidP="00F96F63" w14:paraId="1812944F" w14:textId="77777777">
      <w:pPr>
        <w:rPr>
          <w:sz w:val="24"/>
        </w:rPr>
      </w:pPr>
    </w:p>
    <w:p w:rsidR="00522FBC" w:rsidRPr="00D666A5" w:rsidP="00522FBC" w14:paraId="1BD0676E" w14:textId="2BC45672">
      <w:pPr>
        <w:pStyle w:val="NoSpacing"/>
        <w:spacing w:after="120"/>
        <w:rPr>
          <w:b/>
          <w:szCs w:val="22"/>
        </w:rPr>
      </w:pPr>
      <w:r w:rsidRPr="0029562D">
        <w:rPr>
          <w:b/>
          <w:szCs w:val="22"/>
        </w:rPr>
        <w:t xml:space="preserve">Comments Due:  </w:t>
      </w:r>
      <w:r w:rsidR="00830BCE">
        <w:rPr>
          <w:b/>
          <w:szCs w:val="22"/>
        </w:rPr>
        <w:t>October 16, 2020</w:t>
      </w:r>
    </w:p>
    <w:p w:rsidR="00522FBC" w:rsidP="00522FBC" w14:paraId="251C9A70" w14:textId="710DF329">
      <w:pPr>
        <w:pStyle w:val="NoSpacing"/>
        <w:spacing w:after="120"/>
        <w:rPr>
          <w:b/>
          <w:szCs w:val="22"/>
        </w:rPr>
      </w:pPr>
      <w:r w:rsidRPr="00D666A5">
        <w:rPr>
          <w:b/>
          <w:szCs w:val="22"/>
        </w:rPr>
        <w:t xml:space="preserve">Reply Comments Due:  </w:t>
      </w:r>
      <w:r w:rsidR="00830BCE">
        <w:rPr>
          <w:b/>
          <w:szCs w:val="22"/>
        </w:rPr>
        <w:t>October 26, 2020</w:t>
      </w:r>
    </w:p>
    <w:p w:rsidR="00FE2F36" w:rsidP="00522FBC" w14:paraId="39187B4F" w14:textId="43685D66">
      <w:pPr>
        <w:spacing w:after="120"/>
        <w:ind w:firstLine="720"/>
        <w:rPr>
          <w:lang w:val="en"/>
        </w:rPr>
      </w:pPr>
      <w:bookmarkStart w:id="1" w:name="_Hlk529353710"/>
      <w:r>
        <w:rPr>
          <w:lang w:val="en"/>
        </w:rPr>
        <w:t>T</w:t>
      </w:r>
      <w:r>
        <w:rPr>
          <w:lang w:val="en"/>
        </w:rPr>
        <w:t xml:space="preserve">o facilitate </w:t>
      </w:r>
      <w:r w:rsidR="00F018C4">
        <w:rPr>
          <w:lang w:val="en"/>
        </w:rPr>
        <w:t>issuance of best practices pursuant to</w:t>
      </w:r>
      <w:r w:rsidR="004359C9">
        <w:rPr>
          <w:lang w:val="en"/>
        </w:rPr>
        <w:t xml:space="preserve"> </w:t>
      </w:r>
      <w:r w:rsidR="00F04D2C">
        <w:rPr>
          <w:lang w:val="en"/>
        </w:rPr>
        <w:t>the</w:t>
      </w:r>
      <w:r w:rsidRPr="00C672B9" w:rsidR="00F04D2C">
        <w:rPr>
          <w:lang w:val="en"/>
        </w:rPr>
        <w:t xml:space="preserve"> </w:t>
      </w:r>
      <w:r w:rsidR="00F04D2C">
        <w:rPr>
          <w:lang w:val="en"/>
        </w:rPr>
        <w:t xml:space="preserve">Pallone-Thune Telephone Robocall Abuse Criminal Enforcement and Deterrence (TRACED) Act, the </w:t>
      </w:r>
      <w:r>
        <w:rPr>
          <w:lang w:val="en"/>
        </w:rPr>
        <w:t xml:space="preserve">Wireline Competition Bureau (Bureau) seeks comment on </w:t>
      </w:r>
      <w:r w:rsidR="00F04D2C">
        <w:rPr>
          <w:lang w:val="en"/>
        </w:rPr>
        <w:t>the</w:t>
      </w:r>
      <w:r>
        <w:rPr>
          <w:lang w:val="en"/>
        </w:rPr>
        <w:t xml:space="preserve"> </w:t>
      </w:r>
      <w:r w:rsidR="004359C9">
        <w:rPr>
          <w:lang w:val="en"/>
        </w:rPr>
        <w:t xml:space="preserve">North American Numbering Council (NANC) Report recommending </w:t>
      </w:r>
      <w:r>
        <w:rPr>
          <w:lang w:val="en"/>
        </w:rPr>
        <w:t>best practices related to call</w:t>
      </w:r>
      <w:r w:rsidR="00F04D2C">
        <w:rPr>
          <w:lang w:val="en"/>
        </w:rPr>
        <w:t>er ID</w:t>
      </w:r>
      <w:r>
        <w:rPr>
          <w:lang w:val="en"/>
        </w:rPr>
        <w:t xml:space="preserve"> authentication</w:t>
      </w:r>
      <w:r w:rsidR="00F04D2C">
        <w:rPr>
          <w:lang w:val="en"/>
        </w:rPr>
        <w:t>.</w:t>
      </w:r>
      <w:r>
        <w:rPr>
          <w:rStyle w:val="FootnoteReference"/>
          <w:lang w:val="en"/>
        </w:rPr>
        <w:footnoteReference w:id="3"/>
      </w:r>
      <w:r>
        <w:rPr>
          <w:lang w:val="en"/>
        </w:rPr>
        <w:t xml:space="preserve">  </w:t>
      </w:r>
    </w:p>
    <w:p w:rsidR="00522FBC" w:rsidP="00522FBC" w14:paraId="00DE7ED1" w14:textId="778D79A6">
      <w:pPr>
        <w:spacing w:after="120"/>
        <w:ind w:firstLine="720"/>
        <w:rPr>
          <w:lang w:val="en"/>
        </w:rPr>
      </w:pPr>
      <w:r>
        <w:rPr>
          <w:lang w:val="en"/>
        </w:rPr>
        <w:t>T</w:t>
      </w:r>
      <w:r w:rsidRPr="0046289C">
        <w:rPr>
          <w:lang w:val="en"/>
        </w:rPr>
        <w:t>he TRACED Act</w:t>
      </w:r>
      <w:r w:rsidR="00F04D2C">
        <w:rPr>
          <w:lang w:val="en"/>
        </w:rPr>
        <w:t xml:space="preserve"> </w:t>
      </w:r>
      <w:r w:rsidRPr="0046289C">
        <w:rPr>
          <w:lang w:val="en"/>
        </w:rPr>
        <w:t>direct</w:t>
      </w:r>
      <w:r w:rsidR="00F04D2C">
        <w:rPr>
          <w:lang w:val="en"/>
        </w:rPr>
        <w:t>s</w:t>
      </w:r>
      <w:r w:rsidRPr="0046289C">
        <w:rPr>
          <w:lang w:val="en"/>
        </w:rPr>
        <w:t xml:space="preserve"> the Commission, by December 30, 2020, to issue “best practices that providers of voice service may use as part of the implementation of effective call authentication frameworks . . . to take steps to ensure the calling party is accurately identified.”</w:t>
      </w:r>
      <w:r>
        <w:rPr>
          <w:rStyle w:val="FootnoteReference"/>
          <w:lang w:val="en"/>
        </w:rPr>
        <w:footnoteReference w:id="4"/>
      </w:r>
      <w:r w:rsidRPr="0046289C">
        <w:rPr>
          <w:lang w:val="en"/>
        </w:rPr>
        <w:t xml:space="preserve">  </w:t>
      </w:r>
      <w:r>
        <w:rPr>
          <w:lang w:val="en"/>
        </w:rPr>
        <w:t>On February 27, 2020, t</w:t>
      </w:r>
      <w:r w:rsidRPr="0046289C">
        <w:rPr>
          <w:lang w:val="en"/>
        </w:rPr>
        <w:t>he</w:t>
      </w:r>
      <w:r>
        <w:rPr>
          <w:lang w:val="en"/>
        </w:rPr>
        <w:t xml:space="preserve"> Bureau</w:t>
      </w:r>
      <w:r w:rsidRPr="0046289C">
        <w:rPr>
          <w:lang w:val="en"/>
        </w:rPr>
        <w:t xml:space="preserve"> charged the Call Authentication Trust Anchor (CATA) Working Group of the NANC to recommend </w:t>
      </w:r>
      <w:r>
        <w:rPr>
          <w:lang w:val="en"/>
        </w:rPr>
        <w:t>a</w:t>
      </w:r>
      <w:r w:rsidRPr="0046289C">
        <w:rPr>
          <w:lang w:val="en"/>
        </w:rPr>
        <w:t xml:space="preserve"> </w:t>
      </w:r>
      <w:r w:rsidRPr="0046289C">
        <w:rPr>
          <w:lang w:val="en"/>
        </w:rPr>
        <w:t>set of best practices</w:t>
      </w:r>
      <w:r>
        <w:rPr>
          <w:lang w:val="en"/>
        </w:rPr>
        <w:t xml:space="preserve"> that would, in the NANC’s view, satisfy Congress’s direction if adopted by the Commission</w:t>
      </w:r>
      <w:r w:rsidRPr="0046289C">
        <w:rPr>
          <w:lang w:val="en"/>
        </w:rPr>
        <w:t>.</w:t>
      </w:r>
      <w:r>
        <w:rPr>
          <w:rStyle w:val="FootnoteReference"/>
          <w:lang w:val="en"/>
        </w:rPr>
        <w:footnoteReference w:id="5"/>
      </w:r>
      <w:r w:rsidRPr="0046289C">
        <w:rPr>
          <w:lang w:val="en"/>
        </w:rPr>
        <w:t xml:space="preserve">  The CATA Working Group prepared a report</w:t>
      </w:r>
      <w:r w:rsidR="00F04D2C">
        <w:rPr>
          <w:lang w:val="en"/>
        </w:rPr>
        <w:t xml:space="preserve"> recommending best practices</w:t>
      </w:r>
      <w:r w:rsidRPr="0046289C">
        <w:rPr>
          <w:lang w:val="en"/>
        </w:rPr>
        <w:t xml:space="preserve"> in response to </w:t>
      </w:r>
      <w:r>
        <w:rPr>
          <w:lang w:val="en"/>
        </w:rPr>
        <w:t>the Bureau’s charge</w:t>
      </w:r>
      <w:r w:rsidRPr="0046289C">
        <w:rPr>
          <w:lang w:val="en"/>
        </w:rPr>
        <w:t xml:space="preserve">, </w:t>
      </w:r>
      <w:r>
        <w:rPr>
          <w:lang w:val="en"/>
        </w:rPr>
        <w:t>and</w:t>
      </w:r>
      <w:r w:rsidRPr="0046289C">
        <w:rPr>
          <w:lang w:val="en"/>
        </w:rPr>
        <w:t xml:space="preserve"> the NANC </w:t>
      </w:r>
      <w:r>
        <w:rPr>
          <w:lang w:val="en"/>
        </w:rPr>
        <w:t>voted to approve th</w:t>
      </w:r>
      <w:r w:rsidR="002A1C16">
        <w:rPr>
          <w:lang w:val="en"/>
        </w:rPr>
        <w:t>at</w:t>
      </w:r>
      <w:r>
        <w:rPr>
          <w:lang w:val="en"/>
        </w:rPr>
        <w:t xml:space="preserve"> report </w:t>
      </w:r>
      <w:r w:rsidRPr="0046289C">
        <w:rPr>
          <w:lang w:val="en"/>
        </w:rPr>
        <w:t>on September 24, 2020.</w:t>
      </w:r>
      <w:r>
        <w:rPr>
          <w:rStyle w:val="FootnoteReference"/>
          <w:lang w:val="en"/>
        </w:rPr>
        <w:footnoteReference w:id="6"/>
      </w:r>
    </w:p>
    <w:p w:rsidR="00522FBC" w:rsidRPr="000417B7" w:rsidP="000417B7" w14:paraId="2FAAE04F" w14:textId="15D3DB6A">
      <w:pPr>
        <w:spacing w:after="120"/>
        <w:ind w:firstLine="720"/>
      </w:pPr>
      <w:r>
        <w:rPr>
          <w:lang w:val="en"/>
        </w:rPr>
        <w:t>In its report, t</w:t>
      </w:r>
      <w:r>
        <w:rPr>
          <w:lang w:val="en"/>
        </w:rPr>
        <w:t>he NANC</w:t>
      </w:r>
      <w:r w:rsidR="002A1C16">
        <w:rPr>
          <w:lang w:val="en"/>
        </w:rPr>
        <w:t xml:space="preserve"> recommends </w:t>
      </w:r>
      <w:r>
        <w:rPr>
          <w:lang w:val="en"/>
        </w:rPr>
        <w:t>seven best practices</w:t>
      </w:r>
      <w:r w:rsidR="000417B7">
        <w:rPr>
          <w:lang w:val="en"/>
        </w:rPr>
        <w:t xml:space="preserve"> related to</w:t>
      </w:r>
      <w:r>
        <w:rPr>
          <w:lang w:val="en"/>
        </w:rPr>
        <w:t>:</w:t>
      </w:r>
      <w:r w:rsidR="000417B7">
        <w:rPr>
          <w:lang w:val="en"/>
        </w:rPr>
        <w:t xml:space="preserve"> (1)</w:t>
      </w:r>
      <w:r w:rsidRPr="000417B7" w:rsidR="000417B7">
        <w:rPr>
          <w:lang w:val="en"/>
        </w:rPr>
        <w:t xml:space="preserve"> </w:t>
      </w:r>
      <w:r w:rsidR="00956D72">
        <w:t>s</w:t>
      </w:r>
      <w:r w:rsidRPr="000417B7">
        <w:t xml:space="preserve">ubscriber </w:t>
      </w:r>
      <w:r w:rsidR="00956D72">
        <w:t>v</w:t>
      </w:r>
      <w:r w:rsidRPr="000417B7">
        <w:t>etting</w:t>
      </w:r>
      <w:r w:rsidRPr="000417B7" w:rsidR="000417B7">
        <w:t>;</w:t>
      </w:r>
      <w:r w:rsidRPr="000417B7" w:rsidR="000417B7">
        <w:rPr>
          <w:lang w:val="en"/>
        </w:rPr>
        <w:t xml:space="preserve"> (2)</w:t>
      </w:r>
      <w:r w:rsidRPr="000417B7" w:rsidR="000417B7">
        <w:t xml:space="preserve"> </w:t>
      </w:r>
      <w:r w:rsidR="00956D72">
        <w:t>telephone number v</w:t>
      </w:r>
      <w:r w:rsidRPr="000417B7">
        <w:t>alidation</w:t>
      </w:r>
      <w:r w:rsidRPr="000417B7" w:rsidR="000417B7">
        <w:t xml:space="preserve">; (3) </w:t>
      </w:r>
      <w:r w:rsidRPr="000417B7">
        <w:t>A-</w:t>
      </w:r>
      <w:r w:rsidR="00956D72">
        <w:t>l</w:t>
      </w:r>
      <w:r w:rsidRPr="000417B7">
        <w:t xml:space="preserve">evel </w:t>
      </w:r>
      <w:r w:rsidR="00956D72">
        <w:t>a</w:t>
      </w:r>
      <w:r w:rsidRPr="000417B7">
        <w:t>ttestation</w:t>
      </w:r>
      <w:r w:rsidRPr="000417B7" w:rsidR="000417B7">
        <w:t xml:space="preserve">; (4) </w:t>
      </w:r>
      <w:r w:rsidRPr="000417B7">
        <w:t>B- and C-</w:t>
      </w:r>
      <w:r w:rsidR="00956D72">
        <w:t>l</w:t>
      </w:r>
      <w:r w:rsidRPr="000417B7">
        <w:t xml:space="preserve">evel </w:t>
      </w:r>
      <w:r w:rsidR="00956D72">
        <w:t>a</w:t>
      </w:r>
      <w:r w:rsidRPr="000417B7">
        <w:t>ttestation</w:t>
      </w:r>
      <w:r w:rsidRPr="000417B7" w:rsidR="000417B7">
        <w:t xml:space="preserve">; (5) </w:t>
      </w:r>
      <w:r w:rsidR="00956D72">
        <w:t>t</w:t>
      </w:r>
      <w:r w:rsidRPr="000417B7">
        <w:t>hird-</w:t>
      </w:r>
      <w:r w:rsidR="00956D72">
        <w:t>p</w:t>
      </w:r>
      <w:r w:rsidRPr="000417B7">
        <w:t xml:space="preserve">arty </w:t>
      </w:r>
      <w:r w:rsidR="00956D72">
        <w:t>v</w:t>
      </w:r>
      <w:r w:rsidRPr="000417B7">
        <w:t xml:space="preserve">alidation </w:t>
      </w:r>
      <w:r w:rsidR="00956D72">
        <w:t>s</w:t>
      </w:r>
      <w:r w:rsidRPr="000417B7">
        <w:t>ervices</w:t>
      </w:r>
      <w:r w:rsidRPr="000417B7" w:rsidR="000417B7">
        <w:t xml:space="preserve">; (6) </w:t>
      </w:r>
      <w:r w:rsidR="00956D72">
        <w:t>i</w:t>
      </w:r>
      <w:r w:rsidRPr="000417B7">
        <w:t>nternational</w:t>
      </w:r>
      <w:r w:rsidR="000417B7">
        <w:t xml:space="preserve"> </w:t>
      </w:r>
      <w:r w:rsidR="00956D72">
        <w:t>c</w:t>
      </w:r>
      <w:r w:rsidR="000417B7">
        <w:t xml:space="preserve">all </w:t>
      </w:r>
      <w:r w:rsidR="00956D72">
        <w:t>o</w:t>
      </w:r>
      <w:r w:rsidR="000417B7">
        <w:t>riginators</w:t>
      </w:r>
      <w:r w:rsidRPr="000417B7" w:rsidR="000417B7">
        <w:t xml:space="preserve">; and (7) </w:t>
      </w:r>
      <w:r w:rsidR="00956D72">
        <w:t>o</w:t>
      </w:r>
      <w:r w:rsidRPr="000417B7">
        <w:t xml:space="preserve">ngoing </w:t>
      </w:r>
      <w:r w:rsidR="00956D72">
        <w:t>r</w:t>
      </w:r>
      <w:r w:rsidRPr="000417B7">
        <w:t xml:space="preserve">obocall </w:t>
      </w:r>
      <w:r w:rsidR="00956D72">
        <w:t>m</w:t>
      </w:r>
      <w:r w:rsidRPr="000417B7">
        <w:t>itigation</w:t>
      </w:r>
      <w:r w:rsidRPr="000417B7" w:rsidR="000417B7">
        <w:t xml:space="preserve"> </w:t>
      </w:r>
      <w:r w:rsidR="00956D72">
        <w:t>p</w:t>
      </w:r>
      <w:r w:rsidRPr="000417B7" w:rsidR="000417B7">
        <w:t>rograms.</w:t>
      </w:r>
      <w:r>
        <w:rPr>
          <w:rStyle w:val="FootnoteReference"/>
        </w:rPr>
        <w:footnoteReference w:id="7"/>
      </w:r>
      <w:r w:rsidRPr="000417B7" w:rsidR="000417B7">
        <w:t xml:space="preserve"> </w:t>
      </w:r>
      <w:r w:rsidRPr="00E740C9">
        <w:t xml:space="preserve"> </w:t>
      </w:r>
      <w:r>
        <w:rPr>
          <w:lang w:val="en"/>
        </w:rPr>
        <w:t>The Bureau invites comment on</w:t>
      </w:r>
      <w:r w:rsidR="002A1C16">
        <w:rPr>
          <w:lang w:val="en"/>
        </w:rPr>
        <w:t xml:space="preserve"> the NANC’s recommendation</w:t>
      </w:r>
      <w:r w:rsidR="00D00553">
        <w:rPr>
          <w:lang w:val="en"/>
        </w:rPr>
        <w:t>s</w:t>
      </w:r>
      <w:r w:rsidR="002A1C16">
        <w:rPr>
          <w:lang w:val="en"/>
        </w:rPr>
        <w:t xml:space="preserve">.  </w:t>
      </w:r>
      <w:r>
        <w:rPr>
          <w:lang w:val="en"/>
        </w:rPr>
        <w:t xml:space="preserve">The Bureau also invites comment on any additional </w:t>
      </w:r>
      <w:r w:rsidR="00F018C4">
        <w:rPr>
          <w:lang w:val="en"/>
        </w:rPr>
        <w:t xml:space="preserve">or alternative </w:t>
      </w:r>
      <w:r>
        <w:rPr>
          <w:lang w:val="en"/>
        </w:rPr>
        <w:t xml:space="preserve">best practices commenters would </w:t>
      </w:r>
      <w:r w:rsidR="00F018C4">
        <w:rPr>
          <w:lang w:val="en"/>
        </w:rPr>
        <w:t>recommend</w:t>
      </w:r>
      <w:r w:rsidR="00D00553">
        <w:rPr>
          <w:lang w:val="en"/>
        </w:rPr>
        <w:t xml:space="preserve"> to achieve the TRACED Act’s goal of ensuring the calling party is accurately identified</w:t>
      </w:r>
      <w:r>
        <w:rPr>
          <w:lang w:val="en"/>
        </w:rPr>
        <w:t xml:space="preserve">. </w:t>
      </w:r>
    </w:p>
    <w:bookmarkEnd w:id="1"/>
    <w:p w:rsidR="00522FBC" w:rsidRPr="00F61990" w:rsidP="00522FBC" w14:paraId="496C1050" w14:textId="57685478">
      <w:pPr>
        <w:spacing w:after="120"/>
        <w:ind w:firstLine="720"/>
      </w:pPr>
      <w:r>
        <w:rPr>
          <w:i/>
        </w:rPr>
        <w:t xml:space="preserve">Filing </w:t>
      </w:r>
      <w:r w:rsidRPr="00276A42">
        <w:rPr>
          <w:i/>
        </w:rPr>
        <w:t>Requirements</w:t>
      </w:r>
      <w:r>
        <w:t xml:space="preserve">. </w:t>
      </w:r>
      <w:r w:rsidRPr="00276A42">
        <w:t>Pursuant</w:t>
      </w:r>
      <w:r w:rsidRPr="00F61990">
        <w:t xml:space="preserve"> to section</w:t>
      </w:r>
      <w:r>
        <w:t>s</w:t>
      </w:r>
      <w:r w:rsidRPr="00F61990">
        <w:t xml:space="preserve"> </w:t>
      </w:r>
      <w:r>
        <w:t xml:space="preserve">1.415 and </w:t>
      </w:r>
      <w:r w:rsidRPr="00F61990">
        <w:t xml:space="preserve">1.419 of the Commission’s rules, 47 CFR </w:t>
      </w:r>
      <w:r>
        <w:t>§</w:t>
      </w:r>
      <w:r w:rsidRPr="00F61990">
        <w:t>§</w:t>
      </w:r>
      <w:r w:rsidR="00C72248">
        <w:t> </w:t>
      </w:r>
      <w:r w:rsidRPr="00F61990">
        <w:t>1.41</w:t>
      </w:r>
      <w:r>
        <w:t>5, 1.41</w:t>
      </w:r>
      <w:r w:rsidRPr="00F61990">
        <w:t>9, interested parties may file comments on or before the date</w:t>
      </w:r>
      <w:r>
        <w:t>s</w:t>
      </w:r>
      <w:r w:rsidRPr="00F61990">
        <w:t xml:space="preserve"> indicated above.  Comments may be filed by paper or by using the Commission’s Electronic Comment Filing System (ECFS).  </w:t>
      </w:r>
      <w:r w:rsidRPr="00F61990">
        <w:rPr>
          <w:i/>
        </w:rPr>
        <w:t xml:space="preserve">See </w:t>
      </w:r>
      <w:r w:rsidRPr="00F61990">
        <w:rPr>
          <w:i/>
        </w:rPr>
        <w:t>Electronic Filing of Documents in Rulemaking Proceedings</w:t>
      </w:r>
      <w:r w:rsidRPr="00F61990">
        <w:t>, 63 FR 24121 (1998).</w:t>
      </w:r>
    </w:p>
    <w:p w:rsidR="00522FBC" w:rsidRPr="000D27E8" w:rsidP="00522FBC" w14:paraId="51BAB031" w14:textId="77777777">
      <w:pPr>
        <w:numPr>
          <w:ilvl w:val="0"/>
          <w:numId w:val="7"/>
        </w:numPr>
        <w:spacing w:after="120"/>
        <w:rPr>
          <w:rFonts w:eastAsia="Calibri"/>
          <w:szCs w:val="22"/>
        </w:rPr>
      </w:pPr>
      <w:r w:rsidRPr="00F61990">
        <w:rPr>
          <w:rFonts w:eastAsia="Calibri"/>
          <w:szCs w:val="22"/>
        </w:rPr>
        <w:t>Electronic Filers:  Comments may be filed electronically</w:t>
      </w:r>
      <w:r>
        <w:rPr>
          <w:rFonts w:eastAsia="Calibri"/>
          <w:szCs w:val="22"/>
        </w:rPr>
        <w:t xml:space="preserve"> using the Internet by accessing</w:t>
      </w:r>
      <w:r w:rsidRPr="00F61990">
        <w:rPr>
          <w:rFonts w:eastAsia="Calibri"/>
          <w:szCs w:val="22"/>
        </w:rPr>
        <w:t xml:space="preserve"> </w:t>
      </w:r>
      <w:r>
        <w:rPr>
          <w:rFonts w:eastAsia="Calibri"/>
          <w:szCs w:val="22"/>
        </w:rPr>
        <w:t>the</w:t>
      </w:r>
      <w:r w:rsidRPr="00F61990">
        <w:rPr>
          <w:rFonts w:eastAsia="Calibri"/>
          <w:szCs w:val="22"/>
        </w:rPr>
        <w:t xml:space="preserve"> </w:t>
      </w:r>
      <w:r w:rsidRPr="00F61990">
        <w:rPr>
          <w:rFonts w:eastAsia="Calibri"/>
          <w:color w:val="000000"/>
          <w:szCs w:val="22"/>
        </w:rPr>
        <w:t>ECFS</w:t>
      </w:r>
      <w:r w:rsidRPr="00F61990">
        <w:rPr>
          <w:rFonts w:eastAsia="Calibri"/>
          <w:szCs w:val="22"/>
        </w:rPr>
        <w:t xml:space="preserve">: </w:t>
      </w:r>
      <w:hyperlink r:id="rId5" w:history="1">
        <w:r w:rsidRPr="00044A91">
          <w:rPr>
            <w:rStyle w:val="Hyperlink"/>
            <w:szCs w:val="22"/>
          </w:rPr>
          <w:t>http://www.fcc.gov/ecfs</w:t>
        </w:r>
      </w:hyperlink>
      <w:r w:rsidRPr="00F61990">
        <w:rPr>
          <w:rFonts w:eastAsia="Calibri"/>
          <w:szCs w:val="22"/>
        </w:rPr>
        <w:t>.</w:t>
      </w:r>
      <w:bookmarkStart w:id="2" w:name="_GoBack"/>
      <w:bookmarkEnd w:id="2"/>
    </w:p>
    <w:p w:rsidR="00522FBC" w:rsidP="00522FBC" w14:paraId="02062D8F" w14:textId="77777777">
      <w:pPr>
        <w:numPr>
          <w:ilvl w:val="0"/>
          <w:numId w:val="7"/>
        </w:numPr>
        <w:spacing w:after="120"/>
        <w:rPr>
          <w:rFonts w:eastAsia="Calibri"/>
          <w:szCs w:val="22"/>
        </w:rPr>
      </w:pPr>
      <w:r w:rsidRPr="00F61990">
        <w:rPr>
          <w:rFonts w:eastAsia="Calibri"/>
          <w:szCs w:val="22"/>
        </w:rPr>
        <w:t xml:space="preserve">Paper Filers:  Parties who choose to file by paper must file an original and one copy of each filing.  </w:t>
      </w:r>
      <w:r>
        <w:rPr>
          <w:rFonts w:eastAsia="Calibri"/>
          <w:szCs w:val="22"/>
        </w:rPr>
        <w:t>If more than one docket or rulemaking number appears in the caption of this proceeding, filers must submit two additional copies for each additional docket or rulemaking number.</w:t>
      </w:r>
    </w:p>
    <w:p w:rsidR="00522FBC" w:rsidRPr="000D27E8" w:rsidP="00522FBC" w14:paraId="420E6DB0" w14:textId="77777777">
      <w:pPr>
        <w:numPr>
          <w:ilvl w:val="0"/>
          <w:numId w:val="7"/>
        </w:numPr>
        <w:spacing w:after="120"/>
        <w:rPr>
          <w:rFonts w:eastAsia="Calibri"/>
          <w:szCs w:val="22"/>
        </w:rPr>
      </w:pPr>
      <w:r w:rsidRPr="00F61990">
        <w:rPr>
          <w:rFonts w:eastAsia="Calibri"/>
          <w:szCs w:val="22"/>
        </w:rPr>
        <w:t>Filings can be sent by commercial overnight courier</w:t>
      </w:r>
      <w:r>
        <w:rPr>
          <w:rFonts w:eastAsia="Calibri"/>
          <w:szCs w:val="22"/>
        </w:rPr>
        <w:t>,</w:t>
      </w:r>
      <w:r w:rsidRPr="00F61990">
        <w:rPr>
          <w:rFonts w:eastAsia="Calibri"/>
          <w:szCs w:val="22"/>
        </w:rPr>
        <w:t xml:space="preserve"> or by first-class or overnight U.S. Postal Service mail.</w:t>
      </w:r>
      <w:r>
        <w:rPr>
          <w:rFonts w:eastAsia="Calibri"/>
          <w:szCs w:val="22"/>
        </w:rPr>
        <w:t xml:space="preserve">  All filings must be addressed to the Commission’s Secretary, Office of the Secretary, Federal Communications Commission.</w:t>
      </w:r>
    </w:p>
    <w:p w:rsidR="00522FBC" w:rsidP="00522FBC" w14:paraId="3E92CF42" w14:textId="77777777">
      <w:pPr>
        <w:keepNext/>
        <w:numPr>
          <w:ilvl w:val="0"/>
          <w:numId w:val="8"/>
        </w:numPr>
        <w:spacing w:after="120"/>
        <w:rPr>
          <w:rFonts w:eastAsia="Calibri"/>
          <w:szCs w:val="22"/>
        </w:rPr>
      </w:pPr>
      <w:r w:rsidRPr="00F61990">
        <w:rPr>
          <w:rFonts w:eastAsia="Calibri"/>
          <w:szCs w:val="22"/>
        </w:rPr>
        <w:t>Commercial overnight mail (other than U.S. Postal Service Express Mail and Priority Mail) must be sent to 9050 Junction Drive, Annapolis Junction, MD 20701.</w:t>
      </w:r>
      <w:r>
        <w:rPr>
          <w:rFonts w:eastAsia="Calibri"/>
          <w:szCs w:val="22"/>
        </w:rPr>
        <w:t xml:space="preserve">  </w:t>
      </w:r>
      <w:r w:rsidRPr="00357C3E">
        <w:rPr>
          <w:rFonts w:eastAsia="Calibri"/>
          <w:szCs w:val="22"/>
        </w:rPr>
        <w:t xml:space="preserve">U.S. Postal Service first-class, Express, and Priority mail must be </w:t>
      </w:r>
      <w:r w:rsidRPr="00830BCE">
        <w:rPr>
          <w:rFonts w:eastAsia="Calibri"/>
          <w:szCs w:val="22"/>
        </w:rPr>
        <w:t>addressed to 445 12th Street, SW, Washington, DC 20554.</w:t>
      </w:r>
    </w:p>
    <w:p w:rsidR="00522FBC" w:rsidRPr="00357C3E" w:rsidP="00522FBC" w14:paraId="2125EB0C" w14:textId="77777777">
      <w:pPr>
        <w:keepNext/>
        <w:numPr>
          <w:ilvl w:val="0"/>
          <w:numId w:val="8"/>
        </w:numPr>
        <w:spacing w:after="120"/>
        <w:rPr>
          <w:rFonts w:eastAsia="Calibri"/>
          <w:szCs w:val="22"/>
        </w:rPr>
      </w:pPr>
      <w:r>
        <w:rPr>
          <w:rFonts w:eastAsia="Calibri"/>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20-304 (March 19, 2020), </w:t>
      </w:r>
      <w:hyperlink r:id="rId6" w:history="1">
        <w:r w:rsidRPr="00357C3E">
          <w:rPr>
            <w:rStyle w:val="Hyperlink"/>
            <w:rFonts w:eastAsia="Calibri"/>
            <w:szCs w:val="22"/>
          </w:rPr>
          <w:t>https://www.fcc.gov/document/fcc-closes-headquarters-open-window-and-changes-hand-delivery-policy</w:t>
        </w:r>
      </w:hyperlink>
      <w:r>
        <w:rPr>
          <w:rFonts w:eastAsia="Calibri"/>
          <w:szCs w:val="22"/>
        </w:rPr>
        <w:t>.</w:t>
      </w:r>
    </w:p>
    <w:p w:rsidR="00522FBC" w:rsidRPr="00F61990" w:rsidP="00522FBC" w14:paraId="46B6FD8E" w14:textId="77777777">
      <w:pPr>
        <w:spacing w:after="120"/>
        <w:ind w:firstLine="720"/>
        <w:rPr>
          <w:rFonts w:eastAsia="Calibri"/>
          <w:szCs w:val="22"/>
        </w:rPr>
      </w:pPr>
      <w:r w:rsidRPr="00276A42">
        <w:rPr>
          <w:rFonts w:eastAsia="Calibri"/>
          <w:i/>
          <w:szCs w:val="22"/>
        </w:rPr>
        <w:t>People with Disabilities</w:t>
      </w:r>
      <w:r>
        <w:rPr>
          <w:rFonts w:eastAsia="Calibri"/>
          <w:szCs w:val="22"/>
        </w:rPr>
        <w:t>.</w:t>
      </w:r>
      <w:r w:rsidRPr="00F61990">
        <w:rPr>
          <w:rFonts w:eastAsia="Calibri"/>
          <w:szCs w:val="22"/>
        </w:rPr>
        <w:t xml:space="preserve">  To request materials in accessible formats for people with disabilities (Braille, large print, electronic files, audio format), send an e-mail to </w:t>
      </w:r>
      <w:hyperlink r:id="rId7" w:history="1">
        <w:r w:rsidRPr="00F61990">
          <w:rPr>
            <w:rFonts w:eastAsia="Calibri"/>
            <w:color w:val="0000FF"/>
            <w:szCs w:val="22"/>
            <w:u w:val="single"/>
          </w:rPr>
          <w:t>fcc504@fcc.gov</w:t>
        </w:r>
      </w:hyperlink>
      <w:r w:rsidRPr="00F61990">
        <w:rPr>
          <w:rFonts w:eastAsia="Calibri"/>
          <w:szCs w:val="22"/>
          <w:u w:val="single"/>
        </w:rPr>
        <w:t xml:space="preserve"> </w:t>
      </w:r>
      <w:r w:rsidRPr="00F61990">
        <w:rPr>
          <w:rFonts w:eastAsia="Calibri"/>
          <w:szCs w:val="22"/>
        </w:rPr>
        <w:t>or call the Consumer &amp; Governmental Affairs Bureau at (202) 418-0530 (voice) or (202) 418-0432 (tty).</w:t>
      </w:r>
    </w:p>
    <w:p w:rsidR="00522FBC" w:rsidRPr="009759B8" w:rsidP="00522FBC" w14:paraId="752A1463" w14:textId="77777777">
      <w:pPr>
        <w:spacing w:after="120"/>
        <w:ind w:firstLine="720"/>
      </w:pPr>
      <w:r w:rsidRPr="00276A42">
        <w:rPr>
          <w:i/>
        </w:rPr>
        <w:t>Ex Parte Rules</w:t>
      </w:r>
      <w:r>
        <w:t xml:space="preserve">.  The proceeding is considered </w:t>
      </w:r>
      <w:r w:rsidRPr="00F61990">
        <w:t>a “permit-but-disclose” proceeding in accordance with the Commission</w:t>
      </w:r>
      <w:r>
        <w:t>’</w:t>
      </w:r>
      <w:r w:rsidRPr="00F61990">
        <w:t xml:space="preserve">s </w:t>
      </w:r>
      <w:r w:rsidRPr="00F61990">
        <w:rPr>
          <w:i/>
        </w:rPr>
        <w:t>ex parte</w:t>
      </w:r>
      <w:r w:rsidRPr="00F61990">
        <w:t xml:space="preserve"> rules.</w:t>
      </w:r>
      <w:r>
        <w:rPr>
          <w:vertAlign w:val="superscript"/>
        </w:rPr>
        <w:footnoteReference w:id="8"/>
      </w:r>
      <w:r w:rsidRPr="00F61990">
        <w:t xml:space="preserve">  Persons making </w:t>
      </w:r>
      <w:r w:rsidRPr="00F61990">
        <w:rPr>
          <w:i/>
        </w:rPr>
        <w:t>ex parte</w:t>
      </w:r>
      <w:r w:rsidRPr="00F61990">
        <w:t xml:space="preserve"> presentations must file a copy of any written presentation or a memorandum summarizing any oral presentation within two business days after the presentation (unless a different deadline applicable to the Sunshine period applies).</w:t>
      </w:r>
      <w:r>
        <w:t xml:space="preserve"> </w:t>
      </w:r>
      <w:r w:rsidRPr="00F61990">
        <w:t xml:space="preserve"> Persons making oral </w:t>
      </w:r>
      <w:r w:rsidRPr="00F61990">
        <w:rPr>
          <w:i/>
        </w:rPr>
        <w:t>ex parte</w:t>
      </w:r>
      <w:r w:rsidRPr="00F61990">
        <w:t xml:space="preserve"> presentations are reminded that memoranda summarizing the presentation must (1) list all persons attending or otherwise participating in the meeting at which the </w:t>
      </w:r>
      <w:r w:rsidRPr="00F61990">
        <w:rPr>
          <w:i/>
        </w:rPr>
        <w:t>ex parte</w:t>
      </w:r>
      <w:r w:rsidRPr="00F61990">
        <w:t xml:space="preserve"> presentation was made, and (2) summarize all data presented and arguments made during the presentation. </w:t>
      </w:r>
      <w:r>
        <w:t xml:space="preserve"> </w:t>
      </w:r>
      <w:r w:rsidRPr="00F61990">
        <w:t>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or paragraph numbers where such data or arguments can be found) in lieu of summarizing them in the memorandum.</w:t>
      </w:r>
      <w:r>
        <w:t xml:space="preserve"> </w:t>
      </w:r>
      <w:r w:rsidRPr="00F61990">
        <w:t xml:space="preserve"> Documents shown or given to Commission staff during </w:t>
      </w:r>
      <w:r w:rsidRPr="00F61990">
        <w:rPr>
          <w:i/>
        </w:rPr>
        <w:t>ex parte</w:t>
      </w:r>
      <w:r w:rsidRPr="00F61990">
        <w:t xml:space="preserve"> meetings are deemed to be written </w:t>
      </w:r>
      <w:r w:rsidRPr="00F61990">
        <w:rPr>
          <w:i/>
        </w:rPr>
        <w:t>ex parte</w:t>
      </w:r>
      <w:r w:rsidRPr="00F61990">
        <w:t xml:space="preserve"> presentations and must be filed consistent with rule 1.1206(b).  In proceedings governed by rule 1.49(f) or for which the Commission has made available a method of electronic filing, written ex parte presentations and memoranda summarizing oral </w:t>
      </w:r>
      <w:r w:rsidRPr="00F61990">
        <w:rPr>
          <w:i/>
        </w:rPr>
        <w:t>ex parte</w:t>
      </w:r>
      <w:r w:rsidRPr="00F61990">
        <w:t xml:space="preserve"> presentations, and all attachments thereto, must be filed through the electronic comment filing system available for that proceeding, and must be filed in their native format (</w:t>
      </w:r>
      <w:r w:rsidRPr="00357C3E">
        <w:t>e.g.,</w:t>
      </w:r>
      <w:r w:rsidRPr="00F61990">
        <w:t xml:space="preserve"> .doc, .xml, .ppt, searchable .pdf). Participants in these proceedings should familiarize themselves with the Commission’s </w:t>
      </w:r>
      <w:r w:rsidRPr="00F61990">
        <w:rPr>
          <w:i/>
        </w:rPr>
        <w:t>ex parte</w:t>
      </w:r>
      <w:r w:rsidRPr="00F61990">
        <w:t xml:space="preserve"> rules.</w:t>
      </w:r>
    </w:p>
    <w:p w:rsidR="00522FBC" w:rsidP="00522FBC" w14:paraId="6A5D1811" w14:textId="77777777">
      <w:pPr>
        <w:ind w:firstLine="720"/>
      </w:pPr>
      <w:r>
        <w:t xml:space="preserve">For further information, please contact </w:t>
      </w:r>
      <w:r w:rsidR="00D00553">
        <w:t>CJ Ferraro</w:t>
      </w:r>
      <w:r>
        <w:t>, Attorney Advisor, Competition Policy Division, Wireline Competition Bureau at (202) 418-</w:t>
      </w:r>
      <w:r w:rsidR="00D00553">
        <w:t>1322</w:t>
      </w:r>
      <w:r>
        <w:t xml:space="preserve"> or by email at </w:t>
      </w:r>
      <w:hyperlink r:id="rId8" w:history="1">
        <w:r w:rsidRPr="00EA39A8" w:rsidR="00D00553">
          <w:rPr>
            <w:rStyle w:val="Hyperlink"/>
          </w:rPr>
          <w:t>connor.ferraro@fcc.gov</w:t>
        </w:r>
      </w:hyperlink>
      <w:r w:rsidR="00D00553">
        <w:t>.</w:t>
      </w:r>
    </w:p>
    <w:p w:rsidR="00522FBC" w:rsidRPr="0029562D" w:rsidP="00522FBC" w14:paraId="107138FE" w14:textId="77777777">
      <w:pPr>
        <w:rPr>
          <w:szCs w:val="22"/>
        </w:rPr>
      </w:pPr>
    </w:p>
    <w:p w:rsidR="00930ECF" w:rsidRPr="00930ECF" w:rsidP="00B94E33" w14:paraId="1872BAAD" w14:textId="349C16BF">
      <w:pPr>
        <w:jc w:val="center"/>
        <w:rPr>
          <w:sz w:val="24"/>
        </w:rPr>
      </w:pPr>
      <w:r w:rsidRPr="0029562D">
        <w:rPr>
          <w:b/>
          <w:szCs w:val="22"/>
        </w:rPr>
        <w:t>- FCC -</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6FB19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A007C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3140EA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B9EDCA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1AFD" w14:paraId="1BBECAD2" w14:textId="77777777">
      <w:r>
        <w:separator/>
      </w:r>
    </w:p>
  </w:footnote>
  <w:footnote w:type="continuationSeparator" w:id="1">
    <w:p w:rsidR="00901AFD" w14:paraId="6629BFF9" w14:textId="77777777">
      <w:pPr>
        <w:rPr>
          <w:sz w:val="20"/>
        </w:rPr>
      </w:pPr>
      <w:r>
        <w:rPr>
          <w:sz w:val="20"/>
        </w:rPr>
        <w:t xml:space="preserve">(Continued from previous page)  </w:t>
      </w:r>
      <w:r>
        <w:rPr>
          <w:sz w:val="20"/>
        </w:rPr>
        <w:separator/>
      </w:r>
    </w:p>
  </w:footnote>
  <w:footnote w:type="continuationNotice" w:id="2">
    <w:p w:rsidR="00901AFD" w:rsidP="00910F12" w14:paraId="7965AD96" w14:textId="77777777">
      <w:pPr>
        <w:jc w:val="right"/>
        <w:rPr>
          <w:sz w:val="20"/>
        </w:rPr>
      </w:pPr>
      <w:r>
        <w:rPr>
          <w:sz w:val="20"/>
        </w:rPr>
        <w:t>(continued….)</w:t>
      </w:r>
    </w:p>
  </w:footnote>
  <w:footnote w:id="3">
    <w:p w:rsidR="00F04D2C" w:rsidRPr="00F04D2C" w14:paraId="2666114B" w14:textId="1EFB667C">
      <w:pPr>
        <w:pStyle w:val="FootnoteText"/>
      </w:pPr>
      <w:r>
        <w:rPr>
          <w:rStyle w:val="FootnoteReference"/>
        </w:rPr>
        <w:footnoteRef/>
      </w:r>
      <w:r>
        <w:t xml:space="preserve"> </w:t>
      </w:r>
      <w:r w:rsidRPr="002A1C16">
        <w:t>Pallone-Thune</w:t>
      </w:r>
      <w:r>
        <w:t xml:space="preserve"> </w:t>
      </w:r>
      <w:r w:rsidRPr="002A1C16">
        <w:t>Telephone</w:t>
      </w:r>
      <w:r>
        <w:t xml:space="preserve"> </w:t>
      </w:r>
      <w:r w:rsidRPr="002A1C16">
        <w:t>Robocall</w:t>
      </w:r>
      <w:r>
        <w:t xml:space="preserve"> </w:t>
      </w:r>
      <w:r w:rsidRPr="002A1C16">
        <w:t>Abuse</w:t>
      </w:r>
      <w:r>
        <w:t xml:space="preserve"> </w:t>
      </w:r>
      <w:r w:rsidRPr="002A1C16">
        <w:t>Criminal</w:t>
      </w:r>
      <w:r>
        <w:t xml:space="preserve"> </w:t>
      </w:r>
      <w:r w:rsidRPr="002A1C16">
        <w:t>Enforcement</w:t>
      </w:r>
      <w:r>
        <w:t xml:space="preserve"> </w:t>
      </w:r>
      <w:r w:rsidRPr="002A1C16">
        <w:t>and</w:t>
      </w:r>
      <w:r>
        <w:t xml:space="preserve"> </w:t>
      </w:r>
      <w:r w:rsidRPr="002A1C16">
        <w:t>Deterrence</w:t>
      </w:r>
      <w:r>
        <w:t xml:space="preserve"> </w:t>
      </w:r>
      <w:r w:rsidRPr="002A1C16">
        <w:t>Act,</w:t>
      </w:r>
      <w:r>
        <w:t xml:space="preserve"> </w:t>
      </w:r>
      <w:r w:rsidRPr="002A1C16">
        <w:t>S.151,116</w:t>
      </w:r>
      <w:r w:rsidRPr="002A1C16">
        <w:rPr>
          <w:vertAlign w:val="superscript"/>
        </w:rPr>
        <w:t>th</w:t>
      </w:r>
      <w:r>
        <w:t xml:space="preserve"> </w:t>
      </w:r>
      <w:r w:rsidRPr="002A1C16">
        <w:t>Cong.,</w:t>
      </w:r>
      <w:r>
        <w:t xml:space="preserve"> </w:t>
      </w:r>
      <w:r w:rsidRPr="002A1C16">
        <w:t>at</w:t>
      </w:r>
      <w:r>
        <w:t xml:space="preserve"> </w:t>
      </w:r>
      <w:r w:rsidRPr="002A1C16">
        <w:t>§</w:t>
      </w:r>
      <w:r>
        <w:t> </w:t>
      </w:r>
      <w:r w:rsidRPr="002A1C16">
        <w:t>4(b)(</w:t>
      </w:r>
      <w:r>
        <w:t>7</w:t>
      </w:r>
      <w:r w:rsidRPr="002A1C16">
        <w:t>)</w:t>
      </w:r>
      <w:r>
        <w:t xml:space="preserve"> </w:t>
      </w:r>
      <w:r w:rsidRPr="002A1C16">
        <w:t>(2019)</w:t>
      </w:r>
      <w:r>
        <w:t xml:space="preserve"> </w:t>
      </w:r>
      <w:r w:rsidRPr="002A1C16">
        <w:t>(TRACED</w:t>
      </w:r>
      <w:r>
        <w:t xml:space="preserve"> </w:t>
      </w:r>
      <w:r w:rsidRPr="002A1C16">
        <w:t>Act)</w:t>
      </w:r>
      <w:r>
        <w:t>.</w:t>
      </w:r>
    </w:p>
  </w:footnote>
  <w:footnote w:id="4">
    <w:p w:rsidR="00522FBC" w:rsidRPr="00F04D2C" w14:paraId="64E135AA" w14:textId="216A398F">
      <w:pPr>
        <w:pStyle w:val="FootnoteText"/>
      </w:pPr>
      <w:r>
        <w:rPr>
          <w:rStyle w:val="FootnoteReference"/>
        </w:rPr>
        <w:footnoteRef/>
      </w:r>
      <w:r>
        <w:t xml:space="preserve"> </w:t>
      </w:r>
      <w:r w:rsidR="00F04D2C">
        <w:rPr>
          <w:i/>
          <w:iCs/>
        </w:rPr>
        <w:t>Id.</w:t>
      </w:r>
    </w:p>
  </w:footnote>
  <w:footnote w:id="5">
    <w:p w:rsidR="002A1C16" w14:paraId="2ED4BA10" w14:textId="77777777">
      <w:pPr>
        <w:pStyle w:val="FootnoteText"/>
      </w:pPr>
      <w:r>
        <w:rPr>
          <w:rStyle w:val="FootnoteReference"/>
        </w:rPr>
        <w:footnoteRef/>
      </w:r>
      <w:r>
        <w:t xml:space="preserve"> </w:t>
      </w:r>
      <w:r w:rsidRPr="002A1C16">
        <w:t>Letter from Kris Anne Monteith, Chief, Wireline Competition Bureau, FCC, to</w:t>
      </w:r>
      <w:r>
        <w:t xml:space="preserve"> </w:t>
      </w:r>
      <w:r w:rsidRPr="002A1C16">
        <w:t>Jennifer</w:t>
      </w:r>
      <w:r>
        <w:t xml:space="preserve"> </w:t>
      </w:r>
      <w:r w:rsidRPr="002A1C16">
        <w:t>K.</w:t>
      </w:r>
      <w:r>
        <w:t xml:space="preserve"> </w:t>
      </w:r>
      <w:r w:rsidRPr="002A1C16">
        <w:t>McKee, Chair, NANC</w:t>
      </w:r>
      <w:r>
        <w:t xml:space="preserve"> </w:t>
      </w:r>
      <w:r w:rsidRPr="002A1C16">
        <w:t>(</w:t>
      </w:r>
      <w:r>
        <w:t>Feb</w:t>
      </w:r>
      <w:r w:rsidRPr="002A1C16">
        <w:t xml:space="preserve">. </w:t>
      </w:r>
      <w:r>
        <w:t>2</w:t>
      </w:r>
      <w:r w:rsidRPr="002A1C16">
        <w:t>7, 20</w:t>
      </w:r>
      <w:r>
        <w:t>20</w:t>
      </w:r>
      <w:r w:rsidRPr="002A1C16">
        <w:t>)</w:t>
      </w:r>
      <w:r>
        <w:t xml:space="preserve">, </w:t>
      </w:r>
      <w:hyperlink r:id="rId1" w:history="1">
        <w:r w:rsidRPr="00EA39A8">
          <w:rPr>
            <w:rStyle w:val="Hyperlink"/>
          </w:rPr>
          <w:t>https://docs.fcc.gov/public/attachments/DOC-362809A1.pdf</w:t>
        </w:r>
      </w:hyperlink>
      <w:r>
        <w:t xml:space="preserve">. </w:t>
      </w:r>
    </w:p>
  </w:footnote>
  <w:footnote w:id="6">
    <w:p w:rsidR="002A1C16" w14:paraId="31F2C298" w14:textId="4C9294B4">
      <w:pPr>
        <w:pStyle w:val="FootnoteText"/>
      </w:pPr>
      <w:r>
        <w:rPr>
          <w:rStyle w:val="FootnoteReference"/>
        </w:rPr>
        <w:footnoteRef/>
      </w:r>
      <w:r>
        <w:t xml:space="preserve"> </w:t>
      </w:r>
      <w:r w:rsidRPr="00B035BE" w:rsidR="00B035BE">
        <w:t>Call Authentication Trust Anchor Working Grp., N. Am. Numbering Council, Best Practices</w:t>
      </w:r>
      <w:r w:rsidR="00B035BE">
        <w:t xml:space="preserve"> </w:t>
      </w:r>
      <w:r w:rsidRPr="00B035BE" w:rsidR="00B035BE">
        <w:t>for the Implementation of Call Authentication Frameworks</w:t>
      </w:r>
      <w:r w:rsidR="00B035BE">
        <w:t xml:space="preserve"> (2020), </w:t>
      </w:r>
      <w:hyperlink r:id="rId2" w:history="1">
        <w:r w:rsidRPr="00164003" w:rsidR="00B035BE">
          <w:rPr>
            <w:rStyle w:val="Hyperlink"/>
          </w:rPr>
          <w:t>http://nanc-chair.org/docs/CATAWGReport-August2020DRAFT.pdf</w:t>
        </w:r>
      </w:hyperlink>
      <w:r w:rsidR="00B035BE">
        <w:t xml:space="preserve">. </w:t>
      </w:r>
    </w:p>
  </w:footnote>
  <w:footnote w:id="7">
    <w:p w:rsidR="00956D72" w14:paraId="3C5E08EB" w14:textId="61B494DD">
      <w:pPr>
        <w:pStyle w:val="FootnoteText"/>
      </w:pPr>
      <w:r>
        <w:rPr>
          <w:rStyle w:val="FootnoteReference"/>
        </w:rPr>
        <w:footnoteRef/>
      </w:r>
      <w:r>
        <w:t xml:space="preserve"> The NANC elaborates on each of these best practices in their report. </w:t>
      </w:r>
      <w:r w:rsidRPr="00B035BE" w:rsidR="00B035BE">
        <w:rPr>
          <w:i/>
          <w:iCs/>
        </w:rPr>
        <w:t>See id.</w:t>
      </w:r>
    </w:p>
  </w:footnote>
  <w:footnote w:id="8">
    <w:p w:rsidR="00522FBC" w:rsidRPr="00357C3E" w:rsidP="00522FBC" w14:paraId="491FFF56" w14:textId="77777777">
      <w:pPr>
        <w:pStyle w:val="FootnoteText"/>
        <w:rPr>
          <w:i/>
          <w:iCs/>
        </w:rPr>
      </w:pPr>
      <w:r w:rsidRPr="00087F61">
        <w:rPr>
          <w:rStyle w:val="FootnoteReference"/>
          <w:sz w:val="20"/>
        </w:rPr>
        <w:footnoteRef/>
      </w:r>
      <w:r w:rsidRPr="00B2588D">
        <w:t xml:space="preserve"> </w:t>
      </w:r>
      <w:r w:rsidRPr="00B2588D">
        <w:rPr>
          <w:i/>
        </w:rPr>
        <w:t>See</w:t>
      </w:r>
      <w:r w:rsidRPr="00B2588D">
        <w:t xml:space="preserve"> 47 CFR §§ 1.1200(a)</w:t>
      </w:r>
      <w:r>
        <w:t xml:space="preserve">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EBB2E1F" w14:textId="384A8A40">
    <w:pPr>
      <w:tabs>
        <w:tab w:val="center" w:pos="4680"/>
        <w:tab w:val="right" w:pos="9360"/>
      </w:tabs>
    </w:pPr>
    <w:r w:rsidRPr="009838BC">
      <w:rPr>
        <w:b/>
      </w:rPr>
      <w:tab/>
      <w:t>Federal Communications Commission</w:t>
    </w:r>
    <w:r w:rsidRPr="009838BC">
      <w:rPr>
        <w:b/>
      </w:rPr>
      <w:tab/>
    </w:r>
    <w:r w:rsidR="00830BCE">
      <w:rPr>
        <w:b/>
      </w:rPr>
      <w:t>DA 20-1154</w:t>
    </w:r>
  </w:p>
  <w:p w:rsidR="009838BC" w:rsidRPr="009838BC" w:rsidP="009838BC" w14:paraId="0DE530A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2C895FC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EA023B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0D6FD31C" w14:textId="77777777">
                <w:pPr>
                  <w:rPr>
                    <w:rFonts w:ascii="Arial" w:hAnsi="Arial"/>
                    <w:b/>
                  </w:rPr>
                </w:pPr>
                <w:r>
                  <w:rPr>
                    <w:rFonts w:ascii="Arial" w:hAnsi="Arial"/>
                    <w:b/>
                  </w:rPr>
                  <w:t>Federal Communications Commission</w:t>
                </w:r>
              </w:p>
              <w:p w:rsidR="009838BC" w:rsidRPr="00830BCE" w:rsidP="009838BC" w14:paraId="16028FF3" w14:textId="77777777">
                <w:pPr>
                  <w:rPr>
                    <w:rFonts w:ascii="Arial" w:hAnsi="Arial"/>
                    <w:b/>
                  </w:rPr>
                </w:pPr>
                <w:r w:rsidRPr="00830BCE">
                  <w:rPr>
                    <w:rFonts w:ascii="Arial" w:hAnsi="Arial"/>
                    <w:b/>
                  </w:rPr>
                  <w:t>445 12</w:t>
                </w:r>
                <w:r w:rsidRPr="00830BCE">
                  <w:rPr>
                    <w:rFonts w:ascii="Arial" w:hAnsi="Arial"/>
                    <w:b/>
                    <w:vertAlign w:val="superscript"/>
                  </w:rPr>
                  <w:t>th</w:t>
                </w:r>
                <w:r w:rsidRPr="00830BCE">
                  <w:rPr>
                    <w:rFonts w:ascii="Arial" w:hAnsi="Arial"/>
                    <w:b/>
                  </w:rPr>
                  <w:t xml:space="preserve"> St., S.W.</w:t>
                </w:r>
              </w:p>
              <w:p w:rsidR="009838BC" w:rsidP="009838BC" w14:paraId="7B590848" w14:textId="77777777">
                <w:pPr>
                  <w:rPr>
                    <w:rFonts w:ascii="Arial" w:hAnsi="Arial"/>
                    <w:sz w:val="24"/>
                  </w:rPr>
                </w:pPr>
                <w:r w:rsidRPr="00830BCE">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3086925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179.2pt,56.7pt" to="4647.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80B73D8" w14:textId="77777777">
                <w:pPr>
                  <w:spacing w:before="40"/>
                  <w:jc w:val="right"/>
                  <w:rPr>
                    <w:rFonts w:ascii="Arial" w:hAnsi="Arial"/>
                    <w:b/>
                    <w:sz w:val="16"/>
                  </w:rPr>
                </w:pPr>
                <w:r>
                  <w:rPr>
                    <w:rFonts w:ascii="Arial" w:hAnsi="Arial"/>
                    <w:b/>
                    <w:sz w:val="16"/>
                  </w:rPr>
                  <w:t>News Media Information 202 / 418-0500</w:t>
                </w:r>
              </w:p>
              <w:p w:rsidR="009838BC" w:rsidP="009838BC" w14:paraId="3A67D054"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BAFFC75" w14:textId="77777777">
                <w:pPr>
                  <w:jc w:val="right"/>
                </w:pPr>
                <w:r>
                  <w:rPr>
                    <w:rFonts w:ascii="Arial" w:hAnsi="Arial"/>
                    <w:b/>
                    <w:sz w:val="16"/>
                  </w:rPr>
                  <w:t>TTY: 1-888-835-5322</w:t>
                </w:r>
              </w:p>
            </w:txbxContent>
          </v:textbox>
        </v:shape>
      </w:pict>
    </w:r>
  </w:p>
  <w:p w:rsidR="006F7393" w:rsidRPr="009838BC" w:rsidP="009838BC" w14:paraId="35A83D2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nsid w:val="17A00935"/>
    <w:multiLevelType w:val="hybridMultilevel"/>
    <w:tmpl w:val="A9628D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D7"/>
    <w:rsid w:val="000072CE"/>
    <w:rsid w:val="00013A8B"/>
    <w:rsid w:val="00021445"/>
    <w:rsid w:val="00036039"/>
    <w:rsid w:val="00037F90"/>
    <w:rsid w:val="000417B7"/>
    <w:rsid w:val="00044A91"/>
    <w:rsid w:val="000875BF"/>
    <w:rsid w:val="00096D8C"/>
    <w:rsid w:val="000C0B65"/>
    <w:rsid w:val="000D27E8"/>
    <w:rsid w:val="000E3D42"/>
    <w:rsid w:val="000E5884"/>
    <w:rsid w:val="00122BD5"/>
    <w:rsid w:val="00164003"/>
    <w:rsid w:val="001979D9"/>
    <w:rsid w:val="001D6BCF"/>
    <w:rsid w:val="001E01CA"/>
    <w:rsid w:val="002060D9"/>
    <w:rsid w:val="00226822"/>
    <w:rsid w:val="00260594"/>
    <w:rsid w:val="00276A42"/>
    <w:rsid w:val="00285017"/>
    <w:rsid w:val="0029562D"/>
    <w:rsid w:val="002A1C16"/>
    <w:rsid w:val="002A2D2E"/>
    <w:rsid w:val="00343749"/>
    <w:rsid w:val="00357C3E"/>
    <w:rsid w:val="00357D50"/>
    <w:rsid w:val="003925DC"/>
    <w:rsid w:val="003B0550"/>
    <w:rsid w:val="003B694F"/>
    <w:rsid w:val="003D1911"/>
    <w:rsid w:val="003F171C"/>
    <w:rsid w:val="00412FC5"/>
    <w:rsid w:val="00422276"/>
    <w:rsid w:val="004242F1"/>
    <w:rsid w:val="004359C9"/>
    <w:rsid w:val="00445A00"/>
    <w:rsid w:val="00451B0F"/>
    <w:rsid w:val="0046125F"/>
    <w:rsid w:val="0046289C"/>
    <w:rsid w:val="00487524"/>
    <w:rsid w:val="00496106"/>
    <w:rsid w:val="004C12D0"/>
    <w:rsid w:val="004C2EE3"/>
    <w:rsid w:val="004E4A22"/>
    <w:rsid w:val="00511968"/>
    <w:rsid w:val="00522FBC"/>
    <w:rsid w:val="0055614C"/>
    <w:rsid w:val="005901D7"/>
    <w:rsid w:val="005A60C2"/>
    <w:rsid w:val="00607BA5"/>
    <w:rsid w:val="00626EB6"/>
    <w:rsid w:val="006353A3"/>
    <w:rsid w:val="00641508"/>
    <w:rsid w:val="00655D03"/>
    <w:rsid w:val="00683F84"/>
    <w:rsid w:val="006A6A81"/>
    <w:rsid w:val="006E26AF"/>
    <w:rsid w:val="006F7393"/>
    <w:rsid w:val="0070224F"/>
    <w:rsid w:val="007077CB"/>
    <w:rsid w:val="007115F7"/>
    <w:rsid w:val="00785689"/>
    <w:rsid w:val="0079754B"/>
    <w:rsid w:val="007A1E6D"/>
    <w:rsid w:val="00822CE0"/>
    <w:rsid w:val="00830BCE"/>
    <w:rsid w:val="00837C62"/>
    <w:rsid w:val="00841AB1"/>
    <w:rsid w:val="00842448"/>
    <w:rsid w:val="008A26FF"/>
    <w:rsid w:val="008C22FD"/>
    <w:rsid w:val="00901AFD"/>
    <w:rsid w:val="00910F12"/>
    <w:rsid w:val="009252DA"/>
    <w:rsid w:val="00926503"/>
    <w:rsid w:val="00930ECF"/>
    <w:rsid w:val="00956D72"/>
    <w:rsid w:val="009759B8"/>
    <w:rsid w:val="009838BC"/>
    <w:rsid w:val="00A45F4F"/>
    <w:rsid w:val="00A600A9"/>
    <w:rsid w:val="00A866AC"/>
    <w:rsid w:val="00AA55B7"/>
    <w:rsid w:val="00AA5B9E"/>
    <w:rsid w:val="00AB2407"/>
    <w:rsid w:val="00AB53DF"/>
    <w:rsid w:val="00B035BE"/>
    <w:rsid w:val="00B07E5C"/>
    <w:rsid w:val="00B20363"/>
    <w:rsid w:val="00B2588D"/>
    <w:rsid w:val="00B326E3"/>
    <w:rsid w:val="00B811F7"/>
    <w:rsid w:val="00B94E33"/>
    <w:rsid w:val="00BA5DC6"/>
    <w:rsid w:val="00BA6196"/>
    <w:rsid w:val="00BC6D8C"/>
    <w:rsid w:val="00C16AF2"/>
    <w:rsid w:val="00C34006"/>
    <w:rsid w:val="00C426B1"/>
    <w:rsid w:val="00C672B9"/>
    <w:rsid w:val="00C72248"/>
    <w:rsid w:val="00C82B6B"/>
    <w:rsid w:val="00C90D6A"/>
    <w:rsid w:val="00C92C6F"/>
    <w:rsid w:val="00CC72B6"/>
    <w:rsid w:val="00CD0F79"/>
    <w:rsid w:val="00D00553"/>
    <w:rsid w:val="00D0218D"/>
    <w:rsid w:val="00D216CD"/>
    <w:rsid w:val="00D342CD"/>
    <w:rsid w:val="00D3449E"/>
    <w:rsid w:val="00D51904"/>
    <w:rsid w:val="00D666A5"/>
    <w:rsid w:val="00DA2529"/>
    <w:rsid w:val="00DB130A"/>
    <w:rsid w:val="00DC10A1"/>
    <w:rsid w:val="00DC655F"/>
    <w:rsid w:val="00DD7EBD"/>
    <w:rsid w:val="00DF4D51"/>
    <w:rsid w:val="00DF62B6"/>
    <w:rsid w:val="00E07225"/>
    <w:rsid w:val="00E155B7"/>
    <w:rsid w:val="00E5409F"/>
    <w:rsid w:val="00E740C9"/>
    <w:rsid w:val="00EA39A8"/>
    <w:rsid w:val="00EC0185"/>
    <w:rsid w:val="00F018C4"/>
    <w:rsid w:val="00F021FA"/>
    <w:rsid w:val="00F04D2C"/>
    <w:rsid w:val="00F57ACA"/>
    <w:rsid w:val="00F61990"/>
    <w:rsid w:val="00F62E97"/>
    <w:rsid w:val="00F64209"/>
    <w:rsid w:val="00F93BF5"/>
    <w:rsid w:val="00F96F63"/>
    <w:rsid w:val="00FA31EB"/>
    <w:rsid w:val="00FE2F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B4FF546-DAE5-47F1-9FED-A1D77C37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901D7"/>
    <w:rPr>
      <w:rFonts w:ascii="Segoe UI" w:hAnsi="Segoe UI" w:cs="Segoe UI"/>
      <w:sz w:val="18"/>
      <w:szCs w:val="18"/>
    </w:rPr>
  </w:style>
  <w:style w:type="character" w:customStyle="1" w:styleId="BalloonTextChar">
    <w:name w:val="Balloon Text Char"/>
    <w:link w:val="BalloonText"/>
    <w:uiPriority w:val="99"/>
    <w:semiHidden/>
    <w:rsid w:val="005901D7"/>
    <w:rPr>
      <w:rFonts w:ascii="Segoe UI" w:hAnsi="Segoe UI" w:cs="Segoe UI"/>
      <w:snapToGrid w:val="0"/>
      <w:kern w:val="28"/>
      <w:sz w:val="18"/>
      <w:szCs w:val="18"/>
    </w:rPr>
  </w:style>
  <w:style w:type="paragraph" w:styleId="NoSpacing">
    <w:name w:val="No Spacing"/>
    <w:uiPriority w:val="1"/>
    <w:qFormat/>
    <w:rsid w:val="00522FBC"/>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522FBC"/>
  </w:style>
  <w:style w:type="paragraph" w:styleId="ListParagraph">
    <w:name w:val="List Paragraph"/>
    <w:basedOn w:val="Normal"/>
    <w:uiPriority w:val="34"/>
    <w:qFormat/>
    <w:rsid w:val="00522FBC"/>
    <w:pPr>
      <w:ind w:left="720"/>
    </w:pPr>
  </w:style>
  <w:style w:type="character" w:customStyle="1" w:styleId="UnresolvedMention">
    <w:name w:val="Unresolved Mention"/>
    <w:uiPriority w:val="99"/>
    <w:semiHidden/>
    <w:unhideWhenUsed/>
    <w:rsid w:val="002A1C16"/>
    <w:rPr>
      <w:color w:val="605E5C"/>
      <w:shd w:val="clear" w:color="auto" w:fill="E1DFDD"/>
    </w:rPr>
  </w:style>
  <w:style w:type="character" w:styleId="CommentReference">
    <w:name w:val="annotation reference"/>
    <w:uiPriority w:val="99"/>
    <w:semiHidden/>
    <w:unhideWhenUsed/>
    <w:rsid w:val="00D00553"/>
    <w:rPr>
      <w:sz w:val="16"/>
      <w:szCs w:val="16"/>
    </w:rPr>
  </w:style>
  <w:style w:type="paragraph" w:styleId="CommentText">
    <w:name w:val="annotation text"/>
    <w:basedOn w:val="Normal"/>
    <w:link w:val="CommentTextChar"/>
    <w:uiPriority w:val="99"/>
    <w:semiHidden/>
    <w:unhideWhenUsed/>
    <w:rsid w:val="00D00553"/>
    <w:rPr>
      <w:sz w:val="20"/>
    </w:rPr>
  </w:style>
  <w:style w:type="character" w:customStyle="1" w:styleId="CommentTextChar">
    <w:name w:val="Comment Text Char"/>
    <w:link w:val="CommentText"/>
    <w:uiPriority w:val="99"/>
    <w:semiHidden/>
    <w:rsid w:val="00D00553"/>
    <w:rPr>
      <w:snapToGrid w:val="0"/>
      <w:kern w:val="28"/>
    </w:rPr>
  </w:style>
  <w:style w:type="paragraph" w:styleId="CommentSubject">
    <w:name w:val="annotation subject"/>
    <w:basedOn w:val="CommentText"/>
    <w:next w:val="CommentText"/>
    <w:link w:val="CommentSubjectChar"/>
    <w:uiPriority w:val="99"/>
    <w:semiHidden/>
    <w:unhideWhenUsed/>
    <w:rsid w:val="00D00553"/>
    <w:rPr>
      <w:b/>
      <w:bCs/>
    </w:rPr>
  </w:style>
  <w:style w:type="character" w:customStyle="1" w:styleId="CommentSubjectChar">
    <w:name w:val="Comment Subject Char"/>
    <w:link w:val="CommentSubject"/>
    <w:uiPriority w:val="99"/>
    <w:semiHidden/>
    <w:rsid w:val="00D00553"/>
    <w:rPr>
      <w:b/>
      <w:bCs/>
      <w:snapToGrid w:val="0"/>
      <w:kern w:val="28"/>
    </w:rPr>
  </w:style>
  <w:style w:type="character" w:styleId="FollowedHyperlink">
    <w:name w:val="FollowedHyperlink"/>
    <w:uiPriority w:val="99"/>
    <w:semiHidden/>
    <w:unhideWhenUsed/>
    <w:rsid w:val="00FE2F3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connor.ferraro@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62809A1.pdf" TargetMode="External" /><Relationship Id="rId2" Type="http://schemas.openxmlformats.org/officeDocument/2006/relationships/hyperlink" Target="http://nanc-chair.org/docs/CATAWGReport-August2020DRAFT.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