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7033D">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B33C04">
        <w:rPr>
          <w:szCs w:val="22"/>
        </w:rPr>
        <w:t xml:space="preserve">  </w:t>
      </w:r>
    </w:p>
    <w:p w:rsidR="00E7033D">
      <w:pPr>
        <w:jc w:val="right"/>
        <w:rPr>
          <w:b/>
          <w:szCs w:val="22"/>
        </w:rPr>
      </w:pPr>
      <w:bookmarkStart w:id="1" w:name="_Hlk26280526"/>
      <w:bookmarkStart w:id="2" w:name="_GoBack"/>
      <w:r>
        <w:rPr>
          <w:b/>
          <w:szCs w:val="22"/>
        </w:rPr>
        <w:t>DA 20-</w:t>
      </w:r>
      <w:r w:rsidR="00FF0340">
        <w:rPr>
          <w:b/>
          <w:szCs w:val="22"/>
        </w:rPr>
        <w:t>1167</w:t>
      </w:r>
    </w:p>
    <w:p w:rsidR="00E7033D">
      <w:pPr>
        <w:spacing w:before="60"/>
        <w:jc w:val="right"/>
        <w:rPr>
          <w:b/>
          <w:szCs w:val="22"/>
        </w:rPr>
      </w:pPr>
      <w:r>
        <w:rPr>
          <w:b/>
          <w:szCs w:val="22"/>
        </w:rPr>
        <w:t xml:space="preserve">October </w:t>
      </w:r>
      <w:r w:rsidR="00EF3A78">
        <w:rPr>
          <w:b/>
          <w:szCs w:val="22"/>
        </w:rPr>
        <w:t>6</w:t>
      </w:r>
      <w:r w:rsidR="008C294A">
        <w:rPr>
          <w:b/>
          <w:szCs w:val="22"/>
        </w:rPr>
        <w:t>, 2020</w:t>
      </w:r>
    </w:p>
    <w:p w:rsidR="00E7033D">
      <w:pPr>
        <w:tabs>
          <w:tab w:val="left" w:pos="5900"/>
        </w:tabs>
        <w:rPr>
          <w:szCs w:val="22"/>
        </w:rPr>
      </w:pPr>
      <w:r>
        <w:rPr>
          <w:szCs w:val="22"/>
        </w:rPr>
        <w:tab/>
      </w:r>
    </w:p>
    <w:p w:rsidR="00E7033D">
      <w:pPr>
        <w:jc w:val="center"/>
        <w:rPr>
          <w:rFonts w:eastAsia="Calibri"/>
          <w:b/>
          <w:cap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r w:rsidR="002044D2">
        <w:rPr>
          <w:b/>
          <w:bCs/>
          <w:szCs w:val="22"/>
        </w:rPr>
        <w:t>TRANSFER OF CONTROL OF TELCO EXPERTS</w:t>
      </w:r>
      <w:r w:rsidR="00791F72">
        <w:rPr>
          <w:b/>
          <w:bCs/>
          <w:szCs w:val="22"/>
        </w:rPr>
        <w:t>, LLC</w:t>
      </w:r>
      <w:r w:rsidR="002044D2">
        <w:rPr>
          <w:b/>
          <w:bCs/>
          <w:szCs w:val="22"/>
        </w:rPr>
        <w:t xml:space="preserve"> TO REDWOOD SERVICES GROUP, LLC </w:t>
      </w:r>
      <w:bookmarkEnd w:id="3"/>
      <w:bookmarkEnd w:id="4"/>
      <w:bookmarkEnd w:id="5"/>
    </w:p>
    <w:p w:rsidR="00E7033D" w:rsidP="00B908C9">
      <w:pPr>
        <w:autoSpaceDE w:val="0"/>
        <w:autoSpaceDN w:val="0"/>
        <w:adjustRightInd w:val="0"/>
        <w:jc w:val="right"/>
        <w:rPr>
          <w:b/>
          <w:bCs/>
          <w:szCs w:val="22"/>
        </w:rPr>
      </w:pPr>
    </w:p>
    <w:p w:rsidR="00E7033D">
      <w:pPr>
        <w:jc w:val="center"/>
        <w:rPr>
          <w:b/>
          <w:szCs w:val="22"/>
        </w:rPr>
      </w:pPr>
      <w:r>
        <w:rPr>
          <w:b/>
          <w:bCs/>
          <w:szCs w:val="22"/>
        </w:rPr>
        <w:t>STREA</w:t>
      </w:r>
      <w:r>
        <w:rPr>
          <w:b/>
          <w:szCs w:val="22"/>
        </w:rPr>
        <w:t>MLINED PLEADING CYCLE ESTABLISHED</w:t>
      </w:r>
    </w:p>
    <w:p w:rsidR="00E7033D">
      <w:pPr>
        <w:jc w:val="center"/>
        <w:rPr>
          <w:b/>
          <w:szCs w:val="22"/>
        </w:rPr>
      </w:pPr>
    </w:p>
    <w:p w:rsidR="00E7033D">
      <w:pPr>
        <w:jc w:val="center"/>
        <w:rPr>
          <w:b/>
          <w:szCs w:val="22"/>
        </w:rPr>
      </w:pPr>
      <w:r>
        <w:rPr>
          <w:b/>
          <w:szCs w:val="22"/>
        </w:rPr>
        <w:t xml:space="preserve"> WC Docket No. 20-</w:t>
      </w:r>
      <w:r w:rsidR="002044D2">
        <w:rPr>
          <w:b/>
          <w:szCs w:val="22"/>
        </w:rPr>
        <w:t>317</w:t>
      </w:r>
    </w:p>
    <w:p w:rsidR="00E7033D">
      <w:pPr>
        <w:jc w:val="center"/>
        <w:rPr>
          <w:szCs w:val="22"/>
        </w:rPr>
      </w:pPr>
    </w:p>
    <w:p w:rsidR="00E7033D">
      <w:pPr>
        <w:pStyle w:val="NoSpacing"/>
        <w:rPr>
          <w:b/>
          <w:szCs w:val="22"/>
        </w:rPr>
      </w:pPr>
      <w:r>
        <w:rPr>
          <w:b/>
          <w:szCs w:val="22"/>
        </w:rPr>
        <w:t xml:space="preserve">Comments Due:  </w:t>
      </w:r>
      <w:r w:rsidR="002044D2">
        <w:rPr>
          <w:b/>
          <w:szCs w:val="22"/>
        </w:rPr>
        <w:t xml:space="preserve">October </w:t>
      </w:r>
      <w:r w:rsidR="00100B98">
        <w:rPr>
          <w:b/>
          <w:szCs w:val="22"/>
        </w:rPr>
        <w:t>20</w:t>
      </w:r>
      <w:r>
        <w:rPr>
          <w:b/>
          <w:szCs w:val="22"/>
        </w:rPr>
        <w:t>, 2020</w:t>
      </w:r>
    </w:p>
    <w:p w:rsidR="00E7033D">
      <w:pPr>
        <w:pStyle w:val="NoSpacing"/>
        <w:rPr>
          <w:b/>
          <w:szCs w:val="22"/>
        </w:rPr>
      </w:pPr>
      <w:r>
        <w:rPr>
          <w:b/>
          <w:szCs w:val="22"/>
        </w:rPr>
        <w:t xml:space="preserve">Reply Comments Due:  </w:t>
      </w:r>
      <w:r w:rsidR="002044D2">
        <w:rPr>
          <w:b/>
          <w:szCs w:val="22"/>
        </w:rPr>
        <w:t xml:space="preserve">October </w:t>
      </w:r>
      <w:r w:rsidR="00100B98">
        <w:rPr>
          <w:b/>
          <w:szCs w:val="22"/>
        </w:rPr>
        <w:t>27</w:t>
      </w:r>
      <w:r>
        <w:rPr>
          <w:b/>
          <w:szCs w:val="22"/>
        </w:rPr>
        <w:t>, 2020</w:t>
      </w:r>
    </w:p>
    <w:bookmarkEnd w:id="1"/>
    <w:bookmarkEnd w:id="2"/>
    <w:p w:rsidR="00760269" w:rsidRPr="00A92C9E" w:rsidP="00A910A4">
      <w:pPr>
        <w:tabs>
          <w:tab w:val="left" w:pos="6221"/>
        </w:tabs>
        <w:autoSpaceDE w:val="0"/>
        <w:autoSpaceDN w:val="0"/>
        <w:adjustRightInd w:val="0"/>
        <w:spacing w:after="120"/>
        <w:rPr>
          <w:rFonts w:ascii="TimesNewRomanPSMT" w:hAnsi="TimesNewRomanPSMT" w:cs="TimesNewRomanPSMT"/>
          <w:szCs w:val="22"/>
        </w:rPr>
      </w:pPr>
      <w:r>
        <w:rPr>
          <w:rFonts w:ascii="TimesNewRomanPSMT" w:hAnsi="TimesNewRomanPSMT" w:cs="TimesNewRomanPSMT"/>
          <w:szCs w:val="22"/>
        </w:rPr>
        <w:tab/>
      </w:r>
    </w:p>
    <w:p w:rsidR="002044D2" w:rsidP="00A910A4">
      <w:pPr>
        <w:autoSpaceDE w:val="0"/>
        <w:autoSpaceDN w:val="0"/>
        <w:adjustRightInd w:val="0"/>
        <w:spacing w:after="120"/>
        <w:ind w:firstLine="720"/>
        <w:rPr>
          <w:szCs w:val="22"/>
        </w:rPr>
      </w:pPr>
      <w:r w:rsidRPr="002044D2">
        <w:rPr>
          <w:szCs w:val="22"/>
        </w:rPr>
        <w:t>By this Public Notice, the Wireline Competition Bureau seeks comment from interested parties on an application filed by</w:t>
      </w:r>
      <w:r w:rsidRPr="002044D2" w:rsidR="00760269">
        <w:rPr>
          <w:szCs w:val="22"/>
        </w:rPr>
        <w:t xml:space="preserve"> </w:t>
      </w:r>
      <w:r w:rsidRPr="002044D2">
        <w:rPr>
          <w:szCs w:val="22"/>
        </w:rPr>
        <w:t>Telco Experts, LLC (Telco Experts)</w:t>
      </w:r>
      <w:r w:rsidR="00872421">
        <w:rPr>
          <w:szCs w:val="22"/>
        </w:rPr>
        <w:t>,</w:t>
      </w:r>
      <w:r w:rsidRPr="002044D2">
        <w:rPr>
          <w:szCs w:val="22"/>
        </w:rPr>
        <w:t xml:space="preserve"> Eric Klein, and Redwood Services Group, LLC (Redwood) (collectively, the Applicants), </w:t>
      </w:r>
      <w:r w:rsidRPr="002044D2">
        <w:rPr>
          <w:szCs w:val="22"/>
        </w:rPr>
        <w:t>pursuant to section 214 of the Communications Act of 1934, as amended, and sections 63.03-04 of the Commission’s rules, requesting consent to</w:t>
      </w:r>
      <w:r w:rsidRPr="002044D2" w:rsidR="00C31C73">
        <w:rPr>
          <w:szCs w:val="22"/>
        </w:rPr>
        <w:t xml:space="preserve"> </w:t>
      </w:r>
      <w:r w:rsidRPr="002044D2" w:rsidR="003D05A8">
        <w:rPr>
          <w:szCs w:val="22"/>
        </w:rPr>
        <w:t>transfer</w:t>
      </w:r>
      <w:r w:rsidRPr="002044D2" w:rsidR="00C31C73">
        <w:rPr>
          <w:szCs w:val="22"/>
        </w:rPr>
        <w:t xml:space="preserve"> </w:t>
      </w:r>
      <w:r w:rsidRPr="002044D2">
        <w:rPr>
          <w:szCs w:val="22"/>
        </w:rPr>
        <w:t>control of Telco Experts to Redwood</w:t>
      </w:r>
      <w:r w:rsidR="00872421">
        <w:rPr>
          <w:szCs w:val="22"/>
        </w:rPr>
        <w:t>.</w:t>
      </w:r>
      <w:r>
        <w:rPr>
          <w:rStyle w:val="FootnoteReference"/>
          <w:szCs w:val="22"/>
        </w:rPr>
        <w:footnoteReference w:id="3"/>
      </w:r>
      <w:r w:rsidRPr="002044D2" w:rsidR="00434C96">
        <w:rPr>
          <w:szCs w:val="22"/>
        </w:rPr>
        <w:t xml:space="preserve"> </w:t>
      </w:r>
      <w:r w:rsidRPr="002044D2" w:rsidR="0013405D">
        <w:rPr>
          <w:szCs w:val="22"/>
        </w:rPr>
        <w:t xml:space="preserve"> </w:t>
      </w:r>
    </w:p>
    <w:p w:rsidR="00F82AD3" w:rsidRPr="00F82AD3" w:rsidP="00A910A4">
      <w:pPr>
        <w:autoSpaceDE w:val="0"/>
        <w:autoSpaceDN w:val="0"/>
        <w:adjustRightInd w:val="0"/>
        <w:spacing w:after="120"/>
        <w:ind w:firstLine="720"/>
        <w:rPr>
          <w:szCs w:val="22"/>
        </w:rPr>
      </w:pPr>
      <w:r w:rsidRPr="00524FB1">
        <w:rPr>
          <w:szCs w:val="22"/>
        </w:rPr>
        <w:t>Telco Experts</w:t>
      </w:r>
      <w:r w:rsidR="00872421">
        <w:rPr>
          <w:szCs w:val="22"/>
        </w:rPr>
        <w:t xml:space="preserve">, a </w:t>
      </w:r>
      <w:r w:rsidRPr="00524FB1">
        <w:rPr>
          <w:szCs w:val="22"/>
        </w:rPr>
        <w:t xml:space="preserve">Delaware </w:t>
      </w:r>
      <w:r w:rsidR="00872421">
        <w:rPr>
          <w:szCs w:val="22"/>
        </w:rPr>
        <w:t xml:space="preserve">limited liability </w:t>
      </w:r>
      <w:r w:rsidRPr="00524FB1">
        <w:rPr>
          <w:szCs w:val="22"/>
        </w:rPr>
        <w:t>company</w:t>
      </w:r>
      <w:r w:rsidR="00872421">
        <w:rPr>
          <w:szCs w:val="22"/>
        </w:rPr>
        <w:t>, provides</w:t>
      </w:r>
      <w:r w:rsidRPr="00524FB1" w:rsidR="00524FB1">
        <w:rPr>
          <w:szCs w:val="22"/>
        </w:rPr>
        <w:t xml:space="preserve"> </w:t>
      </w:r>
      <w:r w:rsidR="00872421">
        <w:rPr>
          <w:szCs w:val="22"/>
        </w:rPr>
        <w:t xml:space="preserve">service as a reseller of </w:t>
      </w:r>
      <w:r w:rsidR="00E731A8">
        <w:rPr>
          <w:szCs w:val="22"/>
        </w:rPr>
        <w:t>telecommunications services in multiple states</w:t>
      </w:r>
      <w:r w:rsidRPr="00524FB1" w:rsidR="00524FB1">
        <w:rPr>
          <w:szCs w:val="22"/>
        </w:rPr>
        <w:t>.</w:t>
      </w:r>
      <w:r>
        <w:rPr>
          <w:rStyle w:val="FootnoteReference"/>
          <w:szCs w:val="22"/>
        </w:rPr>
        <w:footnoteReference w:id="4"/>
      </w:r>
      <w:r w:rsidRPr="00524FB1" w:rsidR="00524FB1">
        <w:rPr>
          <w:szCs w:val="22"/>
        </w:rPr>
        <w:t xml:space="preserve">  </w:t>
      </w:r>
      <w:r w:rsidR="002A1BD5">
        <w:rPr>
          <w:szCs w:val="22"/>
        </w:rPr>
        <w:t xml:space="preserve">Telco Experts is currently owned by </w:t>
      </w:r>
      <w:r w:rsidRPr="00F82AD3">
        <w:rPr>
          <w:szCs w:val="22"/>
        </w:rPr>
        <w:t>Er</w:t>
      </w:r>
      <w:r w:rsidR="005B1D80">
        <w:rPr>
          <w:szCs w:val="22"/>
        </w:rPr>
        <w:t>ic Klein (55%)</w:t>
      </w:r>
      <w:r w:rsidRPr="00F82AD3">
        <w:rPr>
          <w:szCs w:val="22"/>
        </w:rPr>
        <w:t xml:space="preserve"> and Adam Goldberg (45%)</w:t>
      </w:r>
      <w:r w:rsidR="002A1BD5">
        <w:rPr>
          <w:szCs w:val="22"/>
        </w:rPr>
        <w:t>, both U.S. citizens</w:t>
      </w:r>
      <w:r w:rsidRPr="00F82AD3">
        <w:rPr>
          <w:szCs w:val="22"/>
        </w:rPr>
        <w:t xml:space="preserve">. </w:t>
      </w:r>
    </w:p>
    <w:p w:rsidR="003E7A60" w:rsidRPr="00A910A4" w:rsidP="00A910A4">
      <w:pPr>
        <w:autoSpaceDE w:val="0"/>
        <w:autoSpaceDN w:val="0"/>
        <w:adjustRightInd w:val="0"/>
        <w:spacing w:after="120"/>
        <w:rPr>
          <w:szCs w:val="22"/>
        </w:rPr>
      </w:pPr>
      <w:r>
        <w:rPr>
          <w:sz w:val="24"/>
          <w:szCs w:val="24"/>
        </w:rPr>
        <w:tab/>
      </w:r>
      <w:r w:rsidRPr="003E7A60">
        <w:rPr>
          <w:szCs w:val="22"/>
        </w:rPr>
        <w:t>Redwood</w:t>
      </w:r>
      <w:r w:rsidR="00EE090B">
        <w:rPr>
          <w:szCs w:val="22"/>
        </w:rPr>
        <w:t xml:space="preserve">, a Delaware limited liability company, is an </w:t>
      </w:r>
      <w:r w:rsidRPr="003E7A60">
        <w:rPr>
          <w:szCs w:val="22"/>
        </w:rPr>
        <w:t>investment vehicle</w:t>
      </w:r>
      <w:r w:rsidR="00EE090B">
        <w:rPr>
          <w:szCs w:val="22"/>
        </w:rPr>
        <w:t xml:space="preserve"> that does not provide telecommunications services</w:t>
      </w:r>
      <w:r w:rsidR="003B1487">
        <w:rPr>
          <w:szCs w:val="22"/>
        </w:rPr>
        <w:t xml:space="preserve">.  Redwood </w:t>
      </w:r>
      <w:r w:rsidR="00EE090B">
        <w:rPr>
          <w:szCs w:val="22"/>
        </w:rPr>
        <w:t>is</w:t>
      </w:r>
      <w:r w:rsidRPr="003E7A60">
        <w:rPr>
          <w:szCs w:val="22"/>
        </w:rPr>
        <w:t xml:space="preserve"> indirectly controlled by Alpine Investors VI, L.P.</w:t>
      </w:r>
      <w:r w:rsidR="00EE090B">
        <w:rPr>
          <w:szCs w:val="22"/>
        </w:rPr>
        <w:t xml:space="preserve"> (Alpine VI)</w:t>
      </w:r>
      <w:r w:rsidRPr="003E7A60">
        <w:rPr>
          <w:szCs w:val="22"/>
        </w:rPr>
        <w:t xml:space="preserve">, </w:t>
      </w:r>
      <w:r w:rsidR="00EE090B">
        <w:rPr>
          <w:szCs w:val="22"/>
        </w:rPr>
        <w:t xml:space="preserve">a </w:t>
      </w:r>
      <w:r w:rsidRPr="00EE090B" w:rsidR="00EE090B">
        <w:rPr>
          <w:szCs w:val="22"/>
        </w:rPr>
        <w:t>Delaware limited partnership</w:t>
      </w:r>
      <w:r w:rsidR="00EE090B">
        <w:rPr>
          <w:szCs w:val="22"/>
        </w:rPr>
        <w:t>.</w:t>
      </w:r>
      <w:r>
        <w:rPr>
          <w:rStyle w:val="FootnoteReference"/>
          <w:szCs w:val="22"/>
        </w:rPr>
        <w:footnoteReference w:id="5"/>
      </w:r>
      <w:r w:rsidRPr="00EE090B" w:rsidR="00EE090B">
        <w:rPr>
          <w:szCs w:val="22"/>
        </w:rPr>
        <w:t xml:space="preserve"> </w:t>
      </w:r>
      <w:r w:rsidR="00161A3B">
        <w:rPr>
          <w:szCs w:val="22"/>
        </w:rPr>
        <w:t xml:space="preserve"> </w:t>
      </w:r>
      <w:r w:rsidR="000A10A8">
        <w:rPr>
          <w:szCs w:val="22"/>
        </w:rPr>
        <w:t xml:space="preserve">The general partner for Alpine VI is Alpine General Partner VI, LLC, which, in turn, is wholly owned by Alpine SLP VI, LLC (Alpine SLP), both </w:t>
      </w:r>
      <w:r w:rsidR="000A10A8">
        <w:rPr>
          <w:szCs w:val="22"/>
        </w:rPr>
        <w:t>Delaware limited liability companies.  The managing member who solely controls Alpine SLP is Mr. Graham Weaver, a U.S. citizen.</w:t>
      </w:r>
      <w:r w:rsidR="004A6B37">
        <w:rPr>
          <w:szCs w:val="22"/>
        </w:rPr>
        <w:t xml:space="preserve">  Applicants state that neither Redwood</w:t>
      </w:r>
      <w:r w:rsidR="00AA45CE">
        <w:rPr>
          <w:szCs w:val="22"/>
        </w:rPr>
        <w:t>,</w:t>
      </w:r>
      <w:r w:rsidR="004A6B37">
        <w:rPr>
          <w:szCs w:val="22"/>
        </w:rPr>
        <w:t xml:space="preserve"> nor any of its affiliates</w:t>
      </w:r>
      <w:r w:rsidR="00AA45CE">
        <w:rPr>
          <w:szCs w:val="22"/>
        </w:rPr>
        <w:t>,</w:t>
      </w:r>
      <w:r w:rsidR="004A6B37">
        <w:rPr>
          <w:szCs w:val="22"/>
        </w:rPr>
        <w:t xml:space="preserve"> currently hold any interests in a provider of domestic telecommunications services.</w:t>
      </w:r>
    </w:p>
    <w:p w:rsidR="00E7033D" w:rsidRPr="00412906" w:rsidP="00A910A4">
      <w:pPr>
        <w:autoSpaceDE w:val="0"/>
        <w:autoSpaceDN w:val="0"/>
        <w:adjustRightInd w:val="0"/>
        <w:spacing w:after="120"/>
        <w:ind w:firstLine="720"/>
        <w:rPr>
          <w:szCs w:val="22"/>
        </w:rPr>
      </w:pPr>
      <w:r w:rsidRPr="00412906">
        <w:rPr>
          <w:szCs w:val="22"/>
        </w:rPr>
        <w:t xml:space="preserve">Pursuant to the terms of </w:t>
      </w:r>
      <w:r w:rsidRPr="00412906" w:rsidR="00F05755">
        <w:rPr>
          <w:szCs w:val="22"/>
        </w:rPr>
        <w:t>the</w:t>
      </w:r>
      <w:r w:rsidRPr="00412906" w:rsidR="00E55A96">
        <w:rPr>
          <w:szCs w:val="22"/>
        </w:rPr>
        <w:t xml:space="preserve"> </w:t>
      </w:r>
      <w:r>
        <w:rPr>
          <w:szCs w:val="22"/>
        </w:rPr>
        <w:t>proposed transaction</w:t>
      </w:r>
      <w:r w:rsidRPr="00412906" w:rsidR="00863E01">
        <w:rPr>
          <w:szCs w:val="22"/>
        </w:rPr>
        <w:t>,</w:t>
      </w:r>
      <w:r w:rsidRPr="00412906" w:rsidR="00420065">
        <w:rPr>
          <w:szCs w:val="22"/>
        </w:rPr>
        <w:t xml:space="preserve"> </w:t>
      </w:r>
      <w:r w:rsidRPr="00412906" w:rsidR="0009136A">
        <w:rPr>
          <w:szCs w:val="22"/>
        </w:rPr>
        <w:t xml:space="preserve">Redwood will acquire </w:t>
      </w:r>
      <w:r w:rsidRPr="00412906" w:rsidR="0009136A">
        <w:rPr>
          <w:szCs w:val="22"/>
        </w:rPr>
        <w:t>all of</w:t>
      </w:r>
      <w:r w:rsidRPr="00412906" w:rsidR="0009136A">
        <w:rPr>
          <w:szCs w:val="22"/>
        </w:rPr>
        <w:t xml:space="preserve"> the outstanding membership interest</w:t>
      </w:r>
      <w:r w:rsidR="00D30B66">
        <w:rPr>
          <w:szCs w:val="22"/>
        </w:rPr>
        <w:t>s</w:t>
      </w:r>
      <w:r w:rsidRPr="00412906" w:rsidR="0009136A">
        <w:rPr>
          <w:szCs w:val="22"/>
        </w:rPr>
        <w:t xml:space="preserve"> in Telco Experts</w:t>
      </w:r>
      <w:r w:rsidR="00D30B66">
        <w:rPr>
          <w:szCs w:val="22"/>
        </w:rPr>
        <w:t>,</w:t>
      </w:r>
      <w:r w:rsidR="0016153C">
        <w:rPr>
          <w:szCs w:val="22"/>
        </w:rPr>
        <w:t xml:space="preserve"> and</w:t>
      </w:r>
      <w:r w:rsidR="00100B98">
        <w:rPr>
          <w:szCs w:val="22"/>
        </w:rPr>
        <w:t xml:space="preserve"> </w:t>
      </w:r>
      <w:r w:rsidR="0016153C">
        <w:rPr>
          <w:szCs w:val="22"/>
        </w:rPr>
        <w:t xml:space="preserve">Telco Experts will be </w:t>
      </w:r>
      <w:r w:rsidR="00AA45CE">
        <w:rPr>
          <w:szCs w:val="22"/>
        </w:rPr>
        <w:t xml:space="preserve">a </w:t>
      </w:r>
      <w:r w:rsidR="0016153C">
        <w:rPr>
          <w:szCs w:val="22"/>
        </w:rPr>
        <w:t>wholly owned subsidiary of Redwood</w:t>
      </w:r>
      <w:r w:rsidRPr="00412906" w:rsidR="0009136A">
        <w:rPr>
          <w:szCs w:val="22"/>
        </w:rPr>
        <w:t xml:space="preserve">. </w:t>
      </w:r>
      <w:r w:rsidRPr="00412906">
        <w:rPr>
          <w:szCs w:val="22"/>
        </w:rPr>
        <w:t xml:space="preserve"> </w:t>
      </w:r>
      <w:r w:rsidR="00420065">
        <w:rPr>
          <w:szCs w:val="22"/>
        </w:rPr>
        <w:t>A</w:t>
      </w:r>
      <w:r>
        <w:rPr>
          <w:bCs/>
          <w:szCs w:val="22"/>
        </w:rPr>
        <w:t>pplicants request streamlined treatment of the proposed transaction under the Commission’s rules and assert that a grant of the application would serve the public interest, convenience, and necessity.</w:t>
      </w:r>
      <w:r w:rsidR="00590F38">
        <w:rPr>
          <w:bCs/>
          <w:szCs w:val="22"/>
        </w:rPr>
        <w:t xml:space="preserve"> </w:t>
      </w:r>
      <w:r w:rsidR="00806DC2">
        <w:rPr>
          <w:bCs/>
          <w:szCs w:val="22"/>
        </w:rPr>
        <w:t xml:space="preserve"> </w:t>
      </w:r>
      <w:r>
        <w:rPr>
          <w:bCs/>
          <w:szCs w:val="22"/>
        </w:rPr>
        <w:t>We accept this application for filing under section 63.03(b)(</w:t>
      </w:r>
      <w:r w:rsidR="003C7FC2">
        <w:rPr>
          <w:bCs/>
          <w:szCs w:val="22"/>
        </w:rPr>
        <w:t>1</w:t>
      </w:r>
      <w:r w:rsidR="00A910A4">
        <w:rPr>
          <w:bCs/>
          <w:szCs w:val="22"/>
        </w:rPr>
        <w:t>)(i</w:t>
      </w:r>
      <w:r w:rsidR="003C7FC2">
        <w:rPr>
          <w:bCs/>
          <w:szCs w:val="22"/>
        </w:rPr>
        <w:t>i</w:t>
      </w:r>
      <w:r w:rsidR="00A910A4">
        <w:rPr>
          <w:bCs/>
          <w:szCs w:val="22"/>
        </w:rPr>
        <w:t>)</w:t>
      </w:r>
      <w:r>
        <w:rPr>
          <w:bCs/>
          <w:szCs w:val="22"/>
        </w:rPr>
        <w:t xml:space="preserve"> of the Commission’s rules.</w:t>
      </w:r>
      <w:r>
        <w:rPr>
          <w:bCs/>
          <w:szCs w:val="22"/>
          <w:vertAlign w:val="superscript"/>
        </w:rPr>
        <w:footnoteReference w:id="6"/>
      </w:r>
      <w:r>
        <w:rPr>
          <w:bCs/>
          <w:szCs w:val="22"/>
        </w:rPr>
        <w:t xml:space="preserve"> </w:t>
      </w:r>
    </w:p>
    <w:p w:rsidR="00A910A4" w:rsidP="002044D2">
      <w:pPr>
        <w:ind w:left="720"/>
        <w:rPr>
          <w:szCs w:val="22"/>
        </w:rPr>
      </w:pPr>
      <w:r>
        <w:rPr>
          <w:szCs w:val="22"/>
        </w:rPr>
        <w:t xml:space="preserve">Domestic Section 214 Application Filed for the </w:t>
      </w:r>
      <w:r w:rsidR="002044D2">
        <w:rPr>
          <w:szCs w:val="22"/>
        </w:rPr>
        <w:t xml:space="preserve">Transfer of Control of </w:t>
      </w:r>
    </w:p>
    <w:p w:rsidR="00A910A4" w:rsidP="00A910A4">
      <w:pPr>
        <w:ind w:left="720"/>
        <w:rPr>
          <w:szCs w:val="22"/>
        </w:rPr>
      </w:pPr>
      <w:r>
        <w:rPr>
          <w:szCs w:val="22"/>
        </w:rPr>
        <w:t>Telco Experts</w:t>
      </w:r>
      <w:r>
        <w:rPr>
          <w:szCs w:val="22"/>
        </w:rPr>
        <w:t>, LLC</w:t>
      </w:r>
      <w:r>
        <w:rPr>
          <w:szCs w:val="22"/>
        </w:rPr>
        <w:t xml:space="preserve"> to Red</w:t>
      </w:r>
      <w:r w:rsidR="00F26BD4">
        <w:rPr>
          <w:szCs w:val="22"/>
        </w:rPr>
        <w:t>w</w:t>
      </w:r>
      <w:r>
        <w:rPr>
          <w:szCs w:val="22"/>
        </w:rPr>
        <w:t>ood Services Group, LLC</w:t>
      </w:r>
      <w:r>
        <w:rPr>
          <w:szCs w:val="22"/>
        </w:rPr>
        <w:t xml:space="preserve">, </w:t>
      </w:r>
      <w:r w:rsidR="00412906">
        <w:rPr>
          <w:szCs w:val="22"/>
        </w:rPr>
        <w:t>WC Docket No. 20-</w:t>
      </w:r>
      <w:r>
        <w:rPr>
          <w:szCs w:val="22"/>
        </w:rPr>
        <w:t>317</w:t>
      </w:r>
      <w:r w:rsidR="00412906">
        <w:rPr>
          <w:szCs w:val="22"/>
        </w:rPr>
        <w:t xml:space="preserve"> </w:t>
      </w:r>
    </w:p>
    <w:p w:rsidR="00E7033D" w:rsidRPr="00A910A4" w:rsidP="00A910A4">
      <w:pPr>
        <w:ind w:left="720"/>
        <w:rPr>
          <w:szCs w:val="22"/>
        </w:rPr>
      </w:pPr>
      <w:r>
        <w:rPr>
          <w:szCs w:val="22"/>
        </w:rPr>
        <w:t xml:space="preserve">(filed </w:t>
      </w:r>
      <w:r w:rsidR="002044D2">
        <w:rPr>
          <w:szCs w:val="22"/>
        </w:rPr>
        <w:t>Sept</w:t>
      </w:r>
      <w:r w:rsidR="00D30B66">
        <w:rPr>
          <w:szCs w:val="22"/>
        </w:rPr>
        <w:t>.</w:t>
      </w:r>
      <w:r w:rsidR="00D252B2">
        <w:rPr>
          <w:szCs w:val="22"/>
        </w:rPr>
        <w:t xml:space="preserve"> </w:t>
      </w:r>
      <w:r w:rsidR="00C31C73">
        <w:rPr>
          <w:szCs w:val="22"/>
        </w:rPr>
        <w:t>2</w:t>
      </w:r>
      <w:r w:rsidR="002044D2">
        <w:rPr>
          <w:szCs w:val="22"/>
        </w:rPr>
        <w:t>9</w:t>
      </w:r>
      <w:r>
        <w:rPr>
          <w:szCs w:val="22"/>
        </w:rPr>
        <w:t>, 2020).</w:t>
      </w:r>
    </w:p>
    <w:p w:rsidR="00CC27B9">
      <w:pPr>
        <w:autoSpaceDE w:val="0"/>
        <w:autoSpaceDN w:val="0"/>
        <w:adjustRightInd w:val="0"/>
        <w:rPr>
          <w:szCs w:val="22"/>
        </w:rPr>
      </w:pPr>
    </w:p>
    <w:p w:rsidR="00E7033D">
      <w:pPr>
        <w:autoSpaceDE w:val="0"/>
        <w:autoSpaceDN w:val="0"/>
        <w:adjustRightInd w:val="0"/>
        <w:rPr>
          <w:szCs w:val="22"/>
        </w:rPr>
      </w:pPr>
      <w:r>
        <w:rPr>
          <w:b/>
          <w:szCs w:val="22"/>
          <w:u w:val="single"/>
        </w:rPr>
        <w:t>GENERAL INFORMATION</w:t>
      </w:r>
    </w:p>
    <w:p w:rsidR="00E7033D">
      <w:pPr>
        <w:autoSpaceDE w:val="0"/>
        <w:autoSpaceDN w:val="0"/>
        <w:adjustRightInd w:val="0"/>
        <w:rPr>
          <w:szCs w:val="22"/>
        </w:rPr>
      </w:pPr>
    </w:p>
    <w:p w:rsidR="00E7033D">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2044D2">
        <w:rPr>
          <w:b/>
          <w:szCs w:val="22"/>
        </w:rPr>
        <w:t xml:space="preserve">October </w:t>
      </w:r>
      <w:r w:rsidR="00100B98">
        <w:rPr>
          <w:b/>
          <w:szCs w:val="22"/>
        </w:rPr>
        <w:t>20</w:t>
      </w:r>
      <w:r>
        <w:rPr>
          <w:b/>
          <w:szCs w:val="22"/>
        </w:rPr>
        <w:t>, 2020</w:t>
      </w:r>
      <w:r>
        <w:rPr>
          <w:szCs w:val="22"/>
        </w:rPr>
        <w:t xml:space="preserve">, and reply comments </w:t>
      </w:r>
      <w:r>
        <w:rPr>
          <w:b/>
          <w:szCs w:val="22"/>
        </w:rPr>
        <w:t xml:space="preserve">on or before </w:t>
      </w:r>
      <w:r w:rsidR="002044D2">
        <w:rPr>
          <w:b/>
          <w:bCs/>
          <w:szCs w:val="22"/>
        </w:rPr>
        <w:t xml:space="preserve">October </w:t>
      </w:r>
      <w:r w:rsidR="00100B98">
        <w:rPr>
          <w:b/>
          <w:bCs/>
          <w:szCs w:val="22"/>
        </w:rPr>
        <w:t>27</w:t>
      </w:r>
      <w:r>
        <w:rPr>
          <w:b/>
          <w:szCs w:val="22"/>
        </w:rPr>
        <w:t>, 2020</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pPr>
        <w:autoSpaceDE w:val="0"/>
        <w:autoSpaceDN w:val="0"/>
        <w:adjustRightInd w:val="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pPr>
        <w:autoSpaceDE w:val="0"/>
        <w:autoSpaceDN w:val="0"/>
        <w:adjustRightInd w:val="0"/>
        <w:ind w:firstLine="720"/>
        <w:rPr>
          <w:b/>
          <w:szCs w:val="22"/>
        </w:rPr>
      </w:pPr>
    </w:p>
    <w:p w:rsidR="00E7033D">
      <w:pPr>
        <w:autoSpaceDE w:val="0"/>
        <w:autoSpaceDN w:val="0"/>
        <w:adjustRightInd w:val="0"/>
        <w:ind w:firstLine="720"/>
        <w:rPr>
          <w:b/>
          <w:szCs w:val="22"/>
        </w:rPr>
      </w:pPr>
      <w:r>
        <w:rPr>
          <w:b/>
          <w:szCs w:val="22"/>
        </w:rPr>
        <w:t>In addition, e-mail one copy of each pleading to each of the following:</w:t>
      </w:r>
    </w:p>
    <w:p w:rsidR="00E7033D">
      <w:pPr>
        <w:autoSpaceDE w:val="0"/>
        <w:autoSpaceDN w:val="0"/>
        <w:adjustRightInd w:val="0"/>
        <w:ind w:firstLine="720"/>
        <w:rPr>
          <w:b/>
          <w:szCs w:val="22"/>
        </w:rPr>
      </w:pPr>
    </w:p>
    <w:p w:rsidR="00E7033D">
      <w:pPr>
        <w:numPr>
          <w:ilvl w:val="0"/>
          <w:numId w:val="18"/>
        </w:numPr>
        <w:autoSpaceDE w:val="0"/>
        <w:autoSpaceDN w:val="0"/>
        <w:adjustRightInd w:val="0"/>
        <w:rPr>
          <w:szCs w:val="22"/>
        </w:rPr>
      </w:pPr>
      <w:r>
        <w:rPr>
          <w:szCs w:val="22"/>
        </w:rPr>
        <w:t xml:space="preserve">Tracey Wilson, Competition Policy Division, Wireline Competition Bureau,  </w:t>
      </w:r>
      <w:hyperlink r:id="rId8" w:history="1">
        <w:r>
          <w:rPr>
            <w:rStyle w:val="Hyperlink"/>
            <w:szCs w:val="22"/>
          </w:rPr>
          <w:t>tracey.wilson@fcc.gov</w:t>
        </w:r>
      </w:hyperlink>
      <w:r>
        <w:rPr>
          <w:szCs w:val="22"/>
        </w:rPr>
        <w:t>;</w:t>
      </w:r>
    </w:p>
    <w:p w:rsidR="00E7033D">
      <w:pPr>
        <w:autoSpaceDE w:val="0"/>
        <w:autoSpaceDN w:val="0"/>
        <w:adjustRightInd w:val="0"/>
        <w:ind w:firstLine="720"/>
        <w:rPr>
          <w:szCs w:val="22"/>
        </w:rPr>
      </w:pPr>
    </w:p>
    <w:p w:rsidR="00FA546C" w:rsidP="00B90DED">
      <w:pPr>
        <w:numPr>
          <w:ilvl w:val="0"/>
          <w:numId w:val="18"/>
        </w:numPr>
        <w:autoSpaceDE w:val="0"/>
        <w:autoSpaceDN w:val="0"/>
        <w:adjustRightInd w:val="0"/>
        <w:rPr>
          <w:szCs w:val="22"/>
        </w:rPr>
      </w:pPr>
      <w:r>
        <w:rPr>
          <w:szCs w:val="22"/>
        </w:rPr>
        <w:t>Gregory Kwan</w:t>
      </w:r>
      <w:r w:rsidR="008C294A">
        <w:rPr>
          <w:szCs w:val="22"/>
        </w:rPr>
        <w:t xml:space="preserve">, Competition Policy Division, Wireline Competition Bureau, </w:t>
      </w:r>
      <w:hyperlink r:id="rId9" w:history="1">
        <w:r w:rsidRPr="00D46333" w:rsidR="00B90DED">
          <w:rPr>
            <w:rStyle w:val="Hyperlink"/>
            <w:szCs w:val="22"/>
          </w:rPr>
          <w:t>gregory.kwan@fcc.gov</w:t>
        </w:r>
      </w:hyperlink>
      <w:r w:rsidR="00B90DED">
        <w:rPr>
          <w:szCs w:val="22"/>
        </w:rPr>
        <w:t>;</w:t>
      </w:r>
      <w:r w:rsidRPr="00B90DED" w:rsidR="008C294A">
        <w:rPr>
          <w:szCs w:val="22"/>
        </w:rPr>
        <w:t xml:space="preserve"> </w:t>
      </w:r>
    </w:p>
    <w:p w:rsidR="00A910A4" w:rsidP="00A910A4">
      <w:pPr>
        <w:pStyle w:val="ListParagraph"/>
        <w:rPr>
          <w:rStyle w:val="Hyperlink"/>
          <w:color w:val="auto"/>
          <w:szCs w:val="22"/>
          <w:u w:val="none"/>
        </w:rPr>
      </w:pPr>
    </w:p>
    <w:p w:rsidR="00A910A4" w:rsidP="00A910A4">
      <w:pPr>
        <w:numPr>
          <w:ilvl w:val="0"/>
          <w:numId w:val="18"/>
        </w:numPr>
        <w:rPr>
          <w:szCs w:val="22"/>
        </w:rPr>
      </w:pPr>
      <w:r>
        <w:rPr>
          <w:szCs w:val="22"/>
        </w:rPr>
        <w:t xml:space="preserve">David Krech, International Bureau, </w:t>
      </w:r>
      <w:hyperlink r:id="rId10" w:history="1">
        <w:r>
          <w:rPr>
            <w:rStyle w:val="Hyperlink"/>
            <w:szCs w:val="22"/>
          </w:rPr>
          <w:t>david.krech@fcc.gov</w:t>
        </w:r>
      </w:hyperlink>
      <w:r>
        <w:rPr>
          <w:szCs w:val="22"/>
        </w:rPr>
        <w:t xml:space="preserve">; </w:t>
      </w:r>
    </w:p>
    <w:p w:rsidR="00A910A4" w:rsidP="00A910A4">
      <w:pPr>
        <w:pStyle w:val="ListParagraph"/>
        <w:rPr>
          <w:szCs w:val="22"/>
        </w:rPr>
      </w:pPr>
    </w:p>
    <w:p w:rsidR="00A910A4" w:rsidRPr="00B90DED" w:rsidP="00A910A4">
      <w:pPr>
        <w:numPr>
          <w:ilvl w:val="0"/>
          <w:numId w:val="18"/>
        </w:numPr>
        <w:autoSpaceDE w:val="0"/>
        <w:autoSpaceDN w:val="0"/>
        <w:adjustRightInd w:val="0"/>
        <w:rPr>
          <w:rStyle w:val="Hyperlink"/>
          <w:color w:val="auto"/>
          <w:szCs w:val="22"/>
          <w:u w:val="none"/>
        </w:rPr>
      </w:pPr>
      <w:r>
        <w:rPr>
          <w:szCs w:val="22"/>
        </w:rPr>
        <w:t xml:space="preserve">Sumita Mukhoty, International Bureau, </w:t>
      </w:r>
      <w:hyperlink r:id="rId11" w:history="1">
        <w:r>
          <w:rPr>
            <w:rStyle w:val="Hyperlink"/>
            <w:szCs w:val="22"/>
          </w:rPr>
          <w:t>sumita.mukhoty@fcc.gov</w:t>
        </w:r>
      </w:hyperlink>
      <w:r w:rsidRPr="00A910A4">
        <w:rPr>
          <w:rStyle w:val="Hyperlink"/>
          <w:color w:val="auto"/>
          <w:szCs w:val="22"/>
          <w:u w:val="none"/>
        </w:rPr>
        <w:t>; and</w:t>
      </w:r>
    </w:p>
    <w:p w:rsidR="00E7033D" w:rsidRPr="00FA546C" w:rsidP="00FA546C">
      <w:pPr>
        <w:autoSpaceDE w:val="0"/>
        <w:autoSpaceDN w:val="0"/>
        <w:adjustRightInd w:val="0"/>
        <w:ind w:left="360"/>
        <w:rPr>
          <w:szCs w:val="22"/>
        </w:rPr>
      </w:pPr>
    </w:p>
    <w:p w:rsidR="00E7033D">
      <w:pPr>
        <w:numPr>
          <w:ilvl w:val="0"/>
          <w:numId w:val="18"/>
        </w:numPr>
        <w:autoSpaceDE w:val="0"/>
        <w:autoSpaceDN w:val="0"/>
        <w:adjustRightInd w:val="0"/>
        <w:rPr>
          <w:szCs w:val="22"/>
        </w:rPr>
      </w:pPr>
      <w:r>
        <w:rPr>
          <w:szCs w:val="22"/>
        </w:rPr>
        <w:t xml:space="preserve">Jim Bird, Office of General Counsel, </w:t>
      </w:r>
      <w:hyperlink r:id="rId12" w:history="1">
        <w:r>
          <w:rPr>
            <w:rStyle w:val="Hyperlink"/>
            <w:szCs w:val="22"/>
          </w:rPr>
          <w:t>jim.bird@fcc.gov</w:t>
        </w:r>
      </w:hyperlink>
      <w:r>
        <w:rPr>
          <w:szCs w:val="22"/>
        </w:rPr>
        <w:t>.</w:t>
      </w:r>
    </w:p>
    <w:p w:rsidR="00E7033D">
      <w:pPr>
        <w:autoSpaceDE w:val="0"/>
        <w:autoSpaceDN w:val="0"/>
        <w:adjustRightInd w:val="0"/>
        <w:ind w:firstLine="720"/>
        <w:rPr>
          <w:szCs w:val="22"/>
        </w:rPr>
      </w:pPr>
    </w:p>
    <w:p w:rsidR="00E7033D">
      <w:pPr>
        <w:autoSpaceDE w:val="0"/>
        <w:autoSpaceDN w:val="0"/>
        <w:adjustRightInd w:val="0"/>
        <w:spacing w:after="120"/>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E7033D">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E7033D">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pPr>
        <w:autoSpaceDE w:val="0"/>
        <w:autoSpaceDN w:val="0"/>
        <w:adjustRightInd w:val="0"/>
        <w:ind w:firstLine="720"/>
        <w:rPr>
          <w:szCs w:val="22"/>
        </w:rPr>
      </w:pPr>
      <w:r>
        <w:rPr>
          <w:szCs w:val="22"/>
        </w:rPr>
        <w:t>For further information, please contact Tracey Wilson at (202) 418-1394 or</w:t>
      </w:r>
      <w:r w:rsidR="00554AD0">
        <w:rPr>
          <w:szCs w:val="22"/>
        </w:rPr>
        <w:t xml:space="preserve"> Gregory Kwan</w:t>
      </w:r>
      <w:r>
        <w:rPr>
          <w:szCs w:val="22"/>
        </w:rPr>
        <w:t xml:space="preserve"> at (202) 418-</w:t>
      </w:r>
      <w:r w:rsidR="00554AD0">
        <w:rPr>
          <w:szCs w:val="22"/>
        </w:rPr>
        <w:t>1191</w:t>
      </w:r>
      <w:r>
        <w:rPr>
          <w:szCs w:val="22"/>
        </w:rPr>
        <w:t>.</w:t>
      </w:r>
    </w:p>
    <w:p w:rsidR="00E7033D">
      <w:pPr>
        <w:autoSpaceDE w:val="0"/>
        <w:autoSpaceDN w:val="0"/>
        <w:adjustRightInd w:val="0"/>
        <w:ind w:firstLine="720"/>
        <w:rPr>
          <w:szCs w:val="22"/>
        </w:rPr>
      </w:pPr>
    </w:p>
    <w:p w:rsidR="00E7033D">
      <w:pPr>
        <w:autoSpaceDE w:val="0"/>
        <w:autoSpaceDN w:val="0"/>
        <w:adjustRightInd w:val="0"/>
        <w:rPr>
          <w:szCs w:val="22"/>
        </w:rPr>
      </w:pPr>
    </w:p>
    <w:p w:rsidR="00E7033D">
      <w:pPr>
        <w:autoSpaceDE w:val="0"/>
        <w:autoSpaceDN w:val="0"/>
        <w:adjustRightInd w:val="0"/>
        <w:jc w:val="center"/>
        <w:rPr>
          <w:color w:val="000000"/>
          <w:szCs w:val="22"/>
        </w:rPr>
      </w:pPr>
      <w:r>
        <w:rPr>
          <w:b/>
          <w:szCs w:val="22"/>
        </w:rPr>
        <w:t>FCC</w:t>
      </w:r>
    </w:p>
    <w:p w:rsidR="00E7033D">
      <w:pPr>
        <w:autoSpaceDE w:val="0"/>
        <w:autoSpaceDN w:val="0"/>
        <w:adjustRightInd w:val="0"/>
        <w:spacing w:after="120"/>
        <w:jc w:val="center"/>
        <w:rPr>
          <w:b/>
          <w:szCs w:val="22"/>
        </w:rPr>
      </w:pPr>
    </w:p>
    <w:p w:rsidR="00E7033D">
      <w:pPr>
        <w:autoSpaceDE w:val="0"/>
        <w:autoSpaceDN w:val="0"/>
        <w:adjustRightInd w:val="0"/>
        <w:jc w:val="center"/>
        <w:rPr>
          <w:b/>
          <w:szCs w:val="22"/>
        </w:rPr>
      </w:pPr>
    </w:p>
    <w:p w:rsidR="00E7033D">
      <w:pPr>
        <w:autoSpaceDE w:val="0"/>
        <w:autoSpaceDN w:val="0"/>
        <w:adjustRightInd w:val="0"/>
        <w:rPr>
          <w:color w:val="000000"/>
          <w:szCs w:val="22"/>
        </w:rPr>
      </w:pP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p w:rsidR="00E70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C32EC">
      <w:r>
        <w:separator/>
      </w:r>
    </w:p>
  </w:footnote>
  <w:footnote w:type="continuationSeparator" w:id="1">
    <w:p w:rsidR="001C32EC">
      <w:r>
        <w:continuationSeparator/>
      </w:r>
    </w:p>
  </w:footnote>
  <w:footnote w:type="continuationNotice" w:id="2">
    <w:p w:rsidR="001C32EC"/>
  </w:footnote>
  <w:footnote w:id="3">
    <w:p w:rsidR="00E7033D" w:rsidRPr="00223D92" w:rsidP="00223D92">
      <w:pPr>
        <w:spacing w:after="120"/>
        <w:rPr>
          <w:sz w:val="20"/>
        </w:rPr>
      </w:pPr>
      <w:r>
        <w:rPr>
          <w:rStyle w:val="FootnoteReference"/>
        </w:rPr>
        <w:footnoteRef/>
      </w:r>
      <w:r>
        <w:t xml:space="preserve"> </w:t>
      </w:r>
      <w:r w:rsidRPr="00223D92">
        <w:rPr>
          <w:i/>
          <w:sz w:val="20"/>
        </w:rPr>
        <w:t>See</w:t>
      </w:r>
      <w:r w:rsidRPr="00223D92">
        <w:rPr>
          <w:sz w:val="20"/>
        </w:rPr>
        <w:t xml:space="preserve"> 47 U.S.C. § 214; 47 CFR §§ 63.03-04.</w:t>
      </w:r>
      <w:r w:rsidRPr="00223D92" w:rsidR="00A92C9E">
        <w:rPr>
          <w:sz w:val="20"/>
        </w:rPr>
        <w:t xml:space="preserve"> </w:t>
      </w:r>
      <w:r w:rsidRPr="00223D92" w:rsidR="004A6B37">
        <w:rPr>
          <w:sz w:val="20"/>
        </w:rPr>
        <w:t xml:space="preserve"> </w:t>
      </w:r>
      <w:r w:rsidRPr="00223D92" w:rsidR="00223D92">
        <w:rPr>
          <w:sz w:val="20"/>
        </w:rPr>
        <w:t xml:space="preserve">Applicants also filed applications for the transfer of authorizations associated with international services. </w:t>
      </w:r>
      <w:r w:rsidRPr="00223D92" w:rsidR="004A6B37">
        <w:rPr>
          <w:sz w:val="20"/>
        </w:rPr>
        <w:t xml:space="preserve"> </w:t>
      </w:r>
      <w:r w:rsidRPr="00223D92">
        <w:rPr>
          <w:sz w:val="20"/>
        </w:rPr>
        <w:t>Any action on this domestic section 214 application is without prejudice to Commission action on other related, pending applications</w:t>
      </w:r>
      <w:r w:rsidRPr="00223D92">
        <w:rPr>
          <w:rFonts w:eastAsia="Calibri"/>
          <w:sz w:val="20"/>
        </w:rPr>
        <w:t>.</w:t>
      </w:r>
      <w:r w:rsidRPr="00223D92" w:rsidR="006E3E11">
        <w:rPr>
          <w:rFonts w:eastAsia="Calibri"/>
          <w:sz w:val="20"/>
        </w:rPr>
        <w:t xml:space="preserve">  </w:t>
      </w:r>
    </w:p>
  </w:footnote>
  <w:footnote w:id="4">
    <w:p w:rsidR="00EB77DA" w:rsidRPr="00223D92" w:rsidP="00EB77DA">
      <w:pPr>
        <w:autoSpaceDE w:val="0"/>
        <w:autoSpaceDN w:val="0"/>
        <w:adjustRightInd w:val="0"/>
        <w:spacing w:after="120"/>
        <w:rPr>
          <w:sz w:val="20"/>
        </w:rPr>
      </w:pPr>
      <w:r w:rsidRPr="00223D92">
        <w:rPr>
          <w:rStyle w:val="FootnoteReference"/>
          <w:sz w:val="20"/>
        </w:rPr>
        <w:footnoteRef/>
      </w:r>
      <w:r w:rsidRPr="00223D92">
        <w:rPr>
          <w:sz w:val="20"/>
        </w:rPr>
        <w:t xml:space="preserve"> </w:t>
      </w:r>
      <w:r>
        <w:rPr>
          <w:sz w:val="20"/>
        </w:rPr>
        <w:t>Telco Experts provides resold long distance, toll, and local exchange in the District of Columbia and the following 21 states:</w:t>
      </w:r>
      <w:r w:rsidRPr="00223D92">
        <w:rPr>
          <w:sz w:val="20"/>
        </w:rPr>
        <w:t xml:space="preserve"> </w:t>
      </w:r>
      <w:r>
        <w:rPr>
          <w:sz w:val="20"/>
        </w:rPr>
        <w:t xml:space="preserve"> </w:t>
      </w:r>
      <w:r w:rsidRPr="00223D92">
        <w:rPr>
          <w:sz w:val="20"/>
        </w:rPr>
        <w:t xml:space="preserve">Arizona, California, Connecticut, Delaware, Florida, Illinois, Kentucky, Louisiana, Maryland, Massachusetts, Minnesota, Missouri, New Hampshire, New York, North Carolina, Ohio, Pennsylvania, Rhode Island, Tennessee, Texas, and Virginia. </w:t>
      </w:r>
      <w:r>
        <w:rPr>
          <w:sz w:val="20"/>
        </w:rPr>
        <w:t xml:space="preserve"> </w:t>
      </w:r>
    </w:p>
  </w:footnote>
  <w:footnote w:id="5">
    <w:p w:rsidR="00AF7474" w:rsidRPr="00223D92" w:rsidP="00223D92">
      <w:pPr>
        <w:pStyle w:val="FootnoteText"/>
        <w:spacing w:after="120"/>
        <w:rPr>
          <w:sz w:val="20"/>
        </w:rPr>
      </w:pPr>
      <w:r w:rsidRPr="00223D92">
        <w:rPr>
          <w:rStyle w:val="FootnoteReference"/>
          <w:sz w:val="20"/>
        </w:rPr>
        <w:footnoteRef/>
      </w:r>
      <w:r w:rsidRPr="00223D92">
        <w:rPr>
          <w:sz w:val="20"/>
        </w:rPr>
        <w:t xml:space="preserve"> Applicants state that, post consummation, </w:t>
      </w:r>
      <w:r w:rsidRPr="00223D92" w:rsidR="00161A3B">
        <w:rPr>
          <w:sz w:val="20"/>
        </w:rPr>
        <w:t>Redwood will be directly wholly owned by Evergreen Services Group, LLC, which, in turn, will be wholly owned by Evergreen Services Group Topco, LLC</w:t>
      </w:r>
      <w:r w:rsidR="00AB0765">
        <w:rPr>
          <w:sz w:val="20"/>
        </w:rPr>
        <w:t xml:space="preserve"> (Evergreen Topco)</w:t>
      </w:r>
      <w:r w:rsidRPr="00223D92" w:rsidR="00161A3B">
        <w:rPr>
          <w:sz w:val="20"/>
        </w:rPr>
        <w:t xml:space="preserve">, </w:t>
      </w:r>
      <w:r w:rsidR="00334E74">
        <w:rPr>
          <w:sz w:val="20"/>
        </w:rPr>
        <w:t>both</w:t>
      </w:r>
      <w:r w:rsidRPr="00223D92" w:rsidR="00161A3B">
        <w:rPr>
          <w:sz w:val="20"/>
        </w:rPr>
        <w:t xml:space="preserve"> Delaware limited liability companies.</w:t>
      </w:r>
      <w:r w:rsidRPr="00223D92" w:rsidR="000A10A8">
        <w:rPr>
          <w:sz w:val="20"/>
        </w:rPr>
        <w:t xml:space="preserve">  </w:t>
      </w:r>
      <w:r w:rsidR="00AB0765">
        <w:rPr>
          <w:sz w:val="20"/>
        </w:rPr>
        <w:t>Alpine VI</w:t>
      </w:r>
      <w:r w:rsidR="0016153C">
        <w:rPr>
          <w:sz w:val="20"/>
        </w:rPr>
        <w:t xml:space="preserve"> holds</w:t>
      </w:r>
      <w:r w:rsidR="00AB0765">
        <w:rPr>
          <w:sz w:val="20"/>
        </w:rPr>
        <w:t xml:space="preserve"> 88.5% of</w:t>
      </w:r>
      <w:r w:rsidR="0016153C">
        <w:rPr>
          <w:sz w:val="20"/>
        </w:rPr>
        <w:t xml:space="preserve"> the voting and equity interest in</w:t>
      </w:r>
      <w:r w:rsidR="00AB0765">
        <w:rPr>
          <w:sz w:val="20"/>
        </w:rPr>
        <w:t xml:space="preserve"> Evergreen Topco.  </w:t>
      </w:r>
      <w:r w:rsidRPr="00223D92" w:rsidR="000A10A8">
        <w:rPr>
          <w:sz w:val="20"/>
        </w:rPr>
        <w:t>Applicants further state that Investure PE Fund, LP-Ser</w:t>
      </w:r>
      <w:r w:rsidR="00AA45CE">
        <w:rPr>
          <w:sz w:val="20"/>
        </w:rPr>
        <w:t>ies 1</w:t>
      </w:r>
      <w:r w:rsidRPr="00223D92" w:rsidR="000A10A8">
        <w:rPr>
          <w:sz w:val="20"/>
        </w:rPr>
        <w:t xml:space="preserve">, a Delaware limited partnership, will </w:t>
      </w:r>
      <w:r w:rsidRPr="00223D92" w:rsidR="004A6B37">
        <w:rPr>
          <w:sz w:val="20"/>
        </w:rPr>
        <w:t xml:space="preserve">be sole limited partner of Alpine VI, </w:t>
      </w:r>
      <w:r w:rsidRPr="00223D92" w:rsidR="000A10A8">
        <w:rPr>
          <w:sz w:val="20"/>
        </w:rPr>
        <w:t>hold</w:t>
      </w:r>
      <w:r w:rsidRPr="00223D92" w:rsidR="004A6B37">
        <w:rPr>
          <w:sz w:val="20"/>
        </w:rPr>
        <w:t>ing</w:t>
      </w:r>
      <w:r w:rsidRPr="00223D92" w:rsidR="000A10A8">
        <w:rPr>
          <w:sz w:val="20"/>
        </w:rPr>
        <w:t xml:space="preserve"> 18.2% of </w:t>
      </w:r>
      <w:r w:rsidRPr="00223D92" w:rsidR="004A6B37">
        <w:rPr>
          <w:sz w:val="20"/>
        </w:rPr>
        <w:t>its</w:t>
      </w:r>
      <w:r w:rsidRPr="00223D92" w:rsidR="000A10A8">
        <w:rPr>
          <w:sz w:val="20"/>
        </w:rPr>
        <w:t xml:space="preserve"> equity</w:t>
      </w:r>
      <w:r w:rsidR="0016153C">
        <w:rPr>
          <w:sz w:val="20"/>
        </w:rPr>
        <w:t xml:space="preserve"> and no voting interest</w:t>
      </w:r>
      <w:r w:rsidRPr="00223D92" w:rsidR="000A10A8">
        <w:rPr>
          <w:sz w:val="20"/>
        </w:rPr>
        <w:t xml:space="preserve">. </w:t>
      </w:r>
      <w:r w:rsidRPr="00223D92" w:rsidR="004A6B37">
        <w:rPr>
          <w:sz w:val="20"/>
        </w:rPr>
        <w:t xml:space="preserve"> Applicants provide </w:t>
      </w:r>
      <w:r w:rsidRPr="00223D92" w:rsidR="004A6B37">
        <w:rPr>
          <w:sz w:val="20"/>
        </w:rPr>
        <w:t>pre</w:t>
      </w:r>
      <w:r w:rsidRPr="00223D92" w:rsidR="004A6B37">
        <w:rPr>
          <w:sz w:val="20"/>
        </w:rPr>
        <w:t xml:space="preserve"> and post-consummation ownership charts as Exhibit A to their application</w:t>
      </w:r>
      <w:r w:rsidR="00223D92">
        <w:rPr>
          <w:sz w:val="20"/>
        </w:rPr>
        <w:t>.</w:t>
      </w:r>
      <w:r w:rsidRPr="00223D92">
        <w:rPr>
          <w:sz w:val="20"/>
        </w:rPr>
        <w:t xml:space="preserve">  </w:t>
      </w:r>
    </w:p>
  </w:footnote>
  <w:footnote w:id="6">
    <w:p w:rsidR="00E7033D" w:rsidRPr="00223D92" w:rsidP="00223D92">
      <w:pPr>
        <w:pStyle w:val="FootnoteText"/>
        <w:spacing w:after="120"/>
        <w:rPr>
          <w:sz w:val="20"/>
        </w:rPr>
      </w:pPr>
      <w:r w:rsidRPr="00223D92">
        <w:rPr>
          <w:rStyle w:val="FootnoteReference"/>
          <w:sz w:val="20"/>
        </w:rPr>
        <w:footnoteRef/>
      </w:r>
      <w:r w:rsidRPr="00223D92">
        <w:rPr>
          <w:sz w:val="20"/>
        </w:rPr>
        <w:t xml:space="preserve"> </w:t>
      </w:r>
      <w:r w:rsidRPr="00223D92">
        <w:rPr>
          <w:color w:val="020100"/>
          <w:sz w:val="20"/>
        </w:rPr>
        <w:t>47 CFR § 63.03(b)(</w:t>
      </w:r>
      <w:r w:rsidR="000C0390">
        <w:rPr>
          <w:color w:val="020100"/>
          <w:sz w:val="20"/>
        </w:rPr>
        <w:t>1</w:t>
      </w:r>
      <w:r w:rsidRPr="00223D92">
        <w:rPr>
          <w:color w:val="020100"/>
          <w:sz w:val="20"/>
        </w:rPr>
        <w:t>)(</w:t>
      </w:r>
      <w:r w:rsidR="00A910A4">
        <w:rPr>
          <w:color w:val="020100"/>
          <w:sz w:val="20"/>
        </w:rPr>
        <w:t>i</w:t>
      </w:r>
      <w:r w:rsidRPr="00223D92">
        <w:rPr>
          <w:color w:val="020100"/>
          <w:sz w:val="20"/>
        </w:rPr>
        <w:t>).</w:t>
      </w:r>
    </w:p>
  </w:footnote>
  <w:footnote w:id="7">
    <w:p w:rsidR="00E7033D" w:rsidRPr="00223D92">
      <w:pPr>
        <w:pStyle w:val="FootnoteText"/>
        <w:tabs>
          <w:tab w:val="clear" w:pos="720"/>
        </w:tabs>
        <w:spacing w:after="120"/>
        <w:rPr>
          <w:sz w:val="20"/>
        </w:rPr>
      </w:pPr>
      <w:r w:rsidRPr="00223D92">
        <w:rPr>
          <w:rStyle w:val="FootnoteReference"/>
          <w:sz w:val="20"/>
        </w:rPr>
        <w:footnoteRef/>
      </w:r>
      <w:r w:rsidRPr="00223D92">
        <w:rPr>
          <w:sz w:val="20"/>
        </w:rPr>
        <w:t xml:space="preserve"> </w:t>
      </w:r>
      <w:r w:rsidRPr="00223D92">
        <w:rPr>
          <w:i/>
          <w:sz w:val="20"/>
        </w:rPr>
        <w:t>See</w:t>
      </w:r>
      <w:r w:rsidRPr="00223D92">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pPr>
                  <w:rPr>
                    <w:rFonts w:ascii="Arial" w:hAnsi="Arial"/>
                    <w:b/>
                  </w:rPr>
                </w:pPr>
                <w:r>
                  <w:rPr>
                    <w:rFonts w:ascii="Arial" w:hAnsi="Arial"/>
                    <w:b/>
                  </w:rPr>
                  <w:t>Federal Communications Commission</w:t>
                </w:r>
              </w:p>
              <w:p w:rsidR="00E703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7033D">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pPr>
                  <w:spacing w:before="40"/>
                  <w:jc w:val="right"/>
                  <w:rPr>
                    <w:rFonts w:ascii="Arial" w:hAnsi="Arial"/>
                    <w:b/>
                    <w:sz w:val="16"/>
                  </w:rPr>
                </w:pPr>
                <w:r>
                  <w:rPr>
                    <w:rFonts w:ascii="Arial" w:hAnsi="Arial"/>
                    <w:b/>
                    <w:sz w:val="16"/>
                  </w:rPr>
                  <w:t>News Media Information 202 / 418-0500</w:t>
                </w:r>
              </w:p>
              <w:p w:rsidR="00E703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pPr>
                  <w:jc w:val="right"/>
                  <w:rPr>
                    <w:rFonts w:ascii="Arial" w:hAnsi="Arial"/>
                    <w:b/>
                    <w:sz w:val="16"/>
                  </w:rPr>
                </w:pPr>
                <w:r>
                  <w:rPr>
                    <w:rFonts w:ascii="Arial" w:hAnsi="Arial"/>
                    <w:b/>
                    <w:sz w:val="16"/>
                  </w:rPr>
                  <w:t>TTY: 1-888-835-5322</w:t>
                </w:r>
              </w:p>
              <w:p w:rsidR="00E7033D">
                <w:pPr>
                  <w:jc w:val="right"/>
                </w:pPr>
              </w:p>
            </w:txbxContent>
          </v:textbox>
        </v:shape>
      </w:pict>
    </w:r>
  </w:p>
  <w:p w:rsidR="00E7033D">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54C8"/>
    <w:rsid w:val="0001135F"/>
    <w:rsid w:val="00017A3A"/>
    <w:rsid w:val="00032849"/>
    <w:rsid w:val="000534AC"/>
    <w:rsid w:val="00064478"/>
    <w:rsid w:val="000735C8"/>
    <w:rsid w:val="00075933"/>
    <w:rsid w:val="00086508"/>
    <w:rsid w:val="0009136A"/>
    <w:rsid w:val="000A10A8"/>
    <w:rsid w:val="000B4EDD"/>
    <w:rsid w:val="000C0390"/>
    <w:rsid w:val="000F02F7"/>
    <w:rsid w:val="000F644F"/>
    <w:rsid w:val="00100B98"/>
    <w:rsid w:val="0011163D"/>
    <w:rsid w:val="0013405D"/>
    <w:rsid w:val="0015217F"/>
    <w:rsid w:val="0016153C"/>
    <w:rsid w:val="00161A3B"/>
    <w:rsid w:val="001A3813"/>
    <w:rsid w:val="001B31D1"/>
    <w:rsid w:val="001C32EC"/>
    <w:rsid w:val="001D7B74"/>
    <w:rsid w:val="001F6762"/>
    <w:rsid w:val="002044D2"/>
    <w:rsid w:val="00223D92"/>
    <w:rsid w:val="0022449B"/>
    <w:rsid w:val="00253247"/>
    <w:rsid w:val="00262E65"/>
    <w:rsid w:val="00296826"/>
    <w:rsid w:val="002A0150"/>
    <w:rsid w:val="002A1BD5"/>
    <w:rsid w:val="002B1626"/>
    <w:rsid w:val="002B16FA"/>
    <w:rsid w:val="002C203E"/>
    <w:rsid w:val="002C22F3"/>
    <w:rsid w:val="002D5C79"/>
    <w:rsid w:val="002D6F61"/>
    <w:rsid w:val="003253A7"/>
    <w:rsid w:val="00334E74"/>
    <w:rsid w:val="00353CB5"/>
    <w:rsid w:val="00356D1E"/>
    <w:rsid w:val="00365194"/>
    <w:rsid w:val="00366368"/>
    <w:rsid w:val="00383346"/>
    <w:rsid w:val="003875FC"/>
    <w:rsid w:val="00397510"/>
    <w:rsid w:val="003A0786"/>
    <w:rsid w:val="003A18A0"/>
    <w:rsid w:val="003B1487"/>
    <w:rsid w:val="003B2F2D"/>
    <w:rsid w:val="003B5CEE"/>
    <w:rsid w:val="003C0F9F"/>
    <w:rsid w:val="003C7FC2"/>
    <w:rsid w:val="003D05A8"/>
    <w:rsid w:val="003E7A60"/>
    <w:rsid w:val="004077D0"/>
    <w:rsid w:val="00412906"/>
    <w:rsid w:val="00414D1D"/>
    <w:rsid w:val="00420065"/>
    <w:rsid w:val="004331D7"/>
    <w:rsid w:val="00433D8C"/>
    <w:rsid w:val="00434C96"/>
    <w:rsid w:val="004609A4"/>
    <w:rsid w:val="00463815"/>
    <w:rsid w:val="004808FC"/>
    <w:rsid w:val="00482EB0"/>
    <w:rsid w:val="004A6B37"/>
    <w:rsid w:val="004C712F"/>
    <w:rsid w:val="004F3603"/>
    <w:rsid w:val="004F6F64"/>
    <w:rsid w:val="00507600"/>
    <w:rsid w:val="00524FB1"/>
    <w:rsid w:val="00554AD0"/>
    <w:rsid w:val="0056058F"/>
    <w:rsid w:val="0056741C"/>
    <w:rsid w:val="00590F38"/>
    <w:rsid w:val="005932BA"/>
    <w:rsid w:val="005A1306"/>
    <w:rsid w:val="005A64A7"/>
    <w:rsid w:val="005B1D80"/>
    <w:rsid w:val="005C403A"/>
    <w:rsid w:val="005E4000"/>
    <w:rsid w:val="005F1959"/>
    <w:rsid w:val="0060101C"/>
    <w:rsid w:val="0060106A"/>
    <w:rsid w:val="00604A3C"/>
    <w:rsid w:val="00604CFF"/>
    <w:rsid w:val="0061137C"/>
    <w:rsid w:val="00616221"/>
    <w:rsid w:val="006768CC"/>
    <w:rsid w:val="006B5C06"/>
    <w:rsid w:val="006C32C8"/>
    <w:rsid w:val="006C591C"/>
    <w:rsid w:val="006C617B"/>
    <w:rsid w:val="006E3E11"/>
    <w:rsid w:val="006E61ED"/>
    <w:rsid w:val="006E7452"/>
    <w:rsid w:val="00706D49"/>
    <w:rsid w:val="0071041E"/>
    <w:rsid w:val="00724722"/>
    <w:rsid w:val="00730998"/>
    <w:rsid w:val="00733B9B"/>
    <w:rsid w:val="007369C0"/>
    <w:rsid w:val="00753C29"/>
    <w:rsid w:val="00760269"/>
    <w:rsid w:val="00780F55"/>
    <w:rsid w:val="007835EF"/>
    <w:rsid w:val="00791F72"/>
    <w:rsid w:val="007A49A1"/>
    <w:rsid w:val="007C263F"/>
    <w:rsid w:val="007D3843"/>
    <w:rsid w:val="00806DC2"/>
    <w:rsid w:val="00813C6D"/>
    <w:rsid w:val="00836978"/>
    <w:rsid w:val="0083717F"/>
    <w:rsid w:val="0084778A"/>
    <w:rsid w:val="0085579D"/>
    <w:rsid w:val="00863C6C"/>
    <w:rsid w:val="00863E01"/>
    <w:rsid w:val="0086691C"/>
    <w:rsid w:val="008675C7"/>
    <w:rsid w:val="00872421"/>
    <w:rsid w:val="0087554B"/>
    <w:rsid w:val="00877D35"/>
    <w:rsid w:val="008A6FBE"/>
    <w:rsid w:val="008C294A"/>
    <w:rsid w:val="008E27B4"/>
    <w:rsid w:val="008F6981"/>
    <w:rsid w:val="00903154"/>
    <w:rsid w:val="00903DE0"/>
    <w:rsid w:val="009075DA"/>
    <w:rsid w:val="0093646B"/>
    <w:rsid w:val="00946C38"/>
    <w:rsid w:val="00950639"/>
    <w:rsid w:val="0098015F"/>
    <w:rsid w:val="009A0D7F"/>
    <w:rsid w:val="009B0128"/>
    <w:rsid w:val="009B6797"/>
    <w:rsid w:val="009C2D88"/>
    <w:rsid w:val="009C3EC2"/>
    <w:rsid w:val="00A11865"/>
    <w:rsid w:val="00A15248"/>
    <w:rsid w:val="00A25C41"/>
    <w:rsid w:val="00A36CAA"/>
    <w:rsid w:val="00A47815"/>
    <w:rsid w:val="00A54F08"/>
    <w:rsid w:val="00A55591"/>
    <w:rsid w:val="00A55F2F"/>
    <w:rsid w:val="00A910A4"/>
    <w:rsid w:val="00A92C9E"/>
    <w:rsid w:val="00AA45CE"/>
    <w:rsid w:val="00AB0765"/>
    <w:rsid w:val="00AB1965"/>
    <w:rsid w:val="00AC3416"/>
    <w:rsid w:val="00AD0360"/>
    <w:rsid w:val="00AF7474"/>
    <w:rsid w:val="00B00CBF"/>
    <w:rsid w:val="00B02CE4"/>
    <w:rsid w:val="00B11CF3"/>
    <w:rsid w:val="00B16A0D"/>
    <w:rsid w:val="00B32C4C"/>
    <w:rsid w:val="00B33C04"/>
    <w:rsid w:val="00B54E95"/>
    <w:rsid w:val="00B61B3B"/>
    <w:rsid w:val="00B73AED"/>
    <w:rsid w:val="00B908C9"/>
    <w:rsid w:val="00B90DED"/>
    <w:rsid w:val="00BC1262"/>
    <w:rsid w:val="00BC4D97"/>
    <w:rsid w:val="00BC7555"/>
    <w:rsid w:val="00BF0B00"/>
    <w:rsid w:val="00C073A9"/>
    <w:rsid w:val="00C117C2"/>
    <w:rsid w:val="00C31C73"/>
    <w:rsid w:val="00C33839"/>
    <w:rsid w:val="00C431A8"/>
    <w:rsid w:val="00C45767"/>
    <w:rsid w:val="00C5124C"/>
    <w:rsid w:val="00C542DB"/>
    <w:rsid w:val="00C56F64"/>
    <w:rsid w:val="00C612FD"/>
    <w:rsid w:val="00C749BC"/>
    <w:rsid w:val="00C75DF3"/>
    <w:rsid w:val="00C778D2"/>
    <w:rsid w:val="00C92BFD"/>
    <w:rsid w:val="00CA2353"/>
    <w:rsid w:val="00CB08EA"/>
    <w:rsid w:val="00CB26BB"/>
    <w:rsid w:val="00CC27B9"/>
    <w:rsid w:val="00CE03DE"/>
    <w:rsid w:val="00CE19C1"/>
    <w:rsid w:val="00D04DB0"/>
    <w:rsid w:val="00D05FBC"/>
    <w:rsid w:val="00D111DF"/>
    <w:rsid w:val="00D15045"/>
    <w:rsid w:val="00D152C2"/>
    <w:rsid w:val="00D159BB"/>
    <w:rsid w:val="00D21E64"/>
    <w:rsid w:val="00D252B2"/>
    <w:rsid w:val="00D30B66"/>
    <w:rsid w:val="00D46333"/>
    <w:rsid w:val="00D86211"/>
    <w:rsid w:val="00DB59FD"/>
    <w:rsid w:val="00DD0968"/>
    <w:rsid w:val="00DF1AD9"/>
    <w:rsid w:val="00DF39AC"/>
    <w:rsid w:val="00E54722"/>
    <w:rsid w:val="00E55A96"/>
    <w:rsid w:val="00E650C6"/>
    <w:rsid w:val="00E7033D"/>
    <w:rsid w:val="00E731A8"/>
    <w:rsid w:val="00E90A56"/>
    <w:rsid w:val="00EB2E3F"/>
    <w:rsid w:val="00EB77DA"/>
    <w:rsid w:val="00EC0FDA"/>
    <w:rsid w:val="00ED40B2"/>
    <w:rsid w:val="00EE090B"/>
    <w:rsid w:val="00EE37C8"/>
    <w:rsid w:val="00EF3A78"/>
    <w:rsid w:val="00F05755"/>
    <w:rsid w:val="00F2063D"/>
    <w:rsid w:val="00F25C6B"/>
    <w:rsid w:val="00F26BD4"/>
    <w:rsid w:val="00F3092F"/>
    <w:rsid w:val="00F31B0C"/>
    <w:rsid w:val="00F46520"/>
    <w:rsid w:val="00F82AD3"/>
    <w:rsid w:val="00FA546C"/>
    <w:rsid w:val="00FB729A"/>
    <w:rsid w:val="00FC3E30"/>
    <w:rsid w:val="00FF034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B9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sumita.mukhoty@fcc.gov" TargetMode="External" /><Relationship Id="rId12" Type="http://schemas.openxmlformats.org/officeDocument/2006/relationships/hyperlink" Target="mailto:jim.bird@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