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A7569F">
        <w:rPr>
          <w:szCs w:val="22"/>
        </w:rPr>
        <w:t xml:space="preserve">  </w:t>
      </w:r>
    </w:p>
    <w:p w:rsidR="00E7033D">
      <w:pPr>
        <w:jc w:val="right"/>
        <w:rPr>
          <w:b/>
          <w:szCs w:val="22"/>
        </w:rPr>
      </w:pPr>
      <w:bookmarkStart w:id="1" w:name="_Hlk26280526"/>
      <w:bookmarkStart w:id="2" w:name="_GoBack"/>
      <w:r>
        <w:rPr>
          <w:b/>
          <w:szCs w:val="22"/>
        </w:rPr>
        <w:t>DA 20-</w:t>
      </w:r>
      <w:r w:rsidR="002300F4">
        <w:rPr>
          <w:b/>
          <w:szCs w:val="22"/>
        </w:rPr>
        <w:t>1170</w:t>
      </w:r>
    </w:p>
    <w:p w:rsidR="00E7033D">
      <w:pPr>
        <w:spacing w:before="60"/>
        <w:jc w:val="right"/>
        <w:rPr>
          <w:b/>
          <w:szCs w:val="22"/>
        </w:rPr>
      </w:pPr>
      <w:r>
        <w:rPr>
          <w:b/>
          <w:szCs w:val="22"/>
        </w:rPr>
        <w:t>October 6</w:t>
      </w:r>
      <w:r w:rsidR="008C294A">
        <w:rPr>
          <w:b/>
          <w:szCs w:val="22"/>
        </w:rPr>
        <w:t>, 2020</w:t>
      </w:r>
    </w:p>
    <w:p w:rsidR="00E7033D">
      <w:pPr>
        <w:tabs>
          <w:tab w:val="left" w:pos="5900"/>
        </w:tabs>
        <w:rPr>
          <w:szCs w:val="22"/>
        </w:rPr>
      </w:pPr>
      <w:r>
        <w:rPr>
          <w:szCs w:val="22"/>
        </w:rPr>
        <w:tab/>
      </w:r>
    </w:p>
    <w:p w:rsidR="00E047E7" w:rsidP="002B652B">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CONTROL OF</w:t>
      </w:r>
      <w:r w:rsidR="003332C3">
        <w:rPr>
          <w:b/>
          <w:bCs/>
          <w:szCs w:val="22"/>
        </w:rPr>
        <w:t xml:space="preserve"> </w:t>
      </w:r>
      <w:r w:rsidR="002B652B">
        <w:rPr>
          <w:b/>
          <w:bCs/>
          <w:szCs w:val="22"/>
        </w:rPr>
        <w:t>ITS FIBER, LLC AND IT</w:t>
      </w:r>
      <w:r>
        <w:rPr>
          <w:b/>
          <w:bCs/>
          <w:szCs w:val="22"/>
        </w:rPr>
        <w:t xml:space="preserve">S </w:t>
      </w:r>
      <w:r w:rsidR="002B652B">
        <w:rPr>
          <w:b/>
          <w:bCs/>
          <w:szCs w:val="22"/>
        </w:rPr>
        <w:t xml:space="preserve">TELECOMMUNICATIONS SYSTEMS, INC. </w:t>
      </w:r>
    </w:p>
    <w:p w:rsidR="00E7033D" w:rsidP="00E047E7">
      <w:pPr>
        <w:jc w:val="center"/>
        <w:rPr>
          <w:b/>
          <w:bCs/>
          <w:szCs w:val="22"/>
        </w:rPr>
      </w:pPr>
      <w:r>
        <w:rPr>
          <w:b/>
          <w:bCs/>
          <w:szCs w:val="22"/>
        </w:rPr>
        <w:t xml:space="preserve">TO BLUE STREAM COMMUNICATIONS LLC </w:t>
      </w:r>
      <w:bookmarkEnd w:id="3"/>
      <w:bookmarkEnd w:id="4"/>
      <w:bookmarkEnd w:id="5"/>
    </w:p>
    <w:p w:rsidR="002B652B" w:rsidP="002B652B">
      <w:pPr>
        <w:jc w:val="center"/>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EE37C8">
        <w:rPr>
          <w:b/>
          <w:szCs w:val="22"/>
        </w:rPr>
        <w:t>2</w:t>
      </w:r>
      <w:r w:rsidR="005D0AC3">
        <w:rPr>
          <w:b/>
          <w:szCs w:val="22"/>
        </w:rPr>
        <w:t>56</w:t>
      </w:r>
    </w:p>
    <w:p w:rsidR="00E7033D">
      <w:pPr>
        <w:jc w:val="center"/>
        <w:rPr>
          <w:szCs w:val="22"/>
        </w:rPr>
      </w:pPr>
    </w:p>
    <w:p w:rsidR="00E7033D">
      <w:pPr>
        <w:pStyle w:val="NoSpacing"/>
        <w:rPr>
          <w:b/>
          <w:szCs w:val="22"/>
        </w:rPr>
      </w:pPr>
      <w:r>
        <w:rPr>
          <w:b/>
          <w:szCs w:val="22"/>
        </w:rPr>
        <w:t xml:space="preserve">Comments Due:  </w:t>
      </w:r>
      <w:r w:rsidR="005F6FE1">
        <w:rPr>
          <w:b/>
          <w:szCs w:val="22"/>
        </w:rPr>
        <w:t>October</w:t>
      </w:r>
      <w:r w:rsidR="005D0AC3">
        <w:rPr>
          <w:b/>
          <w:szCs w:val="22"/>
        </w:rPr>
        <w:t xml:space="preserve"> </w:t>
      </w:r>
      <w:r w:rsidR="00FE4E02">
        <w:rPr>
          <w:b/>
          <w:szCs w:val="22"/>
        </w:rPr>
        <w:t>20</w:t>
      </w:r>
      <w:r>
        <w:rPr>
          <w:b/>
          <w:szCs w:val="22"/>
        </w:rPr>
        <w:t>, 2020</w:t>
      </w:r>
    </w:p>
    <w:p w:rsidR="00E7033D">
      <w:pPr>
        <w:pStyle w:val="NoSpacing"/>
        <w:rPr>
          <w:b/>
          <w:szCs w:val="22"/>
        </w:rPr>
      </w:pPr>
      <w:r>
        <w:rPr>
          <w:b/>
          <w:szCs w:val="22"/>
        </w:rPr>
        <w:t xml:space="preserve">Reply Comments Due:  </w:t>
      </w:r>
      <w:r w:rsidR="006D6EAB">
        <w:rPr>
          <w:b/>
          <w:szCs w:val="22"/>
        </w:rPr>
        <w:t>October</w:t>
      </w:r>
      <w:r w:rsidR="004F6F64">
        <w:rPr>
          <w:b/>
          <w:szCs w:val="22"/>
        </w:rPr>
        <w:t xml:space="preserve"> </w:t>
      </w:r>
      <w:r w:rsidR="00FE4E02">
        <w:rPr>
          <w:b/>
          <w:szCs w:val="22"/>
        </w:rPr>
        <w:t>27</w:t>
      </w:r>
      <w:r>
        <w:rPr>
          <w:b/>
          <w:szCs w:val="22"/>
        </w:rPr>
        <w:t>, 2020</w:t>
      </w:r>
    </w:p>
    <w:bookmarkEnd w:id="1"/>
    <w:bookmarkEnd w:id="2"/>
    <w:p w:rsidR="00760269" w:rsidRPr="00A92C9E" w:rsidP="00A92C9E">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3C32FF" w:rsidRPr="00FC6B36" w:rsidP="00763EE6">
      <w:pPr>
        <w:autoSpaceDE w:val="0"/>
        <w:autoSpaceDN w:val="0"/>
        <w:adjustRightInd w:val="0"/>
        <w:spacing w:after="120"/>
        <w:ind w:firstLine="720"/>
        <w:rPr>
          <w:szCs w:val="22"/>
        </w:rPr>
      </w:pPr>
      <w:r w:rsidRPr="00FC6B36">
        <w:rPr>
          <w:szCs w:val="22"/>
        </w:rPr>
        <w:t>By this Public Notice, the Wireline Competition Bureau seeks comment from interested parties on an application filed by</w:t>
      </w:r>
      <w:r w:rsidRPr="00FC6B36" w:rsidR="00760269">
        <w:rPr>
          <w:szCs w:val="22"/>
        </w:rPr>
        <w:t xml:space="preserve"> </w:t>
      </w:r>
      <w:r w:rsidRPr="00FC6B36" w:rsidR="0068572D">
        <w:rPr>
          <w:szCs w:val="22"/>
        </w:rPr>
        <w:t>Postco, Inc. (</w:t>
      </w:r>
      <w:r w:rsidR="003332C3">
        <w:rPr>
          <w:szCs w:val="22"/>
        </w:rPr>
        <w:t>Postco)</w:t>
      </w:r>
      <w:r w:rsidRPr="00FC6B36" w:rsidR="0068572D">
        <w:rPr>
          <w:szCs w:val="22"/>
        </w:rPr>
        <w:t>, ITS Fiber, LLC (ITS Fiber), ITS Telecommunications Systems, Inc. (ITS Telecommunications</w:t>
      </w:r>
      <w:r w:rsidR="003332C3">
        <w:rPr>
          <w:szCs w:val="22"/>
        </w:rPr>
        <w:t>,</w:t>
      </w:r>
      <w:r w:rsidRPr="00FC6B36" w:rsidR="0068572D">
        <w:rPr>
          <w:szCs w:val="22"/>
        </w:rPr>
        <w:t xml:space="preserve"> and together with ITS Fiber, </w:t>
      </w:r>
      <w:r w:rsidR="003332C3">
        <w:rPr>
          <w:szCs w:val="22"/>
        </w:rPr>
        <w:t xml:space="preserve">the </w:t>
      </w:r>
      <w:r w:rsidRPr="00FC6B36" w:rsidR="0068572D">
        <w:rPr>
          <w:szCs w:val="22"/>
        </w:rPr>
        <w:t>Licensees)</w:t>
      </w:r>
      <w:r w:rsidR="003332C3">
        <w:rPr>
          <w:szCs w:val="22"/>
        </w:rPr>
        <w:t>,</w:t>
      </w:r>
      <w:r w:rsidRPr="00FC6B36" w:rsidR="0068572D">
        <w:rPr>
          <w:szCs w:val="22"/>
        </w:rPr>
        <w:t xml:space="preserve"> and Blue Stream Communications LLC (</w:t>
      </w:r>
      <w:r w:rsidR="003332C3">
        <w:rPr>
          <w:szCs w:val="22"/>
        </w:rPr>
        <w:t>Blue Stream</w:t>
      </w:r>
      <w:r w:rsidRPr="00FC6B36" w:rsidR="0068572D">
        <w:rPr>
          <w:szCs w:val="22"/>
        </w:rPr>
        <w:t xml:space="preserve">) </w:t>
      </w:r>
      <w:r w:rsidRPr="00FC6B36" w:rsidR="00EE37C8">
        <w:rPr>
          <w:szCs w:val="22"/>
        </w:rPr>
        <w:t xml:space="preserve">(collectively, Applicants), </w:t>
      </w:r>
      <w:r w:rsidRPr="00FC6B36">
        <w:rPr>
          <w:szCs w:val="22"/>
        </w:rPr>
        <w:t xml:space="preserve">pursuant to section 214 of the Communications Act of 1934, as amended, and sections 63.03-04 of the Commission’s rules, requesting consent to transfer control of </w:t>
      </w:r>
      <w:r w:rsidR="001F4749">
        <w:rPr>
          <w:szCs w:val="22"/>
        </w:rPr>
        <w:t xml:space="preserve">the </w:t>
      </w:r>
      <w:r w:rsidRPr="00FC6B36" w:rsidR="0068572D">
        <w:rPr>
          <w:szCs w:val="22"/>
        </w:rPr>
        <w:t>Licensees</w:t>
      </w:r>
      <w:r w:rsidR="003332C3">
        <w:rPr>
          <w:szCs w:val="22"/>
        </w:rPr>
        <w:t xml:space="preserve"> to Blue Stream</w:t>
      </w:r>
      <w:r w:rsidRPr="00FC6B36" w:rsidR="0068572D">
        <w:rPr>
          <w:szCs w:val="22"/>
        </w:rPr>
        <w:t>.</w:t>
      </w:r>
      <w:r>
        <w:rPr>
          <w:rStyle w:val="FootnoteReference"/>
          <w:szCs w:val="22"/>
        </w:rPr>
        <w:footnoteReference w:id="3"/>
      </w:r>
      <w:r w:rsidRPr="00FC6B36" w:rsidR="0068572D">
        <w:rPr>
          <w:szCs w:val="22"/>
        </w:rPr>
        <w:t xml:space="preserve"> </w:t>
      </w:r>
    </w:p>
    <w:p w:rsidR="003C32FF" w:rsidRPr="00FC6B36" w:rsidP="00763EE6">
      <w:pPr>
        <w:autoSpaceDE w:val="0"/>
        <w:autoSpaceDN w:val="0"/>
        <w:adjustRightInd w:val="0"/>
        <w:spacing w:after="120"/>
        <w:ind w:firstLine="720"/>
        <w:rPr>
          <w:szCs w:val="22"/>
        </w:rPr>
      </w:pPr>
      <w:r>
        <w:rPr>
          <w:szCs w:val="22"/>
        </w:rPr>
        <w:t xml:space="preserve">Postco, </w:t>
      </w:r>
      <w:r w:rsidRPr="00FC6B36">
        <w:rPr>
          <w:szCs w:val="22"/>
        </w:rPr>
        <w:t>a Florida corporation</w:t>
      </w:r>
      <w:r>
        <w:rPr>
          <w:szCs w:val="22"/>
        </w:rPr>
        <w:t xml:space="preserve">, </w:t>
      </w:r>
      <w:r w:rsidR="00E362F4">
        <w:rPr>
          <w:szCs w:val="22"/>
        </w:rPr>
        <w:t xml:space="preserve">is a holding company that does not provide telecommunications services itself but wholly owns </w:t>
      </w:r>
      <w:r w:rsidR="002E21BD">
        <w:rPr>
          <w:szCs w:val="22"/>
        </w:rPr>
        <w:t>the Licensees</w:t>
      </w:r>
      <w:r w:rsidR="00E362F4">
        <w:rPr>
          <w:szCs w:val="22"/>
        </w:rPr>
        <w:t>, both</w:t>
      </w:r>
      <w:r w:rsidR="00900AB5">
        <w:rPr>
          <w:szCs w:val="22"/>
        </w:rPr>
        <w:t xml:space="preserve"> </w:t>
      </w:r>
      <w:r w:rsidR="00E362F4">
        <w:rPr>
          <w:szCs w:val="22"/>
        </w:rPr>
        <w:t xml:space="preserve">Florida </w:t>
      </w:r>
      <w:r w:rsidR="007510A0">
        <w:rPr>
          <w:szCs w:val="22"/>
        </w:rPr>
        <w:t>entities</w:t>
      </w:r>
      <w:r w:rsidRPr="00FC6B36" w:rsidR="00FC6B36">
        <w:rPr>
          <w:szCs w:val="22"/>
        </w:rPr>
        <w:t>.  ITS Telecommunications</w:t>
      </w:r>
      <w:r w:rsidR="001F4749">
        <w:rPr>
          <w:szCs w:val="22"/>
        </w:rPr>
        <w:t xml:space="preserve"> </w:t>
      </w:r>
      <w:r w:rsidR="002E21BD">
        <w:rPr>
          <w:szCs w:val="22"/>
        </w:rPr>
        <w:t>provides service as</w:t>
      </w:r>
      <w:r w:rsidRPr="00FC6B36" w:rsidR="00FC6B36">
        <w:rPr>
          <w:szCs w:val="22"/>
        </w:rPr>
        <w:t xml:space="preserve"> an incumbent local exchange carrier</w:t>
      </w:r>
      <w:r>
        <w:rPr>
          <w:szCs w:val="22"/>
        </w:rPr>
        <w:t xml:space="preserve"> (LEC) </w:t>
      </w:r>
      <w:r w:rsidR="002E21BD">
        <w:rPr>
          <w:szCs w:val="22"/>
        </w:rPr>
        <w:t>to</w:t>
      </w:r>
      <w:r>
        <w:rPr>
          <w:szCs w:val="22"/>
        </w:rPr>
        <w:t xml:space="preserve"> approximately 1,623 access lines </w:t>
      </w:r>
      <w:r w:rsidRPr="00FC6B36" w:rsidR="00FC6B36">
        <w:rPr>
          <w:szCs w:val="22"/>
        </w:rPr>
        <w:t>in and around the Village of Indiantown in Martin County in southeastern Florida</w:t>
      </w:r>
      <w:r>
        <w:rPr>
          <w:szCs w:val="22"/>
        </w:rPr>
        <w:t xml:space="preserve"> </w:t>
      </w:r>
      <w:r>
        <w:rPr>
          <w:szCs w:val="22"/>
        </w:rPr>
        <w:t>and also</w:t>
      </w:r>
      <w:r w:rsidRPr="003332C3">
        <w:rPr>
          <w:szCs w:val="22"/>
        </w:rPr>
        <w:t xml:space="preserve"> offers long distance </w:t>
      </w:r>
      <w:r w:rsidR="00E362F4">
        <w:rPr>
          <w:szCs w:val="22"/>
        </w:rPr>
        <w:t xml:space="preserve">services </w:t>
      </w:r>
      <w:r>
        <w:rPr>
          <w:szCs w:val="22"/>
        </w:rPr>
        <w:t>to its customers.</w:t>
      </w:r>
      <w:r w:rsidR="002E21BD">
        <w:rPr>
          <w:szCs w:val="22"/>
        </w:rPr>
        <w:t xml:space="preserve">  </w:t>
      </w:r>
      <w:r>
        <w:rPr>
          <w:szCs w:val="22"/>
        </w:rPr>
        <w:t>I</w:t>
      </w:r>
      <w:r w:rsidR="005250E2">
        <w:rPr>
          <w:szCs w:val="22"/>
        </w:rPr>
        <w:t>TS Fiber</w:t>
      </w:r>
      <w:r w:rsidR="002E21BD">
        <w:rPr>
          <w:szCs w:val="22"/>
        </w:rPr>
        <w:t xml:space="preserve"> serves as a competitive LEC that </w:t>
      </w:r>
      <w:r>
        <w:rPr>
          <w:szCs w:val="22"/>
        </w:rPr>
        <w:t xml:space="preserve">offers telecommunications services </w:t>
      </w:r>
      <w:r w:rsidRPr="005C7C98">
        <w:rPr>
          <w:szCs w:val="22"/>
        </w:rPr>
        <w:t>primarily in Martin County, Florida</w:t>
      </w:r>
      <w:r w:rsidR="002E21BD">
        <w:rPr>
          <w:szCs w:val="22"/>
        </w:rPr>
        <w:t xml:space="preserve"> and outside the incumbent LEC territory</w:t>
      </w:r>
      <w:r w:rsidRPr="002E21BD" w:rsidR="002E21BD">
        <w:rPr>
          <w:szCs w:val="22"/>
        </w:rPr>
        <w:t xml:space="preserve"> </w:t>
      </w:r>
      <w:r w:rsidR="002E21BD">
        <w:rPr>
          <w:szCs w:val="22"/>
        </w:rPr>
        <w:t>of ITS Telecommunications</w:t>
      </w:r>
      <w:r w:rsidRPr="005C7C98">
        <w:rPr>
          <w:szCs w:val="22"/>
        </w:rPr>
        <w:t xml:space="preserve">.  </w:t>
      </w:r>
    </w:p>
    <w:p w:rsidR="00733B9B" w:rsidP="00763EE6">
      <w:pPr>
        <w:autoSpaceDE w:val="0"/>
        <w:autoSpaceDN w:val="0"/>
        <w:adjustRightInd w:val="0"/>
        <w:spacing w:after="120"/>
        <w:ind w:firstLine="720"/>
        <w:rPr>
          <w:szCs w:val="22"/>
        </w:rPr>
      </w:pPr>
      <w:r>
        <w:rPr>
          <w:szCs w:val="22"/>
        </w:rPr>
        <w:t xml:space="preserve">Blue Stream, </w:t>
      </w:r>
      <w:r w:rsidRPr="00FC6B36" w:rsidR="003C32FF">
        <w:rPr>
          <w:szCs w:val="22"/>
        </w:rPr>
        <w:t>a Delaware limited liability company</w:t>
      </w:r>
      <w:r>
        <w:rPr>
          <w:szCs w:val="22"/>
        </w:rPr>
        <w:t>,</w:t>
      </w:r>
      <w:r w:rsidR="004E3B46">
        <w:rPr>
          <w:szCs w:val="22"/>
        </w:rPr>
        <w:t xml:space="preserve"> provides </w:t>
      </w:r>
      <w:r w:rsidR="00E047E7">
        <w:rPr>
          <w:szCs w:val="22"/>
        </w:rPr>
        <w:t xml:space="preserve">competitive </w:t>
      </w:r>
      <w:r w:rsidR="004E3B46">
        <w:rPr>
          <w:szCs w:val="22"/>
        </w:rPr>
        <w:t xml:space="preserve">communications, </w:t>
      </w:r>
      <w:r w:rsidRPr="005C7C98" w:rsidR="004E3B46">
        <w:rPr>
          <w:szCs w:val="22"/>
        </w:rPr>
        <w:t>cable</w:t>
      </w:r>
      <w:r w:rsidR="00E047E7">
        <w:rPr>
          <w:szCs w:val="22"/>
        </w:rPr>
        <w:t>,</w:t>
      </w:r>
      <w:r w:rsidR="004E3B46">
        <w:rPr>
          <w:szCs w:val="22"/>
        </w:rPr>
        <w:t xml:space="preserve"> </w:t>
      </w:r>
      <w:r w:rsidR="002E22A7">
        <w:rPr>
          <w:szCs w:val="22"/>
        </w:rPr>
        <w:t xml:space="preserve">and other services </w:t>
      </w:r>
      <w:r w:rsidR="004E3B46">
        <w:rPr>
          <w:szCs w:val="22"/>
        </w:rPr>
        <w:t xml:space="preserve">in south Florida.  </w:t>
      </w:r>
      <w:r>
        <w:rPr>
          <w:szCs w:val="22"/>
        </w:rPr>
        <w:t xml:space="preserve">Blue Stream </w:t>
      </w:r>
      <w:r w:rsidR="004E3B46">
        <w:rPr>
          <w:szCs w:val="22"/>
        </w:rPr>
        <w:t>is a direct, wholly</w:t>
      </w:r>
      <w:r>
        <w:rPr>
          <w:szCs w:val="22"/>
        </w:rPr>
        <w:t xml:space="preserve"> </w:t>
      </w:r>
      <w:r w:rsidR="004E3B46">
        <w:rPr>
          <w:szCs w:val="22"/>
        </w:rPr>
        <w:t xml:space="preserve">owned subsidiary of </w:t>
      </w:r>
      <w:r w:rsidRPr="00900AB5" w:rsidR="004E3B46">
        <w:rPr>
          <w:szCs w:val="22"/>
        </w:rPr>
        <w:t>TPC ACC Acquisition, LLC</w:t>
      </w:r>
      <w:r w:rsidRPr="00900AB5" w:rsidR="00F963B2">
        <w:rPr>
          <w:szCs w:val="22"/>
        </w:rPr>
        <w:t xml:space="preserve"> (TPC ACC)</w:t>
      </w:r>
      <w:r w:rsidRPr="00900AB5" w:rsidR="004E3B46">
        <w:rPr>
          <w:szCs w:val="22"/>
        </w:rPr>
        <w:t xml:space="preserve"> and an indirect, wholly owned subsidiary </w:t>
      </w:r>
      <w:r w:rsidRPr="00900AB5" w:rsidR="00F963B2">
        <w:rPr>
          <w:szCs w:val="22"/>
        </w:rPr>
        <w:t xml:space="preserve">of </w:t>
      </w:r>
      <w:r w:rsidR="007510A0">
        <w:rPr>
          <w:szCs w:val="22"/>
        </w:rPr>
        <w:t>TPC Broadband Holdings LLC (Holdings)</w:t>
      </w:r>
      <w:r w:rsidR="00E047E7">
        <w:rPr>
          <w:szCs w:val="22"/>
        </w:rPr>
        <w:t>,</w:t>
      </w:r>
      <w:r w:rsidR="007510A0">
        <w:rPr>
          <w:szCs w:val="22"/>
        </w:rPr>
        <w:t xml:space="preserve"> which, in turn, is an indirect wholly owned subsidiary of </w:t>
      </w:r>
      <w:r w:rsidRPr="00900AB5" w:rsidR="00F963B2">
        <w:rPr>
          <w:szCs w:val="22"/>
        </w:rPr>
        <w:t>GI DI Zebra Holdings LP (Zebra Holdings)</w:t>
      </w:r>
      <w:r w:rsidRPr="00900AB5" w:rsidR="00017494">
        <w:rPr>
          <w:szCs w:val="22"/>
        </w:rPr>
        <w:t xml:space="preserve">, </w:t>
      </w:r>
      <w:r w:rsidR="007510A0">
        <w:rPr>
          <w:szCs w:val="22"/>
        </w:rPr>
        <w:t>all of which are</w:t>
      </w:r>
      <w:r w:rsidRPr="00900AB5" w:rsidR="00F963B2">
        <w:rPr>
          <w:szCs w:val="22"/>
        </w:rPr>
        <w:t xml:space="preserve"> Delaware limited liability compan</w:t>
      </w:r>
      <w:r w:rsidRPr="00900AB5" w:rsidR="00900AB5">
        <w:rPr>
          <w:szCs w:val="22"/>
        </w:rPr>
        <w:t>ies</w:t>
      </w:r>
      <w:r w:rsidRPr="00900AB5" w:rsidR="00F963B2">
        <w:rPr>
          <w:szCs w:val="22"/>
        </w:rPr>
        <w:t>.</w:t>
      </w:r>
      <w:r>
        <w:rPr>
          <w:rStyle w:val="FootnoteReference"/>
          <w:szCs w:val="22"/>
        </w:rPr>
        <w:footnoteReference w:id="4"/>
      </w:r>
      <w:r w:rsidRPr="00900AB5" w:rsidR="00F963B2">
        <w:rPr>
          <w:szCs w:val="22"/>
        </w:rPr>
        <w:t xml:space="preserve">  Zebra </w:t>
      </w:r>
      <w:r w:rsidRPr="00900AB5" w:rsidR="00F963B2">
        <w:rPr>
          <w:szCs w:val="22"/>
        </w:rPr>
        <w:t xml:space="preserve">Holdings </w:t>
      </w:r>
      <w:r w:rsidRPr="00900AB5" w:rsidR="004E3B46">
        <w:rPr>
          <w:szCs w:val="22"/>
        </w:rPr>
        <w:t xml:space="preserve">is </w:t>
      </w:r>
      <w:r w:rsidR="00AA2393">
        <w:rPr>
          <w:szCs w:val="22"/>
        </w:rPr>
        <w:t xml:space="preserve">indirectly held and </w:t>
      </w:r>
      <w:r w:rsidR="00017494">
        <w:rPr>
          <w:szCs w:val="22"/>
        </w:rPr>
        <w:t>ultimately managed by GI Manager LLC</w:t>
      </w:r>
      <w:r w:rsidR="00900AB5">
        <w:rPr>
          <w:szCs w:val="22"/>
        </w:rPr>
        <w:t xml:space="preserve"> (GI Manager)</w:t>
      </w:r>
      <w:r w:rsidR="00017494">
        <w:rPr>
          <w:szCs w:val="22"/>
        </w:rPr>
        <w:t xml:space="preserve">, </w:t>
      </w:r>
      <w:r w:rsidR="00AA2393">
        <w:rPr>
          <w:szCs w:val="22"/>
        </w:rPr>
        <w:t xml:space="preserve">a </w:t>
      </w:r>
      <w:r w:rsidR="00017494">
        <w:rPr>
          <w:szCs w:val="22"/>
        </w:rPr>
        <w:t>Delaware entit</w:t>
      </w:r>
      <w:r w:rsidR="00AA2393">
        <w:rPr>
          <w:szCs w:val="22"/>
        </w:rPr>
        <w:t>y</w:t>
      </w:r>
      <w:r w:rsidR="00017494">
        <w:rPr>
          <w:szCs w:val="22"/>
        </w:rPr>
        <w:t xml:space="preserve">.  </w:t>
      </w:r>
      <w:r w:rsidRPr="00017494" w:rsidR="00017494">
        <w:rPr>
          <w:szCs w:val="22"/>
        </w:rPr>
        <w:t xml:space="preserve">GI Manager LLC is controlled by Rick Magnuson, a U.S. citizen, as </w:t>
      </w:r>
      <w:r w:rsidRPr="005C7C98" w:rsidR="00017494">
        <w:rPr>
          <w:szCs w:val="22"/>
        </w:rPr>
        <w:t>Trustee of the Magnuson Living Trust, a California trust that is the Managing Member of GI Manager</w:t>
      </w:r>
      <w:r w:rsidRPr="00017494" w:rsidR="00017494">
        <w:rPr>
          <w:szCs w:val="22"/>
        </w:rPr>
        <w:t>.</w:t>
      </w:r>
      <w:r>
        <w:rPr>
          <w:rStyle w:val="FootnoteReference"/>
          <w:szCs w:val="22"/>
        </w:rPr>
        <w:footnoteReference w:id="5"/>
      </w:r>
      <w:r w:rsidRPr="00017494" w:rsidR="00017494">
        <w:rPr>
          <w:szCs w:val="22"/>
        </w:rPr>
        <w:t xml:space="preserve"> </w:t>
      </w:r>
    </w:p>
    <w:p w:rsidR="000D1DD9" w:rsidRPr="00900AB5" w:rsidP="00763EE6">
      <w:pPr>
        <w:autoSpaceDE w:val="0"/>
        <w:autoSpaceDN w:val="0"/>
        <w:adjustRightInd w:val="0"/>
        <w:spacing w:after="120"/>
        <w:ind w:firstLine="720"/>
        <w:rPr>
          <w:bCs/>
          <w:szCs w:val="22"/>
        </w:rPr>
      </w:pPr>
      <w:r w:rsidRPr="00604CFF">
        <w:rPr>
          <w:szCs w:val="22"/>
        </w:rPr>
        <w:t xml:space="preserve">Pursuant to the terms of </w:t>
      </w:r>
      <w:r w:rsidR="00F05755">
        <w:rPr>
          <w:szCs w:val="22"/>
        </w:rPr>
        <w:t>the</w:t>
      </w:r>
      <w:r w:rsidRPr="00604CFF" w:rsidR="00E55A96">
        <w:rPr>
          <w:szCs w:val="22"/>
        </w:rPr>
        <w:t xml:space="preserve"> </w:t>
      </w:r>
      <w:r w:rsidR="00733B9B">
        <w:rPr>
          <w:szCs w:val="22"/>
        </w:rPr>
        <w:t>proposed transaction</w:t>
      </w:r>
      <w:r w:rsidRPr="00604CFF">
        <w:rPr>
          <w:szCs w:val="22"/>
        </w:rPr>
        <w:t>,</w:t>
      </w:r>
      <w:r w:rsidR="00733B9B">
        <w:rPr>
          <w:szCs w:val="22"/>
        </w:rPr>
        <w:t xml:space="preserve"> </w:t>
      </w:r>
      <w:r w:rsidR="00017494">
        <w:rPr>
          <w:szCs w:val="22"/>
        </w:rPr>
        <w:t xml:space="preserve">Blue Stream </w:t>
      </w:r>
      <w:r w:rsidR="002B652B">
        <w:rPr>
          <w:szCs w:val="22"/>
        </w:rPr>
        <w:t xml:space="preserve">will acquire </w:t>
      </w:r>
      <w:r w:rsidR="002B652B">
        <w:rPr>
          <w:szCs w:val="22"/>
        </w:rPr>
        <w:t>all of</w:t>
      </w:r>
      <w:r w:rsidR="002B652B">
        <w:rPr>
          <w:szCs w:val="22"/>
        </w:rPr>
        <w:t xml:space="preserve"> the outstanding equity interests of Licensees</w:t>
      </w:r>
      <w:r w:rsidR="00E047E7">
        <w:rPr>
          <w:szCs w:val="22"/>
        </w:rPr>
        <w:t>,</w:t>
      </w:r>
      <w:r w:rsidR="00017494">
        <w:rPr>
          <w:szCs w:val="22"/>
        </w:rPr>
        <w:t xml:space="preserve"> which </w:t>
      </w:r>
      <w:r w:rsidR="002B652B">
        <w:rPr>
          <w:szCs w:val="22"/>
        </w:rPr>
        <w:t>will become direct subsidiar</w:t>
      </w:r>
      <w:r w:rsidR="00017494">
        <w:rPr>
          <w:szCs w:val="22"/>
        </w:rPr>
        <w:t>ies</w:t>
      </w:r>
      <w:r w:rsidR="002B652B">
        <w:rPr>
          <w:szCs w:val="22"/>
        </w:rPr>
        <w:t xml:space="preserve"> of</w:t>
      </w:r>
      <w:r w:rsidR="00017494">
        <w:rPr>
          <w:szCs w:val="22"/>
        </w:rPr>
        <w:t xml:space="preserve"> Blue Stream</w:t>
      </w:r>
      <w:r w:rsidR="002B652B">
        <w:rPr>
          <w:szCs w:val="22"/>
        </w:rPr>
        <w:t xml:space="preserve">. </w:t>
      </w:r>
      <w:r w:rsidRPr="00900AB5" w:rsidR="00900AB5">
        <w:rPr>
          <w:szCs w:val="22"/>
        </w:rPr>
        <w:t xml:space="preserve">Applicants state that there are no overlapping or adjacent </w:t>
      </w:r>
      <w:r w:rsidRPr="005C7C98" w:rsidR="00900AB5">
        <w:rPr>
          <w:szCs w:val="22"/>
        </w:rPr>
        <w:t>local exchange</w:t>
      </w:r>
      <w:r w:rsidR="00900AB5">
        <w:rPr>
          <w:szCs w:val="22"/>
        </w:rPr>
        <w:t xml:space="preserve"> </w:t>
      </w:r>
      <w:r w:rsidRPr="00900AB5" w:rsidR="00900AB5">
        <w:rPr>
          <w:szCs w:val="22"/>
        </w:rPr>
        <w:t>service territories between the Licensees and Blue Stream, or any of its affiliates.</w:t>
      </w:r>
      <w:r w:rsidR="00900AB5">
        <w:rPr>
          <w:szCs w:val="22"/>
        </w:rPr>
        <w:t xml:space="preserve">  </w:t>
      </w:r>
      <w:r>
        <w:rPr>
          <w:bCs/>
          <w:szCs w:val="22"/>
        </w:rPr>
        <w:t xml:space="preserve">Applicants request streamlined treatment of the proposed transaction under the Commission’s rules and assert that a grant of the application would serve the public interest, convenience, and necessity.  We accept this application for filing under section </w:t>
      </w:r>
      <w:r w:rsidRPr="005C7C98">
        <w:rPr>
          <w:bCs/>
          <w:szCs w:val="22"/>
        </w:rPr>
        <w:t>63.03(b)(</w:t>
      </w:r>
      <w:r w:rsidRPr="005C7C98" w:rsidR="00900AB5">
        <w:rPr>
          <w:bCs/>
          <w:szCs w:val="22"/>
        </w:rPr>
        <w:t>2</w:t>
      </w:r>
      <w:r w:rsidRPr="005C7C98">
        <w:rPr>
          <w:bCs/>
          <w:szCs w:val="22"/>
        </w:rPr>
        <w:t>)(ii)</w:t>
      </w:r>
      <w:r w:rsidR="00900AB5">
        <w:rPr>
          <w:bCs/>
          <w:szCs w:val="22"/>
        </w:rPr>
        <w:t xml:space="preserve"> </w:t>
      </w:r>
      <w:r>
        <w:rPr>
          <w:bCs/>
          <w:szCs w:val="22"/>
        </w:rPr>
        <w:t>of the Commission’s rules.</w:t>
      </w:r>
      <w:r>
        <w:rPr>
          <w:bCs/>
          <w:szCs w:val="22"/>
          <w:vertAlign w:val="superscript"/>
        </w:rPr>
        <w:footnoteReference w:id="6"/>
      </w:r>
      <w:r>
        <w:rPr>
          <w:bCs/>
          <w:szCs w:val="22"/>
        </w:rPr>
        <w:t xml:space="preserve"> </w:t>
      </w:r>
    </w:p>
    <w:p w:rsidR="003332C3" w:rsidP="00EB2E3F">
      <w:pPr>
        <w:ind w:left="720"/>
        <w:rPr>
          <w:szCs w:val="22"/>
        </w:rPr>
      </w:pPr>
      <w:r>
        <w:rPr>
          <w:szCs w:val="22"/>
        </w:rPr>
        <w:t xml:space="preserve">Domestic Section 214 Application Filed for the Transfer of Control of </w:t>
      </w:r>
    </w:p>
    <w:p w:rsidR="003332C3" w:rsidP="00EB2E3F">
      <w:pPr>
        <w:ind w:left="720"/>
        <w:rPr>
          <w:szCs w:val="22"/>
        </w:rPr>
      </w:pPr>
      <w:r>
        <w:rPr>
          <w:szCs w:val="22"/>
        </w:rPr>
        <w:t>ITS Fiber, LLC</w:t>
      </w:r>
      <w:r>
        <w:rPr>
          <w:szCs w:val="22"/>
        </w:rPr>
        <w:t xml:space="preserve"> and</w:t>
      </w:r>
      <w:r>
        <w:rPr>
          <w:szCs w:val="22"/>
        </w:rPr>
        <w:t xml:space="preserve"> ITS Telecommunications Systems, Inc. to </w:t>
      </w:r>
    </w:p>
    <w:p w:rsidR="00E7033D" w:rsidP="00EB2E3F">
      <w:pPr>
        <w:ind w:left="720"/>
        <w:rPr>
          <w:bCs/>
          <w:szCs w:val="22"/>
        </w:rPr>
      </w:pPr>
      <w:r>
        <w:rPr>
          <w:szCs w:val="22"/>
        </w:rPr>
        <w:t>Blue Stream Communications LLC</w:t>
      </w:r>
      <w:r w:rsidR="008C294A">
        <w:rPr>
          <w:szCs w:val="22"/>
        </w:rPr>
        <w:t>, WC Docket No. 20-</w:t>
      </w:r>
      <w:r w:rsidR="00813C6D">
        <w:rPr>
          <w:szCs w:val="22"/>
        </w:rPr>
        <w:t>2</w:t>
      </w:r>
      <w:r w:rsidR="005D0AC3">
        <w:rPr>
          <w:szCs w:val="22"/>
        </w:rPr>
        <w:t>56</w:t>
      </w:r>
      <w:r w:rsidR="008C294A">
        <w:rPr>
          <w:szCs w:val="22"/>
        </w:rPr>
        <w:t xml:space="preserve"> (filed </w:t>
      </w:r>
      <w:r w:rsidR="005D0AC3">
        <w:rPr>
          <w:szCs w:val="22"/>
        </w:rPr>
        <w:t>Aug</w:t>
      </w:r>
      <w:r w:rsidR="00AA2393">
        <w:rPr>
          <w:szCs w:val="22"/>
        </w:rPr>
        <w:t>.</w:t>
      </w:r>
      <w:r w:rsidR="00D252B2">
        <w:rPr>
          <w:szCs w:val="22"/>
        </w:rPr>
        <w:t xml:space="preserve"> </w:t>
      </w:r>
      <w:r w:rsidR="005D0AC3">
        <w:rPr>
          <w:szCs w:val="22"/>
        </w:rPr>
        <w:t>10</w:t>
      </w:r>
      <w:r w:rsidR="008C294A">
        <w:rPr>
          <w:szCs w:val="22"/>
        </w:rPr>
        <w:t>, 2020).</w:t>
      </w:r>
    </w:p>
    <w:p w:rsidR="00763EE6">
      <w:pPr>
        <w:autoSpaceDE w:val="0"/>
        <w:autoSpaceDN w:val="0"/>
        <w:adjustRightInd w:val="0"/>
        <w:rPr>
          <w:szCs w:val="22"/>
        </w:rPr>
      </w:pPr>
    </w:p>
    <w:p w:rsidR="00763EE6">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F6FE1">
        <w:rPr>
          <w:b/>
          <w:szCs w:val="22"/>
        </w:rPr>
        <w:t>Octo</w:t>
      </w:r>
      <w:r w:rsidR="006D6EAB">
        <w:rPr>
          <w:b/>
          <w:szCs w:val="22"/>
        </w:rPr>
        <w:t>ber</w:t>
      </w:r>
      <w:r w:rsidR="005932BA">
        <w:rPr>
          <w:b/>
          <w:szCs w:val="22"/>
        </w:rPr>
        <w:t xml:space="preserve"> </w:t>
      </w:r>
      <w:r w:rsidR="00FE4E02">
        <w:rPr>
          <w:b/>
          <w:szCs w:val="22"/>
        </w:rPr>
        <w:t>20</w:t>
      </w:r>
      <w:r>
        <w:rPr>
          <w:b/>
          <w:szCs w:val="22"/>
        </w:rPr>
        <w:t>, 2020</w:t>
      </w:r>
      <w:r>
        <w:rPr>
          <w:szCs w:val="22"/>
        </w:rPr>
        <w:t xml:space="preserve">, and reply comments </w:t>
      </w:r>
      <w:r>
        <w:rPr>
          <w:b/>
          <w:szCs w:val="22"/>
        </w:rPr>
        <w:t xml:space="preserve">on or before </w:t>
      </w:r>
      <w:r w:rsidR="006D6EAB">
        <w:rPr>
          <w:b/>
          <w:bCs/>
          <w:szCs w:val="22"/>
        </w:rPr>
        <w:t>October</w:t>
      </w:r>
      <w:r w:rsidR="004F6F64">
        <w:rPr>
          <w:b/>
          <w:bCs/>
          <w:szCs w:val="22"/>
        </w:rPr>
        <w:t xml:space="preserve"> </w:t>
      </w:r>
      <w:r w:rsidR="00FE4E02">
        <w:rPr>
          <w:b/>
          <w:bCs/>
          <w:szCs w:val="22"/>
        </w:rPr>
        <w:t>27</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FA546C" w:rsidP="00D252B2">
      <w:pPr>
        <w:numPr>
          <w:ilvl w:val="0"/>
          <w:numId w:val="18"/>
        </w:numPr>
        <w:autoSpaceDE w:val="0"/>
        <w:autoSpaceDN w:val="0"/>
        <w:adjustRightInd w:val="0"/>
        <w:rPr>
          <w:szCs w:val="22"/>
        </w:rPr>
      </w:pPr>
      <w:r>
        <w:rPr>
          <w:szCs w:val="22"/>
        </w:rPr>
        <w:t>Gregory Kwan</w:t>
      </w:r>
      <w:r w:rsidR="008C294A">
        <w:rPr>
          <w:szCs w:val="22"/>
        </w:rPr>
        <w:t xml:space="preserve">, Competition Policy Division, Wireline Competition Bureau, </w:t>
      </w:r>
      <w:hyperlink r:id="rId9" w:history="1">
        <w:r w:rsidRPr="00877D35">
          <w:rPr>
            <w:rStyle w:val="Hyperlink"/>
            <w:szCs w:val="22"/>
          </w:rPr>
          <w:t>gregory.kwan@fcc.gov</w:t>
        </w:r>
      </w:hyperlink>
      <w:r w:rsidR="008C294A">
        <w:rPr>
          <w:szCs w:val="22"/>
        </w:rPr>
        <w:t xml:space="preserve">; </w:t>
      </w:r>
    </w:p>
    <w:p w:rsidR="005D0AC3" w:rsidP="005D0AC3">
      <w:pPr>
        <w:pStyle w:val="ListParagraph"/>
        <w:rPr>
          <w:rStyle w:val="Hyperlink"/>
          <w:color w:val="auto"/>
          <w:szCs w:val="22"/>
          <w:u w:val="none"/>
        </w:rPr>
      </w:pPr>
    </w:p>
    <w:p w:rsidR="005D0AC3" w:rsidRPr="00F036D4" w:rsidP="005D0AC3">
      <w:pPr>
        <w:numPr>
          <w:ilvl w:val="0"/>
          <w:numId w:val="18"/>
        </w:numPr>
        <w:autoSpaceDE w:val="0"/>
        <w:autoSpaceDN w:val="0"/>
        <w:adjustRightInd w:val="0"/>
        <w:rPr>
          <w:szCs w:val="22"/>
        </w:rPr>
      </w:pPr>
      <w:r w:rsidRPr="00F036D4">
        <w:rPr>
          <w:szCs w:val="22"/>
        </w:rPr>
        <w:t xml:space="preserve">Sumita Mukhoty, Policy Division, International Bureau, </w:t>
      </w:r>
      <w:hyperlink r:id="rId10" w:history="1">
        <w:r w:rsidRPr="008C73CC">
          <w:rPr>
            <w:rStyle w:val="Hyperlink"/>
            <w:szCs w:val="22"/>
          </w:rPr>
          <w:t>sumita.mukhoty@fcc.gov</w:t>
        </w:r>
      </w:hyperlink>
      <w:r w:rsidRPr="00F036D4">
        <w:rPr>
          <w:rStyle w:val="Hyperlink"/>
          <w:szCs w:val="22"/>
        </w:rPr>
        <w:t>;</w:t>
      </w:r>
    </w:p>
    <w:p w:rsidR="005D0AC3" w:rsidP="005D0AC3">
      <w:pPr>
        <w:pStyle w:val="ListParagraph"/>
        <w:rPr>
          <w:szCs w:val="22"/>
        </w:rPr>
      </w:pPr>
    </w:p>
    <w:p w:rsidR="005D0AC3" w:rsidRPr="005D0AC3" w:rsidP="005D0AC3">
      <w:pPr>
        <w:numPr>
          <w:ilvl w:val="0"/>
          <w:numId w:val="18"/>
        </w:numPr>
        <w:autoSpaceDE w:val="0"/>
        <w:autoSpaceDN w:val="0"/>
        <w:adjustRightInd w:val="0"/>
        <w:rPr>
          <w:rStyle w:val="Hyperlink"/>
          <w:color w:val="auto"/>
          <w:szCs w:val="22"/>
          <w:u w:val="none"/>
        </w:rPr>
      </w:pPr>
      <w:r>
        <w:rPr>
          <w:szCs w:val="22"/>
        </w:rPr>
        <w:t xml:space="preserve">David Krech, Policy Division, International Bureau, </w:t>
      </w:r>
      <w:hyperlink r:id="rId11" w:history="1">
        <w:r>
          <w:rPr>
            <w:rStyle w:val="Hyperlink"/>
            <w:szCs w:val="22"/>
          </w:rPr>
          <w:t>david.krech@fcc.gov</w:t>
        </w:r>
      </w:hyperlink>
      <w:r>
        <w:rPr>
          <w:szCs w:val="22"/>
        </w:rPr>
        <w:t xml:space="preserve">; </w:t>
      </w:r>
      <w:r w:rsidRPr="000235D6">
        <w:rPr>
          <w:szCs w:val="22"/>
        </w:rPr>
        <w:t>and</w:t>
      </w:r>
    </w:p>
    <w:p w:rsidR="00E7033D" w:rsidRPr="00FA546C" w:rsidP="00FA546C">
      <w:pPr>
        <w:autoSpaceDE w:val="0"/>
        <w:autoSpaceDN w:val="0"/>
        <w:adjustRightInd w:val="0"/>
        <w:ind w:left="360"/>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2"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rPr>
          <w:b/>
          <w:szCs w:val="22"/>
          <w:u w:val="single"/>
        </w:rPr>
      </w:pPr>
    </w:p>
    <w:p w:rsidR="00E7033D">
      <w:pPr>
        <w:autoSpaceDE w:val="0"/>
        <w:autoSpaceDN w:val="0"/>
        <w:adjustRightInd w:val="0"/>
        <w:ind w:firstLine="720"/>
        <w:rPr>
          <w:szCs w:val="22"/>
        </w:rPr>
      </w:pPr>
      <w:r>
        <w:rPr>
          <w:szCs w:val="22"/>
        </w:rPr>
        <w:t>For further information, please contact Tracey Wilson at (202) 418-1394 or</w:t>
      </w:r>
      <w:r w:rsidR="009C3EC2">
        <w:rPr>
          <w:szCs w:val="22"/>
        </w:rPr>
        <w:t xml:space="preserve"> Gregory Kwan</w:t>
      </w:r>
      <w:r>
        <w:rPr>
          <w:szCs w:val="22"/>
        </w:rPr>
        <w:t xml:space="preserve"> at (202) 418-</w:t>
      </w:r>
      <w:r w:rsidR="009C3EC2">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1214">
      <w:r>
        <w:separator/>
      </w:r>
    </w:p>
  </w:footnote>
  <w:footnote w:type="continuationSeparator" w:id="1">
    <w:p w:rsidR="00E11214">
      <w:r>
        <w:continuationSeparator/>
      </w:r>
    </w:p>
  </w:footnote>
  <w:footnote w:type="continuationNotice" w:id="2">
    <w:p w:rsidR="00E11214"/>
  </w:footnote>
  <w:footnote w:id="3">
    <w:p w:rsidR="0007183A">
      <w:pPr>
        <w:pStyle w:val="FootnoteText"/>
      </w:pPr>
      <w:r>
        <w:rPr>
          <w:rStyle w:val="FootnoteReference"/>
        </w:rPr>
        <w:footnoteRef/>
      </w:r>
      <w:r>
        <w:t xml:space="preserve"> </w:t>
      </w:r>
      <w:r w:rsidRPr="0035403D">
        <w:rPr>
          <w:i/>
          <w:sz w:val="20"/>
        </w:rPr>
        <w:t>See</w:t>
      </w:r>
      <w:r w:rsidRPr="0035403D">
        <w:rPr>
          <w:sz w:val="20"/>
        </w:rPr>
        <w:t xml:space="preserve"> 47 U.S.C. § 214; 47 CFR §§ 63.03-04. </w:t>
      </w:r>
      <w:r w:rsidR="003332C3">
        <w:rPr>
          <w:sz w:val="20"/>
        </w:rPr>
        <w:t xml:space="preserve"> </w:t>
      </w:r>
      <w:r w:rsidRPr="0035403D">
        <w:rPr>
          <w:sz w:val="20"/>
        </w:rPr>
        <w:t>Applicants also filed an application for the transfer of</w:t>
      </w:r>
      <w:r w:rsidR="007510A0">
        <w:rPr>
          <w:sz w:val="20"/>
        </w:rPr>
        <w:t xml:space="preserve"> </w:t>
      </w:r>
      <w:r w:rsidRPr="0035403D">
        <w:rPr>
          <w:sz w:val="20"/>
        </w:rPr>
        <w:t xml:space="preserve">authorizations associated with international services. </w:t>
      </w:r>
      <w:r w:rsidR="003332C3">
        <w:rPr>
          <w:sz w:val="20"/>
        </w:rPr>
        <w:t xml:space="preserve"> On </w:t>
      </w:r>
      <w:r w:rsidR="00C2795C">
        <w:rPr>
          <w:sz w:val="20"/>
        </w:rPr>
        <w:t>September</w:t>
      </w:r>
      <w:r w:rsidR="003332C3">
        <w:rPr>
          <w:sz w:val="20"/>
        </w:rPr>
        <w:t xml:space="preserve"> </w:t>
      </w:r>
      <w:r w:rsidR="00C2795C">
        <w:rPr>
          <w:sz w:val="20"/>
        </w:rPr>
        <w:t>15</w:t>
      </w:r>
      <w:r w:rsidR="003332C3">
        <w:rPr>
          <w:sz w:val="20"/>
        </w:rPr>
        <w:t>, 2020</w:t>
      </w:r>
      <w:r w:rsidR="00D634C7">
        <w:rPr>
          <w:sz w:val="20"/>
        </w:rPr>
        <w:t xml:space="preserve"> and September 24, 2020</w:t>
      </w:r>
      <w:r w:rsidR="005542E0">
        <w:rPr>
          <w:sz w:val="20"/>
        </w:rPr>
        <w:t>,</w:t>
      </w:r>
      <w:r w:rsidR="003332C3">
        <w:rPr>
          <w:sz w:val="20"/>
        </w:rPr>
        <w:t xml:space="preserve"> Applicants filed supplement</w:t>
      </w:r>
      <w:r w:rsidR="00D634C7">
        <w:rPr>
          <w:sz w:val="20"/>
        </w:rPr>
        <w:t>s</w:t>
      </w:r>
      <w:r w:rsidR="003332C3">
        <w:rPr>
          <w:sz w:val="20"/>
        </w:rPr>
        <w:t xml:space="preserve"> to their domestic section 214 application.  </w:t>
      </w:r>
      <w:r w:rsidRPr="0035403D">
        <w:rPr>
          <w:sz w:val="20"/>
        </w:rPr>
        <w:t>Any action on this domestic section 214 application is without prejudice to Commission action on other related, pending applications</w:t>
      </w:r>
    </w:p>
  </w:footnote>
  <w:footnote w:id="4">
    <w:p w:rsidR="00F963B2" w:rsidRPr="007510A0">
      <w:pPr>
        <w:pStyle w:val="FootnoteText"/>
        <w:rPr>
          <w:sz w:val="20"/>
        </w:rPr>
      </w:pPr>
      <w:r>
        <w:rPr>
          <w:rStyle w:val="FootnoteReference"/>
        </w:rPr>
        <w:footnoteRef/>
      </w:r>
      <w:r>
        <w:t xml:space="preserve"> </w:t>
      </w:r>
      <w:r w:rsidRPr="00F963B2">
        <w:rPr>
          <w:sz w:val="20"/>
        </w:rPr>
        <w:t xml:space="preserve">Applicants provide post-transaction ownership charts in Exhibit A of their application.  </w:t>
      </w:r>
      <w:r w:rsidR="00900AB5">
        <w:rPr>
          <w:sz w:val="20"/>
        </w:rPr>
        <w:t xml:space="preserve">Applicants also provide, in Exhibit C, </w:t>
      </w:r>
      <w:r w:rsidRPr="00F963B2">
        <w:rPr>
          <w:sz w:val="20"/>
        </w:rPr>
        <w:t>a list of entities that, post-consummation, will hold a 10% or greater interest in the Licensees, including a list of intermediate holding companies sitting between TPC ACC and Zebra Holdings, each Delaware limited liability companies.</w:t>
      </w:r>
      <w:r>
        <w:t xml:space="preserve">  </w:t>
      </w:r>
    </w:p>
  </w:footnote>
  <w:footnote w:id="5">
    <w:p w:rsidR="006D6EAB">
      <w:pPr>
        <w:pStyle w:val="FootnoteText"/>
      </w:pPr>
      <w:r>
        <w:rPr>
          <w:rStyle w:val="FootnoteReference"/>
        </w:rPr>
        <w:footnoteRef/>
      </w:r>
      <w:r>
        <w:t xml:space="preserve"> </w:t>
      </w:r>
      <w:r w:rsidRPr="003217F3" w:rsidR="00CA5382">
        <w:rPr>
          <w:sz w:val="20"/>
        </w:rPr>
        <w:t>Applicants state that the sole beneficiaries of the Magnuson Living Trust are Rick and Allison Magnuson, both U.S. citizens.  Applicants further state that the Magnuson Living Trust, GI Manager, and two other intermediate entities (GI Manager Holdings LLC and GI Manager LP, both Delaware entities) hold a 10% or greater interest in the following domestic telecommunications carriers</w:t>
      </w:r>
      <w:r w:rsidR="00D634C7">
        <w:rPr>
          <w:sz w:val="20"/>
        </w:rPr>
        <w:t>, both Delaware corporations</w:t>
      </w:r>
      <w:r w:rsidRPr="003217F3" w:rsidR="00CA5382">
        <w:rPr>
          <w:sz w:val="20"/>
        </w:rPr>
        <w:t xml:space="preserve">: </w:t>
      </w:r>
      <w:r w:rsidR="005F6FE1">
        <w:rPr>
          <w:sz w:val="20"/>
        </w:rPr>
        <w:t xml:space="preserve"> </w:t>
      </w:r>
      <w:r w:rsidRPr="003217F3" w:rsidR="00CA5382">
        <w:rPr>
          <w:sz w:val="20"/>
        </w:rPr>
        <w:t>Flexential Corp.</w:t>
      </w:r>
      <w:r w:rsidRPr="003217F3" w:rsidR="003217F3">
        <w:rPr>
          <w:sz w:val="20"/>
        </w:rPr>
        <w:t xml:space="preserve"> </w:t>
      </w:r>
      <w:r w:rsidR="00E055AB">
        <w:rPr>
          <w:sz w:val="20"/>
        </w:rPr>
        <w:t xml:space="preserve">(Flexential) </w:t>
      </w:r>
      <w:r w:rsidRPr="003217F3" w:rsidR="003217F3">
        <w:rPr>
          <w:sz w:val="20"/>
        </w:rPr>
        <w:t>(approximately 98.6%</w:t>
      </w:r>
      <w:r w:rsidR="00D634C7">
        <w:rPr>
          <w:sz w:val="20"/>
        </w:rPr>
        <w:t>)</w:t>
      </w:r>
      <w:r w:rsidR="00E055AB">
        <w:rPr>
          <w:sz w:val="20"/>
        </w:rPr>
        <w:t>,</w:t>
      </w:r>
      <w:r w:rsidR="00D634C7">
        <w:rPr>
          <w:sz w:val="20"/>
        </w:rPr>
        <w:t xml:space="preserve"> providing </w:t>
      </w:r>
      <w:r w:rsidR="00E055AB">
        <w:rPr>
          <w:sz w:val="20"/>
        </w:rPr>
        <w:t xml:space="preserve">local resale </w:t>
      </w:r>
      <w:r w:rsidR="00D634C7">
        <w:rPr>
          <w:sz w:val="20"/>
        </w:rPr>
        <w:t xml:space="preserve">service in </w:t>
      </w:r>
      <w:r w:rsidR="00737CD9">
        <w:rPr>
          <w:sz w:val="20"/>
        </w:rPr>
        <w:t>multiple states</w:t>
      </w:r>
      <w:r w:rsidR="00E047E7">
        <w:rPr>
          <w:sz w:val="20"/>
        </w:rPr>
        <w:t>,</w:t>
      </w:r>
      <w:r w:rsidRPr="003217F3" w:rsidR="003217F3">
        <w:rPr>
          <w:sz w:val="20"/>
        </w:rPr>
        <w:t xml:space="preserve"> and Single Digits, Inc.</w:t>
      </w:r>
      <w:r w:rsidR="00D634C7">
        <w:rPr>
          <w:sz w:val="20"/>
        </w:rPr>
        <w:t xml:space="preserve"> </w:t>
      </w:r>
      <w:r w:rsidR="00E055AB">
        <w:rPr>
          <w:sz w:val="20"/>
        </w:rPr>
        <w:t xml:space="preserve">(Single Digits) </w:t>
      </w:r>
      <w:r w:rsidRPr="003217F3" w:rsidR="003217F3">
        <w:rPr>
          <w:sz w:val="20"/>
        </w:rPr>
        <w:t>(approximately 95.6%)</w:t>
      </w:r>
      <w:r w:rsidR="00E055AB">
        <w:rPr>
          <w:sz w:val="20"/>
        </w:rPr>
        <w:t>,</w:t>
      </w:r>
      <w:r w:rsidR="00D634C7">
        <w:rPr>
          <w:sz w:val="20"/>
        </w:rPr>
        <w:t xml:space="preserve"> providing communications services in all 50 states, the District of Columbia, and Puerto Rico</w:t>
      </w:r>
      <w:r w:rsidR="003217F3">
        <w:rPr>
          <w:sz w:val="20"/>
        </w:rPr>
        <w:t>.  Applicants further state that other than these interests</w:t>
      </w:r>
      <w:r w:rsidR="005F6FE1">
        <w:rPr>
          <w:sz w:val="20"/>
        </w:rPr>
        <w:t xml:space="preserve"> in Flexential and Single Digits</w:t>
      </w:r>
      <w:r w:rsidR="003217F3">
        <w:rPr>
          <w:sz w:val="20"/>
        </w:rPr>
        <w:t>, no upstream entity sitting above Blue Stream holds a 10% or greater interest in any provider of domestic telecommunications services</w:t>
      </w:r>
      <w:r w:rsidRPr="003217F3" w:rsidR="003217F3">
        <w:rPr>
          <w:sz w:val="20"/>
        </w:rPr>
        <w:t>.</w:t>
      </w:r>
      <w:r w:rsidR="00CA5382">
        <w:t xml:space="preserve"> </w:t>
      </w:r>
    </w:p>
  </w:footnote>
  <w:footnote w:id="6">
    <w:p w:rsidR="00E7033D">
      <w:pPr>
        <w:pStyle w:val="FootnoteText"/>
        <w:rPr>
          <w:sz w:val="20"/>
        </w:rPr>
      </w:pPr>
      <w:r>
        <w:rPr>
          <w:rStyle w:val="FootnoteReference"/>
          <w:sz w:val="20"/>
        </w:rPr>
        <w:footnoteRef/>
      </w:r>
      <w:r>
        <w:rPr>
          <w:sz w:val="20"/>
        </w:rPr>
        <w:t xml:space="preserve"> </w:t>
      </w:r>
      <w:r>
        <w:rPr>
          <w:color w:val="020100"/>
          <w:sz w:val="20"/>
        </w:rPr>
        <w:t>47 CFR § 63.03(b)(</w:t>
      </w:r>
      <w:r w:rsidR="00900AB5">
        <w:rPr>
          <w:color w:val="020100"/>
          <w:sz w:val="20"/>
        </w:rPr>
        <w:t>2</w:t>
      </w:r>
      <w:r>
        <w:rPr>
          <w:color w:val="020100"/>
          <w:sz w:val="20"/>
        </w:rPr>
        <w:t>)(i</w:t>
      </w:r>
      <w:r w:rsidR="0015217F">
        <w:rPr>
          <w:color w:val="020100"/>
          <w:sz w:val="20"/>
        </w:rPr>
        <w:t>i</w:t>
      </w:r>
      <w:r>
        <w:rPr>
          <w:color w:val="020100"/>
          <w:sz w:val="20"/>
        </w:rPr>
        <w:t>).</w:t>
      </w:r>
    </w:p>
  </w:footnote>
  <w:footnote w:id="7">
    <w:p w:rsidR="00E7033D">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7494"/>
    <w:rsid w:val="00017A3A"/>
    <w:rsid w:val="000235D6"/>
    <w:rsid w:val="0004292C"/>
    <w:rsid w:val="000534AC"/>
    <w:rsid w:val="0007183A"/>
    <w:rsid w:val="000735C8"/>
    <w:rsid w:val="000A5029"/>
    <w:rsid w:val="000B4EDD"/>
    <w:rsid w:val="000C15D2"/>
    <w:rsid w:val="000D1DD9"/>
    <w:rsid w:val="000E6ECF"/>
    <w:rsid w:val="000F02F7"/>
    <w:rsid w:val="001319AF"/>
    <w:rsid w:val="0013405D"/>
    <w:rsid w:val="0015217F"/>
    <w:rsid w:val="00184058"/>
    <w:rsid w:val="001A3813"/>
    <w:rsid w:val="001F4749"/>
    <w:rsid w:val="001F6762"/>
    <w:rsid w:val="00224067"/>
    <w:rsid w:val="0022449B"/>
    <w:rsid w:val="002300F4"/>
    <w:rsid w:val="00253247"/>
    <w:rsid w:val="00262E65"/>
    <w:rsid w:val="002B16FA"/>
    <w:rsid w:val="002B652B"/>
    <w:rsid w:val="002B6F8E"/>
    <w:rsid w:val="002B6FDE"/>
    <w:rsid w:val="002C203E"/>
    <w:rsid w:val="002C22F3"/>
    <w:rsid w:val="002C786C"/>
    <w:rsid w:val="002D6F61"/>
    <w:rsid w:val="002E21BD"/>
    <w:rsid w:val="002E22A7"/>
    <w:rsid w:val="003011A5"/>
    <w:rsid w:val="003217F3"/>
    <w:rsid w:val="003332C3"/>
    <w:rsid w:val="00353CB5"/>
    <w:rsid w:val="0035403D"/>
    <w:rsid w:val="00365194"/>
    <w:rsid w:val="003A18A0"/>
    <w:rsid w:val="003B5CEE"/>
    <w:rsid w:val="003C32FF"/>
    <w:rsid w:val="004077D0"/>
    <w:rsid w:val="004331D7"/>
    <w:rsid w:val="00433D8C"/>
    <w:rsid w:val="00434C96"/>
    <w:rsid w:val="004609A4"/>
    <w:rsid w:val="004808FC"/>
    <w:rsid w:val="00482EB0"/>
    <w:rsid w:val="004C712F"/>
    <w:rsid w:val="004E3B46"/>
    <w:rsid w:val="004E515F"/>
    <w:rsid w:val="004F3603"/>
    <w:rsid w:val="004F6F64"/>
    <w:rsid w:val="00521812"/>
    <w:rsid w:val="005250E2"/>
    <w:rsid w:val="00525E2D"/>
    <w:rsid w:val="005542E0"/>
    <w:rsid w:val="0056058F"/>
    <w:rsid w:val="005932BA"/>
    <w:rsid w:val="005A24D1"/>
    <w:rsid w:val="005A64A7"/>
    <w:rsid w:val="005C403A"/>
    <w:rsid w:val="005C7C98"/>
    <w:rsid w:val="005D0AC3"/>
    <w:rsid w:val="005E0F06"/>
    <w:rsid w:val="005F6FE1"/>
    <w:rsid w:val="0060106A"/>
    <w:rsid w:val="00604A3C"/>
    <w:rsid w:val="00604CFF"/>
    <w:rsid w:val="006051E6"/>
    <w:rsid w:val="0061137C"/>
    <w:rsid w:val="00616221"/>
    <w:rsid w:val="00620AF0"/>
    <w:rsid w:val="0063726D"/>
    <w:rsid w:val="006533CF"/>
    <w:rsid w:val="006768CC"/>
    <w:rsid w:val="0068572D"/>
    <w:rsid w:val="006B5C06"/>
    <w:rsid w:val="006C32C8"/>
    <w:rsid w:val="006C591C"/>
    <w:rsid w:val="006D6EAB"/>
    <w:rsid w:val="006D7E5D"/>
    <w:rsid w:val="006E3E11"/>
    <w:rsid w:val="006E61ED"/>
    <w:rsid w:val="006E7452"/>
    <w:rsid w:val="007009D4"/>
    <w:rsid w:val="00706D49"/>
    <w:rsid w:val="0071041E"/>
    <w:rsid w:val="00724722"/>
    <w:rsid w:val="00733B9B"/>
    <w:rsid w:val="00737CD9"/>
    <w:rsid w:val="00743050"/>
    <w:rsid w:val="0074738E"/>
    <w:rsid w:val="007510A0"/>
    <w:rsid w:val="00760269"/>
    <w:rsid w:val="00762633"/>
    <w:rsid w:val="00763EE6"/>
    <w:rsid w:val="00780F55"/>
    <w:rsid w:val="00781136"/>
    <w:rsid w:val="0079572D"/>
    <w:rsid w:val="007A3596"/>
    <w:rsid w:val="007B6639"/>
    <w:rsid w:val="007C263F"/>
    <w:rsid w:val="00803C3A"/>
    <w:rsid w:val="00813C6D"/>
    <w:rsid w:val="00846CFF"/>
    <w:rsid w:val="0084778A"/>
    <w:rsid w:val="0085579D"/>
    <w:rsid w:val="0086691C"/>
    <w:rsid w:val="008675C7"/>
    <w:rsid w:val="0087554B"/>
    <w:rsid w:val="00877D35"/>
    <w:rsid w:val="00877DC9"/>
    <w:rsid w:val="008C294A"/>
    <w:rsid w:val="008C73CC"/>
    <w:rsid w:val="008E27B4"/>
    <w:rsid w:val="008F32BC"/>
    <w:rsid w:val="008F6981"/>
    <w:rsid w:val="00900AB5"/>
    <w:rsid w:val="00903154"/>
    <w:rsid w:val="00903DE0"/>
    <w:rsid w:val="009058F3"/>
    <w:rsid w:val="009075DA"/>
    <w:rsid w:val="00950639"/>
    <w:rsid w:val="0098015F"/>
    <w:rsid w:val="00984817"/>
    <w:rsid w:val="009A0D7F"/>
    <w:rsid w:val="009A0F78"/>
    <w:rsid w:val="009B0128"/>
    <w:rsid w:val="009B6797"/>
    <w:rsid w:val="009C3EC2"/>
    <w:rsid w:val="00A11865"/>
    <w:rsid w:val="00A15248"/>
    <w:rsid w:val="00A25C41"/>
    <w:rsid w:val="00A47815"/>
    <w:rsid w:val="00A55F2F"/>
    <w:rsid w:val="00A7569F"/>
    <w:rsid w:val="00A77ECC"/>
    <w:rsid w:val="00A92C9E"/>
    <w:rsid w:val="00AA2393"/>
    <w:rsid w:val="00AD0360"/>
    <w:rsid w:val="00AE6227"/>
    <w:rsid w:val="00B00CBF"/>
    <w:rsid w:val="00B02CE4"/>
    <w:rsid w:val="00B73AED"/>
    <w:rsid w:val="00B908C9"/>
    <w:rsid w:val="00BC0CDB"/>
    <w:rsid w:val="00BC7555"/>
    <w:rsid w:val="00BF0B00"/>
    <w:rsid w:val="00BF2657"/>
    <w:rsid w:val="00C117C2"/>
    <w:rsid w:val="00C2795C"/>
    <w:rsid w:val="00C612FD"/>
    <w:rsid w:val="00C749BC"/>
    <w:rsid w:val="00C75DF3"/>
    <w:rsid w:val="00C76DB2"/>
    <w:rsid w:val="00C93AD6"/>
    <w:rsid w:val="00CA5382"/>
    <w:rsid w:val="00CB08EA"/>
    <w:rsid w:val="00CE03DE"/>
    <w:rsid w:val="00CF3D53"/>
    <w:rsid w:val="00D04DB0"/>
    <w:rsid w:val="00D111DF"/>
    <w:rsid w:val="00D12724"/>
    <w:rsid w:val="00D252B2"/>
    <w:rsid w:val="00D47F85"/>
    <w:rsid w:val="00D634C7"/>
    <w:rsid w:val="00DA5976"/>
    <w:rsid w:val="00DB59FD"/>
    <w:rsid w:val="00DD0968"/>
    <w:rsid w:val="00DF1AD9"/>
    <w:rsid w:val="00E047E7"/>
    <w:rsid w:val="00E0527C"/>
    <w:rsid w:val="00E055AB"/>
    <w:rsid w:val="00E11214"/>
    <w:rsid w:val="00E362F4"/>
    <w:rsid w:val="00E47C99"/>
    <w:rsid w:val="00E54722"/>
    <w:rsid w:val="00E55A96"/>
    <w:rsid w:val="00E7033D"/>
    <w:rsid w:val="00E90A56"/>
    <w:rsid w:val="00EA2704"/>
    <w:rsid w:val="00EB2E3F"/>
    <w:rsid w:val="00EC0FDA"/>
    <w:rsid w:val="00ED40B2"/>
    <w:rsid w:val="00EE37C8"/>
    <w:rsid w:val="00F01A02"/>
    <w:rsid w:val="00F036D4"/>
    <w:rsid w:val="00F05755"/>
    <w:rsid w:val="00F25C6B"/>
    <w:rsid w:val="00F3092F"/>
    <w:rsid w:val="00F70F8C"/>
    <w:rsid w:val="00F963B2"/>
    <w:rsid w:val="00FA546C"/>
    <w:rsid w:val="00FB729A"/>
    <w:rsid w:val="00FC16B9"/>
    <w:rsid w:val="00FC3E30"/>
    <w:rsid w:val="00FC6B36"/>
    <w:rsid w:val="00FE4E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