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A33844" w:rsidP="00013A8B" w14:paraId="1860D269" w14:textId="52E04625">
      <w:pPr>
        <w:jc w:val="right"/>
        <w:rPr>
          <w:b/>
          <w:sz w:val="24"/>
          <w:szCs w:val="24"/>
        </w:rPr>
      </w:pPr>
      <w:r w:rsidRPr="00A33844">
        <w:rPr>
          <w:b/>
          <w:sz w:val="24"/>
          <w:szCs w:val="24"/>
        </w:rPr>
        <w:t>DA 20-</w:t>
      </w:r>
      <w:r w:rsidRPr="00A33844" w:rsidR="00A33844">
        <w:rPr>
          <w:b/>
          <w:sz w:val="24"/>
          <w:szCs w:val="24"/>
        </w:rPr>
        <w:t>1173</w:t>
      </w:r>
    </w:p>
    <w:p w:rsidR="00013A8B" w:rsidRPr="00A33844" w:rsidP="00013A8B" w14:paraId="5574D09F" w14:textId="24FFEFF4">
      <w:pPr>
        <w:spacing w:before="60"/>
        <w:jc w:val="right"/>
        <w:rPr>
          <w:b/>
          <w:sz w:val="24"/>
          <w:szCs w:val="24"/>
        </w:rPr>
      </w:pPr>
      <w:r w:rsidRPr="00A33844">
        <w:rPr>
          <w:b/>
          <w:sz w:val="24"/>
          <w:szCs w:val="24"/>
        </w:rPr>
        <w:t xml:space="preserve">Released:  </w:t>
      </w:r>
      <w:r w:rsidRPr="00A33844" w:rsidR="001C35AA">
        <w:rPr>
          <w:b/>
          <w:sz w:val="24"/>
          <w:szCs w:val="24"/>
        </w:rPr>
        <w:t xml:space="preserve">October </w:t>
      </w:r>
      <w:r w:rsidR="005C3CB5">
        <w:rPr>
          <w:b/>
          <w:sz w:val="24"/>
          <w:szCs w:val="24"/>
        </w:rPr>
        <w:t>8</w:t>
      </w:r>
      <w:bookmarkStart w:id="0" w:name="_GoBack"/>
      <w:bookmarkEnd w:id="0"/>
      <w:r w:rsidRPr="00A33844" w:rsidR="00D2788D">
        <w:rPr>
          <w:b/>
          <w:sz w:val="24"/>
          <w:szCs w:val="24"/>
        </w:rPr>
        <w:t>, 2020</w:t>
      </w:r>
    </w:p>
    <w:p w:rsidR="00013A8B" w:rsidRPr="00A33844" w:rsidP="00013A8B" w14:paraId="7D7452BA" w14:textId="77777777">
      <w:pPr>
        <w:jc w:val="right"/>
        <w:rPr>
          <w:sz w:val="24"/>
          <w:szCs w:val="24"/>
        </w:rPr>
      </w:pPr>
    </w:p>
    <w:p w:rsidR="00D2788D" w:rsidRPr="00A33844" w:rsidP="00D2788D" w14:paraId="7296AA25" w14:textId="77777777">
      <w:pPr>
        <w:jc w:val="center"/>
        <w:rPr>
          <w:b/>
          <w:sz w:val="24"/>
          <w:szCs w:val="24"/>
        </w:rPr>
      </w:pPr>
      <w:r w:rsidRPr="00A33844">
        <w:rPr>
          <w:b/>
          <w:sz w:val="24"/>
          <w:szCs w:val="24"/>
        </w:rPr>
        <w:t xml:space="preserve">WIRELINE COMPETITION BUREAU </w:t>
      </w:r>
      <w:r w:rsidRPr="00A33844" w:rsidR="00DA3249">
        <w:rPr>
          <w:b/>
          <w:sz w:val="24"/>
          <w:szCs w:val="24"/>
        </w:rPr>
        <w:t xml:space="preserve">AND OFFICE OF ECONOMICS AND ANALYTICS </w:t>
      </w:r>
      <w:r w:rsidRPr="00A33844">
        <w:rPr>
          <w:b/>
          <w:sz w:val="24"/>
          <w:szCs w:val="24"/>
        </w:rPr>
        <w:t>RELEASE</w:t>
      </w:r>
      <w:r w:rsidRPr="00A33844" w:rsidR="001C35AA">
        <w:rPr>
          <w:b/>
          <w:sz w:val="24"/>
          <w:szCs w:val="24"/>
        </w:rPr>
        <w:t xml:space="preserve"> FINAL</w:t>
      </w:r>
      <w:r w:rsidRPr="00A33844">
        <w:rPr>
          <w:b/>
          <w:sz w:val="24"/>
          <w:szCs w:val="24"/>
        </w:rPr>
        <w:t xml:space="preserve"> LIST AND MAP OF ELIGIBLE AREAS FOR THE RURAL DIGITAL OPPORTUNITY FUND PHASE I AUCTION</w:t>
      </w:r>
      <w:r w:rsidRPr="00A33844" w:rsidR="00C30CE9">
        <w:rPr>
          <w:b/>
          <w:sz w:val="24"/>
          <w:szCs w:val="24"/>
        </w:rPr>
        <w:t xml:space="preserve"> (AUCTION 904)</w:t>
      </w:r>
    </w:p>
    <w:p w:rsidR="00D2788D" w:rsidRPr="005C2238" w:rsidP="00D2788D" w14:paraId="190A41F5" w14:textId="77777777">
      <w:pPr>
        <w:jc w:val="center"/>
        <w:rPr>
          <w:b/>
          <w:szCs w:val="22"/>
        </w:rPr>
      </w:pPr>
    </w:p>
    <w:p w:rsidR="00D2788D" w:rsidRPr="005C2238" w:rsidP="00D2788D" w14:paraId="399118DD" w14:textId="77777777">
      <w:pPr>
        <w:jc w:val="center"/>
        <w:rPr>
          <w:b/>
          <w:szCs w:val="22"/>
        </w:rPr>
      </w:pPr>
      <w:r w:rsidRPr="005C2238">
        <w:rPr>
          <w:b/>
          <w:szCs w:val="22"/>
        </w:rPr>
        <w:t>AU Docket No. 20-34</w:t>
      </w:r>
    </w:p>
    <w:p w:rsidR="00D2788D" w:rsidRPr="005C2238" w:rsidP="00D2788D" w14:paraId="0E73AD5B" w14:textId="77777777">
      <w:pPr>
        <w:jc w:val="center"/>
        <w:rPr>
          <w:b/>
          <w:szCs w:val="22"/>
        </w:rPr>
      </w:pPr>
      <w:r w:rsidRPr="005C2238">
        <w:rPr>
          <w:b/>
          <w:szCs w:val="22"/>
        </w:rPr>
        <w:t>WC Docket No. 19-126</w:t>
      </w:r>
    </w:p>
    <w:p w:rsidR="00D2788D" w:rsidRPr="005C2238" w:rsidP="00D2788D" w14:paraId="06CE3216" w14:textId="77777777">
      <w:pPr>
        <w:jc w:val="center"/>
        <w:rPr>
          <w:b/>
          <w:szCs w:val="22"/>
        </w:rPr>
      </w:pPr>
      <w:r w:rsidRPr="005C2238">
        <w:rPr>
          <w:b/>
          <w:szCs w:val="22"/>
        </w:rPr>
        <w:t>WC Docket No. 10-90</w:t>
      </w:r>
    </w:p>
    <w:p w:rsidR="00D2788D" w:rsidRPr="005C2238" w:rsidP="00D2788D" w14:paraId="2F64280C" w14:textId="77777777">
      <w:pPr>
        <w:spacing w:after="120"/>
        <w:rPr>
          <w:b/>
          <w:bCs/>
          <w:szCs w:val="22"/>
        </w:rPr>
      </w:pPr>
    </w:p>
    <w:p w:rsidR="00CE0564" w:rsidRPr="005C2238" w:rsidP="0082360B" w14:paraId="306114B9" w14:textId="77777777">
      <w:pPr>
        <w:spacing w:before="120" w:after="120"/>
        <w:ind w:firstLine="720"/>
        <w:rPr>
          <w:szCs w:val="22"/>
        </w:rPr>
      </w:pPr>
      <w:bookmarkStart w:id="1" w:name="_Hlk35255676"/>
      <w:r w:rsidRPr="005C2238">
        <w:rPr>
          <w:szCs w:val="22"/>
        </w:rPr>
        <w:t>The Wireline Competition Bureau (Bureau)</w:t>
      </w:r>
      <w:r w:rsidRPr="005C2238" w:rsidR="00DA3249">
        <w:rPr>
          <w:szCs w:val="22"/>
        </w:rPr>
        <w:t xml:space="preserve"> and the Office of Economics and Analytics</w:t>
      </w:r>
      <w:r w:rsidRPr="005C2238" w:rsidR="000613DA">
        <w:rPr>
          <w:szCs w:val="22"/>
        </w:rPr>
        <w:t xml:space="preserve"> (Office)</w:t>
      </w:r>
      <w:r w:rsidRPr="005C2238">
        <w:rPr>
          <w:szCs w:val="22"/>
        </w:rPr>
        <w:t>, in coordination with the Rural Broadband Auctions Task Force, announce the release of the</w:t>
      </w:r>
      <w:r w:rsidRPr="005C2238" w:rsidR="00DA3249">
        <w:rPr>
          <w:szCs w:val="22"/>
        </w:rPr>
        <w:t xml:space="preserve"> final</w:t>
      </w:r>
      <w:r w:rsidRPr="005C2238">
        <w:rPr>
          <w:szCs w:val="22"/>
        </w:rPr>
        <w:t xml:space="preserve"> list of census blocks and a map of areas that </w:t>
      </w:r>
      <w:r w:rsidRPr="005C2238" w:rsidR="00F118CF">
        <w:rPr>
          <w:szCs w:val="22"/>
        </w:rPr>
        <w:t>are</w:t>
      </w:r>
      <w:r w:rsidRPr="005C2238" w:rsidR="00DA3249">
        <w:rPr>
          <w:szCs w:val="22"/>
        </w:rPr>
        <w:t xml:space="preserve"> </w:t>
      </w:r>
      <w:r w:rsidRPr="005C2238">
        <w:rPr>
          <w:szCs w:val="22"/>
        </w:rPr>
        <w:t xml:space="preserve">eligible for the Rural Digital Opportunity Fund Phase I auction </w:t>
      </w:r>
      <w:bookmarkEnd w:id="1"/>
      <w:r w:rsidRPr="005C2238">
        <w:rPr>
          <w:szCs w:val="22"/>
        </w:rPr>
        <w:t>(Auction 904).</w:t>
      </w:r>
      <w:r>
        <w:rPr>
          <w:rStyle w:val="FootnoteReference"/>
          <w:szCs w:val="22"/>
        </w:rPr>
        <w:footnoteReference w:id="3"/>
      </w:r>
      <w:r w:rsidRPr="005C2238">
        <w:rPr>
          <w:szCs w:val="22"/>
        </w:rPr>
        <w:t xml:space="preserve">  For illustrative purposes, we also release a list of the associated census block groups and reserve prices</w:t>
      </w:r>
      <w:r w:rsidRPr="005C2238" w:rsidR="00D2070B">
        <w:rPr>
          <w:szCs w:val="22"/>
        </w:rPr>
        <w:t>.</w:t>
      </w:r>
      <w:r w:rsidRPr="005C2238">
        <w:rPr>
          <w:szCs w:val="22"/>
        </w:rPr>
        <w:t xml:space="preserve">  </w:t>
      </w:r>
      <w:r w:rsidRPr="005C2238" w:rsidR="009D0F8D">
        <w:rPr>
          <w:szCs w:val="22"/>
        </w:rPr>
        <w:t xml:space="preserve">The list of </w:t>
      </w:r>
      <w:r w:rsidRPr="005C2238" w:rsidR="00E240A2">
        <w:rPr>
          <w:szCs w:val="22"/>
        </w:rPr>
        <w:t xml:space="preserve">eligible </w:t>
      </w:r>
      <w:r w:rsidRPr="005C2238" w:rsidR="009D0F8D">
        <w:rPr>
          <w:szCs w:val="22"/>
        </w:rPr>
        <w:t>census blocks</w:t>
      </w:r>
      <w:bookmarkStart w:id="2" w:name="_Hlk33018548"/>
      <w:r w:rsidRPr="005C2238" w:rsidR="00E240A2">
        <w:rPr>
          <w:szCs w:val="22"/>
        </w:rPr>
        <w:t xml:space="preserve">, the list of </w:t>
      </w:r>
      <w:r w:rsidRPr="005C2238" w:rsidR="009D0F8D">
        <w:rPr>
          <w:szCs w:val="22"/>
        </w:rPr>
        <w:t>census block groups</w:t>
      </w:r>
      <w:bookmarkEnd w:id="2"/>
      <w:r w:rsidRPr="005C2238" w:rsidR="00E240A2">
        <w:rPr>
          <w:szCs w:val="22"/>
        </w:rPr>
        <w:t xml:space="preserve">, </w:t>
      </w:r>
      <w:r w:rsidRPr="005C2238" w:rsidR="004F4391">
        <w:rPr>
          <w:szCs w:val="22"/>
        </w:rPr>
        <w:t>and the map</w:t>
      </w:r>
      <w:r w:rsidRPr="005C2238" w:rsidR="00D2070B">
        <w:rPr>
          <w:szCs w:val="22"/>
        </w:rPr>
        <w:t xml:space="preserve"> </w:t>
      </w:r>
      <w:r w:rsidRPr="005C2238" w:rsidR="009D0F8D">
        <w:rPr>
          <w:szCs w:val="22"/>
        </w:rPr>
        <w:t xml:space="preserve">can be found on the Auction 904 website at </w:t>
      </w:r>
      <w:hyperlink r:id="rId5" w:history="1">
        <w:r w:rsidRPr="005C2238" w:rsidR="009D0F8D">
          <w:rPr>
            <w:rStyle w:val="Hyperlink"/>
            <w:szCs w:val="22"/>
          </w:rPr>
          <w:t>www.fcc.gov/auction/904</w:t>
        </w:r>
      </w:hyperlink>
      <w:r w:rsidRPr="005C2238" w:rsidR="009D0F8D">
        <w:rPr>
          <w:szCs w:val="22"/>
        </w:rPr>
        <w:t>.</w:t>
      </w:r>
      <w:r w:rsidRPr="005C2238">
        <w:rPr>
          <w:szCs w:val="22"/>
        </w:rPr>
        <w:t xml:space="preserve"> </w:t>
      </w:r>
      <w:r w:rsidRPr="005C2238" w:rsidR="000F7AD9">
        <w:rPr>
          <w:szCs w:val="22"/>
        </w:rPr>
        <w:t xml:space="preserve"> </w:t>
      </w:r>
      <w:r w:rsidRPr="005C2238" w:rsidR="00B42D06">
        <w:rPr>
          <w:szCs w:val="22"/>
        </w:rPr>
        <w:t>T</w:t>
      </w:r>
      <w:r w:rsidRPr="005C2238" w:rsidR="0068455B">
        <w:rPr>
          <w:szCs w:val="22"/>
        </w:rPr>
        <w:t>hese census block</w:t>
      </w:r>
      <w:r w:rsidRPr="005C2238" w:rsidR="00B42D06">
        <w:rPr>
          <w:szCs w:val="22"/>
        </w:rPr>
        <w:t xml:space="preserve"> groups will be </w:t>
      </w:r>
      <w:r w:rsidRPr="005C2238" w:rsidR="00507DF2">
        <w:rPr>
          <w:szCs w:val="22"/>
        </w:rPr>
        <w:t xml:space="preserve">available </w:t>
      </w:r>
      <w:r w:rsidRPr="005C2238" w:rsidR="0068455B">
        <w:rPr>
          <w:szCs w:val="22"/>
        </w:rPr>
        <w:t>for bidding</w:t>
      </w:r>
      <w:r w:rsidRPr="005C2238" w:rsidR="00B42D06">
        <w:rPr>
          <w:szCs w:val="22"/>
        </w:rPr>
        <w:t xml:space="preserve"> in Auction 904, which will </w:t>
      </w:r>
      <w:r w:rsidRPr="005C2238" w:rsidR="0068455B">
        <w:rPr>
          <w:szCs w:val="22"/>
        </w:rPr>
        <w:t>begin on October 29, 2020.</w:t>
      </w:r>
    </w:p>
    <w:p w:rsidR="00BA6976" w:rsidRPr="005C2238" w:rsidP="00D7395C" w14:paraId="1764D82C" w14:textId="77777777">
      <w:pPr>
        <w:spacing w:before="120" w:after="120"/>
        <w:ind w:firstLine="720"/>
        <w:rPr>
          <w:szCs w:val="22"/>
        </w:rPr>
      </w:pPr>
      <w:r w:rsidRPr="005C2238">
        <w:rPr>
          <w:szCs w:val="22"/>
        </w:rPr>
        <w:t>Today</w:t>
      </w:r>
      <w:r w:rsidRPr="005C2238" w:rsidR="004C3AF4">
        <w:rPr>
          <w:szCs w:val="22"/>
        </w:rPr>
        <w:t xml:space="preserve"> </w:t>
      </w:r>
      <w:r w:rsidRPr="005C2238">
        <w:rPr>
          <w:szCs w:val="22"/>
        </w:rPr>
        <w:t xml:space="preserve">we release the final list of eligible areas which (1) excludes areas that were awarded ReConnect Round 2 grants and grant/loan combinations as identified by </w:t>
      </w:r>
      <w:r w:rsidRPr="005C2238" w:rsidR="000613DA">
        <w:rPr>
          <w:szCs w:val="22"/>
        </w:rPr>
        <w:t>the U.S. Department of Agriculture’s Rural Utilities Service (</w:t>
      </w:r>
      <w:r w:rsidRPr="005C2238">
        <w:rPr>
          <w:szCs w:val="22"/>
        </w:rPr>
        <w:t>RUS</w:t>
      </w:r>
      <w:r w:rsidRPr="005C2238" w:rsidR="000613DA">
        <w:rPr>
          <w:szCs w:val="22"/>
        </w:rPr>
        <w:t>)</w:t>
      </w:r>
      <w:r w:rsidRPr="005C2238">
        <w:rPr>
          <w:szCs w:val="22"/>
        </w:rPr>
        <w:t xml:space="preserve">; (2) makes corrections </w:t>
      </w:r>
      <w:r w:rsidRPr="005C2238" w:rsidR="00D7395C">
        <w:rPr>
          <w:szCs w:val="22"/>
        </w:rPr>
        <w:t xml:space="preserve">to </w:t>
      </w:r>
      <w:r w:rsidRPr="005C2238">
        <w:rPr>
          <w:szCs w:val="22"/>
        </w:rPr>
        <w:t>challen</w:t>
      </w:r>
      <w:r w:rsidRPr="005C2238" w:rsidR="00F346BB">
        <w:rPr>
          <w:szCs w:val="22"/>
        </w:rPr>
        <w:t>ge process results for Cox Communications</w:t>
      </w:r>
      <w:r w:rsidRPr="005C2238" w:rsidR="00A04C48">
        <w:rPr>
          <w:szCs w:val="22"/>
        </w:rPr>
        <w:t>,</w:t>
      </w:r>
      <w:r w:rsidRPr="005C2238" w:rsidR="00F346BB">
        <w:rPr>
          <w:szCs w:val="22"/>
        </w:rPr>
        <w:t xml:space="preserve"> DigitalPath, and Savage Communications;</w:t>
      </w:r>
      <w:r w:rsidRPr="005C2238">
        <w:rPr>
          <w:szCs w:val="22"/>
        </w:rPr>
        <w:t xml:space="preserve"> </w:t>
      </w:r>
      <w:r w:rsidRPr="005C2238" w:rsidR="00177527">
        <w:rPr>
          <w:szCs w:val="22"/>
        </w:rPr>
        <w:t xml:space="preserve">and </w:t>
      </w:r>
      <w:r w:rsidRPr="005C2238">
        <w:rPr>
          <w:szCs w:val="22"/>
        </w:rPr>
        <w:t xml:space="preserve">(3) removes </w:t>
      </w:r>
      <w:r w:rsidRPr="005C2238" w:rsidR="008946E1">
        <w:rPr>
          <w:szCs w:val="22"/>
        </w:rPr>
        <w:t xml:space="preserve">certain </w:t>
      </w:r>
      <w:r w:rsidRPr="005C2238">
        <w:rPr>
          <w:szCs w:val="22"/>
        </w:rPr>
        <w:t>rate-of-return census blocks based on</w:t>
      </w:r>
      <w:r w:rsidRPr="005C2238" w:rsidR="00D7395C">
        <w:rPr>
          <w:szCs w:val="22"/>
        </w:rPr>
        <w:t xml:space="preserve"> </w:t>
      </w:r>
      <w:r w:rsidRPr="005C2238" w:rsidR="008946E1">
        <w:rPr>
          <w:szCs w:val="22"/>
        </w:rPr>
        <w:t xml:space="preserve">two </w:t>
      </w:r>
      <w:r w:rsidRPr="005C2238" w:rsidR="00D7395C">
        <w:rPr>
          <w:szCs w:val="22"/>
        </w:rPr>
        <w:t>revised</w:t>
      </w:r>
      <w:r w:rsidRPr="005C2238">
        <w:rPr>
          <w:szCs w:val="22"/>
        </w:rPr>
        <w:t xml:space="preserve"> study area boundar</w:t>
      </w:r>
      <w:r w:rsidRPr="005C2238" w:rsidR="00D7395C">
        <w:rPr>
          <w:szCs w:val="22"/>
        </w:rPr>
        <w:t>y</w:t>
      </w:r>
      <w:r w:rsidRPr="005C2238" w:rsidR="00F346BB">
        <w:rPr>
          <w:szCs w:val="22"/>
        </w:rPr>
        <w:t xml:space="preserve"> filing</w:t>
      </w:r>
      <w:r w:rsidRPr="005C2238" w:rsidR="008946E1">
        <w:rPr>
          <w:szCs w:val="22"/>
        </w:rPr>
        <w:t>s</w:t>
      </w:r>
      <w:r w:rsidRPr="005C2238" w:rsidR="00F346BB">
        <w:rPr>
          <w:szCs w:val="22"/>
        </w:rPr>
        <w:t>.</w:t>
      </w:r>
    </w:p>
    <w:p w:rsidR="007B3C08" w:rsidRPr="005C2238" w:rsidP="0045299C" w14:paraId="12C5D718" w14:textId="1BF87A0D">
      <w:pPr>
        <w:widowControl/>
        <w:spacing w:before="120" w:after="120"/>
        <w:ind w:firstLine="720"/>
        <w:rPr>
          <w:szCs w:val="22"/>
        </w:rPr>
      </w:pPr>
      <w:r w:rsidRPr="005C2238">
        <w:rPr>
          <w:szCs w:val="22"/>
        </w:rPr>
        <w:t xml:space="preserve">In the </w:t>
      </w:r>
      <w:r w:rsidRPr="005C2238">
        <w:rPr>
          <w:i/>
          <w:szCs w:val="22"/>
        </w:rPr>
        <w:t xml:space="preserve">Rural Digital Opportunity </w:t>
      </w:r>
      <w:r w:rsidR="0092022B">
        <w:rPr>
          <w:i/>
          <w:szCs w:val="22"/>
        </w:rPr>
        <w:t xml:space="preserve">Fund </w:t>
      </w:r>
      <w:r w:rsidRPr="005C2238" w:rsidR="0064331D">
        <w:rPr>
          <w:i/>
          <w:szCs w:val="22"/>
        </w:rPr>
        <w:t xml:space="preserve">Report and </w:t>
      </w:r>
      <w:r w:rsidRPr="005C2238">
        <w:rPr>
          <w:i/>
          <w:szCs w:val="22"/>
        </w:rPr>
        <w:t>Order</w:t>
      </w:r>
      <w:r w:rsidRPr="005C2238">
        <w:rPr>
          <w:szCs w:val="22"/>
        </w:rPr>
        <w:t xml:space="preserve">, the Commission </w:t>
      </w:r>
      <w:r w:rsidRPr="005C2238" w:rsidR="0067427D">
        <w:rPr>
          <w:szCs w:val="22"/>
        </w:rPr>
        <w:t>determined</w:t>
      </w:r>
      <w:r w:rsidRPr="005C2238">
        <w:rPr>
          <w:szCs w:val="22"/>
        </w:rPr>
        <w:t xml:space="preserve"> </w:t>
      </w:r>
      <w:r w:rsidRPr="005C2238" w:rsidR="0067427D">
        <w:rPr>
          <w:szCs w:val="22"/>
        </w:rPr>
        <w:t xml:space="preserve">which </w:t>
      </w:r>
      <w:r w:rsidRPr="005C2238">
        <w:rPr>
          <w:szCs w:val="22"/>
        </w:rPr>
        <w:t xml:space="preserve">areas </w:t>
      </w:r>
      <w:r w:rsidRPr="005C2238" w:rsidR="0067427D">
        <w:rPr>
          <w:szCs w:val="22"/>
        </w:rPr>
        <w:t xml:space="preserve">would be eligible </w:t>
      </w:r>
      <w:r w:rsidRPr="005C2238" w:rsidR="009E79EC">
        <w:rPr>
          <w:szCs w:val="22"/>
        </w:rPr>
        <w:t>to receive</w:t>
      </w:r>
      <w:r w:rsidRPr="005C2238" w:rsidR="001D6892">
        <w:rPr>
          <w:szCs w:val="22"/>
        </w:rPr>
        <w:t xml:space="preserve"> support </w:t>
      </w:r>
      <w:r w:rsidRPr="005C2238" w:rsidR="009E79EC">
        <w:rPr>
          <w:szCs w:val="22"/>
        </w:rPr>
        <w:t>through Auction 904</w:t>
      </w:r>
      <w:r w:rsidRPr="005C2238">
        <w:rPr>
          <w:szCs w:val="22"/>
        </w:rPr>
        <w:t xml:space="preserve">, and directed the Bureau to identify </w:t>
      </w:r>
      <w:r w:rsidRPr="005C2238" w:rsidR="00505BB9">
        <w:rPr>
          <w:szCs w:val="22"/>
        </w:rPr>
        <w:t xml:space="preserve">for the auction </w:t>
      </w:r>
      <w:r w:rsidRPr="005C2238" w:rsidR="00C8704F">
        <w:rPr>
          <w:szCs w:val="22"/>
        </w:rPr>
        <w:t xml:space="preserve">census </w:t>
      </w:r>
      <w:r w:rsidRPr="005C2238">
        <w:rPr>
          <w:szCs w:val="22"/>
        </w:rPr>
        <w:t xml:space="preserve">blocks that are </w:t>
      </w:r>
      <w:bookmarkStart w:id="3" w:name="_Hlk51235066"/>
      <w:r w:rsidRPr="005C2238">
        <w:rPr>
          <w:szCs w:val="22"/>
        </w:rPr>
        <w:t xml:space="preserve">wholly unserved with </w:t>
      </w:r>
      <w:r w:rsidRPr="005C2238" w:rsidR="00C8704F">
        <w:rPr>
          <w:szCs w:val="22"/>
        </w:rPr>
        <w:t xml:space="preserve">fixed </w:t>
      </w:r>
      <w:r w:rsidRPr="005C2238">
        <w:rPr>
          <w:szCs w:val="22"/>
        </w:rPr>
        <w:t xml:space="preserve">voice and broadband at speeds of </w:t>
      </w:r>
      <w:r w:rsidRPr="005C2238" w:rsidR="00C8704F">
        <w:rPr>
          <w:szCs w:val="22"/>
        </w:rPr>
        <w:t xml:space="preserve">at least </w:t>
      </w:r>
      <w:r w:rsidRPr="005C2238">
        <w:rPr>
          <w:szCs w:val="22"/>
        </w:rPr>
        <w:t>25/3 Mbps</w:t>
      </w:r>
      <w:r w:rsidRPr="005C2238" w:rsidR="00C8704F">
        <w:rPr>
          <w:szCs w:val="22"/>
        </w:rPr>
        <w:t xml:space="preserve"> by a terrestrial provider</w:t>
      </w:r>
      <w:r w:rsidRPr="005C2238">
        <w:rPr>
          <w:szCs w:val="22"/>
        </w:rPr>
        <w:t>.</w:t>
      </w:r>
      <w:r>
        <w:rPr>
          <w:rStyle w:val="FootnoteReference"/>
          <w:szCs w:val="22"/>
        </w:rPr>
        <w:footnoteReference w:id="4"/>
      </w:r>
      <w:r w:rsidRPr="005C2238" w:rsidR="00957DC9">
        <w:rPr>
          <w:szCs w:val="22"/>
        </w:rPr>
        <w:t xml:space="preserve">  The Commission further directed the Bureau to compile a preliminary list of eligible areas and conduct a limited challenge process.</w:t>
      </w:r>
      <w:r>
        <w:rPr>
          <w:rStyle w:val="FootnoteReference"/>
          <w:szCs w:val="22"/>
        </w:rPr>
        <w:footnoteReference w:id="5"/>
      </w:r>
      <w:r w:rsidRPr="005C2238" w:rsidR="00957DC9">
        <w:rPr>
          <w:szCs w:val="22"/>
        </w:rPr>
        <w:t xml:space="preserve">  In addition, the Commission directed </w:t>
      </w:r>
      <w:bookmarkStart w:id="4" w:name="_Hlk29281631"/>
      <w:r w:rsidRPr="005C2238" w:rsidR="00957DC9">
        <w:rPr>
          <w:szCs w:val="22"/>
        </w:rPr>
        <w:t xml:space="preserve">the Bureau to consult with </w:t>
      </w:r>
      <w:r w:rsidRPr="005C2238" w:rsidR="00066896">
        <w:rPr>
          <w:szCs w:val="22"/>
        </w:rPr>
        <w:t xml:space="preserve">RUS </w:t>
      </w:r>
      <w:r w:rsidRPr="005C2238" w:rsidR="00957DC9">
        <w:rPr>
          <w:szCs w:val="22"/>
        </w:rPr>
        <w:t xml:space="preserve">prior to publication of the final eligible areas and exclude the portions of any census blocks from eligibility for </w:t>
      </w:r>
      <w:r w:rsidRPr="005C2238" w:rsidR="009E79EC">
        <w:rPr>
          <w:szCs w:val="22"/>
        </w:rPr>
        <w:t>Auction 904</w:t>
      </w:r>
      <w:r w:rsidRPr="005C2238" w:rsidR="00957DC9">
        <w:rPr>
          <w:szCs w:val="22"/>
        </w:rPr>
        <w:t xml:space="preserve"> that are substantially overlapped by a ReConnect awardee as of a date certain</w:t>
      </w:r>
      <w:bookmarkEnd w:id="4"/>
      <w:r w:rsidRPr="005C2238" w:rsidR="00957DC9">
        <w:rPr>
          <w:szCs w:val="22"/>
        </w:rPr>
        <w:t>.</w:t>
      </w:r>
      <w:r>
        <w:rPr>
          <w:rStyle w:val="FootnoteReference"/>
          <w:szCs w:val="22"/>
        </w:rPr>
        <w:footnoteReference w:id="6"/>
      </w:r>
    </w:p>
    <w:p w:rsidR="003A0CCC" w:rsidRPr="005C2238" w:rsidP="000F37BB" w14:paraId="4AD975A8" w14:textId="73411F9C">
      <w:pPr>
        <w:pStyle w:val="FootnoteText"/>
        <w:ind w:firstLine="720"/>
        <w:rPr>
          <w:sz w:val="22"/>
          <w:szCs w:val="22"/>
        </w:rPr>
      </w:pPr>
      <w:r w:rsidRPr="005C2238">
        <w:rPr>
          <w:sz w:val="22"/>
          <w:szCs w:val="22"/>
        </w:rPr>
        <w:t xml:space="preserve">On March 17, 2020, the Bureau released the preliminary list of census blocks and a map of areas that were initially identified as eligible for Auction 904, and </w:t>
      </w:r>
      <w:r w:rsidRPr="005C2238" w:rsidR="008F273E">
        <w:rPr>
          <w:sz w:val="22"/>
          <w:szCs w:val="22"/>
        </w:rPr>
        <w:t>initiated the limited challenge process, with comments due on April 10, 2020.</w:t>
      </w:r>
      <w:r>
        <w:rPr>
          <w:rStyle w:val="FootnoteReference"/>
          <w:szCs w:val="22"/>
        </w:rPr>
        <w:footnoteReference w:id="7"/>
      </w:r>
      <w:bookmarkEnd w:id="3"/>
      <w:r w:rsidRPr="005C2238" w:rsidR="000F37BB">
        <w:rPr>
          <w:sz w:val="22"/>
          <w:szCs w:val="22"/>
        </w:rPr>
        <w:t xml:space="preserve">  </w:t>
      </w:r>
      <w:r w:rsidRPr="005C2238">
        <w:rPr>
          <w:sz w:val="22"/>
          <w:szCs w:val="22"/>
        </w:rPr>
        <w:t>The limited challenge process</w:t>
      </w:r>
      <w:r w:rsidRPr="005C2238" w:rsidR="000F37BB">
        <w:rPr>
          <w:sz w:val="22"/>
          <w:szCs w:val="22"/>
        </w:rPr>
        <w:t xml:space="preserve"> provided an opportunity for parties to identify </w:t>
      </w:r>
      <w:r w:rsidR="00655347">
        <w:rPr>
          <w:sz w:val="22"/>
          <w:szCs w:val="22"/>
        </w:rPr>
        <w:t xml:space="preserve">(1) </w:t>
      </w:r>
      <w:r w:rsidRPr="005C2238" w:rsidR="000F37BB">
        <w:rPr>
          <w:sz w:val="22"/>
          <w:szCs w:val="22"/>
        </w:rPr>
        <w:t>census blocks that ha</w:t>
      </w:r>
      <w:r w:rsidRPr="005C2238" w:rsidR="00F62D7E">
        <w:rPr>
          <w:sz w:val="22"/>
          <w:szCs w:val="22"/>
        </w:rPr>
        <w:t>d</w:t>
      </w:r>
      <w:r w:rsidRPr="005C2238" w:rsidR="000F37BB">
        <w:rPr>
          <w:sz w:val="22"/>
          <w:szCs w:val="22"/>
        </w:rPr>
        <w:t xml:space="preserve"> become served with voice and 25/3 Mbps or better broadband services since June 30, 2019, and </w:t>
      </w:r>
      <w:r w:rsidR="00655347">
        <w:rPr>
          <w:sz w:val="22"/>
          <w:szCs w:val="22"/>
        </w:rPr>
        <w:t xml:space="preserve">(2) </w:t>
      </w:r>
      <w:r w:rsidRPr="005C2238">
        <w:rPr>
          <w:sz w:val="22"/>
          <w:szCs w:val="22"/>
        </w:rPr>
        <w:t>census blocks that ha</w:t>
      </w:r>
      <w:r w:rsidRPr="005C2238" w:rsidR="00F62D7E">
        <w:rPr>
          <w:sz w:val="22"/>
          <w:szCs w:val="22"/>
        </w:rPr>
        <w:t>d</w:t>
      </w:r>
      <w:r w:rsidRPr="005C2238">
        <w:rPr>
          <w:sz w:val="22"/>
          <w:szCs w:val="22"/>
        </w:rPr>
        <w:t xml:space="preserve"> been awarded funding by a federal or state broadband subsidy to offer broadband service at 25/3 Mbps or better and for which funding ha</w:t>
      </w:r>
      <w:r w:rsidRPr="005C2238" w:rsidR="00F62D7E">
        <w:rPr>
          <w:sz w:val="22"/>
          <w:szCs w:val="22"/>
        </w:rPr>
        <w:t>d</w:t>
      </w:r>
      <w:r w:rsidRPr="005C2238">
        <w:rPr>
          <w:sz w:val="22"/>
          <w:szCs w:val="22"/>
        </w:rPr>
        <w:t xml:space="preserve"> already been paid or a formal commitment ha</w:t>
      </w:r>
      <w:r w:rsidRPr="009F530E" w:rsidR="00F62D7E">
        <w:rPr>
          <w:sz w:val="22"/>
          <w:szCs w:val="22"/>
        </w:rPr>
        <w:t>d</w:t>
      </w:r>
      <w:r w:rsidRPr="009F530E">
        <w:rPr>
          <w:sz w:val="22"/>
          <w:szCs w:val="22"/>
        </w:rPr>
        <w:t xml:space="preserve"> been executed</w:t>
      </w:r>
      <w:r w:rsidRPr="009F530E" w:rsidR="000F37BB">
        <w:rPr>
          <w:sz w:val="22"/>
          <w:szCs w:val="22"/>
        </w:rPr>
        <w:t>.</w:t>
      </w:r>
      <w:r>
        <w:rPr>
          <w:rStyle w:val="FootnoteReference"/>
          <w:szCs w:val="22"/>
        </w:rPr>
        <w:footnoteReference w:id="8"/>
      </w:r>
    </w:p>
    <w:p w:rsidR="00553168" w:rsidRPr="005C2238" w:rsidP="00553168" w14:paraId="138381E1" w14:textId="266F18A5">
      <w:pPr>
        <w:spacing w:before="120" w:after="120"/>
        <w:ind w:firstLine="720"/>
        <w:rPr>
          <w:szCs w:val="22"/>
        </w:rPr>
      </w:pPr>
      <w:r w:rsidRPr="005C2238">
        <w:rPr>
          <w:szCs w:val="22"/>
        </w:rPr>
        <w:t xml:space="preserve">On June 25, 2020, the Bureau and Office, in coordination with the Rural Broadband Auctions Task Force, announced the release of an updated list of </w:t>
      </w:r>
      <w:r w:rsidRPr="005C2238" w:rsidR="00FF4907">
        <w:rPr>
          <w:szCs w:val="22"/>
        </w:rPr>
        <w:t xml:space="preserve">eligible </w:t>
      </w:r>
      <w:r w:rsidRPr="005C2238">
        <w:rPr>
          <w:szCs w:val="22"/>
        </w:rPr>
        <w:t>census blocks incorporating the results of the challenge process</w:t>
      </w:r>
      <w:r w:rsidRPr="005C2238" w:rsidR="00FF4907">
        <w:rPr>
          <w:szCs w:val="22"/>
        </w:rPr>
        <w:t>, and a</w:t>
      </w:r>
      <w:r w:rsidRPr="009F530E" w:rsidR="00FF4907">
        <w:rPr>
          <w:szCs w:val="22"/>
        </w:rPr>
        <w:t xml:space="preserve">n </w:t>
      </w:r>
      <w:r w:rsidRPr="009F530E">
        <w:rPr>
          <w:szCs w:val="22"/>
        </w:rPr>
        <w:t xml:space="preserve">updated </w:t>
      </w:r>
      <w:r w:rsidRPr="009F530E" w:rsidR="00FF4907">
        <w:rPr>
          <w:szCs w:val="22"/>
        </w:rPr>
        <w:t>map</w:t>
      </w:r>
      <w:r w:rsidRPr="009F530E" w:rsidR="00614369">
        <w:rPr>
          <w:szCs w:val="22"/>
        </w:rPr>
        <w:t>.</w:t>
      </w:r>
      <w:r>
        <w:rPr>
          <w:rStyle w:val="FootnoteReference"/>
          <w:szCs w:val="22"/>
        </w:rPr>
        <w:footnoteReference w:id="9"/>
      </w:r>
      <w:r w:rsidRPr="005C2238">
        <w:rPr>
          <w:szCs w:val="22"/>
        </w:rPr>
        <w:t xml:space="preserve">  The majority of challenges were submitted by FCC Form 477 filers identifying census blocks that </w:t>
      </w:r>
      <w:r w:rsidRPr="005C2238" w:rsidR="00F527AD">
        <w:rPr>
          <w:szCs w:val="22"/>
        </w:rPr>
        <w:t xml:space="preserve">had </w:t>
      </w:r>
      <w:r w:rsidRPr="005C2238" w:rsidR="00E82A79">
        <w:rPr>
          <w:szCs w:val="22"/>
        </w:rPr>
        <w:t xml:space="preserve">received </w:t>
      </w:r>
      <w:r w:rsidRPr="005C2238">
        <w:rPr>
          <w:szCs w:val="22"/>
        </w:rPr>
        <w:t>voice and 25/3 Mbps or better broadband service since June 30, 2019.  These challenges were generally accepted, with limited exceptions, and were reflected in the updated eligible areas list.</w:t>
      </w:r>
      <w:r>
        <w:rPr>
          <w:rStyle w:val="FootnoteReference"/>
          <w:szCs w:val="22"/>
        </w:rPr>
        <w:footnoteReference w:id="10"/>
      </w:r>
      <w:r w:rsidRPr="005C2238">
        <w:rPr>
          <w:szCs w:val="22"/>
        </w:rPr>
        <w:t xml:space="preserve">  Commission staff verified that the census blocks </w:t>
      </w:r>
      <w:r w:rsidRPr="005C2238" w:rsidR="000613DA">
        <w:rPr>
          <w:szCs w:val="22"/>
        </w:rPr>
        <w:t xml:space="preserve">that </w:t>
      </w:r>
      <w:r w:rsidRPr="005C2238">
        <w:rPr>
          <w:szCs w:val="22"/>
        </w:rPr>
        <w:t>challengers identified as served as of December 31, 2019, were included in the challenger</w:t>
      </w:r>
      <w:r w:rsidRPr="005C2238">
        <w:rPr>
          <w:szCs w:val="22"/>
        </w:rPr>
        <w:t>s’</w:t>
      </w:r>
      <w:r w:rsidRPr="005C2238">
        <w:rPr>
          <w:szCs w:val="22"/>
        </w:rPr>
        <w:t xml:space="preserve"> </w:t>
      </w:r>
      <w:r w:rsidRPr="005C2238">
        <w:rPr>
          <w:szCs w:val="22"/>
        </w:rPr>
        <w:t xml:space="preserve">certified </w:t>
      </w:r>
      <w:r w:rsidRPr="005C2238">
        <w:rPr>
          <w:szCs w:val="22"/>
        </w:rPr>
        <w:t>December 2019 FCC Form 477 filing</w:t>
      </w:r>
      <w:r w:rsidRPr="005C2238">
        <w:rPr>
          <w:szCs w:val="22"/>
        </w:rPr>
        <w:t>s</w:t>
      </w:r>
      <w:r w:rsidRPr="005C2238">
        <w:rPr>
          <w:szCs w:val="22"/>
        </w:rPr>
        <w:t xml:space="preserve"> and confirmed that each provider reported voice subscribers for that state.  We removed these blocks from the eligible areas list</w:t>
      </w:r>
      <w:r w:rsidRPr="005C2238" w:rsidR="00591E36">
        <w:rPr>
          <w:szCs w:val="22"/>
        </w:rPr>
        <w:t>.</w:t>
      </w:r>
      <w:r w:rsidRPr="009F530E">
        <w:rPr>
          <w:szCs w:val="22"/>
        </w:rPr>
        <w:t xml:space="preserve"> </w:t>
      </w:r>
      <w:r w:rsidR="0092022B">
        <w:rPr>
          <w:szCs w:val="22"/>
        </w:rPr>
        <w:t xml:space="preserve"> </w:t>
      </w:r>
      <w:r w:rsidRPr="009F530E" w:rsidR="009D6AA3">
        <w:rPr>
          <w:szCs w:val="22"/>
        </w:rPr>
        <w:t>Census blocks identified as served in 2020, and thus not reflected in the December 2019 filin</w:t>
      </w:r>
      <w:r w:rsidRPr="009F530E">
        <w:rPr>
          <w:szCs w:val="22"/>
        </w:rPr>
        <w:t>g</w:t>
      </w:r>
      <w:r w:rsidRPr="009F530E" w:rsidR="009D6AA3">
        <w:rPr>
          <w:szCs w:val="22"/>
        </w:rPr>
        <w:t xml:space="preserve">, were generally accepted as served if the challenger reported voice subscriptions in the state in </w:t>
      </w:r>
      <w:r w:rsidRPr="00703F57">
        <w:rPr>
          <w:szCs w:val="22"/>
        </w:rPr>
        <w:t xml:space="preserve">its </w:t>
      </w:r>
      <w:r w:rsidRPr="00703F57" w:rsidR="009D6AA3">
        <w:rPr>
          <w:szCs w:val="22"/>
        </w:rPr>
        <w:t>December 2019 filing.</w:t>
      </w:r>
      <w:r>
        <w:rPr>
          <w:rStyle w:val="FootnoteReference"/>
          <w:szCs w:val="22"/>
        </w:rPr>
        <w:footnoteReference w:id="11"/>
      </w:r>
      <w:r w:rsidRPr="005C2238" w:rsidR="0004161F">
        <w:rPr>
          <w:szCs w:val="22"/>
        </w:rPr>
        <w:t xml:space="preserve">  </w:t>
      </w:r>
    </w:p>
    <w:p w:rsidR="00671ECC" w:rsidRPr="005C2238" w:rsidP="00591E36" w14:paraId="371A5208" w14:textId="52A61619">
      <w:pPr>
        <w:widowControl/>
        <w:spacing w:before="120" w:after="120"/>
        <w:ind w:firstLine="720"/>
        <w:rPr>
          <w:szCs w:val="22"/>
        </w:rPr>
      </w:pPr>
      <w:r w:rsidRPr="005C2238">
        <w:rPr>
          <w:szCs w:val="22"/>
        </w:rPr>
        <w:t xml:space="preserve">Challenges filed by states and broadband providers identifying census blocks receiving state broadband grants were generally </w:t>
      </w:r>
      <w:r w:rsidRPr="005C2238" w:rsidR="009E79EC">
        <w:rPr>
          <w:szCs w:val="22"/>
        </w:rPr>
        <w:t xml:space="preserve">accepted and the relevant areas </w:t>
      </w:r>
      <w:r w:rsidRPr="005C2238">
        <w:rPr>
          <w:szCs w:val="22"/>
        </w:rPr>
        <w:t xml:space="preserve">removed from the </w:t>
      </w:r>
      <w:r w:rsidRPr="005C2238" w:rsidR="006D36AB">
        <w:rPr>
          <w:szCs w:val="22"/>
        </w:rPr>
        <w:t xml:space="preserve">updated </w:t>
      </w:r>
      <w:r w:rsidRPr="005C2238">
        <w:rPr>
          <w:szCs w:val="22"/>
        </w:rPr>
        <w:t>eligible areas list after Commission staff verified that the grant recipient had</w:t>
      </w:r>
      <w:r w:rsidRPr="005C2238" w:rsidR="00F24346">
        <w:rPr>
          <w:szCs w:val="22"/>
        </w:rPr>
        <w:t xml:space="preserve"> previously secured</w:t>
      </w:r>
      <w:r w:rsidRPr="009F530E">
        <w:rPr>
          <w:szCs w:val="22"/>
        </w:rPr>
        <w:t xml:space="preserve"> a binding commitment to provide 25/3 Mbps or better broadband.  </w:t>
      </w:r>
      <w:r w:rsidRPr="005C2238" w:rsidR="006D36AB">
        <w:rPr>
          <w:szCs w:val="22"/>
        </w:rPr>
        <w:t>In addition, t</w:t>
      </w:r>
      <w:r w:rsidRPr="005C2238">
        <w:rPr>
          <w:szCs w:val="22"/>
        </w:rPr>
        <w:t>he updated list exclude</w:t>
      </w:r>
      <w:r w:rsidRPr="005C2238" w:rsidR="00CF6A2A">
        <w:rPr>
          <w:szCs w:val="22"/>
        </w:rPr>
        <w:t>d</w:t>
      </w:r>
      <w:r w:rsidRPr="005C2238">
        <w:rPr>
          <w:szCs w:val="22"/>
        </w:rPr>
        <w:t xml:space="preserve"> areas that were awarded ReConnect Round 1 grants and grant/loan combinations as identified by a shapefile provided to the Commission by RUS</w:t>
      </w:r>
      <w:r w:rsidRPr="005C2238" w:rsidR="00CF6A2A">
        <w:rPr>
          <w:szCs w:val="22"/>
        </w:rPr>
        <w:t xml:space="preserve">, but </w:t>
      </w:r>
      <w:r w:rsidRPr="005C2238">
        <w:rPr>
          <w:szCs w:val="22"/>
        </w:rPr>
        <w:t>include</w:t>
      </w:r>
      <w:r w:rsidRPr="005C2238" w:rsidR="00CF6A2A">
        <w:rPr>
          <w:szCs w:val="22"/>
        </w:rPr>
        <w:t>d</w:t>
      </w:r>
      <w:r w:rsidRPr="005C2238">
        <w:rPr>
          <w:szCs w:val="22"/>
        </w:rPr>
        <w:t xml:space="preserve"> census blocks and portions of census blocks that were a</w:t>
      </w:r>
      <w:r w:rsidRPr="009F530E">
        <w:rPr>
          <w:szCs w:val="22"/>
        </w:rPr>
        <w:t>warded 100% loans in ReConnect Round 1</w:t>
      </w:r>
      <w:r w:rsidRPr="005C2238" w:rsidR="00066896">
        <w:rPr>
          <w:szCs w:val="22"/>
        </w:rPr>
        <w:t xml:space="preserve">.  </w:t>
      </w:r>
      <w:r w:rsidRPr="005C2238" w:rsidR="00D62C97">
        <w:rPr>
          <w:szCs w:val="22"/>
        </w:rPr>
        <w:t xml:space="preserve">In the </w:t>
      </w:r>
      <w:r w:rsidRPr="005C2238" w:rsidR="00D62C97">
        <w:rPr>
          <w:i/>
          <w:iCs/>
          <w:szCs w:val="22"/>
        </w:rPr>
        <w:t xml:space="preserve">Updated Eligible </w:t>
      </w:r>
      <w:r w:rsidRPr="005C2238" w:rsidR="007A2AB6">
        <w:rPr>
          <w:i/>
          <w:iCs/>
          <w:szCs w:val="22"/>
        </w:rPr>
        <w:t xml:space="preserve">Areas </w:t>
      </w:r>
      <w:r w:rsidRPr="005C2238" w:rsidR="00D62C97">
        <w:rPr>
          <w:i/>
          <w:iCs/>
          <w:szCs w:val="22"/>
        </w:rPr>
        <w:t>P</w:t>
      </w:r>
      <w:r w:rsidR="0092022B">
        <w:rPr>
          <w:i/>
          <w:iCs/>
          <w:szCs w:val="22"/>
        </w:rPr>
        <w:t xml:space="preserve">ublic </w:t>
      </w:r>
      <w:r w:rsidRPr="005C2238" w:rsidR="00D62C97">
        <w:rPr>
          <w:i/>
          <w:iCs/>
          <w:szCs w:val="22"/>
        </w:rPr>
        <w:t>N</w:t>
      </w:r>
      <w:r w:rsidR="0092022B">
        <w:rPr>
          <w:i/>
          <w:iCs/>
          <w:szCs w:val="22"/>
        </w:rPr>
        <w:t>otice</w:t>
      </w:r>
      <w:r w:rsidRPr="005C2238" w:rsidR="00D62C97">
        <w:rPr>
          <w:szCs w:val="22"/>
        </w:rPr>
        <w:t xml:space="preserve">, we indicated that we would finalize the eligible areas </w:t>
      </w:r>
      <w:r w:rsidRPr="005C2238" w:rsidR="00261E3B">
        <w:rPr>
          <w:szCs w:val="22"/>
        </w:rPr>
        <w:t>by removing Round 2 RUS awards and making any needed corrections.</w:t>
      </w:r>
      <w:r>
        <w:rPr>
          <w:rStyle w:val="FootnoteReference"/>
          <w:szCs w:val="22"/>
        </w:rPr>
        <w:footnoteReference w:id="12"/>
      </w:r>
    </w:p>
    <w:p w:rsidR="00671ECC" w:rsidRPr="005C2238" w:rsidP="00380AFA" w14:paraId="07C9C6B7" w14:textId="77777777">
      <w:pPr>
        <w:spacing w:before="120" w:after="120"/>
        <w:ind w:firstLine="720"/>
        <w:rPr>
          <w:szCs w:val="22"/>
        </w:rPr>
      </w:pPr>
      <w:r w:rsidRPr="005C2238">
        <w:rPr>
          <w:szCs w:val="22"/>
        </w:rPr>
        <w:t>Accordingly, w</w:t>
      </w:r>
      <w:r w:rsidRPr="005C2238">
        <w:rPr>
          <w:szCs w:val="22"/>
        </w:rPr>
        <w:t xml:space="preserve">e make the following changes to the eligible areas in order to finalize the eligible areas for Auction 904: </w:t>
      </w:r>
    </w:p>
    <w:p w:rsidR="003904C7" w:rsidRPr="009F530E" w:rsidP="00380AFA" w14:paraId="62D90ABC" w14:textId="77777777">
      <w:pPr>
        <w:spacing w:before="120" w:after="120"/>
        <w:ind w:firstLine="720"/>
        <w:rPr>
          <w:szCs w:val="22"/>
        </w:rPr>
      </w:pPr>
      <w:r w:rsidRPr="005C2238">
        <w:rPr>
          <w:szCs w:val="22"/>
        </w:rPr>
        <w:t>First, as directed by the Commission, we exclude from Auction 904 eligibility areas that were included in a shapefile provided by RUS o</w:t>
      </w:r>
      <w:bookmarkStart w:id="5" w:name="_Hlk51339048"/>
      <w:r w:rsidRPr="005C2238" w:rsidR="00D7395C">
        <w:rPr>
          <w:szCs w:val="22"/>
        </w:rPr>
        <w:t xml:space="preserve">n September 4, 2020, </w:t>
      </w:r>
      <w:r w:rsidRPr="005C2238" w:rsidR="00A04C48">
        <w:rPr>
          <w:szCs w:val="22"/>
        </w:rPr>
        <w:t xml:space="preserve">identifying census blocks </w:t>
      </w:r>
      <w:r w:rsidRPr="005C2238" w:rsidR="00380AFA">
        <w:rPr>
          <w:szCs w:val="22"/>
        </w:rPr>
        <w:t>and portions of blocks that were awarded ReConnect Round 2 grants and grant/loan combinations</w:t>
      </w:r>
      <w:r w:rsidRPr="009F530E" w:rsidR="00A04C48">
        <w:rPr>
          <w:szCs w:val="22"/>
        </w:rPr>
        <w:t>.</w:t>
      </w:r>
      <w:r w:rsidRPr="009F530E" w:rsidR="006D36AB">
        <w:rPr>
          <w:szCs w:val="22"/>
        </w:rPr>
        <w:t xml:space="preserve"> </w:t>
      </w:r>
      <w:bookmarkEnd w:id="5"/>
    </w:p>
    <w:p w:rsidR="00671ECC" w:rsidRPr="00703F57" w:rsidP="00380AFA" w14:paraId="3B7DA73D" w14:textId="77777777">
      <w:pPr>
        <w:spacing w:before="120" w:after="120"/>
        <w:ind w:firstLine="720"/>
        <w:rPr>
          <w:szCs w:val="22"/>
        </w:rPr>
      </w:pPr>
      <w:r w:rsidRPr="009F530E">
        <w:rPr>
          <w:szCs w:val="22"/>
        </w:rPr>
        <w:t xml:space="preserve">Second, we make the following three corrections to challenges by FCC Form 477 filers:  </w:t>
      </w:r>
    </w:p>
    <w:p w:rsidR="00FD1B95" w:rsidRPr="009064DB" w:rsidP="00FD1B95" w14:paraId="5E8599F0" w14:textId="6BF4742B">
      <w:pPr>
        <w:numPr>
          <w:ilvl w:val="0"/>
          <w:numId w:val="13"/>
        </w:numPr>
        <w:spacing w:before="120" w:after="120"/>
        <w:rPr>
          <w:szCs w:val="22"/>
        </w:rPr>
      </w:pPr>
      <w:r w:rsidRPr="00D06C85">
        <w:rPr>
          <w:szCs w:val="22"/>
        </w:rPr>
        <w:t>Savage Communications submitted a challenge via postal mail delivered to FCC Headquarters on April 7, 2020.</w:t>
      </w:r>
      <w:r>
        <w:rPr>
          <w:rStyle w:val="FootnoteReference"/>
          <w:szCs w:val="22"/>
        </w:rPr>
        <w:footnoteReference w:id="13"/>
      </w:r>
      <w:r w:rsidRPr="00D06C85">
        <w:rPr>
          <w:szCs w:val="22"/>
        </w:rPr>
        <w:t xml:space="preserve">  The filing was not uploaded into ECFS because Commission staff were unable to access hard copy filings after Headquarters closed due to the pandemic.  We now </w:t>
      </w:r>
      <w:r w:rsidRPr="009064DB" w:rsidR="009E79EC">
        <w:rPr>
          <w:szCs w:val="22"/>
        </w:rPr>
        <w:t xml:space="preserve">remove </w:t>
      </w:r>
      <w:r w:rsidRPr="009064DB">
        <w:rPr>
          <w:szCs w:val="22"/>
        </w:rPr>
        <w:t xml:space="preserve">Savage’s challenged </w:t>
      </w:r>
      <w:r w:rsidR="009064DB">
        <w:rPr>
          <w:szCs w:val="22"/>
        </w:rPr>
        <w:t xml:space="preserve">and verified </w:t>
      </w:r>
      <w:r w:rsidRPr="009064DB">
        <w:rPr>
          <w:szCs w:val="22"/>
        </w:rPr>
        <w:t>census blocks</w:t>
      </w:r>
      <w:r w:rsidRPr="009064DB" w:rsidR="009E79EC">
        <w:rPr>
          <w:szCs w:val="22"/>
        </w:rPr>
        <w:t xml:space="preserve"> from</w:t>
      </w:r>
      <w:r w:rsidR="009064DB">
        <w:rPr>
          <w:szCs w:val="22"/>
        </w:rPr>
        <w:t xml:space="preserve"> </w:t>
      </w:r>
      <w:r w:rsidRPr="009064DB" w:rsidR="00210645">
        <w:rPr>
          <w:szCs w:val="22"/>
        </w:rPr>
        <w:t xml:space="preserve">the </w:t>
      </w:r>
      <w:r w:rsidRPr="009064DB" w:rsidR="009E79EC">
        <w:rPr>
          <w:szCs w:val="22"/>
        </w:rPr>
        <w:t>eligible areas list</w:t>
      </w:r>
      <w:r w:rsidRPr="009064DB">
        <w:rPr>
          <w:szCs w:val="22"/>
        </w:rPr>
        <w:t>.</w:t>
      </w:r>
    </w:p>
    <w:p w:rsidR="00671ECC" w:rsidRPr="009F530E" w:rsidP="002525F7" w14:paraId="466F70AB" w14:textId="77777777">
      <w:pPr>
        <w:numPr>
          <w:ilvl w:val="0"/>
          <w:numId w:val="13"/>
        </w:numPr>
        <w:spacing w:before="120" w:after="120"/>
        <w:rPr>
          <w:szCs w:val="22"/>
        </w:rPr>
      </w:pPr>
      <w:r w:rsidRPr="009064DB">
        <w:rPr>
          <w:szCs w:val="22"/>
        </w:rPr>
        <w:t xml:space="preserve">Cox Communications filed a letter withdrawing its challenge </w:t>
      </w:r>
      <w:r w:rsidRPr="009064DB" w:rsidR="00A55877">
        <w:rPr>
          <w:szCs w:val="22"/>
        </w:rPr>
        <w:t xml:space="preserve">for two </w:t>
      </w:r>
      <w:r w:rsidRPr="009064DB" w:rsidR="004D1FF9">
        <w:rPr>
          <w:szCs w:val="22"/>
        </w:rPr>
        <w:t xml:space="preserve">census </w:t>
      </w:r>
      <w:r w:rsidRPr="009064DB" w:rsidR="00A55877">
        <w:rPr>
          <w:szCs w:val="22"/>
        </w:rPr>
        <w:t>blocks in New Shoreham, Rhode Island</w:t>
      </w:r>
      <w:r w:rsidRPr="009064DB" w:rsidR="00032070">
        <w:rPr>
          <w:szCs w:val="22"/>
        </w:rPr>
        <w:t xml:space="preserve"> and </w:t>
      </w:r>
      <w:r w:rsidRPr="009064DB" w:rsidR="001312D6">
        <w:rPr>
          <w:szCs w:val="22"/>
        </w:rPr>
        <w:t xml:space="preserve">stating that </w:t>
      </w:r>
      <w:r w:rsidRPr="009064DB" w:rsidR="00B76E45">
        <w:rPr>
          <w:szCs w:val="22"/>
        </w:rPr>
        <w:t xml:space="preserve">it had </w:t>
      </w:r>
      <w:r w:rsidRPr="009064DB" w:rsidR="00032070">
        <w:rPr>
          <w:szCs w:val="22"/>
        </w:rPr>
        <w:t>revised its December 2019 FCC Form 477 filing</w:t>
      </w:r>
      <w:r w:rsidRPr="009064DB" w:rsidR="004D1FF9">
        <w:rPr>
          <w:szCs w:val="22"/>
        </w:rPr>
        <w:t xml:space="preserve"> </w:t>
      </w:r>
      <w:r w:rsidRPr="009064DB" w:rsidR="00780B72">
        <w:rPr>
          <w:szCs w:val="22"/>
        </w:rPr>
        <w:t>to remove these blocks from its reported deployment</w:t>
      </w:r>
      <w:r w:rsidRPr="009064DB" w:rsidR="00A55877">
        <w:rPr>
          <w:szCs w:val="22"/>
        </w:rPr>
        <w:t>.</w:t>
      </w:r>
      <w:r>
        <w:rPr>
          <w:rStyle w:val="FootnoteReference"/>
          <w:szCs w:val="22"/>
        </w:rPr>
        <w:footnoteReference w:id="14"/>
      </w:r>
      <w:r w:rsidRPr="005C2238" w:rsidR="00A55877">
        <w:rPr>
          <w:szCs w:val="22"/>
        </w:rPr>
        <w:t xml:space="preserve"> </w:t>
      </w:r>
      <w:r w:rsidRPr="005C2238" w:rsidR="006B1ED4">
        <w:rPr>
          <w:szCs w:val="22"/>
        </w:rPr>
        <w:t xml:space="preserve"> </w:t>
      </w:r>
      <w:r w:rsidRPr="005C2238" w:rsidR="004D1FF9">
        <w:rPr>
          <w:szCs w:val="22"/>
        </w:rPr>
        <w:t>As a result, w</w:t>
      </w:r>
      <w:r w:rsidRPr="005C2238" w:rsidR="00032070">
        <w:rPr>
          <w:szCs w:val="22"/>
        </w:rPr>
        <w:t xml:space="preserve">e </w:t>
      </w:r>
      <w:r w:rsidRPr="005C2238" w:rsidR="005C62DE">
        <w:rPr>
          <w:szCs w:val="22"/>
        </w:rPr>
        <w:t xml:space="preserve">remove these </w:t>
      </w:r>
      <w:r w:rsidRPr="005C2238" w:rsidR="00A55877">
        <w:rPr>
          <w:szCs w:val="22"/>
        </w:rPr>
        <w:t xml:space="preserve">two blocks </w:t>
      </w:r>
      <w:r w:rsidRPr="005C2238" w:rsidR="005C62DE">
        <w:rPr>
          <w:szCs w:val="22"/>
        </w:rPr>
        <w:t>from Cox’s challenge</w:t>
      </w:r>
      <w:r w:rsidRPr="005C2238" w:rsidR="009E79EC">
        <w:rPr>
          <w:szCs w:val="22"/>
        </w:rPr>
        <w:t xml:space="preserve"> and place them back on the eligible areas list</w:t>
      </w:r>
      <w:r w:rsidRPr="009F530E" w:rsidR="00A55877">
        <w:rPr>
          <w:szCs w:val="22"/>
        </w:rPr>
        <w:t>.</w:t>
      </w:r>
    </w:p>
    <w:p w:rsidR="00671ECC" w:rsidRPr="009F530E" w:rsidP="00A32D2B" w14:paraId="3C4219DA" w14:textId="31A675D4">
      <w:pPr>
        <w:numPr>
          <w:ilvl w:val="0"/>
          <w:numId w:val="13"/>
        </w:numPr>
        <w:spacing w:before="120" w:after="120"/>
        <w:rPr>
          <w:szCs w:val="22"/>
        </w:rPr>
      </w:pPr>
      <w:r w:rsidRPr="009F530E">
        <w:rPr>
          <w:szCs w:val="22"/>
        </w:rPr>
        <w:t>DigitalPath</w:t>
      </w:r>
      <w:r w:rsidRPr="009F530E" w:rsidR="00BA1BFE">
        <w:rPr>
          <w:szCs w:val="22"/>
        </w:rPr>
        <w:t xml:space="preserve"> submitted a </w:t>
      </w:r>
      <w:r w:rsidRPr="009F530E">
        <w:rPr>
          <w:szCs w:val="22"/>
        </w:rPr>
        <w:t xml:space="preserve">challenge </w:t>
      </w:r>
      <w:r w:rsidRPr="00703F57" w:rsidR="00BA1BFE">
        <w:rPr>
          <w:szCs w:val="22"/>
        </w:rPr>
        <w:t xml:space="preserve">but </w:t>
      </w:r>
      <w:r w:rsidRPr="00703F57">
        <w:rPr>
          <w:szCs w:val="22"/>
        </w:rPr>
        <w:t xml:space="preserve">Commission staff inadvertently overlooked </w:t>
      </w:r>
      <w:r w:rsidRPr="00D06C85" w:rsidR="00BA1BFE">
        <w:rPr>
          <w:szCs w:val="22"/>
        </w:rPr>
        <w:t xml:space="preserve">some of the challenged </w:t>
      </w:r>
      <w:r w:rsidRPr="00D06C85" w:rsidR="00ED2165">
        <w:rPr>
          <w:szCs w:val="22"/>
        </w:rPr>
        <w:t xml:space="preserve">census </w:t>
      </w:r>
      <w:r w:rsidRPr="009064DB" w:rsidR="00C80E9E">
        <w:rPr>
          <w:szCs w:val="22"/>
        </w:rPr>
        <w:t xml:space="preserve">blocks </w:t>
      </w:r>
      <w:r w:rsidRPr="009064DB" w:rsidR="00ED2165">
        <w:rPr>
          <w:szCs w:val="22"/>
        </w:rPr>
        <w:t xml:space="preserve">in California </w:t>
      </w:r>
      <w:r w:rsidRPr="009064DB" w:rsidR="00BA1BFE">
        <w:rPr>
          <w:szCs w:val="22"/>
        </w:rPr>
        <w:t xml:space="preserve">served by DigitalPath </w:t>
      </w:r>
      <w:r w:rsidRPr="009064DB" w:rsidR="004D1FF9">
        <w:rPr>
          <w:szCs w:val="22"/>
        </w:rPr>
        <w:t xml:space="preserve">when </w:t>
      </w:r>
      <w:r w:rsidRPr="009064DB" w:rsidR="00ED2165">
        <w:rPr>
          <w:szCs w:val="22"/>
        </w:rPr>
        <w:t xml:space="preserve">updating </w:t>
      </w:r>
      <w:r w:rsidRPr="009064DB" w:rsidR="00C80E9E">
        <w:rPr>
          <w:szCs w:val="22"/>
        </w:rPr>
        <w:t>the</w:t>
      </w:r>
      <w:r w:rsidRPr="009064DB" w:rsidR="00ED2165">
        <w:rPr>
          <w:szCs w:val="22"/>
        </w:rPr>
        <w:t xml:space="preserve"> </w:t>
      </w:r>
      <w:r w:rsidRPr="009064DB" w:rsidR="00DC7DB7">
        <w:rPr>
          <w:szCs w:val="22"/>
        </w:rPr>
        <w:t xml:space="preserve">list of </w:t>
      </w:r>
      <w:r w:rsidRPr="009064DB" w:rsidR="00C80E9E">
        <w:rPr>
          <w:szCs w:val="22"/>
        </w:rPr>
        <w:t>eligible areas.</w:t>
      </w:r>
      <w:r>
        <w:rPr>
          <w:rStyle w:val="FootnoteReference"/>
          <w:szCs w:val="22"/>
        </w:rPr>
        <w:footnoteReference w:id="15"/>
      </w:r>
      <w:r w:rsidRPr="005C2238" w:rsidR="00C80E9E">
        <w:rPr>
          <w:szCs w:val="22"/>
        </w:rPr>
        <w:t xml:space="preserve">  We now </w:t>
      </w:r>
      <w:r w:rsidRPr="005C2238" w:rsidR="009E79EC">
        <w:rPr>
          <w:szCs w:val="22"/>
        </w:rPr>
        <w:t xml:space="preserve">remove </w:t>
      </w:r>
      <w:r w:rsidRPr="005C2238" w:rsidR="004D1FF9">
        <w:rPr>
          <w:szCs w:val="22"/>
        </w:rPr>
        <w:t xml:space="preserve">these additional </w:t>
      </w:r>
      <w:r w:rsidRPr="005C2238" w:rsidR="00ED2165">
        <w:rPr>
          <w:szCs w:val="22"/>
        </w:rPr>
        <w:t xml:space="preserve">challenged </w:t>
      </w:r>
      <w:r w:rsidR="009064DB">
        <w:rPr>
          <w:szCs w:val="22"/>
        </w:rPr>
        <w:t xml:space="preserve">and verified </w:t>
      </w:r>
      <w:r w:rsidRPr="005C2238" w:rsidR="00ED2165">
        <w:rPr>
          <w:szCs w:val="22"/>
        </w:rPr>
        <w:t>census blocks</w:t>
      </w:r>
      <w:r w:rsidR="009064DB">
        <w:rPr>
          <w:szCs w:val="22"/>
        </w:rPr>
        <w:t xml:space="preserve"> from </w:t>
      </w:r>
      <w:r w:rsidRPr="009F530E" w:rsidR="009E79EC">
        <w:rPr>
          <w:szCs w:val="22"/>
        </w:rPr>
        <w:t>the eligible areas list</w:t>
      </w:r>
      <w:r w:rsidRPr="009F530E" w:rsidR="007165B2">
        <w:rPr>
          <w:szCs w:val="22"/>
        </w:rPr>
        <w:t>.</w:t>
      </w:r>
    </w:p>
    <w:p w:rsidR="00210645" w:rsidRPr="005C2238" w:rsidP="00380AFA" w14:paraId="7728C458" w14:textId="184CF3F1">
      <w:pPr>
        <w:spacing w:before="120" w:after="120"/>
        <w:ind w:firstLine="720"/>
        <w:rPr>
          <w:szCs w:val="22"/>
        </w:rPr>
      </w:pPr>
      <w:r w:rsidRPr="009F530E">
        <w:rPr>
          <w:szCs w:val="22"/>
        </w:rPr>
        <w:t xml:space="preserve">These challenges </w:t>
      </w:r>
      <w:r w:rsidRPr="00703F57">
        <w:rPr>
          <w:szCs w:val="22"/>
        </w:rPr>
        <w:t xml:space="preserve">were adjudicated and incorporated into the eligible areas </w:t>
      </w:r>
      <w:r w:rsidRPr="00D06C85">
        <w:rPr>
          <w:szCs w:val="22"/>
        </w:rPr>
        <w:t xml:space="preserve">the same as the Form 477 filers challenges </w:t>
      </w:r>
      <w:r w:rsidRPr="009064DB">
        <w:rPr>
          <w:szCs w:val="22"/>
        </w:rPr>
        <w:t xml:space="preserve">addressed in the </w:t>
      </w:r>
      <w:r w:rsidRPr="009064DB">
        <w:rPr>
          <w:i/>
          <w:iCs/>
          <w:szCs w:val="22"/>
        </w:rPr>
        <w:t>Updated Eligible Areas P</w:t>
      </w:r>
      <w:r w:rsidR="0092022B">
        <w:rPr>
          <w:i/>
          <w:iCs/>
          <w:szCs w:val="22"/>
        </w:rPr>
        <w:t xml:space="preserve">ublic </w:t>
      </w:r>
      <w:r w:rsidRPr="009064DB">
        <w:rPr>
          <w:i/>
          <w:iCs/>
          <w:szCs w:val="22"/>
        </w:rPr>
        <w:t>N</w:t>
      </w:r>
      <w:r w:rsidR="0092022B">
        <w:rPr>
          <w:i/>
          <w:iCs/>
          <w:szCs w:val="22"/>
        </w:rPr>
        <w:t>otice</w:t>
      </w:r>
      <w:r w:rsidRPr="009064DB">
        <w:rPr>
          <w:szCs w:val="22"/>
        </w:rPr>
        <w:t>.</w:t>
      </w:r>
      <w:r>
        <w:rPr>
          <w:rStyle w:val="FootnoteReference"/>
          <w:szCs w:val="22"/>
        </w:rPr>
        <w:footnoteReference w:id="16"/>
      </w:r>
      <w:r w:rsidRPr="005C2238">
        <w:rPr>
          <w:szCs w:val="22"/>
        </w:rPr>
        <w:t xml:space="preserve">  See the appendix to this P</w:t>
      </w:r>
      <w:r w:rsidR="0092022B">
        <w:rPr>
          <w:szCs w:val="22"/>
        </w:rPr>
        <w:t>ublic Notice</w:t>
      </w:r>
      <w:r w:rsidRPr="005C2238">
        <w:rPr>
          <w:szCs w:val="22"/>
        </w:rPr>
        <w:t xml:space="preserve">.  </w:t>
      </w:r>
    </w:p>
    <w:p w:rsidR="006B6FEB" w:rsidRPr="009F530E" w:rsidP="00380AFA" w14:paraId="4EE68FD8" w14:textId="5B371806">
      <w:pPr>
        <w:spacing w:before="120" w:after="120"/>
        <w:ind w:firstLine="720"/>
        <w:rPr>
          <w:szCs w:val="22"/>
        </w:rPr>
      </w:pPr>
      <w:r w:rsidRPr="005C2238">
        <w:rPr>
          <w:szCs w:val="22"/>
        </w:rPr>
        <w:t xml:space="preserve">Third, and finally, we remove from the final list of eligible areas the census blocks within the boundaries of two rate-of-return incumbents’ study areas.  </w:t>
      </w:r>
      <w:r w:rsidRPr="009F530E" w:rsidR="0052358C">
        <w:rPr>
          <w:szCs w:val="22"/>
        </w:rPr>
        <w:t>Range Telephone Cooperative,</w:t>
      </w:r>
      <w:r w:rsidRPr="009F530E" w:rsidR="004C1689">
        <w:rPr>
          <w:szCs w:val="22"/>
        </w:rPr>
        <w:t xml:space="preserve"> Inc.</w:t>
      </w:r>
      <w:r w:rsidRPr="009F530E" w:rsidR="0052358C">
        <w:rPr>
          <w:szCs w:val="22"/>
        </w:rPr>
        <w:t xml:space="preserve"> a rate-of-return carrier in Wyoming, and Dubois Telephone Exchange, Inc., a wholly owned Range</w:t>
      </w:r>
      <w:r w:rsidRPr="009F530E" w:rsidR="009E79EC">
        <w:rPr>
          <w:szCs w:val="22"/>
        </w:rPr>
        <w:t xml:space="preserve"> </w:t>
      </w:r>
      <w:r w:rsidRPr="009F530E" w:rsidR="0052358C">
        <w:rPr>
          <w:szCs w:val="22"/>
        </w:rPr>
        <w:t>subsidiary in Montana,</w:t>
      </w:r>
      <w:r w:rsidRPr="009F530E" w:rsidR="0052358C">
        <w:rPr>
          <w:b/>
          <w:bCs/>
          <w:szCs w:val="22"/>
        </w:rPr>
        <w:t xml:space="preserve"> </w:t>
      </w:r>
      <w:r w:rsidRPr="009F530E" w:rsidR="0052358C">
        <w:rPr>
          <w:szCs w:val="22"/>
        </w:rPr>
        <w:t xml:space="preserve">submitted </w:t>
      </w:r>
      <w:r w:rsidRPr="009F530E" w:rsidR="003923E9">
        <w:rPr>
          <w:szCs w:val="22"/>
        </w:rPr>
        <w:t xml:space="preserve">timely </w:t>
      </w:r>
      <w:r w:rsidRPr="009F530E" w:rsidR="0052358C">
        <w:rPr>
          <w:szCs w:val="22"/>
        </w:rPr>
        <w:t xml:space="preserve">comments in the challenge process </w:t>
      </w:r>
      <w:r w:rsidRPr="009F530E" w:rsidR="00C85574">
        <w:rPr>
          <w:szCs w:val="22"/>
        </w:rPr>
        <w:t xml:space="preserve">identifying </w:t>
      </w:r>
      <w:r w:rsidRPr="009F530E" w:rsidR="0052358C">
        <w:rPr>
          <w:szCs w:val="22"/>
        </w:rPr>
        <w:t>certain census blocks in the</w:t>
      </w:r>
      <w:r w:rsidRPr="009F530E" w:rsidR="00F625B9">
        <w:rPr>
          <w:szCs w:val="22"/>
        </w:rPr>
        <w:t>ir</w:t>
      </w:r>
      <w:r w:rsidRPr="009F530E" w:rsidR="0052358C">
        <w:rPr>
          <w:szCs w:val="22"/>
        </w:rPr>
        <w:t xml:space="preserve"> study areas that </w:t>
      </w:r>
      <w:r w:rsidRPr="009F530E" w:rsidR="00836CF2">
        <w:rPr>
          <w:szCs w:val="22"/>
        </w:rPr>
        <w:t xml:space="preserve">should not have been </w:t>
      </w:r>
      <w:r w:rsidRPr="009F530E" w:rsidR="0052358C">
        <w:rPr>
          <w:szCs w:val="22"/>
        </w:rPr>
        <w:t>included in the initial list of eligible areas.</w:t>
      </w:r>
      <w:r>
        <w:rPr>
          <w:rStyle w:val="FootnoteReference"/>
          <w:szCs w:val="22"/>
        </w:rPr>
        <w:footnoteReference w:id="17"/>
      </w:r>
      <w:r w:rsidRPr="005C2238" w:rsidR="0052358C">
        <w:rPr>
          <w:szCs w:val="22"/>
        </w:rPr>
        <w:t xml:space="preserve">  </w:t>
      </w:r>
      <w:r w:rsidRPr="005C2238" w:rsidR="00836CF2">
        <w:rPr>
          <w:szCs w:val="22"/>
        </w:rPr>
        <w:t xml:space="preserve">Both companies receive federal high-cost support from the Alternative Connect America Cost Model support mechanism. </w:t>
      </w:r>
      <w:r w:rsidRPr="005C2238" w:rsidR="00DC103A">
        <w:rPr>
          <w:szCs w:val="22"/>
        </w:rPr>
        <w:t>T</w:t>
      </w:r>
      <w:r w:rsidRPr="005C2238" w:rsidR="004C1689">
        <w:rPr>
          <w:szCs w:val="22"/>
        </w:rPr>
        <w:t xml:space="preserve">he Range companies submitted </w:t>
      </w:r>
      <w:r w:rsidRPr="009F530E" w:rsidR="0052358C">
        <w:rPr>
          <w:szCs w:val="22"/>
        </w:rPr>
        <w:t>and certified corrections to their study area boundaries</w:t>
      </w:r>
      <w:r w:rsidRPr="009F530E" w:rsidR="00836CF2">
        <w:rPr>
          <w:szCs w:val="22"/>
        </w:rPr>
        <w:t xml:space="preserve"> and we now exclude the challenged census blocks from the final eligible areas list</w:t>
      </w:r>
      <w:r w:rsidRPr="009F530E" w:rsidR="004C1689">
        <w:rPr>
          <w:szCs w:val="22"/>
        </w:rPr>
        <w:t xml:space="preserve">.  </w:t>
      </w:r>
    </w:p>
    <w:p w:rsidR="00D2788D" w:rsidRPr="005C2238" w:rsidP="00D51110" w14:paraId="7E292E87" w14:textId="310C955F">
      <w:pPr>
        <w:widowControl/>
        <w:spacing w:before="120" w:after="120"/>
        <w:ind w:firstLine="720"/>
        <w:rPr>
          <w:szCs w:val="22"/>
        </w:rPr>
      </w:pPr>
      <w:r w:rsidRPr="009F530E">
        <w:rPr>
          <w:szCs w:val="22"/>
        </w:rPr>
        <w:t xml:space="preserve">For each census block, the </w:t>
      </w:r>
      <w:r w:rsidRPr="009F530E" w:rsidR="003D12A7">
        <w:rPr>
          <w:szCs w:val="22"/>
        </w:rPr>
        <w:t xml:space="preserve">final </w:t>
      </w:r>
      <w:r w:rsidRPr="009F530E">
        <w:rPr>
          <w:szCs w:val="22"/>
        </w:rPr>
        <w:t xml:space="preserve">list identifies the relevant state abbreviation, county name and the census block identification number (15-digit Federal Information Processing Standard code).  For each census block group or census tract, the </w:t>
      </w:r>
      <w:r w:rsidRPr="009F530E" w:rsidR="003D12A7">
        <w:rPr>
          <w:szCs w:val="22"/>
        </w:rPr>
        <w:t xml:space="preserve">final </w:t>
      </w:r>
      <w:r w:rsidRPr="009F530E">
        <w:rPr>
          <w:szCs w:val="22"/>
        </w:rPr>
        <w:t>list identifies the census block group or census tract identification number, the relevant state abbreviation, the county name, the number of locations that are eligible for Rural Digital Opportunity Fund Phase I support, and the reserve price rounded to the nearest dollar.</w:t>
      </w:r>
      <w:r>
        <w:rPr>
          <w:rStyle w:val="FootnoteReference"/>
          <w:szCs w:val="22"/>
        </w:rPr>
        <w:footnoteReference w:id="18"/>
      </w:r>
      <w:r w:rsidRPr="005C2238">
        <w:rPr>
          <w:szCs w:val="22"/>
        </w:rPr>
        <w:t xml:space="preserve">  These model-calculated amounts are provided for illustrative purposes.  </w:t>
      </w:r>
    </w:p>
    <w:p w:rsidR="00D2788D" w:rsidRPr="009F530E" w:rsidP="00D2788D" w14:paraId="0CEAE1D0" w14:textId="30216ABA">
      <w:pPr>
        <w:ind w:firstLine="720"/>
        <w:rPr>
          <w:szCs w:val="22"/>
        </w:rPr>
      </w:pPr>
      <w:r w:rsidRPr="005C2238">
        <w:rPr>
          <w:szCs w:val="22"/>
        </w:rPr>
        <w:t>For further information, please contact Katie King, Telecommunications Access Policy Division, Wireline Competition Bure</w:t>
      </w:r>
      <w:r w:rsidRPr="009F530E">
        <w:rPr>
          <w:szCs w:val="22"/>
        </w:rPr>
        <w:t xml:space="preserve">au, at </w:t>
      </w:r>
      <w:r w:rsidRPr="0036169C" w:rsidR="0092022B">
        <w:rPr>
          <w:szCs w:val="22"/>
        </w:rPr>
        <w:t>katie.king@fcc.gov</w:t>
      </w:r>
      <w:r w:rsidR="0092022B">
        <w:rPr>
          <w:szCs w:val="22"/>
        </w:rPr>
        <w:t xml:space="preserve"> or </w:t>
      </w:r>
      <w:r w:rsidRPr="009F530E">
        <w:rPr>
          <w:szCs w:val="22"/>
        </w:rPr>
        <w:t>(202) 418-7400</w:t>
      </w:r>
      <w:r w:rsidR="0092022B">
        <w:rPr>
          <w:szCs w:val="22"/>
        </w:rPr>
        <w:t>;</w:t>
      </w:r>
      <w:r w:rsidRPr="009F530E">
        <w:rPr>
          <w:szCs w:val="22"/>
        </w:rPr>
        <w:t xml:space="preserve"> TTY (202) 418-0484.</w:t>
      </w:r>
    </w:p>
    <w:p w:rsidR="00D2788D" w:rsidRPr="009F530E" w:rsidP="00D2788D" w14:paraId="29E5AA47" w14:textId="77777777">
      <w:pPr>
        <w:spacing w:after="120"/>
        <w:rPr>
          <w:szCs w:val="22"/>
        </w:rPr>
      </w:pPr>
      <w:r w:rsidRPr="009F530E">
        <w:rPr>
          <w:szCs w:val="22"/>
        </w:rPr>
        <w:tab/>
      </w:r>
    </w:p>
    <w:p w:rsidR="00DF49F4" w:rsidP="00505BB9" w14:paraId="6E32FD41" w14:textId="77777777">
      <w:pPr>
        <w:spacing w:before="120" w:after="240"/>
        <w:jc w:val="center"/>
        <w:rPr>
          <w:b/>
          <w:szCs w:val="22"/>
        </w:rPr>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pPr>
      <w:r w:rsidRPr="005C2238">
        <w:rPr>
          <w:b/>
          <w:szCs w:val="22"/>
        </w:rPr>
        <w:t>– FCC –</w:t>
      </w:r>
    </w:p>
    <w:p w:rsidR="005C2238" w:rsidP="00DF49F4" w14:paraId="5EF0BC87" w14:textId="77777777">
      <w:pPr>
        <w:pStyle w:val="StyleBoldCentered"/>
        <w:spacing w:after="240"/>
      </w:pPr>
      <w:r>
        <w:t>APPENDIX</w:t>
      </w:r>
    </w:p>
    <w:tbl>
      <w:tblPr>
        <w:tblW w:w="5000" w:type="pct"/>
        <w:tblLook w:val="04A0"/>
      </w:tblPr>
      <w:tblGrid>
        <w:gridCol w:w="2989"/>
        <w:gridCol w:w="2074"/>
        <w:gridCol w:w="1090"/>
        <w:gridCol w:w="1228"/>
        <w:gridCol w:w="1094"/>
        <w:gridCol w:w="1101"/>
      </w:tblGrid>
      <w:tr w14:paraId="3F929BF4" w14:textId="77777777" w:rsidTr="00B1679F">
        <w:tblPrEx>
          <w:tblW w:w="5000" w:type="pct"/>
          <w:tblLook w:val="04A0"/>
        </w:tblPrEx>
        <w:trPr>
          <w:cantSplit/>
          <w:trHeight w:val="466"/>
          <w:tblHeader/>
        </w:trPr>
        <w:tc>
          <w:tcPr>
            <w:tcW w:w="1561" w:type="pct"/>
            <w:tcBorders>
              <w:top w:val="single" w:sz="4" w:space="0" w:color="auto"/>
              <w:left w:val="single" w:sz="4" w:space="0" w:color="auto"/>
              <w:bottom w:val="single" w:sz="8" w:space="0" w:color="000000"/>
              <w:right w:val="nil"/>
            </w:tcBorders>
            <w:shd w:val="clear" w:color="4472C4" w:fill="4472C4"/>
            <w:vAlign w:val="bottom"/>
            <w:hideMark/>
          </w:tcPr>
          <w:p w:rsidR="00F86175" w:rsidRPr="00F52E63" w:rsidP="00B345BE" w14:paraId="1AEF15EE" w14:textId="77777777">
            <w:pPr>
              <w:widowControl/>
              <w:rPr>
                <w:rFonts w:ascii="Times New Roman Bold" w:hAnsi="Times New Roman Bold"/>
                <w:b/>
                <w:bCs/>
                <w:color w:val="F2F2F2"/>
                <w:kern w:val="0"/>
                <w:sz w:val="20"/>
                <w:lang w:eastAsia="ja-JP"/>
              </w:rPr>
            </w:pPr>
            <w:r w:rsidRPr="00F52E63">
              <w:rPr>
                <w:rFonts w:ascii="Times New Roman Bold" w:hAnsi="Times New Roman Bold"/>
                <w:b/>
                <w:bCs/>
                <w:color w:val="F2F2F2"/>
                <w:kern w:val="0"/>
                <w:sz w:val="20"/>
                <w:lang w:eastAsia="ja-JP"/>
              </w:rPr>
              <w:t>Challenger Name</w:t>
            </w:r>
          </w:p>
        </w:tc>
        <w:tc>
          <w:tcPr>
            <w:tcW w:w="1083" w:type="pct"/>
            <w:tcBorders>
              <w:top w:val="single" w:sz="4" w:space="0" w:color="auto"/>
              <w:left w:val="nil"/>
              <w:bottom w:val="single" w:sz="8" w:space="0" w:color="000000"/>
              <w:right w:val="nil"/>
            </w:tcBorders>
            <w:shd w:val="clear" w:color="4472C4" w:fill="4472C4"/>
            <w:vAlign w:val="bottom"/>
            <w:hideMark/>
          </w:tcPr>
          <w:p w:rsidR="00F86175" w:rsidRPr="00F52E63" w:rsidP="00B345BE" w14:paraId="612908FA" w14:textId="77777777">
            <w:pPr>
              <w:widowControl/>
              <w:jc w:val="center"/>
              <w:rPr>
                <w:rFonts w:ascii="Times New Roman Bold" w:hAnsi="Times New Roman Bold"/>
                <w:b/>
                <w:bCs/>
                <w:color w:val="F2F2F2"/>
                <w:kern w:val="0"/>
                <w:sz w:val="20"/>
                <w:lang w:eastAsia="ja-JP"/>
              </w:rPr>
            </w:pPr>
            <w:r w:rsidRPr="00F52E63">
              <w:rPr>
                <w:rFonts w:ascii="Times New Roman Bold" w:hAnsi="Times New Roman Bold"/>
                <w:b/>
                <w:bCs/>
                <w:color w:val="F2F2F2"/>
                <w:kern w:val="0"/>
                <w:sz w:val="20"/>
                <w:lang w:eastAsia="ja-JP"/>
              </w:rPr>
              <w:t>Challenge Type</w:t>
            </w:r>
          </w:p>
        </w:tc>
        <w:tc>
          <w:tcPr>
            <w:tcW w:w="569" w:type="pct"/>
            <w:tcBorders>
              <w:top w:val="single" w:sz="4" w:space="0" w:color="auto"/>
              <w:left w:val="nil"/>
              <w:bottom w:val="single" w:sz="8" w:space="0" w:color="000000"/>
              <w:right w:val="nil"/>
            </w:tcBorders>
            <w:shd w:val="clear" w:color="4472C4" w:fill="4472C4"/>
            <w:vAlign w:val="bottom"/>
          </w:tcPr>
          <w:p w:rsidR="00F86175" w:rsidRPr="00F52E63" w:rsidP="00412732" w14:paraId="01609935" w14:textId="61283CC5">
            <w:pPr>
              <w:widowControl/>
              <w:jc w:val="center"/>
              <w:rPr>
                <w:rFonts w:ascii="Times New Roman Bold" w:hAnsi="Times New Roman Bold"/>
                <w:b/>
                <w:bCs/>
                <w:color w:val="F2F2F2"/>
                <w:kern w:val="0"/>
                <w:sz w:val="20"/>
                <w:lang w:eastAsia="ja-JP"/>
              </w:rPr>
            </w:pPr>
          </w:p>
        </w:tc>
        <w:tc>
          <w:tcPr>
            <w:tcW w:w="641" w:type="pct"/>
            <w:tcBorders>
              <w:top w:val="single" w:sz="4" w:space="0" w:color="auto"/>
              <w:left w:val="nil"/>
              <w:bottom w:val="single" w:sz="8" w:space="0" w:color="000000"/>
              <w:right w:val="nil"/>
            </w:tcBorders>
            <w:shd w:val="clear" w:color="4472C4" w:fill="4472C4"/>
            <w:vAlign w:val="bottom"/>
            <w:hideMark/>
          </w:tcPr>
          <w:p w:rsidR="00F86175" w:rsidRPr="00F52E63" w:rsidP="00B345BE" w14:paraId="7E4A3D87" w14:textId="4D062FB2">
            <w:pPr>
              <w:widowControl/>
              <w:jc w:val="right"/>
              <w:rPr>
                <w:rFonts w:ascii="Times New Roman Bold" w:hAnsi="Times New Roman Bold"/>
                <w:b/>
                <w:bCs/>
                <w:color w:val="F2F2F2"/>
                <w:kern w:val="0"/>
                <w:sz w:val="20"/>
                <w:lang w:eastAsia="ja-JP"/>
              </w:rPr>
            </w:pPr>
            <w:r w:rsidRPr="00F52E63">
              <w:rPr>
                <w:rFonts w:ascii="Times New Roman Bold" w:hAnsi="Times New Roman Bold"/>
                <w:b/>
                <w:bCs/>
                <w:color w:val="F2F2F2"/>
                <w:kern w:val="0"/>
                <w:sz w:val="20"/>
                <w:lang w:eastAsia="ja-JP"/>
              </w:rPr>
              <w:t>Blocks (</w:t>
            </w:r>
            <w:r>
              <w:rPr>
                <w:rFonts w:ascii="Times New Roman Bold" w:hAnsi="Times New Roman Bold"/>
                <w:b/>
                <w:bCs/>
                <w:color w:val="F2F2F2"/>
                <w:kern w:val="0"/>
                <w:sz w:val="20"/>
                <w:lang w:eastAsia="ja-JP"/>
              </w:rPr>
              <w:t>Successful</w:t>
            </w:r>
            <w:r w:rsidRPr="00F52E63">
              <w:rPr>
                <w:rFonts w:ascii="Times New Roman Bold" w:hAnsi="Times New Roman Bold"/>
                <w:b/>
                <w:bCs/>
                <w:color w:val="F2F2F2"/>
                <w:kern w:val="0"/>
                <w:sz w:val="20"/>
                <w:lang w:eastAsia="ja-JP"/>
              </w:rPr>
              <w:t>)</w:t>
            </w:r>
          </w:p>
        </w:tc>
        <w:tc>
          <w:tcPr>
            <w:tcW w:w="571" w:type="pct"/>
            <w:tcBorders>
              <w:top w:val="single" w:sz="4" w:space="0" w:color="auto"/>
              <w:left w:val="nil"/>
              <w:bottom w:val="single" w:sz="8" w:space="0" w:color="000000"/>
              <w:right w:val="nil"/>
            </w:tcBorders>
            <w:shd w:val="clear" w:color="4472C4" w:fill="4472C4"/>
            <w:vAlign w:val="bottom"/>
            <w:hideMark/>
          </w:tcPr>
          <w:p w:rsidR="00F86175" w:rsidRPr="00F52E63" w:rsidP="00B345BE" w14:paraId="012754AA" w14:textId="77777777">
            <w:pPr>
              <w:widowControl/>
              <w:jc w:val="right"/>
              <w:rPr>
                <w:rFonts w:ascii="Times New Roman Bold" w:hAnsi="Times New Roman Bold"/>
                <w:b/>
                <w:bCs/>
                <w:color w:val="F2F2F2"/>
                <w:kern w:val="0"/>
                <w:sz w:val="20"/>
                <w:lang w:eastAsia="ja-JP"/>
              </w:rPr>
            </w:pPr>
            <w:r w:rsidRPr="00F52E63">
              <w:rPr>
                <w:rFonts w:ascii="Times New Roman Bold" w:hAnsi="Times New Roman Bold"/>
                <w:b/>
                <w:bCs/>
                <w:color w:val="F2F2F2"/>
                <w:kern w:val="0"/>
                <w:sz w:val="20"/>
                <w:lang w:eastAsia="ja-JP"/>
              </w:rPr>
              <w:t>Blocks (Rejected)</w:t>
            </w:r>
          </w:p>
        </w:tc>
        <w:tc>
          <w:tcPr>
            <w:tcW w:w="575" w:type="pct"/>
            <w:tcBorders>
              <w:top w:val="single" w:sz="4" w:space="0" w:color="auto"/>
              <w:left w:val="nil"/>
              <w:bottom w:val="single" w:sz="8" w:space="0" w:color="000000"/>
              <w:right w:val="single" w:sz="4" w:space="0" w:color="auto"/>
            </w:tcBorders>
            <w:shd w:val="clear" w:color="4472C4" w:fill="4472C4"/>
            <w:vAlign w:val="bottom"/>
            <w:hideMark/>
          </w:tcPr>
          <w:p w:rsidR="00F86175" w:rsidRPr="00F52E63" w:rsidP="00B345BE" w14:paraId="5CE7B188" w14:textId="77777777">
            <w:pPr>
              <w:widowControl/>
              <w:jc w:val="right"/>
              <w:rPr>
                <w:rFonts w:ascii="Times New Roman Bold" w:hAnsi="Times New Roman Bold"/>
                <w:b/>
                <w:bCs/>
                <w:color w:val="F2F2F2"/>
                <w:kern w:val="0"/>
                <w:sz w:val="20"/>
                <w:lang w:eastAsia="ja-JP"/>
              </w:rPr>
            </w:pPr>
            <w:r w:rsidRPr="00F52E63">
              <w:rPr>
                <w:rFonts w:ascii="Times New Roman Bold" w:hAnsi="Times New Roman Bold"/>
                <w:b/>
                <w:bCs/>
                <w:color w:val="F2F2F2"/>
                <w:kern w:val="0"/>
                <w:sz w:val="20"/>
                <w:lang w:eastAsia="ja-JP"/>
              </w:rPr>
              <w:t>Blocks (Total)</w:t>
            </w:r>
          </w:p>
        </w:tc>
      </w:tr>
      <w:tr w14:paraId="274C3BE9" w14:textId="77777777" w:rsidTr="00B1679F">
        <w:tblPrEx>
          <w:tblW w:w="5000" w:type="pct"/>
          <w:tblLook w:val="04A0"/>
        </w:tblPrEx>
        <w:trPr>
          <w:cantSplit/>
          <w:trHeight w:val="340"/>
        </w:trPr>
        <w:tc>
          <w:tcPr>
            <w:tcW w:w="1561" w:type="pct"/>
            <w:vMerge w:val="restart"/>
            <w:tcBorders>
              <w:top w:val="single" w:sz="8" w:space="0" w:color="000000"/>
              <w:left w:val="single" w:sz="4" w:space="0" w:color="auto"/>
              <w:right w:val="nil"/>
            </w:tcBorders>
            <w:shd w:val="clear" w:color="D9D9D9" w:fill="D9D9D9"/>
            <w:vAlign w:val="center"/>
            <w:hideMark/>
          </w:tcPr>
          <w:p w:rsidR="001443BF" w:rsidRPr="00201671" w:rsidP="00F17C37" w14:paraId="7675B402" w14:textId="01074EC7">
            <w:pPr>
              <w:widowControl/>
              <w:rPr>
                <w:color w:val="000000"/>
                <w:kern w:val="0"/>
                <w:sz w:val="20"/>
                <w:lang w:eastAsia="ja-JP"/>
              </w:rPr>
            </w:pPr>
            <w:r w:rsidRPr="00201671">
              <w:rPr>
                <w:sz w:val="20"/>
              </w:rPr>
              <w:t>Cox Communications, Inc.</w:t>
            </w:r>
          </w:p>
        </w:tc>
        <w:tc>
          <w:tcPr>
            <w:tcW w:w="1083" w:type="pct"/>
            <w:vMerge w:val="restart"/>
            <w:tcBorders>
              <w:top w:val="single" w:sz="8" w:space="0" w:color="000000"/>
              <w:left w:val="nil"/>
              <w:right w:val="single" w:sz="4" w:space="0" w:color="auto"/>
            </w:tcBorders>
            <w:shd w:val="clear" w:color="D9D9D9" w:fill="D9D9D9"/>
            <w:noWrap/>
            <w:vAlign w:val="center"/>
            <w:hideMark/>
          </w:tcPr>
          <w:p w:rsidR="001443BF" w:rsidRPr="00D26579" w:rsidP="00F17C37" w14:paraId="1C879ECC" w14:textId="455FE2D2">
            <w:pPr>
              <w:widowControl/>
              <w:jc w:val="center"/>
              <w:rPr>
                <w:color w:val="000000"/>
                <w:kern w:val="0"/>
                <w:sz w:val="20"/>
                <w:lang w:eastAsia="ja-JP"/>
              </w:rPr>
            </w:pPr>
            <w:r w:rsidRPr="00D26579">
              <w:rPr>
                <w:color w:val="000000"/>
                <w:kern w:val="0"/>
                <w:sz w:val="20"/>
                <w:lang w:eastAsia="ja-JP"/>
              </w:rPr>
              <w:t>Form 477</w:t>
            </w:r>
          </w:p>
        </w:tc>
        <w:tc>
          <w:tcPr>
            <w:tcW w:w="569" w:type="pct"/>
            <w:tcBorders>
              <w:top w:val="single" w:sz="8" w:space="0" w:color="000000"/>
              <w:left w:val="single" w:sz="4" w:space="0" w:color="auto"/>
              <w:bottom w:val="nil"/>
              <w:right w:val="single" w:sz="4" w:space="0" w:color="auto"/>
            </w:tcBorders>
            <w:shd w:val="clear" w:color="D9D9D9" w:fill="D9D9D9"/>
            <w:vAlign w:val="center"/>
          </w:tcPr>
          <w:p w:rsidR="001443BF" w:rsidRPr="004C39CE" w:rsidP="003C1857" w14:paraId="0DCEB67F" w14:textId="150FA524">
            <w:pPr>
              <w:widowControl/>
              <w:jc w:val="center"/>
              <w:rPr>
                <w:rFonts w:eastAsia="Calibri"/>
                <w:b/>
                <w:bCs/>
                <w:color w:val="000000"/>
                <w:kern w:val="0"/>
                <w:sz w:val="20"/>
              </w:rPr>
            </w:pPr>
            <w:r w:rsidRPr="004C39CE">
              <w:rPr>
                <w:rFonts w:eastAsia="Calibri"/>
                <w:b/>
                <w:bCs/>
                <w:color w:val="000000"/>
                <w:kern w:val="0"/>
                <w:sz w:val="20"/>
              </w:rPr>
              <w:t>Original</w:t>
            </w:r>
          </w:p>
        </w:tc>
        <w:tc>
          <w:tcPr>
            <w:tcW w:w="641" w:type="pct"/>
            <w:tcBorders>
              <w:top w:val="nil"/>
              <w:left w:val="single" w:sz="4" w:space="0" w:color="auto"/>
              <w:bottom w:val="nil"/>
              <w:right w:val="nil"/>
            </w:tcBorders>
            <w:shd w:val="clear" w:color="D9D9D9" w:fill="D9D9D9"/>
            <w:noWrap/>
            <w:vAlign w:val="center"/>
            <w:hideMark/>
          </w:tcPr>
          <w:p w:rsidR="001443BF" w:rsidRPr="00201671" w:rsidP="00F17C37" w14:paraId="19E3CB82" w14:textId="591ECDEC">
            <w:pPr>
              <w:widowControl/>
              <w:jc w:val="right"/>
              <w:rPr>
                <w:color w:val="000000"/>
                <w:kern w:val="0"/>
                <w:sz w:val="20"/>
                <w:lang w:eastAsia="ja-JP"/>
              </w:rPr>
            </w:pPr>
            <w:r w:rsidRPr="00201671">
              <w:rPr>
                <w:rFonts w:eastAsia="Calibri"/>
                <w:color w:val="000000"/>
                <w:kern w:val="0"/>
                <w:sz w:val="20"/>
              </w:rPr>
              <w:t>4</w:t>
            </w:r>
            <w:r>
              <w:rPr>
                <w:rFonts w:eastAsia="Calibri"/>
                <w:color w:val="000000"/>
                <w:kern w:val="0"/>
                <w:sz w:val="20"/>
              </w:rPr>
              <w:t>,</w:t>
            </w:r>
            <w:r w:rsidRPr="00201671">
              <w:rPr>
                <w:rFonts w:eastAsia="Calibri"/>
                <w:color w:val="000000"/>
                <w:kern w:val="0"/>
                <w:sz w:val="20"/>
              </w:rPr>
              <w:t>296</w:t>
            </w:r>
          </w:p>
        </w:tc>
        <w:tc>
          <w:tcPr>
            <w:tcW w:w="571" w:type="pct"/>
            <w:tcBorders>
              <w:top w:val="nil"/>
              <w:left w:val="nil"/>
              <w:bottom w:val="nil"/>
              <w:right w:val="nil"/>
            </w:tcBorders>
            <w:shd w:val="clear" w:color="D9D9D9" w:fill="D9D9D9"/>
            <w:noWrap/>
            <w:vAlign w:val="center"/>
            <w:hideMark/>
          </w:tcPr>
          <w:p w:rsidR="001443BF" w:rsidRPr="00F17C37" w:rsidP="00F17C37" w14:paraId="5302F412" w14:textId="093E234B">
            <w:pPr>
              <w:widowControl/>
              <w:jc w:val="right"/>
              <w:rPr>
                <w:color w:val="000000"/>
                <w:kern w:val="0"/>
                <w:sz w:val="20"/>
                <w:lang w:eastAsia="ja-JP"/>
              </w:rPr>
            </w:pPr>
            <w:r w:rsidRPr="00F17C37">
              <w:rPr>
                <w:sz w:val="20"/>
              </w:rPr>
              <w:t>0</w:t>
            </w:r>
          </w:p>
        </w:tc>
        <w:tc>
          <w:tcPr>
            <w:tcW w:w="575" w:type="pct"/>
            <w:tcBorders>
              <w:top w:val="nil"/>
              <w:left w:val="nil"/>
              <w:bottom w:val="nil"/>
              <w:right w:val="single" w:sz="4" w:space="0" w:color="auto"/>
            </w:tcBorders>
            <w:shd w:val="clear" w:color="D9D9D9" w:fill="D9D9D9"/>
            <w:noWrap/>
            <w:vAlign w:val="center"/>
            <w:hideMark/>
          </w:tcPr>
          <w:p w:rsidR="001443BF" w:rsidRPr="00D26579" w:rsidP="00F17C37" w14:paraId="335A3912" w14:textId="6FD19149">
            <w:pPr>
              <w:widowControl/>
              <w:jc w:val="right"/>
              <w:rPr>
                <w:b/>
                <w:bCs/>
                <w:color w:val="000000"/>
                <w:kern w:val="0"/>
                <w:sz w:val="20"/>
                <w:lang w:eastAsia="ja-JP"/>
              </w:rPr>
            </w:pPr>
            <w:r>
              <w:rPr>
                <w:b/>
                <w:bCs/>
                <w:color w:val="000000"/>
                <w:kern w:val="0"/>
                <w:sz w:val="20"/>
                <w:lang w:eastAsia="ja-JP"/>
              </w:rPr>
              <w:t>4,296</w:t>
            </w:r>
          </w:p>
        </w:tc>
      </w:tr>
      <w:tr w14:paraId="0FA4584B" w14:textId="77777777" w:rsidTr="00B1679F">
        <w:tblPrEx>
          <w:tblW w:w="5000" w:type="pct"/>
          <w:tblLook w:val="04A0"/>
        </w:tblPrEx>
        <w:trPr>
          <w:cantSplit/>
          <w:trHeight w:val="340"/>
        </w:trPr>
        <w:tc>
          <w:tcPr>
            <w:tcW w:w="1561" w:type="pct"/>
            <w:vMerge/>
            <w:tcBorders>
              <w:top w:val="single" w:sz="4" w:space="0" w:color="auto"/>
              <w:left w:val="single" w:sz="4" w:space="0" w:color="auto"/>
              <w:right w:val="nil"/>
            </w:tcBorders>
            <w:shd w:val="clear" w:color="D9D9D9" w:fill="D9D9D9"/>
            <w:vAlign w:val="center"/>
          </w:tcPr>
          <w:p w:rsidR="001443BF" w:rsidRPr="00201671" w:rsidP="00F17C37" w14:paraId="605903AE" w14:textId="77777777">
            <w:pPr>
              <w:widowControl/>
              <w:rPr>
                <w:sz w:val="20"/>
              </w:rPr>
            </w:pPr>
          </w:p>
        </w:tc>
        <w:tc>
          <w:tcPr>
            <w:tcW w:w="1083" w:type="pct"/>
            <w:vMerge/>
            <w:tcBorders>
              <w:top w:val="single" w:sz="4" w:space="0" w:color="auto"/>
              <w:left w:val="nil"/>
              <w:right w:val="single" w:sz="4" w:space="0" w:color="auto"/>
            </w:tcBorders>
            <w:shd w:val="clear" w:color="D9D9D9" w:fill="D9D9D9"/>
            <w:noWrap/>
            <w:vAlign w:val="center"/>
          </w:tcPr>
          <w:p w:rsidR="001443BF" w:rsidRPr="00D26579" w:rsidP="00F17C37" w14:paraId="51EF04A6" w14:textId="77777777">
            <w:pPr>
              <w:widowControl/>
              <w:jc w:val="center"/>
              <w:rPr>
                <w:color w:val="000000"/>
                <w:kern w:val="0"/>
                <w:sz w:val="20"/>
                <w:lang w:eastAsia="ja-JP"/>
              </w:rPr>
            </w:pPr>
          </w:p>
        </w:tc>
        <w:tc>
          <w:tcPr>
            <w:tcW w:w="569" w:type="pct"/>
            <w:tcBorders>
              <w:top w:val="nil"/>
              <w:left w:val="single" w:sz="4" w:space="0" w:color="auto"/>
              <w:right w:val="single" w:sz="4" w:space="0" w:color="auto"/>
            </w:tcBorders>
            <w:shd w:val="clear" w:color="auto" w:fill="FFFFFF" w:themeFill="background1"/>
            <w:vAlign w:val="center"/>
          </w:tcPr>
          <w:p w:rsidR="001443BF" w:rsidRPr="004C39CE" w:rsidP="003C1857" w14:paraId="5992375C" w14:textId="29C139DE">
            <w:pPr>
              <w:widowControl/>
              <w:jc w:val="center"/>
              <w:rPr>
                <w:rFonts w:eastAsia="Calibri"/>
                <w:b/>
                <w:bCs/>
                <w:color w:val="000000"/>
                <w:kern w:val="0"/>
                <w:sz w:val="20"/>
              </w:rPr>
            </w:pPr>
            <w:r w:rsidRPr="004C39CE">
              <w:rPr>
                <w:rFonts w:eastAsia="Calibri"/>
                <w:b/>
                <w:bCs/>
                <w:color w:val="000000"/>
                <w:kern w:val="0"/>
                <w:sz w:val="20"/>
              </w:rPr>
              <w:t>Revised</w:t>
            </w:r>
          </w:p>
        </w:tc>
        <w:tc>
          <w:tcPr>
            <w:tcW w:w="641" w:type="pct"/>
            <w:tcBorders>
              <w:top w:val="nil"/>
              <w:left w:val="single" w:sz="4" w:space="0" w:color="auto"/>
              <w:right w:val="nil"/>
            </w:tcBorders>
            <w:shd w:val="clear" w:color="auto" w:fill="FFFFFF" w:themeFill="background1"/>
            <w:noWrap/>
            <w:vAlign w:val="center"/>
          </w:tcPr>
          <w:p w:rsidR="001443BF" w:rsidRPr="00201671" w:rsidP="00F17C37" w14:paraId="5962A334" w14:textId="641A1024">
            <w:pPr>
              <w:widowControl/>
              <w:jc w:val="right"/>
              <w:rPr>
                <w:rFonts w:eastAsia="Calibri"/>
                <w:color w:val="000000"/>
                <w:kern w:val="0"/>
                <w:sz w:val="20"/>
              </w:rPr>
            </w:pPr>
            <w:r>
              <w:rPr>
                <w:rFonts w:eastAsia="Calibri"/>
                <w:color w:val="000000"/>
                <w:kern w:val="0"/>
                <w:sz w:val="20"/>
              </w:rPr>
              <w:t>4,294</w:t>
            </w:r>
          </w:p>
        </w:tc>
        <w:tc>
          <w:tcPr>
            <w:tcW w:w="571" w:type="pct"/>
            <w:tcBorders>
              <w:top w:val="nil"/>
              <w:left w:val="nil"/>
              <w:right w:val="nil"/>
            </w:tcBorders>
            <w:shd w:val="clear" w:color="auto" w:fill="FFFFFF" w:themeFill="background1"/>
            <w:noWrap/>
            <w:vAlign w:val="center"/>
          </w:tcPr>
          <w:p w:rsidR="001443BF" w:rsidRPr="00F17C37" w:rsidP="00F17C37" w14:paraId="381BF97A" w14:textId="0F7A511C">
            <w:pPr>
              <w:widowControl/>
              <w:jc w:val="right"/>
              <w:rPr>
                <w:sz w:val="20"/>
              </w:rPr>
            </w:pPr>
            <w:r>
              <w:rPr>
                <w:sz w:val="20"/>
              </w:rPr>
              <w:t>0</w:t>
            </w:r>
          </w:p>
        </w:tc>
        <w:tc>
          <w:tcPr>
            <w:tcW w:w="575" w:type="pct"/>
            <w:tcBorders>
              <w:top w:val="nil"/>
              <w:left w:val="nil"/>
              <w:right w:val="single" w:sz="4" w:space="0" w:color="auto"/>
            </w:tcBorders>
            <w:shd w:val="clear" w:color="auto" w:fill="FFFFFF" w:themeFill="background1"/>
            <w:noWrap/>
            <w:vAlign w:val="center"/>
          </w:tcPr>
          <w:p w:rsidR="001443BF" w:rsidP="00F17C37" w14:paraId="243E9344" w14:textId="54C1BFD4">
            <w:pPr>
              <w:widowControl/>
              <w:jc w:val="right"/>
              <w:rPr>
                <w:b/>
                <w:bCs/>
                <w:color w:val="000000"/>
                <w:kern w:val="0"/>
                <w:sz w:val="20"/>
                <w:lang w:eastAsia="ja-JP"/>
              </w:rPr>
            </w:pPr>
            <w:r>
              <w:rPr>
                <w:b/>
                <w:bCs/>
                <w:color w:val="000000"/>
                <w:kern w:val="0"/>
                <w:sz w:val="20"/>
                <w:lang w:eastAsia="ja-JP"/>
              </w:rPr>
              <w:t>4,294</w:t>
            </w:r>
          </w:p>
        </w:tc>
      </w:tr>
      <w:tr w14:paraId="5C26D6F3" w14:textId="77777777" w:rsidTr="00B1679F">
        <w:tblPrEx>
          <w:tblW w:w="5000" w:type="pct"/>
          <w:tblLook w:val="04A0"/>
        </w:tblPrEx>
        <w:trPr>
          <w:cantSplit/>
          <w:trHeight w:val="340"/>
        </w:trPr>
        <w:tc>
          <w:tcPr>
            <w:tcW w:w="1561" w:type="pct"/>
            <w:vMerge/>
            <w:tcBorders>
              <w:top w:val="single" w:sz="4" w:space="0" w:color="auto"/>
              <w:left w:val="single" w:sz="4" w:space="0" w:color="auto"/>
              <w:bottom w:val="nil"/>
              <w:right w:val="nil"/>
            </w:tcBorders>
            <w:shd w:val="clear" w:color="D9D9D9" w:fill="D9D9D9"/>
            <w:vAlign w:val="center"/>
          </w:tcPr>
          <w:p w:rsidR="001443BF" w:rsidRPr="00201671" w:rsidP="00F27508" w14:paraId="1A54BFBA" w14:textId="77777777">
            <w:pPr>
              <w:widowControl/>
              <w:rPr>
                <w:sz w:val="20"/>
              </w:rPr>
            </w:pPr>
          </w:p>
        </w:tc>
        <w:tc>
          <w:tcPr>
            <w:tcW w:w="1083" w:type="pct"/>
            <w:vMerge/>
            <w:tcBorders>
              <w:top w:val="single" w:sz="4" w:space="0" w:color="auto"/>
              <w:left w:val="nil"/>
              <w:bottom w:val="nil"/>
              <w:right w:val="single" w:sz="4" w:space="0" w:color="auto"/>
            </w:tcBorders>
            <w:shd w:val="clear" w:color="D9D9D9" w:fill="D9D9D9"/>
            <w:noWrap/>
            <w:vAlign w:val="center"/>
          </w:tcPr>
          <w:p w:rsidR="001443BF" w:rsidRPr="00D26579" w:rsidP="00F27508" w14:paraId="404BF2F9" w14:textId="77777777">
            <w:pPr>
              <w:widowControl/>
              <w:jc w:val="center"/>
              <w:rPr>
                <w:color w:val="000000"/>
                <w:kern w:val="0"/>
                <w:sz w:val="20"/>
                <w:lang w:eastAsia="ja-JP"/>
              </w:rPr>
            </w:pPr>
          </w:p>
        </w:tc>
        <w:tc>
          <w:tcPr>
            <w:tcW w:w="569" w:type="pct"/>
            <w:tcBorders>
              <w:top w:val="nil"/>
              <w:left w:val="single" w:sz="4" w:space="0" w:color="auto"/>
              <w:bottom w:val="single" w:sz="4" w:space="0" w:color="auto"/>
              <w:right w:val="single" w:sz="4" w:space="0" w:color="auto"/>
            </w:tcBorders>
            <w:shd w:val="clear" w:color="auto" w:fill="DADADA"/>
            <w:vAlign w:val="center"/>
          </w:tcPr>
          <w:p w:rsidR="001443BF" w:rsidRPr="004C39CE" w:rsidP="00F27508" w14:paraId="3CB52156" w14:textId="012C9743">
            <w:pPr>
              <w:widowControl/>
              <w:jc w:val="center"/>
              <w:rPr>
                <w:rFonts w:eastAsia="Calibri"/>
                <w:b/>
                <w:bCs/>
                <w:color w:val="000000"/>
                <w:kern w:val="0"/>
                <w:sz w:val="20"/>
              </w:rPr>
            </w:pPr>
            <w:r w:rsidRPr="004C39CE">
              <w:rPr>
                <w:rFonts w:eastAsia="Calibri"/>
                <w:b/>
                <w:bCs/>
                <w:color w:val="000000"/>
                <w:kern w:val="0"/>
                <w:sz w:val="20"/>
              </w:rPr>
              <w:t>Delta</w:t>
            </w:r>
          </w:p>
        </w:tc>
        <w:tc>
          <w:tcPr>
            <w:tcW w:w="641" w:type="pct"/>
            <w:tcBorders>
              <w:top w:val="nil"/>
              <w:left w:val="single" w:sz="4" w:space="0" w:color="auto"/>
              <w:bottom w:val="single" w:sz="4" w:space="0" w:color="auto"/>
              <w:right w:val="nil"/>
            </w:tcBorders>
            <w:shd w:val="clear" w:color="auto" w:fill="FFC8CE"/>
            <w:noWrap/>
            <w:vAlign w:val="center"/>
          </w:tcPr>
          <w:p w:rsidR="001443BF" w:rsidRPr="00F27508" w:rsidP="00727255" w14:paraId="0BCCA2C8" w14:textId="4A13668C">
            <w:pPr>
              <w:widowControl/>
              <w:jc w:val="right"/>
              <w:rPr>
                <w:rFonts w:eastAsia="Calibri"/>
                <w:color w:val="000000"/>
                <w:kern w:val="0"/>
                <w:sz w:val="20"/>
              </w:rPr>
            </w:pPr>
            <w:r w:rsidRPr="00F27508">
              <w:rPr>
                <w:rFonts w:eastAsia="Calibri"/>
                <w:color w:val="9C0006"/>
                <w:kern w:val="0"/>
                <w:sz w:val="20"/>
              </w:rPr>
              <w:t>-2</w:t>
            </w:r>
          </w:p>
        </w:tc>
        <w:tc>
          <w:tcPr>
            <w:tcW w:w="571" w:type="pct"/>
            <w:tcBorders>
              <w:top w:val="nil"/>
              <w:left w:val="nil"/>
              <w:bottom w:val="single" w:sz="4" w:space="0" w:color="auto"/>
              <w:right w:val="nil"/>
            </w:tcBorders>
            <w:shd w:val="clear" w:color="D9D9D9" w:fill="D9D9D9"/>
            <w:noWrap/>
            <w:vAlign w:val="center"/>
          </w:tcPr>
          <w:p w:rsidR="001443BF" w:rsidRPr="00F17C37" w:rsidP="00F27508" w14:paraId="448D9185" w14:textId="51AAE52F">
            <w:pPr>
              <w:widowControl/>
              <w:jc w:val="right"/>
              <w:rPr>
                <w:sz w:val="20"/>
              </w:rPr>
            </w:pPr>
            <w:r>
              <w:rPr>
                <w:sz w:val="20"/>
              </w:rPr>
              <w:t>0</w:t>
            </w:r>
          </w:p>
        </w:tc>
        <w:tc>
          <w:tcPr>
            <w:tcW w:w="575" w:type="pct"/>
            <w:tcBorders>
              <w:top w:val="nil"/>
              <w:left w:val="nil"/>
              <w:bottom w:val="single" w:sz="4" w:space="0" w:color="auto"/>
              <w:right w:val="single" w:sz="4" w:space="0" w:color="auto"/>
            </w:tcBorders>
            <w:shd w:val="clear" w:color="auto" w:fill="FFC8CE"/>
            <w:noWrap/>
            <w:vAlign w:val="center"/>
          </w:tcPr>
          <w:p w:rsidR="001443BF" w:rsidRPr="00CF3834" w:rsidP="00F27508" w14:paraId="0614845F" w14:textId="73878136">
            <w:pPr>
              <w:widowControl/>
              <w:jc w:val="right"/>
              <w:rPr>
                <w:b/>
                <w:bCs/>
                <w:color w:val="000000"/>
                <w:kern w:val="0"/>
                <w:sz w:val="20"/>
                <w:lang w:eastAsia="ja-JP"/>
              </w:rPr>
            </w:pPr>
            <w:r w:rsidRPr="00CF3834">
              <w:rPr>
                <w:rFonts w:eastAsia="Calibri"/>
                <w:b/>
                <w:bCs/>
                <w:color w:val="9C0006"/>
                <w:kern w:val="0"/>
                <w:sz w:val="20"/>
              </w:rPr>
              <w:t>-2</w:t>
            </w:r>
          </w:p>
        </w:tc>
      </w:tr>
      <w:tr w14:paraId="21DE6F85" w14:textId="77777777" w:rsidTr="00B1679F">
        <w:tblPrEx>
          <w:tblW w:w="5000" w:type="pct"/>
          <w:tblLook w:val="04A0"/>
        </w:tblPrEx>
        <w:trPr>
          <w:cantSplit/>
          <w:trHeight w:val="340"/>
        </w:trPr>
        <w:tc>
          <w:tcPr>
            <w:tcW w:w="1561" w:type="pct"/>
            <w:vMerge w:val="restart"/>
            <w:tcBorders>
              <w:top w:val="single" w:sz="4" w:space="0" w:color="auto"/>
              <w:left w:val="single" w:sz="4" w:space="0" w:color="auto"/>
              <w:right w:val="nil"/>
            </w:tcBorders>
            <w:shd w:val="clear" w:color="auto" w:fill="auto"/>
            <w:vAlign w:val="center"/>
            <w:hideMark/>
          </w:tcPr>
          <w:p w:rsidR="001443BF" w:rsidRPr="00201671" w:rsidP="00F27508" w14:paraId="32A3215A" w14:textId="307BB16B">
            <w:pPr>
              <w:widowControl/>
              <w:rPr>
                <w:color w:val="000000"/>
                <w:kern w:val="0"/>
                <w:sz w:val="20"/>
                <w:lang w:eastAsia="ja-JP"/>
              </w:rPr>
            </w:pPr>
            <w:r w:rsidRPr="00201671">
              <w:rPr>
                <w:sz w:val="20"/>
              </w:rPr>
              <w:t>DigitalPath, Inc.</w:t>
            </w:r>
          </w:p>
        </w:tc>
        <w:tc>
          <w:tcPr>
            <w:tcW w:w="1083" w:type="pct"/>
            <w:vMerge w:val="restart"/>
            <w:tcBorders>
              <w:top w:val="single" w:sz="4" w:space="0" w:color="auto"/>
              <w:left w:val="nil"/>
              <w:right w:val="single" w:sz="4" w:space="0" w:color="auto"/>
            </w:tcBorders>
            <w:shd w:val="clear" w:color="auto" w:fill="auto"/>
            <w:noWrap/>
            <w:vAlign w:val="center"/>
            <w:hideMark/>
          </w:tcPr>
          <w:p w:rsidR="001443BF" w:rsidRPr="00D26579" w:rsidP="00F27508" w14:paraId="37434D04" w14:textId="77777777">
            <w:pPr>
              <w:widowControl/>
              <w:jc w:val="center"/>
              <w:rPr>
                <w:color w:val="000000"/>
                <w:kern w:val="0"/>
                <w:sz w:val="20"/>
                <w:lang w:eastAsia="ja-JP"/>
              </w:rPr>
            </w:pPr>
            <w:r w:rsidRPr="00D26579">
              <w:rPr>
                <w:color w:val="000000"/>
                <w:kern w:val="0"/>
                <w:sz w:val="20"/>
                <w:lang w:eastAsia="ja-JP"/>
              </w:rPr>
              <w:t>Form 477</w:t>
            </w:r>
          </w:p>
        </w:tc>
        <w:tc>
          <w:tcPr>
            <w:tcW w:w="569" w:type="pct"/>
            <w:tcBorders>
              <w:top w:val="single" w:sz="4" w:space="0" w:color="auto"/>
              <w:left w:val="single" w:sz="4" w:space="0" w:color="auto"/>
              <w:bottom w:val="nil"/>
              <w:right w:val="single" w:sz="4" w:space="0" w:color="auto"/>
            </w:tcBorders>
            <w:vAlign w:val="center"/>
          </w:tcPr>
          <w:p w:rsidR="001443BF" w:rsidRPr="004C39CE" w:rsidP="00F27508" w14:paraId="3EA011DC" w14:textId="0A52882E">
            <w:pPr>
              <w:widowControl/>
              <w:jc w:val="center"/>
              <w:rPr>
                <w:rFonts w:eastAsia="Calibri"/>
                <w:b/>
                <w:bCs/>
                <w:color w:val="000000"/>
                <w:kern w:val="0"/>
                <w:sz w:val="20"/>
              </w:rPr>
            </w:pPr>
            <w:r w:rsidRPr="004C39CE">
              <w:rPr>
                <w:rFonts w:eastAsia="Calibri"/>
                <w:b/>
                <w:bCs/>
                <w:color w:val="000000"/>
                <w:kern w:val="0"/>
                <w:sz w:val="20"/>
              </w:rPr>
              <w:t>Original</w:t>
            </w:r>
          </w:p>
        </w:tc>
        <w:tc>
          <w:tcPr>
            <w:tcW w:w="641" w:type="pct"/>
            <w:tcBorders>
              <w:top w:val="single" w:sz="4" w:space="0" w:color="auto"/>
              <w:left w:val="single" w:sz="4" w:space="0" w:color="auto"/>
              <w:bottom w:val="nil"/>
              <w:right w:val="nil"/>
            </w:tcBorders>
            <w:shd w:val="clear" w:color="auto" w:fill="auto"/>
            <w:noWrap/>
            <w:vAlign w:val="center"/>
            <w:hideMark/>
          </w:tcPr>
          <w:p w:rsidR="001443BF" w:rsidRPr="00201671" w:rsidP="00F27508" w14:paraId="2BEE6BB2" w14:textId="06DF467E">
            <w:pPr>
              <w:widowControl/>
              <w:jc w:val="right"/>
              <w:rPr>
                <w:color w:val="000000"/>
                <w:kern w:val="0"/>
                <w:sz w:val="20"/>
                <w:lang w:eastAsia="ja-JP"/>
              </w:rPr>
            </w:pPr>
            <w:r w:rsidRPr="00201671">
              <w:rPr>
                <w:rFonts w:eastAsia="Calibri"/>
                <w:color w:val="000000"/>
                <w:kern w:val="0"/>
                <w:sz w:val="20"/>
              </w:rPr>
              <w:t>1</w:t>
            </w:r>
            <w:r>
              <w:rPr>
                <w:rFonts w:eastAsia="Calibri"/>
                <w:color w:val="000000"/>
                <w:kern w:val="0"/>
                <w:sz w:val="20"/>
              </w:rPr>
              <w:t>,</w:t>
            </w:r>
            <w:r w:rsidRPr="00201671">
              <w:rPr>
                <w:rFonts w:eastAsia="Calibri"/>
                <w:color w:val="000000"/>
                <w:kern w:val="0"/>
                <w:sz w:val="20"/>
              </w:rPr>
              <w:t>261</w:t>
            </w:r>
          </w:p>
        </w:tc>
        <w:tc>
          <w:tcPr>
            <w:tcW w:w="571" w:type="pct"/>
            <w:tcBorders>
              <w:top w:val="single" w:sz="4" w:space="0" w:color="auto"/>
              <w:left w:val="nil"/>
              <w:bottom w:val="nil"/>
              <w:right w:val="nil"/>
            </w:tcBorders>
            <w:shd w:val="clear" w:color="auto" w:fill="auto"/>
            <w:noWrap/>
            <w:vAlign w:val="center"/>
            <w:hideMark/>
          </w:tcPr>
          <w:p w:rsidR="001443BF" w:rsidRPr="00F17C37" w:rsidP="00F27508" w14:paraId="74A64BF3" w14:textId="3F01570B">
            <w:pPr>
              <w:widowControl/>
              <w:jc w:val="right"/>
              <w:rPr>
                <w:color w:val="000000"/>
                <w:kern w:val="0"/>
                <w:sz w:val="20"/>
                <w:lang w:eastAsia="ja-JP"/>
              </w:rPr>
            </w:pPr>
            <w:r w:rsidRPr="00F17C37">
              <w:rPr>
                <w:sz w:val="20"/>
              </w:rPr>
              <w:t>68</w:t>
            </w:r>
          </w:p>
        </w:tc>
        <w:tc>
          <w:tcPr>
            <w:tcW w:w="575" w:type="pct"/>
            <w:tcBorders>
              <w:top w:val="single" w:sz="4" w:space="0" w:color="auto"/>
              <w:left w:val="nil"/>
              <w:bottom w:val="nil"/>
              <w:right w:val="single" w:sz="4" w:space="0" w:color="auto"/>
            </w:tcBorders>
            <w:shd w:val="clear" w:color="auto" w:fill="auto"/>
            <w:noWrap/>
            <w:vAlign w:val="center"/>
            <w:hideMark/>
          </w:tcPr>
          <w:p w:rsidR="001443BF" w:rsidRPr="00D26579" w:rsidP="00F27508" w14:paraId="2ABCA3A3" w14:textId="1A274EC3">
            <w:pPr>
              <w:widowControl/>
              <w:jc w:val="right"/>
              <w:rPr>
                <w:b/>
                <w:bCs/>
                <w:color w:val="000000"/>
                <w:kern w:val="0"/>
                <w:sz w:val="20"/>
                <w:lang w:eastAsia="ja-JP"/>
              </w:rPr>
            </w:pPr>
            <w:r>
              <w:rPr>
                <w:b/>
                <w:bCs/>
                <w:color w:val="000000"/>
                <w:kern w:val="0"/>
                <w:sz w:val="20"/>
                <w:lang w:eastAsia="ja-JP"/>
              </w:rPr>
              <w:t>1,329</w:t>
            </w:r>
          </w:p>
        </w:tc>
      </w:tr>
      <w:tr w14:paraId="5FFA1B6C" w14:textId="77777777" w:rsidTr="00B1679F">
        <w:tblPrEx>
          <w:tblW w:w="5000" w:type="pct"/>
          <w:tblLook w:val="04A0"/>
        </w:tblPrEx>
        <w:trPr>
          <w:cantSplit/>
          <w:trHeight w:val="340"/>
        </w:trPr>
        <w:tc>
          <w:tcPr>
            <w:tcW w:w="1561" w:type="pct"/>
            <w:vMerge/>
            <w:tcBorders>
              <w:top w:val="single" w:sz="4" w:space="0" w:color="auto"/>
              <w:left w:val="single" w:sz="4" w:space="0" w:color="auto"/>
              <w:right w:val="nil"/>
            </w:tcBorders>
            <w:shd w:val="clear" w:color="auto" w:fill="auto"/>
            <w:vAlign w:val="center"/>
          </w:tcPr>
          <w:p w:rsidR="001443BF" w:rsidRPr="00201671" w:rsidP="00F27508" w14:paraId="6EED0BF1" w14:textId="77777777">
            <w:pPr>
              <w:widowControl/>
              <w:rPr>
                <w:sz w:val="20"/>
              </w:rPr>
            </w:pPr>
          </w:p>
        </w:tc>
        <w:tc>
          <w:tcPr>
            <w:tcW w:w="1083" w:type="pct"/>
            <w:vMerge/>
            <w:tcBorders>
              <w:top w:val="single" w:sz="4" w:space="0" w:color="auto"/>
              <w:left w:val="nil"/>
              <w:right w:val="single" w:sz="4" w:space="0" w:color="auto"/>
            </w:tcBorders>
            <w:shd w:val="clear" w:color="auto" w:fill="auto"/>
            <w:noWrap/>
            <w:vAlign w:val="center"/>
          </w:tcPr>
          <w:p w:rsidR="001443BF" w:rsidRPr="00D26579" w:rsidP="00F27508" w14:paraId="16F01C75" w14:textId="77777777">
            <w:pPr>
              <w:widowControl/>
              <w:jc w:val="center"/>
              <w:rPr>
                <w:color w:val="000000"/>
                <w:kern w:val="0"/>
                <w:sz w:val="20"/>
                <w:lang w:eastAsia="ja-JP"/>
              </w:rPr>
            </w:pPr>
          </w:p>
        </w:tc>
        <w:tc>
          <w:tcPr>
            <w:tcW w:w="569" w:type="pct"/>
            <w:tcBorders>
              <w:top w:val="nil"/>
              <w:left w:val="single" w:sz="4" w:space="0" w:color="auto"/>
              <w:right w:val="single" w:sz="4" w:space="0" w:color="auto"/>
            </w:tcBorders>
            <w:shd w:val="clear" w:color="auto" w:fill="DADADA"/>
            <w:vAlign w:val="center"/>
          </w:tcPr>
          <w:p w:rsidR="001443BF" w:rsidRPr="004C39CE" w:rsidP="00F27508" w14:paraId="14806A61" w14:textId="5569396A">
            <w:pPr>
              <w:widowControl/>
              <w:jc w:val="center"/>
              <w:rPr>
                <w:rFonts w:eastAsia="Calibri"/>
                <w:b/>
                <w:bCs/>
                <w:color w:val="000000"/>
                <w:kern w:val="0"/>
                <w:sz w:val="20"/>
              </w:rPr>
            </w:pPr>
            <w:r w:rsidRPr="004C39CE">
              <w:rPr>
                <w:rFonts w:eastAsia="Calibri"/>
                <w:b/>
                <w:bCs/>
                <w:color w:val="000000"/>
                <w:kern w:val="0"/>
                <w:sz w:val="20"/>
              </w:rPr>
              <w:t>Revised</w:t>
            </w:r>
          </w:p>
        </w:tc>
        <w:tc>
          <w:tcPr>
            <w:tcW w:w="641" w:type="pct"/>
            <w:tcBorders>
              <w:top w:val="nil"/>
              <w:left w:val="single" w:sz="4" w:space="0" w:color="auto"/>
              <w:right w:val="nil"/>
            </w:tcBorders>
            <w:shd w:val="clear" w:color="auto" w:fill="DADADA"/>
            <w:noWrap/>
            <w:vAlign w:val="center"/>
          </w:tcPr>
          <w:p w:rsidR="001443BF" w:rsidRPr="00201671" w:rsidP="00F27508" w14:paraId="1D7DD5B8" w14:textId="59883FE4">
            <w:pPr>
              <w:widowControl/>
              <w:jc w:val="right"/>
              <w:rPr>
                <w:rFonts w:eastAsia="Calibri"/>
                <w:color w:val="000000"/>
                <w:kern w:val="0"/>
                <w:sz w:val="20"/>
              </w:rPr>
            </w:pPr>
            <w:r>
              <w:rPr>
                <w:rFonts w:eastAsia="Calibri"/>
                <w:color w:val="000000"/>
                <w:kern w:val="0"/>
                <w:sz w:val="20"/>
              </w:rPr>
              <w:t>5,463</w:t>
            </w:r>
          </w:p>
        </w:tc>
        <w:tc>
          <w:tcPr>
            <w:tcW w:w="571" w:type="pct"/>
            <w:tcBorders>
              <w:top w:val="nil"/>
              <w:left w:val="nil"/>
              <w:right w:val="nil"/>
            </w:tcBorders>
            <w:shd w:val="clear" w:color="auto" w:fill="DADADA"/>
            <w:noWrap/>
            <w:vAlign w:val="center"/>
          </w:tcPr>
          <w:p w:rsidR="001443BF" w:rsidRPr="00F17C37" w:rsidP="00F27508" w14:paraId="7F7CBC72" w14:textId="5C45430F">
            <w:pPr>
              <w:widowControl/>
              <w:jc w:val="right"/>
              <w:rPr>
                <w:sz w:val="20"/>
              </w:rPr>
            </w:pPr>
            <w:r>
              <w:rPr>
                <w:sz w:val="20"/>
              </w:rPr>
              <w:t>341</w:t>
            </w:r>
          </w:p>
        </w:tc>
        <w:tc>
          <w:tcPr>
            <w:tcW w:w="575" w:type="pct"/>
            <w:tcBorders>
              <w:top w:val="nil"/>
              <w:left w:val="nil"/>
              <w:right w:val="single" w:sz="4" w:space="0" w:color="auto"/>
            </w:tcBorders>
            <w:shd w:val="clear" w:color="auto" w:fill="DADADA"/>
            <w:noWrap/>
            <w:vAlign w:val="center"/>
          </w:tcPr>
          <w:p w:rsidR="001443BF" w:rsidP="00F27508" w14:paraId="6F5661FD" w14:textId="7F8C04E6">
            <w:pPr>
              <w:widowControl/>
              <w:jc w:val="right"/>
              <w:rPr>
                <w:b/>
                <w:bCs/>
                <w:color w:val="000000"/>
                <w:kern w:val="0"/>
                <w:sz w:val="20"/>
                <w:lang w:eastAsia="ja-JP"/>
              </w:rPr>
            </w:pPr>
            <w:r>
              <w:rPr>
                <w:b/>
                <w:bCs/>
                <w:color w:val="000000"/>
                <w:kern w:val="0"/>
                <w:sz w:val="20"/>
                <w:lang w:eastAsia="ja-JP"/>
              </w:rPr>
              <w:t>5,804</w:t>
            </w:r>
          </w:p>
        </w:tc>
      </w:tr>
      <w:tr w14:paraId="46A3DD19" w14:textId="77777777" w:rsidTr="00B1679F">
        <w:tblPrEx>
          <w:tblW w:w="5000" w:type="pct"/>
          <w:tblLook w:val="04A0"/>
        </w:tblPrEx>
        <w:trPr>
          <w:cantSplit/>
          <w:trHeight w:val="340"/>
        </w:trPr>
        <w:tc>
          <w:tcPr>
            <w:tcW w:w="1561" w:type="pct"/>
            <w:vMerge/>
            <w:tcBorders>
              <w:top w:val="single" w:sz="4" w:space="0" w:color="auto"/>
              <w:left w:val="single" w:sz="4" w:space="0" w:color="auto"/>
              <w:bottom w:val="single" w:sz="4" w:space="0" w:color="auto"/>
              <w:right w:val="nil"/>
            </w:tcBorders>
            <w:shd w:val="clear" w:color="auto" w:fill="auto"/>
            <w:vAlign w:val="center"/>
          </w:tcPr>
          <w:p w:rsidR="001443BF" w:rsidRPr="00201671" w:rsidP="00F27508" w14:paraId="5FDB0623" w14:textId="77777777">
            <w:pPr>
              <w:widowControl/>
              <w:rPr>
                <w:sz w:val="20"/>
              </w:rPr>
            </w:pPr>
          </w:p>
        </w:tc>
        <w:tc>
          <w:tcPr>
            <w:tcW w:w="1083" w:type="pct"/>
            <w:vMerge/>
            <w:tcBorders>
              <w:top w:val="single" w:sz="4" w:space="0" w:color="auto"/>
              <w:left w:val="nil"/>
              <w:bottom w:val="single" w:sz="4" w:space="0" w:color="auto"/>
              <w:right w:val="single" w:sz="4" w:space="0" w:color="auto"/>
            </w:tcBorders>
            <w:shd w:val="clear" w:color="auto" w:fill="auto"/>
            <w:noWrap/>
            <w:vAlign w:val="center"/>
          </w:tcPr>
          <w:p w:rsidR="001443BF" w:rsidRPr="00D26579" w:rsidP="00F27508" w14:paraId="708751A4" w14:textId="77777777">
            <w:pPr>
              <w:widowControl/>
              <w:jc w:val="center"/>
              <w:rPr>
                <w:color w:val="000000"/>
                <w:kern w:val="0"/>
                <w:sz w:val="20"/>
                <w:lang w:eastAsia="ja-JP"/>
              </w:rPr>
            </w:pPr>
          </w:p>
        </w:tc>
        <w:tc>
          <w:tcPr>
            <w:tcW w:w="569" w:type="pct"/>
            <w:tcBorders>
              <w:top w:val="nil"/>
              <w:left w:val="single" w:sz="4" w:space="0" w:color="auto"/>
              <w:bottom w:val="single" w:sz="4" w:space="0" w:color="auto"/>
              <w:right w:val="single" w:sz="4" w:space="0" w:color="auto"/>
            </w:tcBorders>
            <w:vAlign w:val="center"/>
          </w:tcPr>
          <w:p w:rsidR="001443BF" w:rsidRPr="004C39CE" w:rsidP="00F27508" w14:paraId="1253F41F" w14:textId="6739FCAA">
            <w:pPr>
              <w:widowControl/>
              <w:jc w:val="center"/>
              <w:rPr>
                <w:rFonts w:eastAsia="Calibri"/>
                <w:b/>
                <w:bCs/>
                <w:color w:val="000000"/>
                <w:kern w:val="0"/>
                <w:sz w:val="20"/>
              </w:rPr>
            </w:pPr>
            <w:r w:rsidRPr="004C39CE">
              <w:rPr>
                <w:rFonts w:eastAsia="Calibri"/>
                <w:b/>
                <w:bCs/>
                <w:color w:val="000000"/>
                <w:kern w:val="0"/>
                <w:sz w:val="20"/>
              </w:rPr>
              <w:t>Delta</w:t>
            </w:r>
          </w:p>
        </w:tc>
        <w:tc>
          <w:tcPr>
            <w:tcW w:w="641" w:type="pct"/>
            <w:tcBorders>
              <w:top w:val="nil"/>
              <w:left w:val="single" w:sz="4" w:space="0" w:color="auto"/>
              <w:bottom w:val="single" w:sz="4" w:space="0" w:color="auto"/>
              <w:right w:val="nil"/>
            </w:tcBorders>
            <w:shd w:val="clear" w:color="auto" w:fill="auto"/>
            <w:noWrap/>
            <w:vAlign w:val="center"/>
          </w:tcPr>
          <w:p w:rsidR="001443BF" w:rsidRPr="00201671" w:rsidP="00F27508" w14:paraId="39C90056" w14:textId="550947F5">
            <w:pPr>
              <w:widowControl/>
              <w:jc w:val="right"/>
              <w:rPr>
                <w:rFonts w:eastAsia="Calibri"/>
                <w:color w:val="000000"/>
                <w:kern w:val="0"/>
                <w:sz w:val="20"/>
              </w:rPr>
            </w:pPr>
            <w:r>
              <w:rPr>
                <w:rFonts w:eastAsia="Calibri"/>
                <w:color w:val="000000"/>
                <w:kern w:val="0"/>
                <w:sz w:val="20"/>
              </w:rPr>
              <w:t>4,202</w:t>
            </w:r>
          </w:p>
        </w:tc>
        <w:tc>
          <w:tcPr>
            <w:tcW w:w="571" w:type="pct"/>
            <w:tcBorders>
              <w:top w:val="nil"/>
              <w:left w:val="nil"/>
              <w:bottom w:val="single" w:sz="4" w:space="0" w:color="auto"/>
              <w:right w:val="nil"/>
            </w:tcBorders>
            <w:shd w:val="clear" w:color="auto" w:fill="auto"/>
            <w:noWrap/>
            <w:vAlign w:val="center"/>
          </w:tcPr>
          <w:p w:rsidR="001443BF" w:rsidRPr="00F17C37" w:rsidP="00F27508" w14:paraId="6F1EAA1F" w14:textId="48D3EAB6">
            <w:pPr>
              <w:widowControl/>
              <w:jc w:val="right"/>
              <w:rPr>
                <w:sz w:val="20"/>
              </w:rPr>
            </w:pPr>
            <w:r>
              <w:rPr>
                <w:sz w:val="20"/>
              </w:rPr>
              <w:t>273</w:t>
            </w:r>
          </w:p>
        </w:tc>
        <w:tc>
          <w:tcPr>
            <w:tcW w:w="575" w:type="pct"/>
            <w:tcBorders>
              <w:top w:val="nil"/>
              <w:left w:val="nil"/>
              <w:bottom w:val="single" w:sz="4" w:space="0" w:color="auto"/>
              <w:right w:val="single" w:sz="4" w:space="0" w:color="auto"/>
            </w:tcBorders>
            <w:shd w:val="clear" w:color="auto" w:fill="auto"/>
            <w:noWrap/>
            <w:vAlign w:val="center"/>
          </w:tcPr>
          <w:p w:rsidR="001443BF" w:rsidP="00F27508" w14:paraId="06716106" w14:textId="315CA25F">
            <w:pPr>
              <w:widowControl/>
              <w:jc w:val="right"/>
              <w:rPr>
                <w:b/>
                <w:bCs/>
                <w:color w:val="000000"/>
                <w:kern w:val="0"/>
                <w:sz w:val="20"/>
                <w:lang w:eastAsia="ja-JP"/>
              </w:rPr>
            </w:pPr>
            <w:r>
              <w:rPr>
                <w:b/>
                <w:bCs/>
                <w:color w:val="000000"/>
                <w:kern w:val="0"/>
                <w:sz w:val="20"/>
                <w:lang w:eastAsia="ja-JP"/>
              </w:rPr>
              <w:t>4,475</w:t>
            </w:r>
          </w:p>
        </w:tc>
      </w:tr>
      <w:tr w14:paraId="1217D3BF" w14:textId="77777777" w:rsidTr="00B1679F">
        <w:tblPrEx>
          <w:tblW w:w="5000" w:type="pct"/>
          <w:tblLook w:val="04A0"/>
        </w:tblPrEx>
        <w:trPr>
          <w:cantSplit/>
          <w:trHeight w:val="340"/>
        </w:trPr>
        <w:tc>
          <w:tcPr>
            <w:tcW w:w="1561" w:type="pct"/>
            <w:vMerge w:val="restart"/>
            <w:tcBorders>
              <w:top w:val="single" w:sz="4" w:space="0" w:color="auto"/>
              <w:left w:val="single" w:sz="4" w:space="0" w:color="auto"/>
              <w:bottom w:val="single" w:sz="4" w:space="0" w:color="auto"/>
              <w:right w:val="nil"/>
            </w:tcBorders>
            <w:shd w:val="clear" w:color="D9D9D9" w:fill="D9D9D9"/>
            <w:vAlign w:val="center"/>
            <w:hideMark/>
          </w:tcPr>
          <w:p w:rsidR="001443BF" w:rsidRPr="00201671" w:rsidP="00F27508" w14:paraId="6D6909D8" w14:textId="2FF31B3E">
            <w:pPr>
              <w:widowControl/>
              <w:rPr>
                <w:color w:val="000000"/>
                <w:kern w:val="0"/>
                <w:sz w:val="20"/>
                <w:lang w:eastAsia="ja-JP"/>
              </w:rPr>
            </w:pPr>
            <w:r w:rsidRPr="00201671">
              <w:rPr>
                <w:sz w:val="20"/>
              </w:rPr>
              <w:t>Savage Communications</w:t>
            </w:r>
          </w:p>
        </w:tc>
        <w:tc>
          <w:tcPr>
            <w:tcW w:w="1083" w:type="pct"/>
            <w:vMerge w:val="restart"/>
            <w:tcBorders>
              <w:top w:val="single" w:sz="4" w:space="0" w:color="auto"/>
              <w:left w:val="nil"/>
              <w:bottom w:val="single" w:sz="4" w:space="0" w:color="auto"/>
              <w:right w:val="single" w:sz="4" w:space="0" w:color="auto"/>
            </w:tcBorders>
            <w:shd w:val="clear" w:color="D9D9D9" w:fill="D9D9D9"/>
            <w:noWrap/>
            <w:vAlign w:val="center"/>
            <w:hideMark/>
          </w:tcPr>
          <w:p w:rsidR="001443BF" w:rsidRPr="00D26579" w:rsidP="00F27508" w14:paraId="71AB9D13" w14:textId="7048CAD6">
            <w:pPr>
              <w:widowControl/>
              <w:jc w:val="center"/>
              <w:rPr>
                <w:color w:val="000000"/>
                <w:kern w:val="0"/>
                <w:sz w:val="20"/>
                <w:lang w:eastAsia="ja-JP"/>
              </w:rPr>
            </w:pPr>
            <w:r w:rsidRPr="00D26579">
              <w:rPr>
                <w:color w:val="000000"/>
                <w:kern w:val="0"/>
                <w:sz w:val="20"/>
                <w:lang w:eastAsia="ja-JP"/>
              </w:rPr>
              <w:t>Form 477</w:t>
            </w:r>
          </w:p>
        </w:tc>
        <w:tc>
          <w:tcPr>
            <w:tcW w:w="569" w:type="pct"/>
            <w:tcBorders>
              <w:top w:val="single" w:sz="4" w:space="0" w:color="auto"/>
              <w:left w:val="single" w:sz="4" w:space="0" w:color="auto"/>
              <w:bottom w:val="nil"/>
              <w:right w:val="single" w:sz="4" w:space="0" w:color="auto"/>
            </w:tcBorders>
            <w:shd w:val="clear" w:color="D9D9D9" w:fill="D9D9D9"/>
            <w:vAlign w:val="center"/>
          </w:tcPr>
          <w:p w:rsidR="001443BF" w:rsidRPr="004C39CE" w:rsidP="00F27508" w14:paraId="36C9C2E7" w14:textId="1D982F0A">
            <w:pPr>
              <w:widowControl/>
              <w:jc w:val="center"/>
              <w:rPr>
                <w:rFonts w:eastAsia="Calibri"/>
                <w:b/>
                <w:bCs/>
                <w:color w:val="000000"/>
                <w:kern w:val="0"/>
                <w:sz w:val="20"/>
              </w:rPr>
            </w:pPr>
            <w:r w:rsidRPr="004C39CE">
              <w:rPr>
                <w:rFonts w:eastAsia="Calibri"/>
                <w:b/>
                <w:bCs/>
                <w:color w:val="000000"/>
                <w:kern w:val="0"/>
                <w:sz w:val="20"/>
              </w:rPr>
              <w:t>Original</w:t>
            </w:r>
          </w:p>
        </w:tc>
        <w:tc>
          <w:tcPr>
            <w:tcW w:w="641" w:type="pct"/>
            <w:tcBorders>
              <w:top w:val="single" w:sz="4" w:space="0" w:color="auto"/>
              <w:left w:val="single" w:sz="4" w:space="0" w:color="auto"/>
              <w:bottom w:val="nil"/>
              <w:right w:val="nil"/>
            </w:tcBorders>
            <w:shd w:val="clear" w:color="D9D9D9" w:fill="D9D9D9"/>
            <w:noWrap/>
            <w:vAlign w:val="center"/>
            <w:hideMark/>
          </w:tcPr>
          <w:p w:rsidR="001443BF" w:rsidRPr="00201671" w:rsidP="00F27508" w14:paraId="5FB5DA9C" w14:textId="42B86364">
            <w:pPr>
              <w:widowControl/>
              <w:jc w:val="right"/>
              <w:rPr>
                <w:color w:val="000000"/>
                <w:kern w:val="0"/>
                <w:sz w:val="20"/>
                <w:lang w:eastAsia="ja-JP"/>
              </w:rPr>
            </w:pPr>
            <w:r w:rsidRPr="00201671">
              <w:rPr>
                <w:rFonts w:eastAsia="Calibri"/>
                <w:color w:val="000000"/>
                <w:kern w:val="0"/>
                <w:sz w:val="20"/>
              </w:rPr>
              <w:t>0</w:t>
            </w:r>
          </w:p>
        </w:tc>
        <w:tc>
          <w:tcPr>
            <w:tcW w:w="571" w:type="pct"/>
            <w:tcBorders>
              <w:top w:val="single" w:sz="4" w:space="0" w:color="auto"/>
              <w:left w:val="nil"/>
              <w:bottom w:val="nil"/>
              <w:right w:val="nil"/>
            </w:tcBorders>
            <w:shd w:val="clear" w:color="D9D9D9" w:fill="D9D9D9"/>
            <w:noWrap/>
            <w:vAlign w:val="center"/>
            <w:hideMark/>
          </w:tcPr>
          <w:p w:rsidR="001443BF" w:rsidRPr="00F17C37" w:rsidP="00F27508" w14:paraId="5E90847D" w14:textId="74513863">
            <w:pPr>
              <w:widowControl/>
              <w:jc w:val="right"/>
              <w:rPr>
                <w:color w:val="000000"/>
                <w:kern w:val="0"/>
                <w:sz w:val="20"/>
                <w:lang w:eastAsia="ja-JP"/>
              </w:rPr>
            </w:pPr>
            <w:r w:rsidRPr="00F17C37">
              <w:rPr>
                <w:sz w:val="20"/>
              </w:rPr>
              <w:t>0</w:t>
            </w:r>
          </w:p>
        </w:tc>
        <w:tc>
          <w:tcPr>
            <w:tcW w:w="575" w:type="pct"/>
            <w:tcBorders>
              <w:top w:val="single" w:sz="4" w:space="0" w:color="auto"/>
              <w:left w:val="nil"/>
              <w:bottom w:val="nil"/>
              <w:right w:val="single" w:sz="4" w:space="0" w:color="auto"/>
            </w:tcBorders>
            <w:shd w:val="clear" w:color="D9D9D9" w:fill="D9D9D9"/>
            <w:noWrap/>
            <w:vAlign w:val="center"/>
            <w:hideMark/>
          </w:tcPr>
          <w:p w:rsidR="001443BF" w:rsidRPr="00D26579" w:rsidP="00F27508" w14:paraId="693785E0" w14:textId="737FFB91">
            <w:pPr>
              <w:widowControl/>
              <w:jc w:val="right"/>
              <w:rPr>
                <w:b/>
                <w:bCs/>
                <w:color w:val="000000"/>
                <w:kern w:val="0"/>
                <w:sz w:val="20"/>
                <w:lang w:eastAsia="ja-JP"/>
              </w:rPr>
            </w:pPr>
            <w:r>
              <w:rPr>
                <w:b/>
                <w:bCs/>
                <w:color w:val="000000"/>
                <w:kern w:val="0"/>
                <w:sz w:val="20"/>
                <w:lang w:eastAsia="ja-JP"/>
              </w:rPr>
              <w:t>0</w:t>
            </w:r>
          </w:p>
        </w:tc>
      </w:tr>
      <w:tr w14:paraId="48BE32A6" w14:textId="77777777" w:rsidTr="00B1679F">
        <w:tblPrEx>
          <w:tblW w:w="5000" w:type="pct"/>
          <w:tblLook w:val="04A0"/>
        </w:tblPrEx>
        <w:trPr>
          <w:cantSplit/>
          <w:trHeight w:val="340"/>
        </w:trPr>
        <w:tc>
          <w:tcPr>
            <w:tcW w:w="1561" w:type="pct"/>
            <w:vMerge/>
            <w:tcBorders>
              <w:left w:val="single" w:sz="4" w:space="0" w:color="auto"/>
              <w:bottom w:val="single" w:sz="4" w:space="0" w:color="auto"/>
              <w:right w:val="nil"/>
            </w:tcBorders>
            <w:shd w:val="clear" w:color="D9D9D9" w:fill="D9D9D9"/>
            <w:vAlign w:val="center"/>
          </w:tcPr>
          <w:p w:rsidR="001443BF" w:rsidRPr="00201671" w:rsidP="00F27508" w14:paraId="27E2B8A7" w14:textId="77777777">
            <w:pPr>
              <w:widowControl/>
              <w:rPr>
                <w:sz w:val="20"/>
              </w:rPr>
            </w:pPr>
          </w:p>
        </w:tc>
        <w:tc>
          <w:tcPr>
            <w:tcW w:w="1083" w:type="pct"/>
            <w:vMerge/>
            <w:tcBorders>
              <w:left w:val="nil"/>
              <w:bottom w:val="single" w:sz="4" w:space="0" w:color="auto"/>
              <w:right w:val="single" w:sz="4" w:space="0" w:color="auto"/>
            </w:tcBorders>
            <w:shd w:val="clear" w:color="D9D9D9" w:fill="D9D9D9"/>
            <w:noWrap/>
            <w:vAlign w:val="center"/>
          </w:tcPr>
          <w:p w:rsidR="001443BF" w:rsidRPr="00D26579" w:rsidP="00F27508" w14:paraId="3FD296A4" w14:textId="77777777">
            <w:pPr>
              <w:widowControl/>
              <w:jc w:val="center"/>
              <w:rPr>
                <w:color w:val="000000"/>
                <w:kern w:val="0"/>
                <w:sz w:val="20"/>
                <w:lang w:eastAsia="ja-JP"/>
              </w:rPr>
            </w:pPr>
          </w:p>
        </w:tc>
        <w:tc>
          <w:tcPr>
            <w:tcW w:w="569" w:type="pct"/>
            <w:tcBorders>
              <w:top w:val="nil"/>
              <w:left w:val="single" w:sz="4" w:space="0" w:color="auto"/>
              <w:bottom w:val="nil"/>
              <w:right w:val="single" w:sz="4" w:space="0" w:color="auto"/>
            </w:tcBorders>
            <w:shd w:val="clear" w:color="auto" w:fill="FFFFFF" w:themeFill="background1"/>
            <w:vAlign w:val="center"/>
          </w:tcPr>
          <w:p w:rsidR="001443BF" w:rsidRPr="004C39CE" w:rsidP="00F27508" w14:paraId="0CE9DF5B" w14:textId="5B592AEE">
            <w:pPr>
              <w:widowControl/>
              <w:jc w:val="center"/>
              <w:rPr>
                <w:rFonts w:eastAsia="Calibri"/>
                <w:b/>
                <w:bCs/>
                <w:color w:val="000000"/>
                <w:kern w:val="0"/>
                <w:sz w:val="20"/>
              </w:rPr>
            </w:pPr>
            <w:r w:rsidRPr="004C39CE">
              <w:rPr>
                <w:rFonts w:eastAsia="Calibri"/>
                <w:b/>
                <w:bCs/>
                <w:color w:val="000000"/>
                <w:kern w:val="0"/>
                <w:sz w:val="20"/>
              </w:rPr>
              <w:t>Revised</w:t>
            </w:r>
          </w:p>
        </w:tc>
        <w:tc>
          <w:tcPr>
            <w:tcW w:w="641" w:type="pct"/>
            <w:tcBorders>
              <w:top w:val="nil"/>
              <w:left w:val="single" w:sz="4" w:space="0" w:color="auto"/>
              <w:bottom w:val="nil"/>
              <w:right w:val="nil"/>
            </w:tcBorders>
            <w:shd w:val="clear" w:color="auto" w:fill="FFFFFF" w:themeFill="background1"/>
            <w:noWrap/>
            <w:vAlign w:val="center"/>
          </w:tcPr>
          <w:p w:rsidR="001443BF" w:rsidRPr="00201671" w:rsidP="00F27508" w14:paraId="032A6E5E" w14:textId="5906B222">
            <w:pPr>
              <w:widowControl/>
              <w:jc w:val="right"/>
              <w:rPr>
                <w:rFonts w:eastAsia="Calibri"/>
                <w:color w:val="000000"/>
                <w:kern w:val="0"/>
                <w:sz w:val="20"/>
              </w:rPr>
            </w:pPr>
            <w:r>
              <w:rPr>
                <w:rFonts w:eastAsia="Calibri"/>
                <w:color w:val="000000"/>
                <w:kern w:val="0"/>
                <w:sz w:val="20"/>
              </w:rPr>
              <w:t>239</w:t>
            </w:r>
          </w:p>
        </w:tc>
        <w:tc>
          <w:tcPr>
            <w:tcW w:w="571" w:type="pct"/>
            <w:tcBorders>
              <w:top w:val="nil"/>
              <w:left w:val="nil"/>
              <w:bottom w:val="nil"/>
              <w:right w:val="nil"/>
            </w:tcBorders>
            <w:shd w:val="clear" w:color="auto" w:fill="FFFFFF" w:themeFill="background1"/>
            <w:noWrap/>
            <w:vAlign w:val="center"/>
          </w:tcPr>
          <w:p w:rsidR="001443BF" w:rsidRPr="00F17C37" w:rsidP="00F27508" w14:paraId="0DD8CA7E" w14:textId="774A9D8A">
            <w:pPr>
              <w:widowControl/>
              <w:jc w:val="right"/>
              <w:rPr>
                <w:sz w:val="20"/>
              </w:rPr>
            </w:pPr>
            <w:r>
              <w:rPr>
                <w:sz w:val="20"/>
              </w:rPr>
              <w:t>24</w:t>
            </w:r>
          </w:p>
        </w:tc>
        <w:tc>
          <w:tcPr>
            <w:tcW w:w="575" w:type="pct"/>
            <w:tcBorders>
              <w:top w:val="nil"/>
              <w:left w:val="nil"/>
              <w:bottom w:val="nil"/>
              <w:right w:val="single" w:sz="4" w:space="0" w:color="auto"/>
            </w:tcBorders>
            <w:shd w:val="clear" w:color="auto" w:fill="FFFFFF" w:themeFill="background1"/>
            <w:noWrap/>
            <w:vAlign w:val="center"/>
          </w:tcPr>
          <w:p w:rsidR="001443BF" w:rsidP="00F27508" w14:paraId="50DCFC0C" w14:textId="3AECDB8A">
            <w:pPr>
              <w:widowControl/>
              <w:jc w:val="right"/>
              <w:rPr>
                <w:b/>
                <w:bCs/>
                <w:color w:val="000000"/>
                <w:kern w:val="0"/>
                <w:sz w:val="20"/>
                <w:lang w:eastAsia="ja-JP"/>
              </w:rPr>
            </w:pPr>
            <w:r>
              <w:rPr>
                <w:b/>
                <w:bCs/>
                <w:color w:val="000000"/>
                <w:kern w:val="0"/>
                <w:sz w:val="20"/>
                <w:lang w:eastAsia="ja-JP"/>
              </w:rPr>
              <w:t>263</w:t>
            </w:r>
          </w:p>
        </w:tc>
      </w:tr>
      <w:tr w14:paraId="767172AD" w14:textId="77777777" w:rsidTr="00B1679F">
        <w:tblPrEx>
          <w:tblW w:w="5000" w:type="pct"/>
          <w:tblLook w:val="04A0"/>
        </w:tblPrEx>
        <w:trPr>
          <w:cantSplit/>
          <w:trHeight w:val="340"/>
        </w:trPr>
        <w:tc>
          <w:tcPr>
            <w:tcW w:w="1561" w:type="pct"/>
            <w:vMerge/>
            <w:tcBorders>
              <w:left w:val="single" w:sz="4" w:space="0" w:color="auto"/>
              <w:bottom w:val="single" w:sz="4" w:space="0" w:color="auto"/>
              <w:right w:val="nil"/>
            </w:tcBorders>
            <w:shd w:val="clear" w:color="D9D9D9" w:fill="D9D9D9"/>
            <w:vAlign w:val="center"/>
          </w:tcPr>
          <w:p w:rsidR="001443BF" w:rsidRPr="00201671" w:rsidP="00F27508" w14:paraId="09E61622" w14:textId="77777777">
            <w:pPr>
              <w:widowControl/>
              <w:rPr>
                <w:sz w:val="20"/>
              </w:rPr>
            </w:pPr>
          </w:p>
        </w:tc>
        <w:tc>
          <w:tcPr>
            <w:tcW w:w="1083" w:type="pct"/>
            <w:vMerge/>
            <w:tcBorders>
              <w:left w:val="nil"/>
              <w:bottom w:val="single" w:sz="4" w:space="0" w:color="auto"/>
              <w:right w:val="single" w:sz="4" w:space="0" w:color="auto"/>
            </w:tcBorders>
            <w:shd w:val="clear" w:color="D9D9D9" w:fill="D9D9D9"/>
            <w:noWrap/>
            <w:vAlign w:val="center"/>
          </w:tcPr>
          <w:p w:rsidR="001443BF" w:rsidRPr="00D26579" w:rsidP="00F27508" w14:paraId="5AEBC149" w14:textId="77777777">
            <w:pPr>
              <w:widowControl/>
              <w:jc w:val="center"/>
              <w:rPr>
                <w:color w:val="000000"/>
                <w:kern w:val="0"/>
                <w:sz w:val="20"/>
                <w:lang w:eastAsia="ja-JP"/>
              </w:rPr>
            </w:pPr>
          </w:p>
        </w:tc>
        <w:tc>
          <w:tcPr>
            <w:tcW w:w="569" w:type="pct"/>
            <w:tcBorders>
              <w:top w:val="nil"/>
              <w:left w:val="single" w:sz="4" w:space="0" w:color="auto"/>
              <w:bottom w:val="single" w:sz="4" w:space="0" w:color="auto"/>
              <w:right w:val="single" w:sz="4" w:space="0" w:color="auto"/>
            </w:tcBorders>
            <w:shd w:val="clear" w:color="D9D9D9" w:fill="D9D9D9"/>
            <w:vAlign w:val="center"/>
          </w:tcPr>
          <w:p w:rsidR="001443BF" w:rsidRPr="004C39CE" w:rsidP="00F27508" w14:paraId="2162EA6F" w14:textId="323C848E">
            <w:pPr>
              <w:widowControl/>
              <w:jc w:val="center"/>
              <w:rPr>
                <w:rFonts w:eastAsia="Calibri"/>
                <w:b/>
                <w:bCs/>
                <w:color w:val="000000"/>
                <w:kern w:val="0"/>
                <w:sz w:val="20"/>
              </w:rPr>
            </w:pPr>
            <w:r w:rsidRPr="004C39CE">
              <w:rPr>
                <w:rFonts w:eastAsia="Calibri"/>
                <w:b/>
                <w:bCs/>
                <w:color w:val="000000"/>
                <w:kern w:val="0"/>
                <w:sz w:val="20"/>
              </w:rPr>
              <w:t>Delta</w:t>
            </w:r>
          </w:p>
        </w:tc>
        <w:tc>
          <w:tcPr>
            <w:tcW w:w="641" w:type="pct"/>
            <w:tcBorders>
              <w:top w:val="nil"/>
              <w:left w:val="single" w:sz="4" w:space="0" w:color="auto"/>
              <w:bottom w:val="single" w:sz="4" w:space="0" w:color="auto"/>
              <w:right w:val="nil"/>
            </w:tcBorders>
            <w:shd w:val="clear" w:color="D9D9D9" w:fill="D9D9D9"/>
            <w:noWrap/>
            <w:vAlign w:val="center"/>
          </w:tcPr>
          <w:p w:rsidR="001443BF" w:rsidRPr="00201671" w:rsidP="00F27508" w14:paraId="6AC860CA" w14:textId="2EDEE9EE">
            <w:pPr>
              <w:widowControl/>
              <w:jc w:val="right"/>
              <w:rPr>
                <w:rFonts w:eastAsia="Calibri"/>
                <w:color w:val="000000"/>
                <w:kern w:val="0"/>
                <w:sz w:val="20"/>
              </w:rPr>
            </w:pPr>
            <w:r>
              <w:rPr>
                <w:rFonts w:eastAsia="Calibri"/>
                <w:color w:val="000000"/>
                <w:kern w:val="0"/>
                <w:sz w:val="20"/>
              </w:rPr>
              <w:t>239</w:t>
            </w:r>
          </w:p>
        </w:tc>
        <w:tc>
          <w:tcPr>
            <w:tcW w:w="571" w:type="pct"/>
            <w:tcBorders>
              <w:top w:val="nil"/>
              <w:left w:val="nil"/>
              <w:bottom w:val="single" w:sz="4" w:space="0" w:color="auto"/>
              <w:right w:val="nil"/>
            </w:tcBorders>
            <w:shd w:val="clear" w:color="D9D9D9" w:fill="D9D9D9"/>
            <w:noWrap/>
            <w:vAlign w:val="center"/>
          </w:tcPr>
          <w:p w:rsidR="001443BF" w:rsidRPr="00F17C37" w:rsidP="00F27508" w14:paraId="243615A1" w14:textId="57BC7A98">
            <w:pPr>
              <w:widowControl/>
              <w:jc w:val="right"/>
              <w:rPr>
                <w:sz w:val="20"/>
              </w:rPr>
            </w:pPr>
            <w:r>
              <w:rPr>
                <w:sz w:val="20"/>
              </w:rPr>
              <w:t>24</w:t>
            </w:r>
          </w:p>
        </w:tc>
        <w:tc>
          <w:tcPr>
            <w:tcW w:w="575" w:type="pct"/>
            <w:tcBorders>
              <w:top w:val="nil"/>
              <w:left w:val="nil"/>
              <w:bottom w:val="single" w:sz="4" w:space="0" w:color="auto"/>
              <w:right w:val="single" w:sz="4" w:space="0" w:color="auto"/>
            </w:tcBorders>
            <w:shd w:val="clear" w:color="D9D9D9" w:fill="D9D9D9"/>
            <w:noWrap/>
            <w:vAlign w:val="center"/>
          </w:tcPr>
          <w:p w:rsidR="001443BF" w:rsidP="00F27508" w14:paraId="49E878DC" w14:textId="6C406E1F">
            <w:pPr>
              <w:widowControl/>
              <w:jc w:val="right"/>
              <w:rPr>
                <w:b/>
                <w:bCs/>
                <w:color w:val="000000"/>
                <w:kern w:val="0"/>
                <w:sz w:val="20"/>
                <w:lang w:eastAsia="ja-JP"/>
              </w:rPr>
            </w:pPr>
            <w:r>
              <w:rPr>
                <w:b/>
                <w:bCs/>
                <w:color w:val="000000"/>
                <w:kern w:val="0"/>
                <w:sz w:val="20"/>
                <w:lang w:eastAsia="ja-JP"/>
              </w:rPr>
              <w:t>263</w:t>
            </w:r>
          </w:p>
        </w:tc>
      </w:tr>
    </w:tbl>
    <w:p w:rsidR="00C32218" w:rsidP="00DF49F4" w14:paraId="038831E7" w14:textId="77777777"/>
    <w:sectPr w:rsidSect="00B1679F">
      <w:headerReference w:type="first" r:id="rId11"/>
      <w:endnotePr>
        <w:numFmt w:val="decimal"/>
      </w:endnotePr>
      <w:pgSz w:w="12240" w:h="15840"/>
      <w:pgMar w:top="1440" w:right="1440" w:bottom="720" w:left="1440" w:header="634"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6FAF80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509EB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BE953EC"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0C5BE0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414A" w14:paraId="7A08756A" w14:textId="77777777">
      <w:r>
        <w:separator/>
      </w:r>
    </w:p>
  </w:footnote>
  <w:footnote w:type="continuationSeparator" w:id="1">
    <w:p w:rsidR="0022414A" w14:paraId="193123B1" w14:textId="77777777">
      <w:pPr>
        <w:rPr>
          <w:sz w:val="20"/>
        </w:rPr>
      </w:pPr>
      <w:r>
        <w:rPr>
          <w:sz w:val="20"/>
        </w:rPr>
        <w:t xml:space="preserve">(Continued from previous page)  </w:t>
      </w:r>
      <w:r>
        <w:rPr>
          <w:sz w:val="20"/>
        </w:rPr>
        <w:separator/>
      </w:r>
    </w:p>
  </w:footnote>
  <w:footnote w:type="continuationNotice" w:id="2">
    <w:p w:rsidR="0022414A" w:rsidP="00910F12" w14:paraId="76547393" w14:textId="77777777">
      <w:pPr>
        <w:jc w:val="right"/>
        <w:rPr>
          <w:sz w:val="20"/>
        </w:rPr>
      </w:pPr>
      <w:r>
        <w:rPr>
          <w:sz w:val="20"/>
        </w:rPr>
        <w:t>(continued….)</w:t>
      </w:r>
    </w:p>
  </w:footnote>
  <w:footnote w:id="3">
    <w:p w:rsidR="00010304" w:rsidP="00D2788D" w14:paraId="604515F0" w14:textId="77777777">
      <w:pPr>
        <w:pStyle w:val="FootnoteText"/>
      </w:pPr>
      <w:r w:rsidRPr="001A48E5">
        <w:rPr>
          <w:rStyle w:val="FootnoteReference"/>
        </w:rPr>
        <w:footnoteRef/>
      </w:r>
      <w:r w:rsidRPr="001A48E5">
        <w:t xml:space="preserve"> </w:t>
      </w:r>
      <w:r w:rsidR="001C7862">
        <w:rPr>
          <w:i/>
          <w:iCs/>
        </w:rPr>
        <w:t>Rural Digital Opportunity Fund Phase I Auction Scheduled for October 29, 2020; Notice and Filing Requirements and Other Procedures for Auction 904</w:t>
      </w:r>
      <w:r w:rsidR="001C7862">
        <w:t>, 35 FCC Rcd 6</w:t>
      </w:r>
      <w:r w:rsidR="00A33A4C">
        <w:t>077, 6088, para. 26</w:t>
      </w:r>
      <w:r w:rsidR="001C7862">
        <w:t xml:space="preserve"> (2020) (</w:t>
      </w:r>
      <w:r w:rsidR="001C7862">
        <w:rPr>
          <w:i/>
          <w:iCs/>
        </w:rPr>
        <w:t>Auction 904 Procedures Public Notice</w:t>
      </w:r>
      <w:r w:rsidR="001C7862">
        <w:t xml:space="preserve">) </w:t>
      </w:r>
      <w:r w:rsidR="00A33A4C">
        <w:t>(directing the Bureau to publish a final list of eligible areas at least 14 days prior to the October 29 auction start date).</w:t>
      </w:r>
    </w:p>
  </w:footnote>
  <w:footnote w:id="4">
    <w:p w:rsidR="00010304" w:rsidP="007B3C08" w14:paraId="556775EC" w14:textId="77777777">
      <w:pPr>
        <w:pStyle w:val="FootnoteText"/>
      </w:pPr>
      <w:r>
        <w:rPr>
          <w:rStyle w:val="FootnoteReference"/>
        </w:rPr>
        <w:footnoteRef/>
      </w:r>
      <w:r>
        <w:t xml:space="preserve"> </w:t>
      </w:r>
      <w:r w:rsidRPr="001A48E5" w:rsidR="00886B9B">
        <w:rPr>
          <w:i/>
        </w:rPr>
        <w:t>Rural Digital Opportunity Fund; Connect America Fund</w:t>
      </w:r>
      <w:r w:rsidRPr="001A48E5" w:rsidR="00886B9B">
        <w:t xml:space="preserve">, </w:t>
      </w:r>
      <w:r w:rsidR="0064331D">
        <w:t xml:space="preserve">Report and </w:t>
      </w:r>
      <w:r w:rsidRPr="001A48E5" w:rsidR="00886B9B">
        <w:t>Order,</w:t>
      </w:r>
      <w:r w:rsidR="00886B9B">
        <w:t xml:space="preserve"> 35 FCC Rcd 686, 690-94, paras. 9-16 (2020) (</w:t>
      </w:r>
      <w:r w:rsidR="00886B9B">
        <w:rPr>
          <w:i/>
          <w:iCs/>
        </w:rPr>
        <w:t xml:space="preserve">Rural Digital Opportunity Fund </w:t>
      </w:r>
      <w:r w:rsidR="00B822DE">
        <w:rPr>
          <w:i/>
          <w:iCs/>
        </w:rPr>
        <w:t xml:space="preserve">Report and </w:t>
      </w:r>
      <w:r w:rsidR="00886B9B">
        <w:rPr>
          <w:i/>
          <w:iCs/>
        </w:rPr>
        <w:t>Order</w:t>
      </w:r>
      <w:r w:rsidR="00886B9B">
        <w:t xml:space="preserve">).  </w:t>
      </w:r>
    </w:p>
  </w:footnote>
  <w:footnote w:id="5">
    <w:p w:rsidR="00010304" w14:paraId="7D23C17D" w14:textId="77777777">
      <w:pPr>
        <w:pStyle w:val="FootnoteText"/>
      </w:pPr>
      <w:r>
        <w:rPr>
          <w:rStyle w:val="FootnoteReference"/>
        </w:rPr>
        <w:footnoteRef/>
      </w:r>
      <w:r>
        <w:t xml:space="preserve"> </w:t>
      </w:r>
      <w:r w:rsidR="00886B9B">
        <w:rPr>
          <w:i/>
          <w:iCs/>
        </w:rPr>
        <w:t>Id</w:t>
      </w:r>
      <w:r w:rsidR="00886B9B">
        <w:t>. at 691-93, paras. 12-14.</w:t>
      </w:r>
    </w:p>
  </w:footnote>
  <w:footnote w:id="6">
    <w:p w:rsidR="00010304" w14:paraId="5FC2C1AF" w14:textId="77777777">
      <w:pPr>
        <w:pStyle w:val="FootnoteText"/>
      </w:pPr>
      <w:r>
        <w:rPr>
          <w:rStyle w:val="FootnoteReference"/>
        </w:rPr>
        <w:footnoteRef/>
      </w:r>
      <w:r>
        <w:t xml:space="preserve"> </w:t>
      </w:r>
      <w:r w:rsidR="00886B9B">
        <w:rPr>
          <w:i/>
          <w:iCs/>
        </w:rPr>
        <w:t>Id</w:t>
      </w:r>
      <w:r w:rsidR="00886B9B">
        <w:t>. at 692, para. 13 &amp; n.31.</w:t>
      </w:r>
    </w:p>
  </w:footnote>
  <w:footnote w:id="7">
    <w:p w:rsidR="00010304" w:rsidP="007E5792" w14:paraId="4D8D385B" w14:textId="77777777">
      <w:pPr>
        <w:pStyle w:val="FootnoteText"/>
      </w:pPr>
      <w:r>
        <w:rPr>
          <w:rStyle w:val="FootnoteReference"/>
        </w:rPr>
        <w:footnoteRef/>
      </w:r>
      <w:r>
        <w:t xml:space="preserve"> </w:t>
      </w:r>
      <w:r>
        <w:rPr>
          <w:i/>
          <w:iCs/>
        </w:rPr>
        <w:t>Wireline Competition Bureau Releases Preliminary List of and Map of Eligible Areas for the Rural Digital Opportunity Fund Auction</w:t>
      </w:r>
      <w:r>
        <w:t>, 35 FCC Rcd 2685 (2020) (</w:t>
      </w:r>
      <w:r w:rsidRPr="002574CA">
        <w:rPr>
          <w:i/>
          <w:iCs/>
        </w:rPr>
        <w:t>Auction 904 Preliminary Eligible Areas P</w:t>
      </w:r>
      <w:r>
        <w:rPr>
          <w:i/>
          <w:iCs/>
        </w:rPr>
        <w:t xml:space="preserve">ublic </w:t>
      </w:r>
      <w:r w:rsidRPr="002574CA">
        <w:rPr>
          <w:i/>
          <w:iCs/>
        </w:rPr>
        <w:t>N</w:t>
      </w:r>
      <w:r>
        <w:rPr>
          <w:i/>
          <w:iCs/>
        </w:rPr>
        <w:t>otice</w:t>
      </w:r>
      <w:r>
        <w:t>).</w:t>
      </w:r>
      <w:r w:rsidR="00BA0649">
        <w:t xml:space="preserve">  </w:t>
      </w:r>
    </w:p>
  </w:footnote>
  <w:footnote w:id="8">
    <w:p w:rsidR="00010304" w14:paraId="3DB7D679" w14:textId="77777777">
      <w:pPr>
        <w:pStyle w:val="FootnoteText"/>
      </w:pPr>
      <w:r>
        <w:rPr>
          <w:rStyle w:val="FootnoteReference"/>
        </w:rPr>
        <w:footnoteRef/>
      </w:r>
      <w:r>
        <w:t xml:space="preserve"> </w:t>
      </w:r>
      <w:r>
        <w:rPr>
          <w:i/>
          <w:iCs/>
        </w:rPr>
        <w:t>Id</w:t>
      </w:r>
      <w:r>
        <w:t>.</w:t>
      </w:r>
      <w:r w:rsidR="003E38BB">
        <w:t xml:space="preserve">  </w:t>
      </w:r>
    </w:p>
  </w:footnote>
  <w:footnote w:id="9">
    <w:p w:rsidR="00010304" w:rsidP="00CE0564" w14:paraId="50ABAA83" w14:textId="4DC32294">
      <w:pPr>
        <w:pStyle w:val="FootnoteText"/>
      </w:pPr>
      <w:r>
        <w:rPr>
          <w:rStyle w:val="FootnoteReference"/>
        </w:rPr>
        <w:footnoteRef/>
      </w:r>
      <w:r>
        <w:t xml:space="preserve"> </w:t>
      </w:r>
      <w:r>
        <w:rPr>
          <w:i/>
          <w:iCs/>
        </w:rPr>
        <w:t>Wireline Competition Bureau and Office of Economics and Analytics Announce Release of Updated List and Map of Eligible Areas for the Rural Digital Opportunity Fund Phase I Auction</w:t>
      </w:r>
      <w:r w:rsidR="0092022B">
        <w:t>,</w:t>
      </w:r>
      <w:r>
        <w:t xml:space="preserve"> 35 FCC Rcd</w:t>
      </w:r>
      <w:r w:rsidR="00712A7B">
        <w:t xml:space="preserve"> 6499 (2020)</w:t>
      </w:r>
      <w:r w:rsidR="0092022B">
        <w:t xml:space="preserve"> (</w:t>
      </w:r>
      <w:r w:rsidRPr="0092022B" w:rsidR="0092022B">
        <w:rPr>
          <w:i/>
          <w:iCs/>
        </w:rPr>
        <w:t>Updated Eligible Areas Public Notice</w:t>
      </w:r>
      <w:r w:rsidR="0092022B">
        <w:t>)</w:t>
      </w:r>
      <w:r w:rsidR="00712A7B">
        <w:t>.</w:t>
      </w:r>
    </w:p>
  </w:footnote>
  <w:footnote w:id="10">
    <w:p w:rsidR="00010304" w14:paraId="64B93329" w14:textId="0CB674CC">
      <w:pPr>
        <w:pStyle w:val="FootnoteText"/>
      </w:pPr>
      <w:r>
        <w:rPr>
          <w:rStyle w:val="FootnoteReference"/>
        </w:rPr>
        <w:footnoteRef/>
      </w:r>
      <w:r>
        <w:t xml:space="preserve"> </w:t>
      </w:r>
      <w:r w:rsidRPr="00427145" w:rsidR="00427145">
        <w:rPr>
          <w:i/>
          <w:iCs/>
        </w:rPr>
        <w:t>Updated Eligible Areas P</w:t>
      </w:r>
      <w:r w:rsidR="0092022B">
        <w:rPr>
          <w:i/>
          <w:iCs/>
        </w:rPr>
        <w:t xml:space="preserve">ublic </w:t>
      </w:r>
      <w:r w:rsidRPr="00427145" w:rsidR="00427145">
        <w:rPr>
          <w:i/>
          <w:iCs/>
        </w:rPr>
        <w:t>N</w:t>
      </w:r>
      <w:r w:rsidR="0092022B">
        <w:rPr>
          <w:i/>
          <w:iCs/>
        </w:rPr>
        <w:t>otice</w:t>
      </w:r>
      <w:r w:rsidR="00427145">
        <w:t>, Appendix</w:t>
      </w:r>
      <w:r w:rsidR="00BA1FC6">
        <w:t>, 35 FCC Rcd at 6505</w:t>
      </w:r>
      <w:r w:rsidR="00427145">
        <w:t>.</w:t>
      </w:r>
    </w:p>
  </w:footnote>
  <w:footnote w:id="11">
    <w:p w:rsidR="00010304" w:rsidP="009D6AA3" w14:paraId="2FECA85A" w14:textId="77777777">
      <w:pPr>
        <w:pStyle w:val="FootnoteText"/>
      </w:pPr>
      <w:r>
        <w:rPr>
          <w:rStyle w:val="FootnoteReference"/>
        </w:rPr>
        <w:footnoteRef/>
      </w:r>
      <w:r>
        <w:t xml:space="preserve"> Auction 904 </w:t>
      </w:r>
      <w:r w:rsidRPr="00850CEF">
        <w:t>exclude</w:t>
      </w:r>
      <w:r>
        <w:t>s</w:t>
      </w:r>
      <w:r w:rsidRPr="00850CEF">
        <w:t xml:space="preserve"> those census blocks where a terrestrial provider offers voice and 25/3 Mbps broadband service</w:t>
      </w:r>
      <w:r>
        <w:t xml:space="preserve">.  </w:t>
      </w:r>
      <w:r w:rsidRPr="00D07AB9">
        <w:t xml:space="preserve">The Commission defined an unsubsidized competitor as a “facilities-based provider of residential terrestrial fixed voice and broadband service that does not receive high-cost support.”  </w:t>
      </w:r>
      <w:r w:rsidRPr="00450C67">
        <w:rPr>
          <w:i/>
        </w:rPr>
        <w:t>Connect America Fund et al.</w:t>
      </w:r>
      <w:r w:rsidRPr="00450C67">
        <w:t>, Report and Order and Further Notice of Proposed Rulemaking, 26 FCC Rcd 17663, 17</w:t>
      </w:r>
      <w:r>
        <w:t>701</w:t>
      </w:r>
      <w:r w:rsidRPr="00450C67">
        <w:t xml:space="preserve">, para. </w:t>
      </w:r>
      <w:r>
        <w:t>103</w:t>
      </w:r>
      <w:r w:rsidRPr="00450C67">
        <w:t xml:space="preserve"> (2011), </w:t>
      </w:r>
      <w:r w:rsidRPr="00450C67">
        <w:rPr>
          <w:i/>
        </w:rPr>
        <w:t>aff’d sub nom. In re FCC 11-161</w:t>
      </w:r>
      <w:r w:rsidRPr="00450C67">
        <w:t>, 753 F.3d 1015 (10</w:t>
      </w:r>
      <w:r w:rsidRPr="00450C67">
        <w:rPr>
          <w:vertAlign w:val="superscript"/>
        </w:rPr>
        <w:t>th</w:t>
      </w:r>
      <w:r w:rsidRPr="00450C67">
        <w:t xml:space="preserve"> Cir. 2014)</w:t>
      </w:r>
      <w:r w:rsidRPr="00D07AB9">
        <w:t xml:space="preserve">; </w:t>
      </w:r>
      <w:r w:rsidRPr="00D07AB9">
        <w:rPr>
          <w:i/>
        </w:rPr>
        <w:t xml:space="preserve">see also </w:t>
      </w:r>
      <w:r w:rsidRPr="00D07AB9">
        <w:t xml:space="preserve">47 CFR § 54.5 (defining “unsubsidized competitor”).  Whether or not a broadband provider offers voice is based on FCC Form 477 subscription data and determined at the state level.  </w:t>
      </w:r>
      <w:r>
        <w:rPr>
          <w:i/>
          <w:iCs/>
        </w:rPr>
        <w:t>Rural Digital Opportunity Fund Order</w:t>
      </w:r>
      <w:r>
        <w:t>, 33 FCC Rcd at 692, para. 13 &amp; n.30.</w:t>
      </w:r>
    </w:p>
  </w:footnote>
  <w:footnote w:id="12">
    <w:p w:rsidR="00010304" w14:paraId="25035339" w14:textId="16D201F4">
      <w:pPr>
        <w:pStyle w:val="FootnoteText"/>
      </w:pPr>
      <w:r>
        <w:rPr>
          <w:rStyle w:val="FootnoteReference"/>
        </w:rPr>
        <w:footnoteRef/>
      </w:r>
      <w:r>
        <w:t xml:space="preserve"> </w:t>
      </w:r>
      <w:r w:rsidRPr="00221360">
        <w:rPr>
          <w:i/>
          <w:iCs/>
        </w:rPr>
        <w:t>Updated Eligible Areas P</w:t>
      </w:r>
      <w:r w:rsidR="0092022B">
        <w:rPr>
          <w:i/>
          <w:iCs/>
        </w:rPr>
        <w:t xml:space="preserve">ublic </w:t>
      </w:r>
      <w:r w:rsidRPr="00221360">
        <w:rPr>
          <w:i/>
          <w:iCs/>
        </w:rPr>
        <w:t>N</w:t>
      </w:r>
      <w:r w:rsidR="0092022B">
        <w:rPr>
          <w:i/>
          <w:iCs/>
        </w:rPr>
        <w:t>otice</w:t>
      </w:r>
      <w:r w:rsidR="00BA1FC6">
        <w:t>,</w:t>
      </w:r>
      <w:r>
        <w:t xml:space="preserve"> </w:t>
      </w:r>
      <w:r w:rsidR="00BA1FC6">
        <w:t xml:space="preserve">35 FCC Rcd </w:t>
      </w:r>
      <w:r w:rsidR="007A2AB6">
        <w:t>at 6</w:t>
      </w:r>
      <w:r w:rsidR="00BA1FC6">
        <w:t>504</w:t>
      </w:r>
      <w:r w:rsidR="00BA1FC6">
        <w:t>.</w:t>
      </w:r>
    </w:p>
  </w:footnote>
  <w:footnote w:id="13">
    <w:p w:rsidR="0092022B" w14:paraId="1C198438" w14:textId="701AA73A">
      <w:pPr>
        <w:pStyle w:val="FootnoteText"/>
      </w:pPr>
      <w:r>
        <w:rPr>
          <w:rStyle w:val="FootnoteReference"/>
        </w:rPr>
        <w:footnoteRef/>
      </w:r>
      <w:r>
        <w:t xml:space="preserve"> Comments of Savage Communications, Inc., WC Docket No. 19-126 (Apr. 7, 2020)</w:t>
      </w:r>
      <w:r w:rsidR="004853C2">
        <w:t>.</w:t>
      </w:r>
      <w:r>
        <w:t xml:space="preserve"> </w:t>
      </w:r>
    </w:p>
  </w:footnote>
  <w:footnote w:id="14">
    <w:p w:rsidR="00010304" w14:paraId="0B9C72F9" w14:textId="6AA96134">
      <w:pPr>
        <w:pStyle w:val="FootnoteText"/>
      </w:pPr>
      <w:r>
        <w:rPr>
          <w:rStyle w:val="FootnoteReference"/>
        </w:rPr>
        <w:footnoteRef/>
      </w:r>
      <w:r>
        <w:t xml:space="preserve"> Letter to Marlene H. Dortch, Secretary, FCC, </w:t>
      </w:r>
      <w:r w:rsidR="00F625B9">
        <w:t xml:space="preserve">WC Docket No. 19-126, </w:t>
      </w:r>
      <w:r>
        <w:t>from Diane Law-Hsu, Senior Corporate Counsel, Regulatory Operations, Cox Communications (July</w:t>
      </w:r>
      <w:r w:rsidR="003923E9">
        <w:t xml:space="preserve"> </w:t>
      </w:r>
      <w:r>
        <w:t>14, 2020)</w:t>
      </w:r>
      <w:r w:rsidR="00EE0E50">
        <w:t xml:space="preserve">; </w:t>
      </w:r>
      <w:r w:rsidRPr="00C86B08" w:rsidR="00EE0E50">
        <w:rPr>
          <w:i/>
          <w:iCs/>
        </w:rPr>
        <w:t>see also</w:t>
      </w:r>
      <w:r w:rsidR="00EE0E50">
        <w:t xml:space="preserve"> </w:t>
      </w:r>
      <w:r w:rsidR="00254718">
        <w:t xml:space="preserve">Comments of </w:t>
      </w:r>
      <w:r w:rsidR="00EA18E5">
        <w:t xml:space="preserve">Cox Communications, Inc., </w:t>
      </w:r>
      <w:r w:rsidR="00254718">
        <w:t xml:space="preserve">WC Docket No. </w:t>
      </w:r>
      <w:r w:rsidR="00A7326C">
        <w:t>19</w:t>
      </w:r>
      <w:r w:rsidR="00254718">
        <w:t>-126</w:t>
      </w:r>
      <w:r w:rsidR="003574D1">
        <w:t xml:space="preserve"> (Apr</w:t>
      </w:r>
      <w:r w:rsidR="0092022B">
        <w:t>.</w:t>
      </w:r>
      <w:r w:rsidR="00375D7B">
        <w:t xml:space="preserve"> 10, 20</w:t>
      </w:r>
      <w:r w:rsidR="0092022B">
        <w:t>2</w:t>
      </w:r>
      <w:r w:rsidR="00375D7B">
        <w:t>0).</w:t>
      </w:r>
    </w:p>
  </w:footnote>
  <w:footnote w:id="15">
    <w:p w:rsidR="00010304" w14:paraId="0BF375F4" w14:textId="7F030637">
      <w:pPr>
        <w:pStyle w:val="FootnoteText"/>
      </w:pPr>
      <w:r>
        <w:rPr>
          <w:rStyle w:val="FootnoteReference"/>
        </w:rPr>
        <w:footnoteRef/>
      </w:r>
      <w:r>
        <w:t xml:space="preserve"> </w:t>
      </w:r>
      <w:r w:rsidR="004C7885">
        <w:t xml:space="preserve">Letter to Marlene H. Dortch, Secretary, FCC, WC Docket No. 19-126, from </w:t>
      </w:r>
      <w:r w:rsidR="008F57AB">
        <w:t>Andrew Cardin, S.V.P. Operations, DigitalPat</w:t>
      </w:r>
      <w:r w:rsidR="002D0E32">
        <w:t>h, Inc., WC Docket 19-126 (Apr</w:t>
      </w:r>
      <w:r w:rsidR="0092022B">
        <w:t>.</w:t>
      </w:r>
      <w:r w:rsidR="002D0E32">
        <w:t xml:space="preserve"> 3, 2020).</w:t>
      </w:r>
    </w:p>
  </w:footnote>
  <w:footnote w:id="16">
    <w:p w:rsidR="00210645" w14:paraId="3D7A6635" w14:textId="2BA01AB1">
      <w:pPr>
        <w:pStyle w:val="FootnoteText"/>
      </w:pPr>
      <w:r>
        <w:rPr>
          <w:rStyle w:val="FootnoteReference"/>
        </w:rPr>
        <w:footnoteRef/>
      </w:r>
      <w:r>
        <w:t xml:space="preserve"> </w:t>
      </w:r>
      <w:r w:rsidRPr="00221360">
        <w:rPr>
          <w:i/>
          <w:iCs/>
        </w:rPr>
        <w:t>Updated Eligible Areas P</w:t>
      </w:r>
      <w:r w:rsidR="0092022B">
        <w:rPr>
          <w:i/>
          <w:iCs/>
        </w:rPr>
        <w:t xml:space="preserve">ublic </w:t>
      </w:r>
      <w:r w:rsidRPr="00221360">
        <w:rPr>
          <w:i/>
          <w:iCs/>
        </w:rPr>
        <w:t>N</w:t>
      </w:r>
      <w:r w:rsidR="0092022B">
        <w:rPr>
          <w:i/>
          <w:iCs/>
        </w:rPr>
        <w:t>otice</w:t>
      </w:r>
      <w:r w:rsidR="00E16ABE">
        <w:t>, 35 FCC Rcd</w:t>
      </w:r>
      <w:r>
        <w:t xml:space="preserve"> at </w:t>
      </w:r>
      <w:r w:rsidR="00E16ABE">
        <w:t>6500</w:t>
      </w:r>
      <w:r>
        <w:t>.</w:t>
      </w:r>
    </w:p>
  </w:footnote>
  <w:footnote w:id="17">
    <w:p w:rsidR="00010304" w14:paraId="1600CDA9" w14:textId="28E62EDF">
      <w:pPr>
        <w:pStyle w:val="FootnoteText"/>
      </w:pPr>
      <w:r>
        <w:rPr>
          <w:rStyle w:val="FootnoteReference"/>
        </w:rPr>
        <w:footnoteRef/>
      </w:r>
      <w:r>
        <w:t xml:space="preserve"> </w:t>
      </w:r>
      <w:r w:rsidR="008447A5">
        <w:t xml:space="preserve">Comments of Range Telephone Cooperative, Inc., WC Docket No. </w:t>
      </w:r>
      <w:r w:rsidR="0092022B">
        <w:t>19</w:t>
      </w:r>
      <w:r w:rsidR="008447A5">
        <w:t>-126 (filed Apr</w:t>
      </w:r>
      <w:r w:rsidR="0092022B">
        <w:t>.</w:t>
      </w:r>
      <w:r w:rsidR="008447A5">
        <w:t xml:space="preserve"> 10, 2020); Comments of DuBois Telephone Exchange, Inc., WC Docket No. </w:t>
      </w:r>
      <w:r w:rsidR="00A7326C">
        <w:t>19</w:t>
      </w:r>
      <w:r w:rsidR="008447A5">
        <w:t>-126 (filed Apr</w:t>
      </w:r>
      <w:r w:rsidR="0092022B">
        <w:t>.</w:t>
      </w:r>
      <w:r w:rsidR="008447A5">
        <w:t xml:space="preserve"> 10, 2020).</w:t>
      </w:r>
    </w:p>
  </w:footnote>
  <w:footnote w:id="18">
    <w:p w:rsidR="00010304" w:rsidP="00D2788D" w14:paraId="37DE92D4" w14:textId="0C6C4300">
      <w:pPr>
        <w:pStyle w:val="FootnoteText"/>
      </w:pPr>
      <w:r w:rsidRPr="001A48E5">
        <w:rPr>
          <w:rStyle w:val="FootnoteReference"/>
        </w:rPr>
        <w:footnoteRef/>
      </w:r>
      <w:r w:rsidRPr="001A48E5">
        <w:t xml:space="preserve"> </w:t>
      </w:r>
      <w:r w:rsidRPr="00E42830" w:rsidR="0037270A">
        <w:rPr>
          <w:color w:val="000000"/>
        </w:rPr>
        <w:t>An Auction 904 recipient must complete deployment to all model locations within its awarded area</w:t>
      </w:r>
      <w:r w:rsidR="0037270A">
        <w:rPr>
          <w:color w:val="000000"/>
        </w:rPr>
        <w:t>s</w:t>
      </w:r>
      <w:r w:rsidRPr="00E42830" w:rsidR="0037270A">
        <w:rPr>
          <w:color w:val="000000"/>
        </w:rPr>
        <w:t xml:space="preserve"> by the end of the sixth year, and to all actual locations by the end of the eighth year.  In areas where there are fewer locations than identified by the model, the carrier must notify the Bureau no later than March 1 following the fifth year.  Upon confirmation by the Bureau of the fewer number of locations, the carrier must complete deployment to the actual number of locations by the end of the sixth year.  </w:t>
      </w:r>
      <w:r w:rsidR="00DB68AF">
        <w:rPr>
          <w:color w:val="000000"/>
        </w:rPr>
        <w:t xml:space="preserve">For any state in which </w:t>
      </w:r>
      <w:r w:rsidRPr="00E42830" w:rsidR="0037270A">
        <w:rPr>
          <w:color w:val="000000"/>
        </w:rPr>
        <w:t xml:space="preserve">the </w:t>
      </w:r>
      <w:r w:rsidR="00DB68AF">
        <w:rPr>
          <w:color w:val="000000"/>
        </w:rPr>
        <w:t xml:space="preserve">actual </w:t>
      </w:r>
      <w:r w:rsidRPr="00E42830" w:rsidR="0037270A">
        <w:rPr>
          <w:color w:val="000000"/>
        </w:rPr>
        <w:t xml:space="preserve">location count is </w:t>
      </w:r>
      <w:r w:rsidR="00DB68AF">
        <w:rPr>
          <w:color w:val="000000"/>
        </w:rPr>
        <w:t xml:space="preserve">less </w:t>
      </w:r>
      <w:r w:rsidRPr="00E42830" w:rsidR="0037270A">
        <w:rPr>
          <w:color w:val="000000"/>
        </w:rPr>
        <w:t>than 65</w:t>
      </w:r>
      <w:r w:rsidR="0092022B">
        <w:rPr>
          <w:color w:val="000000"/>
        </w:rPr>
        <w:t>%</w:t>
      </w:r>
      <w:r w:rsidRPr="00E42830" w:rsidR="0037270A">
        <w:rPr>
          <w:color w:val="000000"/>
        </w:rPr>
        <w:t xml:space="preserve"> of the model locations within its awarded area in </w:t>
      </w:r>
      <w:r w:rsidR="00DB68AF">
        <w:rPr>
          <w:color w:val="000000"/>
        </w:rPr>
        <w:t>that state</w:t>
      </w:r>
      <w:r w:rsidRPr="00E42830" w:rsidR="0037270A">
        <w:rPr>
          <w:color w:val="000000"/>
        </w:rPr>
        <w:t xml:space="preserve">, the carrier’s support amount </w:t>
      </w:r>
      <w:r w:rsidR="00DB68AF">
        <w:rPr>
          <w:color w:val="000000"/>
        </w:rPr>
        <w:t xml:space="preserve">will </w:t>
      </w:r>
      <w:r w:rsidRPr="00E42830" w:rsidR="0037270A">
        <w:rPr>
          <w:color w:val="000000"/>
        </w:rPr>
        <w:t>be reduced pro rata</w:t>
      </w:r>
      <w:r w:rsidR="00DB68AF">
        <w:rPr>
          <w:color w:val="000000"/>
        </w:rPr>
        <w:t xml:space="preserve"> for each location below 65% of the model location count</w:t>
      </w:r>
      <w:r w:rsidRPr="00E42830" w:rsidR="0037270A">
        <w:rPr>
          <w:color w:val="000000"/>
        </w:rPr>
        <w:t xml:space="preserve">.  </w:t>
      </w:r>
      <w:r w:rsidRPr="00E42830" w:rsidR="0037270A">
        <w:rPr>
          <w:i/>
          <w:iCs/>
          <w:color w:val="000000"/>
        </w:rPr>
        <w:t xml:space="preserve">See </w:t>
      </w:r>
      <w:r w:rsidRPr="00E42830" w:rsidR="0037270A">
        <w:rPr>
          <w:color w:val="000000"/>
        </w:rPr>
        <w:t xml:space="preserve">47 CFR 54.802(c); </w:t>
      </w:r>
      <w:r w:rsidRPr="00E42830" w:rsidR="0037270A">
        <w:rPr>
          <w:i/>
          <w:iCs/>
        </w:rPr>
        <w:t>Rural Digital Opportunity Fund Order</w:t>
      </w:r>
      <w:r w:rsidRPr="00E42830" w:rsidR="0037270A">
        <w:t>, 33 FCC Rcd at 711, para. 51.</w:t>
      </w:r>
      <w:r w:rsidRPr="00E42830" w:rsidR="0037270A">
        <w:rPr>
          <w:color w:val="000000"/>
        </w:rPr>
        <w:t xml:space="preserve">  For example, if a carrier was authorized to receive $3 million per year for 1,000 model locations in a state, but the Bureau confirms that there are only 600 actual locations (fewer than 650 locations, or 65</w:t>
      </w:r>
      <w:r w:rsidR="0092022B">
        <w:rPr>
          <w:color w:val="000000"/>
        </w:rPr>
        <w:t>%</w:t>
      </w:r>
      <w:r w:rsidRPr="00E42830" w:rsidR="0037270A">
        <w:rPr>
          <w:color w:val="000000"/>
        </w:rPr>
        <w:t xml:space="preserve">), the Bureau would reduce that carrier’s support </w:t>
      </w:r>
      <w:r w:rsidR="00DB68AF">
        <w:rPr>
          <w:color w:val="000000"/>
        </w:rPr>
        <w:t xml:space="preserve">to $2,769,231 </w:t>
      </w:r>
      <w:r w:rsidRPr="00E42830" w:rsidR="0037270A">
        <w:rPr>
          <w:color w:val="000000"/>
        </w:rPr>
        <w:t xml:space="preserve">(or $3,000,000 </w:t>
      </w:r>
      <w:r w:rsidR="00DB68AF">
        <w:rPr>
          <w:color w:val="000000"/>
        </w:rPr>
        <w:t>* (</w:t>
      </w:r>
      <w:r w:rsidRPr="00E42830" w:rsidR="0037270A">
        <w:rPr>
          <w:color w:val="000000"/>
        </w:rPr>
        <w:t>600</w:t>
      </w:r>
      <w:r w:rsidR="00DB68AF">
        <w:rPr>
          <w:color w:val="000000"/>
        </w:rPr>
        <w:t>/650)</w:t>
      </w:r>
      <w:r w:rsidRPr="00E42830" w:rsidR="0037270A">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3D5E661" w14:textId="1FC03438">
    <w:pPr>
      <w:tabs>
        <w:tab w:val="center" w:pos="4680"/>
        <w:tab w:val="right" w:pos="9360"/>
      </w:tabs>
    </w:pPr>
    <w:r w:rsidRPr="009838BC">
      <w:rPr>
        <w:b/>
      </w:rPr>
      <w:tab/>
      <w:t>Federal Communications Commission</w:t>
    </w:r>
    <w:r w:rsidRPr="009838BC">
      <w:rPr>
        <w:b/>
      </w:rPr>
      <w:tab/>
    </w:r>
    <w:r w:rsidR="00D2788D">
      <w:rPr>
        <w:b/>
      </w:rPr>
      <w:t>DA 20-</w:t>
    </w:r>
    <w:r w:rsidR="00A33844">
      <w:rPr>
        <w:b/>
      </w:rPr>
      <w:t>1173</w:t>
    </w:r>
  </w:p>
  <w:p w:rsidR="009838BC" w:rsidRPr="009838BC" w:rsidP="009838BC" w14:paraId="6FF3FBDD" w14:textId="77777777">
    <w:pPr>
      <w:tabs>
        <w:tab w:val="left" w:pos="-720"/>
      </w:tabs>
      <w:suppressAutoHyphens/>
      <w:spacing w:line="19" w:lineRule="exact"/>
      <w:rPr>
        <w:spacing w:val="-2"/>
      </w:rPr>
    </w:pPr>
    <w:r>
      <w:rPr>
        <w:noProof/>
      </w:rPr>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v:path arrowok="t"/>
          <w10:wrap anchorx="margin"/>
        </v:rect>
      </w:pict>
    </w:r>
  </w:p>
  <w:p w:rsidR="009838BC" w:rsidRPr="009838BC" w:rsidP="009838BC" w14:paraId="7E124B6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89E34E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o:lock v:ext="edit" aspectratio="t" verticies="t" text="t" shapetype="t"/>
          <v:textbox>
            <w:txbxContent>
              <w:p w:rsidR="009838BC" w:rsidP="009838BC" w14:paraId="6E6F0D90" w14:textId="77777777">
                <w:pPr>
                  <w:rPr>
                    <w:rFonts w:ascii="Arial" w:hAnsi="Arial"/>
                    <w:b/>
                  </w:rPr>
                </w:pPr>
                <w:r>
                  <w:rPr>
                    <w:rFonts w:ascii="Arial" w:hAnsi="Arial"/>
                    <w:b/>
                  </w:rPr>
                  <w:t>Federal Communications Commission</w:t>
                </w:r>
              </w:p>
              <w:p w:rsidR="009838BC" w:rsidP="009838BC" w14:paraId="35683C8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AE60FFB" w14:textId="77777777">
                <w:pPr>
                  <w:rPr>
                    <w:rFonts w:ascii="Arial" w:hAnsi="Arial"/>
                    <w:sz w:val="24"/>
                  </w:rPr>
                </w:pPr>
                <w:r>
                  <w:rPr>
                    <w:rFonts w:ascii="Arial" w:hAnsi="Arial"/>
                    <w:b/>
                  </w:rPr>
                  <w:t>Washington, D.C. 20554</w:t>
                </w:r>
              </w:p>
            </w:txbxContent>
          </v:textbox>
          <w10:wrap anchorx="margin"/>
        </v:shape>
      </w:pict>
    </w:r>
    <w:r w:rsidR="00DF0D8A">
      <w:rPr>
        <w:noProof/>
      </w:rPr>
      <w:drawing>
        <wp:anchor distT="0" distB="0" distL="114300" distR="114300" simplePos="0" relativeHeight="251658240"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6" name="Picture 11" descr="fcc_logo"/>
          <wp:cNvGraphicFramePr/>
          <a:graphic xmlns:a="http://schemas.openxmlformats.org/drawingml/2006/main">
            <a:graphicData uri="http://schemas.openxmlformats.org/drawingml/2006/picture">
              <pic:pic xmlns:pic="http://schemas.openxmlformats.org/drawingml/2006/picture">
                <pic:nvPicPr>
                  <pic:cNvPr id="1332718270" name="Picture 11" descr="fcc_logo"/>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sidR="008B4341">
      <w:rPr>
        <w:rFonts w:ascii="Arial" w:hAnsi="Arial" w:cs="Arial"/>
        <w:b/>
        <w:sz w:val="96"/>
      </w:rPr>
      <w:t>PUBLIC NOTICE</w:t>
    </w:r>
  </w:p>
  <w:p w:rsidR="009838BC" w:rsidRPr="00357D50" w:rsidP="009838BC" w14:paraId="585F42C6" w14:textId="77777777">
    <w:pPr>
      <w:spacing w:before="40"/>
      <w:rPr>
        <w:rFonts w:ascii="Arial" w:hAnsi="Arial" w:cs="Arial"/>
        <w:b/>
        <w:sz w:val="96"/>
      </w:rPr>
    </w:pPr>
    <w:r>
      <w:rPr>
        <w:noProof/>
      </w:rPr>
      <w:pict>
        <v:line id="Straight Connector 10" o:spid="_x0000_s2051" style="mso-height-percent:0;mso-height-relative:page;mso-position-horizontal:right;mso-position-horizontal-relative:margin;mso-width-percent:0;mso-width-relative:page;mso-wrap-distance-left:9pt;mso-wrap-distance-right:9pt;mso-wrap-style:square;position:absolute;visibility:visible;z-index:251660288" from="3334.4pt,56.7pt" to="3802.4pt,56.7pt" o:allowincell="f">
          <w10:wrap anchorx="margin"/>
        </v:line>
      </w:pict>
    </w:r>
    <w:r>
      <w:rPr>
        <w:noProof/>
      </w:rPr>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1312" o:allowincell="f" stroked="f">
          <o:lock v:ext="edit" aspectratio="t" verticies="t" text="t" shapetype="t"/>
          <v:textbox inset=",0,,0">
            <w:txbxContent>
              <w:p w:rsidR="009838BC" w:rsidP="009838BC" w14:paraId="04E6C14E" w14:textId="77777777">
                <w:pPr>
                  <w:spacing w:before="40"/>
                  <w:jc w:val="right"/>
                  <w:rPr>
                    <w:rFonts w:ascii="Arial" w:hAnsi="Arial"/>
                    <w:b/>
                    <w:sz w:val="16"/>
                  </w:rPr>
                </w:pPr>
                <w:r>
                  <w:rPr>
                    <w:rFonts w:ascii="Arial" w:hAnsi="Arial"/>
                    <w:b/>
                    <w:sz w:val="16"/>
                  </w:rPr>
                  <w:t>News Media Information 202 / 418-0500</w:t>
                </w:r>
              </w:p>
              <w:p w:rsidR="009838BC" w:rsidP="009838BC" w14:paraId="23927A72"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4570283A" w14:textId="77777777">
                <w:pPr>
                  <w:jc w:val="right"/>
                </w:pPr>
                <w:r>
                  <w:rPr>
                    <w:rFonts w:ascii="Arial" w:hAnsi="Arial"/>
                    <w:b/>
                    <w:sz w:val="16"/>
                  </w:rPr>
                  <w:t>TTY: 1-888-835-5322</w:t>
                </w:r>
              </w:p>
            </w:txbxContent>
          </v:textbox>
        </v:shape>
      </w:pict>
    </w:r>
  </w:p>
  <w:p w:rsidR="006F7393" w:rsidRPr="009838BC" w:rsidP="009838BC" w14:paraId="5991981F"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238" w:rsidRPr="00B1679F" w:rsidP="00B1679F" w14:paraId="5C1CE658" w14:textId="320BA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1A3238BA"/>
    <w:multiLevelType w:val="hybridMultilevel"/>
    <w:tmpl w:val="6F7663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EA43B04"/>
    <w:multiLevelType w:val="multilevel"/>
    <w:tmpl w:val="6CE2BBF8"/>
    <w:lvl w:ilvl="0">
      <w:start w:val="1"/>
      <w:numFmt w:val="bullet"/>
      <w:lvlText w:val=""/>
      <w:lvlJc w:val="left"/>
      <w:pPr>
        <w:tabs>
          <w:tab w:val="num" w:pos="360"/>
        </w:tabs>
        <w:ind w:left="360" w:firstLine="1080"/>
      </w:pPr>
      <w:rPr>
        <w:rFonts w:ascii="Wingdings" w:eastAsia="Times New Roman" w:hAnsi="Wingdings" w:hint="default"/>
        <w:color w:val="000000"/>
        <w:position w:val="0"/>
        <w:sz w:val="22"/>
      </w:rPr>
    </w:lvl>
    <w:lvl w:ilvl="1">
      <w:start w:val="1"/>
      <w:numFmt w:val="bullet"/>
      <w:lvlText w:val="o"/>
      <w:lvlJc w:val="left"/>
      <w:pPr>
        <w:tabs>
          <w:tab w:val="num" w:pos="1440"/>
        </w:tabs>
        <w:ind w:left="1440" w:hanging="360"/>
      </w:pPr>
      <w:rPr>
        <w:rFonts w:ascii="Courier New" w:hAnsi="Courier New" w:hint="default"/>
        <w:color w:val="000000"/>
        <w:position w:val="0"/>
        <w:sz w:val="22"/>
      </w:rPr>
    </w:lvl>
    <w:lvl w:ilvl="2">
      <w:start w:val="1"/>
      <w:numFmt w:val="lowerRoman"/>
      <w:suff w:val="nothing"/>
      <w:lvlText w:val="%3."/>
      <w:lvlJc w:val="left"/>
      <w:pPr>
        <w:ind w:firstLine="2880"/>
      </w:pPr>
      <w:rPr>
        <w:rFonts w:cs="Times New Roman" w:hint="default"/>
        <w:color w:val="000000"/>
        <w:position w:val="0"/>
        <w:sz w:val="22"/>
      </w:rPr>
    </w:lvl>
    <w:lvl w:ilvl="3">
      <w:start w:val="1"/>
      <w:numFmt w:val="bullet"/>
      <w:suff w:val="nothing"/>
      <w:lvlText w:val="-"/>
      <w:lvlJc w:val="left"/>
      <w:pPr>
        <w:ind w:firstLine="1440"/>
      </w:pPr>
      <w:rPr>
        <w:rFonts w:hint="default"/>
        <w:color w:val="000000"/>
        <w:position w:val="0"/>
        <w:sz w:val="22"/>
      </w:rPr>
    </w:lvl>
    <w:lvl w:ilvl="4">
      <w:start w:val="1"/>
      <w:numFmt w:val="lowerLetter"/>
      <w:suff w:val="nothing"/>
      <w:lvlText w:val="%5."/>
      <w:lvlJc w:val="left"/>
      <w:pPr>
        <w:ind w:firstLine="4320"/>
      </w:pPr>
      <w:rPr>
        <w:rFonts w:cs="Times New Roman" w:hint="default"/>
        <w:color w:val="000000"/>
        <w:position w:val="0"/>
        <w:sz w:val="22"/>
      </w:rPr>
    </w:lvl>
    <w:lvl w:ilvl="5">
      <w:start w:val="1"/>
      <w:numFmt w:val="lowerRoman"/>
      <w:suff w:val="nothing"/>
      <w:lvlText w:val="%6."/>
      <w:lvlJc w:val="left"/>
      <w:pPr>
        <w:ind w:firstLine="5040"/>
      </w:pPr>
      <w:rPr>
        <w:rFonts w:cs="Times New Roman" w:hint="default"/>
        <w:color w:val="000000"/>
        <w:position w:val="0"/>
        <w:sz w:val="22"/>
      </w:rPr>
    </w:lvl>
    <w:lvl w:ilvl="6">
      <w:start w:val="1"/>
      <w:numFmt w:val="decimal"/>
      <w:isLgl/>
      <w:suff w:val="nothing"/>
      <w:lvlText w:val="%7."/>
      <w:lvlJc w:val="left"/>
      <w:pPr>
        <w:ind w:firstLine="5760"/>
      </w:pPr>
      <w:rPr>
        <w:rFonts w:cs="Times New Roman" w:hint="default"/>
        <w:color w:val="000000"/>
        <w:position w:val="0"/>
        <w:sz w:val="22"/>
      </w:rPr>
    </w:lvl>
    <w:lvl w:ilvl="7">
      <w:start w:val="1"/>
      <w:numFmt w:val="lowerLetter"/>
      <w:suff w:val="nothing"/>
      <w:lvlText w:val="%8."/>
      <w:lvlJc w:val="left"/>
      <w:pPr>
        <w:ind w:firstLine="6480"/>
      </w:pPr>
      <w:rPr>
        <w:rFonts w:cs="Times New Roman" w:hint="default"/>
        <w:color w:val="000000"/>
        <w:position w:val="0"/>
        <w:sz w:val="22"/>
      </w:rPr>
    </w:lvl>
    <w:lvl w:ilvl="8">
      <w:start w:val="1"/>
      <w:numFmt w:val="lowerRoman"/>
      <w:suff w:val="nothing"/>
      <w:lvlText w:val="%9."/>
      <w:lvlJc w:val="left"/>
      <w:pPr>
        <w:ind w:firstLine="7200"/>
      </w:pPr>
      <w:rPr>
        <w:rFonts w:cs="Times New Roman" w:hint="default"/>
        <w:color w:val="000000"/>
        <w:position w:val="0"/>
        <w:sz w:val="22"/>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6">
    <w:nsid w:val="2EB172F3"/>
    <w:multiLevelType w:val="hybridMultilevel"/>
    <w:tmpl w:val="4CC242D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352800EF"/>
    <w:multiLevelType w:val="hybridMultilevel"/>
    <w:tmpl w:val="E0B05C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8">
    <w:nsid w:val="3ECA7DF0"/>
    <w:multiLevelType w:val="singleLevel"/>
    <w:tmpl w:val="47CCC0D4"/>
    <w:lvl w:ilvl="0">
      <w:start w:val="1"/>
      <w:numFmt w:val="decimal"/>
      <w:lvlText w:val="(%1)"/>
      <w:lvlJc w:val="left"/>
      <w:pPr>
        <w:tabs>
          <w:tab w:val="num" w:pos="360"/>
        </w:tabs>
        <w:ind w:left="360" w:hanging="360"/>
      </w:pPr>
      <w:rPr>
        <w:rFonts w:cs="Times New Roman" w:hint="default"/>
      </w:rPr>
    </w:lvl>
  </w:abstractNum>
  <w:abstractNum w:abstractNumId="9">
    <w:nsid w:val="40996B22"/>
    <w:multiLevelType w:val="hybridMultilevel"/>
    <w:tmpl w:val="917A68F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7460BF0"/>
    <w:multiLevelType w:val="hybridMultilevel"/>
    <w:tmpl w:val="5FA484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3">
    <w:nsid w:val="635F76D0"/>
    <w:multiLevelType w:val="hybridMultilevel"/>
    <w:tmpl w:val="D5DCD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1"/>
  </w:num>
  <w:num w:numId="5">
    <w:abstractNumId w:val="4"/>
  </w:num>
  <w:num w:numId="6">
    <w:abstractNumId w:val="0"/>
  </w:num>
  <w:num w:numId="7">
    <w:abstractNumId w:val="9"/>
  </w:num>
  <w:num w:numId="8">
    <w:abstractNumId w:val="6"/>
  </w:num>
  <w:num w:numId="9">
    <w:abstractNumId w:val="7"/>
  </w:num>
  <w:num w:numId="10">
    <w:abstractNumId w:val="8"/>
  </w:num>
  <w:num w:numId="11">
    <w:abstractNumId w:val="1"/>
  </w:num>
  <w:num w:numId="12">
    <w:abstractNumId w:val="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2"/>
    <w:compatSetting w:name="useWord2013TrackBottomHyphenation" w:uri="http://schemas.microsoft.com/office/word" w:val="0"/>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8D"/>
    <w:rsid w:val="000019B6"/>
    <w:rsid w:val="000072CE"/>
    <w:rsid w:val="00010304"/>
    <w:rsid w:val="00013A8B"/>
    <w:rsid w:val="00017514"/>
    <w:rsid w:val="00021445"/>
    <w:rsid w:val="00024CBF"/>
    <w:rsid w:val="00031FB7"/>
    <w:rsid w:val="00032070"/>
    <w:rsid w:val="00036039"/>
    <w:rsid w:val="00037F90"/>
    <w:rsid w:val="0004161F"/>
    <w:rsid w:val="00041C39"/>
    <w:rsid w:val="000613DA"/>
    <w:rsid w:val="00061584"/>
    <w:rsid w:val="00066896"/>
    <w:rsid w:val="00071E93"/>
    <w:rsid w:val="000875BF"/>
    <w:rsid w:val="000910B6"/>
    <w:rsid w:val="00096D8C"/>
    <w:rsid w:val="000A4305"/>
    <w:rsid w:val="000B21D9"/>
    <w:rsid w:val="000B346D"/>
    <w:rsid w:val="000B6397"/>
    <w:rsid w:val="000C0B65"/>
    <w:rsid w:val="000E07BE"/>
    <w:rsid w:val="000E2179"/>
    <w:rsid w:val="000E3D42"/>
    <w:rsid w:val="000E5884"/>
    <w:rsid w:val="000E6A39"/>
    <w:rsid w:val="000F37BB"/>
    <w:rsid w:val="000F58FA"/>
    <w:rsid w:val="000F7AD9"/>
    <w:rsid w:val="00102793"/>
    <w:rsid w:val="0011700C"/>
    <w:rsid w:val="00120A2E"/>
    <w:rsid w:val="00122BD5"/>
    <w:rsid w:val="001312D6"/>
    <w:rsid w:val="001417B9"/>
    <w:rsid w:val="00141E78"/>
    <w:rsid w:val="001443BF"/>
    <w:rsid w:val="00177527"/>
    <w:rsid w:val="001979D9"/>
    <w:rsid w:val="001A48E5"/>
    <w:rsid w:val="001A6EAE"/>
    <w:rsid w:val="001B3FAA"/>
    <w:rsid w:val="001C0CD0"/>
    <w:rsid w:val="001C35AA"/>
    <w:rsid w:val="001C7862"/>
    <w:rsid w:val="001D36CB"/>
    <w:rsid w:val="001D6892"/>
    <w:rsid w:val="001D6BCF"/>
    <w:rsid w:val="001E01CA"/>
    <w:rsid w:val="001F4FF0"/>
    <w:rsid w:val="00201671"/>
    <w:rsid w:val="002060D9"/>
    <w:rsid w:val="00210645"/>
    <w:rsid w:val="00221360"/>
    <w:rsid w:val="0022414A"/>
    <w:rsid w:val="00226822"/>
    <w:rsid w:val="00227C17"/>
    <w:rsid w:val="002323EF"/>
    <w:rsid w:val="0023369A"/>
    <w:rsid w:val="00234BCC"/>
    <w:rsid w:val="00250B74"/>
    <w:rsid w:val="002525F7"/>
    <w:rsid w:val="00254718"/>
    <w:rsid w:val="002574CA"/>
    <w:rsid w:val="00260594"/>
    <w:rsid w:val="00261E3B"/>
    <w:rsid w:val="00261FFB"/>
    <w:rsid w:val="00262BF6"/>
    <w:rsid w:val="002741D6"/>
    <w:rsid w:val="00282314"/>
    <w:rsid w:val="00285017"/>
    <w:rsid w:val="00292483"/>
    <w:rsid w:val="002A2D2E"/>
    <w:rsid w:val="002D0E32"/>
    <w:rsid w:val="002D528E"/>
    <w:rsid w:val="002E7F2F"/>
    <w:rsid w:val="002F05F7"/>
    <w:rsid w:val="00301BD4"/>
    <w:rsid w:val="00343749"/>
    <w:rsid w:val="003574D1"/>
    <w:rsid w:val="00357D50"/>
    <w:rsid w:val="0036169C"/>
    <w:rsid w:val="003616E5"/>
    <w:rsid w:val="00366434"/>
    <w:rsid w:val="0037270A"/>
    <w:rsid w:val="00375D7B"/>
    <w:rsid w:val="00380AFA"/>
    <w:rsid w:val="003904C7"/>
    <w:rsid w:val="003923E9"/>
    <w:rsid w:val="003925DC"/>
    <w:rsid w:val="00393E5D"/>
    <w:rsid w:val="003A0CCC"/>
    <w:rsid w:val="003A5858"/>
    <w:rsid w:val="003B0550"/>
    <w:rsid w:val="003B694F"/>
    <w:rsid w:val="003B6C76"/>
    <w:rsid w:val="003C1857"/>
    <w:rsid w:val="003D12A7"/>
    <w:rsid w:val="003E38BB"/>
    <w:rsid w:val="003F171C"/>
    <w:rsid w:val="003F6C94"/>
    <w:rsid w:val="0040538A"/>
    <w:rsid w:val="00412732"/>
    <w:rsid w:val="00412FC5"/>
    <w:rsid w:val="00422276"/>
    <w:rsid w:val="004242F1"/>
    <w:rsid w:val="00427145"/>
    <w:rsid w:val="00432B2A"/>
    <w:rsid w:val="00440AB0"/>
    <w:rsid w:val="004427AC"/>
    <w:rsid w:val="00445A00"/>
    <w:rsid w:val="00450C67"/>
    <w:rsid w:val="00451B0F"/>
    <w:rsid w:val="004524FC"/>
    <w:rsid w:val="0045299C"/>
    <w:rsid w:val="0046125F"/>
    <w:rsid w:val="0046535F"/>
    <w:rsid w:val="004853C2"/>
    <w:rsid w:val="00487524"/>
    <w:rsid w:val="00496106"/>
    <w:rsid w:val="004B27F3"/>
    <w:rsid w:val="004C12D0"/>
    <w:rsid w:val="004C1689"/>
    <w:rsid w:val="004C2EE3"/>
    <w:rsid w:val="004C39CE"/>
    <w:rsid w:val="004C3AF4"/>
    <w:rsid w:val="004C7885"/>
    <w:rsid w:val="004D02C8"/>
    <w:rsid w:val="004D1FF9"/>
    <w:rsid w:val="004E4A22"/>
    <w:rsid w:val="004F4391"/>
    <w:rsid w:val="004F6E08"/>
    <w:rsid w:val="0050289D"/>
    <w:rsid w:val="00504D05"/>
    <w:rsid w:val="00505BB9"/>
    <w:rsid w:val="00507DF2"/>
    <w:rsid w:val="00510009"/>
    <w:rsid w:val="005107D6"/>
    <w:rsid w:val="00511968"/>
    <w:rsid w:val="0052358C"/>
    <w:rsid w:val="00535303"/>
    <w:rsid w:val="0054257C"/>
    <w:rsid w:val="00553168"/>
    <w:rsid w:val="0055614C"/>
    <w:rsid w:val="005874D2"/>
    <w:rsid w:val="00591E36"/>
    <w:rsid w:val="005A2C1E"/>
    <w:rsid w:val="005A6788"/>
    <w:rsid w:val="005A7205"/>
    <w:rsid w:val="005B442E"/>
    <w:rsid w:val="005C2238"/>
    <w:rsid w:val="005C3CB5"/>
    <w:rsid w:val="005C62DE"/>
    <w:rsid w:val="00600465"/>
    <w:rsid w:val="0060079D"/>
    <w:rsid w:val="00607BA5"/>
    <w:rsid w:val="00614369"/>
    <w:rsid w:val="00617623"/>
    <w:rsid w:val="00626EB6"/>
    <w:rsid w:val="006353A3"/>
    <w:rsid w:val="006412B8"/>
    <w:rsid w:val="0064163D"/>
    <w:rsid w:val="0064331D"/>
    <w:rsid w:val="0065425F"/>
    <w:rsid w:val="00655347"/>
    <w:rsid w:val="00655D03"/>
    <w:rsid w:val="00666D7D"/>
    <w:rsid w:val="00671ECC"/>
    <w:rsid w:val="0067427D"/>
    <w:rsid w:val="006750A0"/>
    <w:rsid w:val="00677A6E"/>
    <w:rsid w:val="00683F84"/>
    <w:rsid w:val="0068455B"/>
    <w:rsid w:val="00697A71"/>
    <w:rsid w:val="006A6A81"/>
    <w:rsid w:val="006B1ED4"/>
    <w:rsid w:val="006B4FF1"/>
    <w:rsid w:val="006B655B"/>
    <w:rsid w:val="006B6FEB"/>
    <w:rsid w:val="006D36AB"/>
    <w:rsid w:val="006E26AF"/>
    <w:rsid w:val="006F6955"/>
    <w:rsid w:val="006F7393"/>
    <w:rsid w:val="0070224F"/>
    <w:rsid w:val="007025D5"/>
    <w:rsid w:val="00703F57"/>
    <w:rsid w:val="007115F7"/>
    <w:rsid w:val="00712A7B"/>
    <w:rsid w:val="007165B2"/>
    <w:rsid w:val="00727255"/>
    <w:rsid w:val="00741F94"/>
    <w:rsid w:val="00746CB7"/>
    <w:rsid w:val="00764A38"/>
    <w:rsid w:val="00767873"/>
    <w:rsid w:val="00780B72"/>
    <w:rsid w:val="007812C4"/>
    <w:rsid w:val="007831ED"/>
    <w:rsid w:val="00785689"/>
    <w:rsid w:val="00785EEF"/>
    <w:rsid w:val="0079754B"/>
    <w:rsid w:val="007A1E6D"/>
    <w:rsid w:val="007A2AB6"/>
    <w:rsid w:val="007B2F56"/>
    <w:rsid w:val="007B3C08"/>
    <w:rsid w:val="007C180F"/>
    <w:rsid w:val="007C5249"/>
    <w:rsid w:val="007C7B9C"/>
    <w:rsid w:val="007E1623"/>
    <w:rsid w:val="007E5792"/>
    <w:rsid w:val="007F41BA"/>
    <w:rsid w:val="00822CE0"/>
    <w:rsid w:val="0082360B"/>
    <w:rsid w:val="00836CF2"/>
    <w:rsid w:val="00837BBE"/>
    <w:rsid w:val="00837C62"/>
    <w:rsid w:val="00841AB1"/>
    <w:rsid w:val="008447A5"/>
    <w:rsid w:val="00850CEF"/>
    <w:rsid w:val="00882433"/>
    <w:rsid w:val="00886B9B"/>
    <w:rsid w:val="00891F61"/>
    <w:rsid w:val="0089466A"/>
    <w:rsid w:val="008946E1"/>
    <w:rsid w:val="008A26C2"/>
    <w:rsid w:val="008B4341"/>
    <w:rsid w:val="008B7BE8"/>
    <w:rsid w:val="008C17FB"/>
    <w:rsid w:val="008C22FD"/>
    <w:rsid w:val="008C6214"/>
    <w:rsid w:val="008D4C01"/>
    <w:rsid w:val="008F273E"/>
    <w:rsid w:val="008F57AB"/>
    <w:rsid w:val="0090605F"/>
    <w:rsid w:val="009064DB"/>
    <w:rsid w:val="00910F12"/>
    <w:rsid w:val="0092022B"/>
    <w:rsid w:val="00920742"/>
    <w:rsid w:val="00926503"/>
    <w:rsid w:val="00930820"/>
    <w:rsid w:val="00930ECF"/>
    <w:rsid w:val="0093162A"/>
    <w:rsid w:val="00931736"/>
    <w:rsid w:val="00943AA9"/>
    <w:rsid w:val="00957DC9"/>
    <w:rsid w:val="009838BC"/>
    <w:rsid w:val="009D0F8D"/>
    <w:rsid w:val="009D6052"/>
    <w:rsid w:val="009D6AA3"/>
    <w:rsid w:val="009E1ABB"/>
    <w:rsid w:val="009E79EC"/>
    <w:rsid w:val="009F530E"/>
    <w:rsid w:val="00A03632"/>
    <w:rsid w:val="00A04C48"/>
    <w:rsid w:val="00A32D2B"/>
    <w:rsid w:val="00A33844"/>
    <w:rsid w:val="00A33A4C"/>
    <w:rsid w:val="00A45F4F"/>
    <w:rsid w:val="00A55877"/>
    <w:rsid w:val="00A55DC3"/>
    <w:rsid w:val="00A600A9"/>
    <w:rsid w:val="00A7326C"/>
    <w:rsid w:val="00A866AC"/>
    <w:rsid w:val="00A903EE"/>
    <w:rsid w:val="00A91F46"/>
    <w:rsid w:val="00AA55B7"/>
    <w:rsid w:val="00AA5B9E"/>
    <w:rsid w:val="00AB2407"/>
    <w:rsid w:val="00AB53DF"/>
    <w:rsid w:val="00AD10D2"/>
    <w:rsid w:val="00AD669B"/>
    <w:rsid w:val="00AE76AB"/>
    <w:rsid w:val="00AF5165"/>
    <w:rsid w:val="00B07E5C"/>
    <w:rsid w:val="00B1679F"/>
    <w:rsid w:val="00B20363"/>
    <w:rsid w:val="00B326E3"/>
    <w:rsid w:val="00B345BE"/>
    <w:rsid w:val="00B35821"/>
    <w:rsid w:val="00B42D06"/>
    <w:rsid w:val="00B66716"/>
    <w:rsid w:val="00B76E45"/>
    <w:rsid w:val="00B811F7"/>
    <w:rsid w:val="00B822DE"/>
    <w:rsid w:val="00B83FD3"/>
    <w:rsid w:val="00B86F11"/>
    <w:rsid w:val="00BA0649"/>
    <w:rsid w:val="00BA1BFE"/>
    <w:rsid w:val="00BA1FC6"/>
    <w:rsid w:val="00BA5DC6"/>
    <w:rsid w:val="00BA6196"/>
    <w:rsid w:val="00BA6976"/>
    <w:rsid w:val="00BA7514"/>
    <w:rsid w:val="00BB3FBE"/>
    <w:rsid w:val="00BB425B"/>
    <w:rsid w:val="00BC43FD"/>
    <w:rsid w:val="00BC6D8C"/>
    <w:rsid w:val="00BD135D"/>
    <w:rsid w:val="00BE29FA"/>
    <w:rsid w:val="00BE3980"/>
    <w:rsid w:val="00BE6307"/>
    <w:rsid w:val="00BF682A"/>
    <w:rsid w:val="00C12025"/>
    <w:rsid w:val="00C14B90"/>
    <w:rsid w:val="00C16AF2"/>
    <w:rsid w:val="00C30CE9"/>
    <w:rsid w:val="00C32218"/>
    <w:rsid w:val="00C33730"/>
    <w:rsid w:val="00C34006"/>
    <w:rsid w:val="00C37549"/>
    <w:rsid w:val="00C426B1"/>
    <w:rsid w:val="00C53552"/>
    <w:rsid w:val="00C55C08"/>
    <w:rsid w:val="00C56020"/>
    <w:rsid w:val="00C80E9E"/>
    <w:rsid w:val="00C82B6B"/>
    <w:rsid w:val="00C85574"/>
    <w:rsid w:val="00C86B08"/>
    <w:rsid w:val="00C8704F"/>
    <w:rsid w:val="00C90D6A"/>
    <w:rsid w:val="00CA71D1"/>
    <w:rsid w:val="00CC34A1"/>
    <w:rsid w:val="00CC72B6"/>
    <w:rsid w:val="00CD3EF5"/>
    <w:rsid w:val="00CD469D"/>
    <w:rsid w:val="00CD6CB4"/>
    <w:rsid w:val="00CE0564"/>
    <w:rsid w:val="00CE3948"/>
    <w:rsid w:val="00CF3834"/>
    <w:rsid w:val="00CF3F4E"/>
    <w:rsid w:val="00CF6A2A"/>
    <w:rsid w:val="00D0218D"/>
    <w:rsid w:val="00D030B6"/>
    <w:rsid w:val="00D06C85"/>
    <w:rsid w:val="00D07AB9"/>
    <w:rsid w:val="00D2070B"/>
    <w:rsid w:val="00D216CD"/>
    <w:rsid w:val="00D26579"/>
    <w:rsid w:val="00D2788D"/>
    <w:rsid w:val="00D337DE"/>
    <w:rsid w:val="00D339BC"/>
    <w:rsid w:val="00D51110"/>
    <w:rsid w:val="00D57C24"/>
    <w:rsid w:val="00D62C97"/>
    <w:rsid w:val="00D670B4"/>
    <w:rsid w:val="00D7395C"/>
    <w:rsid w:val="00D96886"/>
    <w:rsid w:val="00DA2529"/>
    <w:rsid w:val="00DA3249"/>
    <w:rsid w:val="00DB130A"/>
    <w:rsid w:val="00DB24FA"/>
    <w:rsid w:val="00DB68AF"/>
    <w:rsid w:val="00DC103A"/>
    <w:rsid w:val="00DC10A1"/>
    <w:rsid w:val="00DC655F"/>
    <w:rsid w:val="00DC6C84"/>
    <w:rsid w:val="00DC7DB7"/>
    <w:rsid w:val="00DD7EBD"/>
    <w:rsid w:val="00DE4AAB"/>
    <w:rsid w:val="00DF0D8A"/>
    <w:rsid w:val="00DF49F4"/>
    <w:rsid w:val="00DF62B6"/>
    <w:rsid w:val="00E07225"/>
    <w:rsid w:val="00E155B7"/>
    <w:rsid w:val="00E15DF8"/>
    <w:rsid w:val="00E16ABE"/>
    <w:rsid w:val="00E217FD"/>
    <w:rsid w:val="00E240A2"/>
    <w:rsid w:val="00E263BA"/>
    <w:rsid w:val="00E30374"/>
    <w:rsid w:val="00E34702"/>
    <w:rsid w:val="00E42830"/>
    <w:rsid w:val="00E4782C"/>
    <w:rsid w:val="00E52042"/>
    <w:rsid w:val="00E5409F"/>
    <w:rsid w:val="00E627F5"/>
    <w:rsid w:val="00E66DD0"/>
    <w:rsid w:val="00E738C7"/>
    <w:rsid w:val="00E82A79"/>
    <w:rsid w:val="00EA18E5"/>
    <w:rsid w:val="00EB61C0"/>
    <w:rsid w:val="00EC0185"/>
    <w:rsid w:val="00ED2165"/>
    <w:rsid w:val="00ED240D"/>
    <w:rsid w:val="00EE0E50"/>
    <w:rsid w:val="00F021FA"/>
    <w:rsid w:val="00F06E3F"/>
    <w:rsid w:val="00F118CF"/>
    <w:rsid w:val="00F17C37"/>
    <w:rsid w:val="00F24346"/>
    <w:rsid w:val="00F27508"/>
    <w:rsid w:val="00F346BB"/>
    <w:rsid w:val="00F508BD"/>
    <w:rsid w:val="00F527AD"/>
    <w:rsid w:val="00F52E63"/>
    <w:rsid w:val="00F57ACA"/>
    <w:rsid w:val="00F625B9"/>
    <w:rsid w:val="00F62D7E"/>
    <w:rsid w:val="00F62E97"/>
    <w:rsid w:val="00F64209"/>
    <w:rsid w:val="00F71A4B"/>
    <w:rsid w:val="00F834EB"/>
    <w:rsid w:val="00F86175"/>
    <w:rsid w:val="00F93BF5"/>
    <w:rsid w:val="00F96F63"/>
    <w:rsid w:val="00FC5362"/>
    <w:rsid w:val="00FD1B95"/>
    <w:rsid w:val="00FE6BE7"/>
    <w:rsid w:val="00FF490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E3D39FE5-6185-44E4-81AA-FBF6E749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rPr>
      <w:rFonts w:asciiTheme="minorHAnsi" w:eastAsiaTheme="minorEastAsia" w:hAnsiTheme="minorHAnsi" w:cstheme="minorBidi"/>
      <w:b/>
      <w:bCs/>
      <w:i/>
      <w:iCs/>
      <w:kern w:val="28"/>
      <w:sz w:val="26"/>
      <w:szCs w:val="26"/>
    </w:rPr>
  </w:style>
  <w:style w:type="character" w:customStyle="1" w:styleId="Heading6Char">
    <w:name w:val="Heading 6 Char"/>
    <w:basedOn w:val="DefaultParagraphFont"/>
    <w:link w:val="Heading6"/>
    <w:rPr>
      <w:rFonts w:asciiTheme="minorHAnsi" w:eastAsiaTheme="minorEastAsia" w:hAnsiTheme="minorHAnsi" w:cstheme="minorBidi"/>
      <w:b/>
      <w:bCs/>
      <w:kern w:val="28"/>
      <w:sz w:val="22"/>
      <w:szCs w:val="22"/>
    </w:rPr>
  </w:style>
  <w:style w:type="character" w:customStyle="1" w:styleId="Heading7Char">
    <w:name w:val="Heading 7 Char"/>
    <w:basedOn w:val="DefaultParagraphFont"/>
    <w:link w:val="Heading7"/>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rPr>
      <w:rFonts w:asciiTheme="minorHAnsi" w:eastAsiaTheme="minorEastAsia" w:hAnsiTheme="minorHAnsi" w:cstheme="minorBidi"/>
      <w:i/>
      <w:iCs/>
      <w:kern w:val="28"/>
      <w:sz w:val="24"/>
      <w:szCs w:val="24"/>
    </w:rPr>
  </w:style>
  <w:style w:type="character" w:customStyle="1" w:styleId="Heading9Char">
    <w:name w:val="Heading 9 Char"/>
    <w:basedOn w:val="DefaultParagraphFont"/>
    <w:link w:val="Heading9"/>
    <w:rPr>
      <w:rFonts w:asciiTheme="majorHAnsi" w:eastAsiaTheme="majorEastAsia" w:hAnsiTheme="majorHAnsi" w:cstheme="majorBidi"/>
      <w:kern w:val="28"/>
      <w:sz w:val="22"/>
      <w:szCs w:val="22"/>
    </w:rPr>
  </w:style>
  <w:style w:type="paragraph" w:customStyle="1" w:styleId="ParaNum">
    <w:name w:val="ParaNum"/>
    <w:basedOn w:val="Normal"/>
    <w:link w:val="ParaNumCharChar1"/>
    <w:rsid w:val="00E07225"/>
    <w:pPr>
      <w:numPr>
        <w:numId w:val="2"/>
      </w:numPr>
      <w:tabs>
        <w:tab w:val="num" w:pos="1440"/>
      </w:tabs>
      <w:spacing w:after="120"/>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kern w:val="28"/>
    </w:rPr>
  </w:style>
  <w:style w:type="character" w:styleId="EndnoteReference">
    <w:name w:val="endnote reference"/>
    <w:basedOn w:val="DefaultParagraphFont"/>
    <w:semiHidden/>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1,ft"/>
    <w:basedOn w:val="Normal"/>
    <w:link w:val="FootnoteTextChar"/>
    <w:rsid w:val="000E3D42"/>
    <w:pPr>
      <w:widowControl/>
      <w:spacing w:after="120"/>
    </w:pPr>
    <w:rPr>
      <w:kern w:val="0"/>
      <w:sz w:val="20"/>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
    <w:basedOn w:val="DefaultParagraphFont"/>
    <w:link w:val="FootnoteText"/>
    <w:locked/>
    <w:rsid w:val="00D2788D"/>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rPr>
      <w:rFonts w:ascii="Times New Roman" w:hAnsi="Times New Roman"/>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rPr>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910F12"/>
    <w:rPr>
      <w:kern w:val="28"/>
      <w:sz w:val="22"/>
    </w:rPr>
  </w:style>
  <w:style w:type="character" w:styleId="PageNumber">
    <w:name w:val="page number"/>
    <w:basedOn w:val="DefaultParagraphFont"/>
    <w:rPr>
      <w:rFonts w:cs="Times New Roman"/>
    </w:rPr>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customStyle="1" w:styleId="ParaNumCharChar1">
    <w:name w:val="ParaNum Char Char1"/>
    <w:link w:val="ParaNum"/>
    <w:locked/>
    <w:rsid w:val="00D2788D"/>
    <w:rPr>
      <w:kern w:val="28"/>
      <w:sz w:val="22"/>
    </w:rPr>
  </w:style>
  <w:style w:type="paragraph" w:styleId="ListParagraph">
    <w:name w:val="List Paragraph"/>
    <w:basedOn w:val="Normal"/>
    <w:uiPriority w:val="34"/>
    <w:qFormat/>
    <w:rsid w:val="00D2788D"/>
    <w:pPr>
      <w:ind w:left="720"/>
      <w:contextualSpacing/>
    </w:pPr>
  </w:style>
  <w:style w:type="character" w:customStyle="1" w:styleId="UnresolvedMention1">
    <w:name w:val="Unresolved Mention1"/>
    <w:uiPriority w:val="99"/>
    <w:semiHidden/>
    <w:unhideWhenUsed/>
    <w:rsid w:val="00891F61"/>
    <w:rPr>
      <w:color w:val="605E5C"/>
      <w:shd w:val="clear" w:color="auto" w:fill="E1DFDD"/>
    </w:rPr>
  </w:style>
  <w:style w:type="paragraph" w:styleId="BalloonText">
    <w:name w:val="Balloon Text"/>
    <w:basedOn w:val="Normal"/>
    <w:link w:val="BalloonTextChar"/>
    <w:uiPriority w:val="99"/>
    <w:semiHidden/>
    <w:unhideWhenUsed/>
    <w:rsid w:val="009D0F8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D0F8D"/>
    <w:rPr>
      <w:rFonts w:ascii="Segoe UI" w:hAnsi="Segoe UI"/>
      <w:kern w:val="28"/>
      <w:sz w:val="18"/>
    </w:rPr>
  </w:style>
  <w:style w:type="character" w:customStyle="1" w:styleId="UnresolvedMention">
    <w:name w:val="Unresolved Mention"/>
    <w:basedOn w:val="DefaultParagraphFont"/>
    <w:uiPriority w:val="99"/>
    <w:rsid w:val="00D2070B"/>
    <w:rPr>
      <w:color w:val="605E5C"/>
      <w:shd w:val="clear" w:color="auto" w:fill="E1DFDD"/>
    </w:rPr>
  </w:style>
  <w:style w:type="character" w:styleId="CommentReference">
    <w:name w:val="annotation reference"/>
    <w:basedOn w:val="DefaultParagraphFont"/>
    <w:uiPriority w:val="99"/>
    <w:semiHidden/>
    <w:unhideWhenUsed/>
    <w:rsid w:val="00671ECC"/>
    <w:rPr>
      <w:sz w:val="16"/>
    </w:rPr>
  </w:style>
  <w:style w:type="paragraph" w:styleId="CommentText">
    <w:name w:val="annotation text"/>
    <w:basedOn w:val="Normal"/>
    <w:link w:val="CommentTextChar"/>
    <w:uiPriority w:val="99"/>
    <w:semiHidden/>
    <w:unhideWhenUsed/>
    <w:rsid w:val="00671ECC"/>
    <w:rPr>
      <w:sz w:val="20"/>
    </w:rPr>
  </w:style>
  <w:style w:type="character" w:customStyle="1" w:styleId="CommentTextChar">
    <w:name w:val="Comment Text Char"/>
    <w:basedOn w:val="DefaultParagraphFont"/>
    <w:link w:val="CommentText"/>
    <w:uiPriority w:val="99"/>
    <w:semiHidden/>
    <w:locked/>
    <w:rsid w:val="00671ECC"/>
    <w:rPr>
      <w:kern w:val="28"/>
    </w:rPr>
  </w:style>
  <w:style w:type="paragraph" w:styleId="CommentSubject">
    <w:name w:val="annotation subject"/>
    <w:basedOn w:val="CommentText"/>
    <w:next w:val="CommentText"/>
    <w:link w:val="CommentSubjectChar"/>
    <w:uiPriority w:val="99"/>
    <w:semiHidden/>
    <w:unhideWhenUsed/>
    <w:rsid w:val="00671ECC"/>
    <w:rPr>
      <w:b/>
      <w:bCs/>
    </w:rPr>
  </w:style>
  <w:style w:type="character" w:customStyle="1" w:styleId="CommentSubjectChar">
    <w:name w:val="Comment Subject Char"/>
    <w:basedOn w:val="CommentTextChar"/>
    <w:link w:val="CommentSubject"/>
    <w:uiPriority w:val="99"/>
    <w:semiHidden/>
    <w:locked/>
    <w:rsid w:val="00671ECC"/>
    <w:rPr>
      <w:b/>
      <w:kern w:val="28"/>
    </w:rPr>
  </w:style>
  <w:style w:type="paragraph" w:styleId="Revision">
    <w:name w:val="Revision"/>
    <w:hidden/>
    <w:uiPriority w:val="99"/>
    <w:semiHidden/>
    <w:rsid w:val="00A91F46"/>
    <w:rPr>
      <w:kern w:val="28"/>
      <w:sz w:val="22"/>
    </w:rPr>
  </w:style>
  <w:style w:type="table" w:styleId="TableGrid">
    <w:name w:val="Table Grid"/>
    <w:basedOn w:val="TableNormal"/>
    <w:uiPriority w:val="59"/>
    <w:rsid w:val="00DF4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32218"/>
    <w:pPr>
      <w:widowControl/>
    </w:pPr>
    <w:rPr>
      <w:rFonts w:ascii="Calibri" w:eastAsia="Calibri" w:hAnsi="Calibri" w:cs="Calibri"/>
      <w:kern w:val="0"/>
      <w:szCs w:val="22"/>
    </w:rPr>
  </w:style>
  <w:style w:type="character" w:styleId="FollowedHyperlink">
    <w:name w:val="FollowedHyperlink"/>
    <w:uiPriority w:val="99"/>
    <w:semiHidden/>
    <w:unhideWhenUsed/>
    <w:rsid w:val="00C32218"/>
    <w:rPr>
      <w:color w:val="954F72"/>
      <w:u w:val="single"/>
    </w:rPr>
  </w:style>
  <w:style w:type="paragraph" w:customStyle="1" w:styleId="msonormal">
    <w:name w:val="msonormal"/>
    <w:basedOn w:val="Normal"/>
    <w:rsid w:val="00C32218"/>
    <w:pPr>
      <w:widowControl/>
      <w:spacing w:before="100" w:beforeAutospacing="1" w:after="100" w:afterAutospacing="1"/>
    </w:pPr>
    <w:rPr>
      <w:kern w:val="0"/>
      <w:sz w:val="24"/>
      <w:szCs w:val="24"/>
      <w:lang w:eastAsia="ja-JP"/>
    </w:rPr>
  </w:style>
  <w:style w:type="paragraph" w:customStyle="1" w:styleId="xl63">
    <w:name w:val="xl63"/>
    <w:basedOn w:val="Normal"/>
    <w:rsid w:val="00C32218"/>
    <w:pPr>
      <w:widowControl/>
      <w:spacing w:before="100" w:beforeAutospacing="1" w:after="100" w:afterAutospacing="1"/>
    </w:pPr>
    <w:rPr>
      <w:kern w:val="0"/>
      <w:sz w:val="24"/>
      <w:szCs w:val="24"/>
      <w:lang w:eastAsia="ja-JP"/>
    </w:rPr>
  </w:style>
  <w:style w:type="paragraph" w:customStyle="1" w:styleId="xl64">
    <w:name w:val="xl64"/>
    <w:basedOn w:val="Normal"/>
    <w:rsid w:val="00C32218"/>
    <w:pPr>
      <w:widowControl/>
      <w:spacing w:before="100" w:beforeAutospacing="1" w:after="100" w:afterAutospacing="1"/>
      <w:jc w:val="right"/>
    </w:pPr>
    <w:rPr>
      <w:kern w:val="0"/>
      <w:sz w:val="24"/>
      <w:szCs w:val="24"/>
      <w:lang w:eastAsia="ja-JP"/>
    </w:rPr>
  </w:style>
  <w:style w:type="paragraph" w:customStyle="1" w:styleId="xl65">
    <w:name w:val="xl65"/>
    <w:basedOn w:val="Normal"/>
    <w:rsid w:val="00C32218"/>
    <w:pPr>
      <w:widowControl/>
      <w:spacing w:before="100" w:beforeAutospacing="1" w:after="100" w:afterAutospacing="1"/>
      <w:jc w:val="center"/>
    </w:pPr>
    <w:rPr>
      <w:kern w:val="0"/>
      <w:sz w:val="24"/>
      <w:szCs w:val="24"/>
      <w:lang w:eastAsia="ja-JP"/>
    </w:rPr>
  </w:style>
  <w:style w:type="paragraph" w:customStyle="1" w:styleId="xl66">
    <w:name w:val="xl66"/>
    <w:basedOn w:val="Normal"/>
    <w:rsid w:val="00C32218"/>
    <w:pPr>
      <w:widowControl/>
      <w:spacing w:before="100" w:beforeAutospacing="1" w:after="100" w:afterAutospacing="1"/>
      <w:textAlignment w:val="center"/>
    </w:pPr>
    <w:rPr>
      <w:kern w:val="0"/>
      <w:sz w:val="24"/>
      <w:szCs w:val="24"/>
      <w:lang w:eastAsia="ja-JP"/>
    </w:rPr>
  </w:style>
  <w:style w:type="paragraph" w:customStyle="1" w:styleId="xl67">
    <w:name w:val="xl67"/>
    <w:basedOn w:val="Normal"/>
    <w:rsid w:val="00C32218"/>
    <w:pPr>
      <w:widowControl/>
      <w:spacing w:before="100" w:beforeAutospacing="1" w:after="100" w:afterAutospacing="1"/>
      <w:jc w:val="center"/>
      <w:textAlignment w:val="center"/>
    </w:pPr>
    <w:rPr>
      <w:kern w:val="0"/>
      <w:sz w:val="24"/>
      <w:szCs w:val="24"/>
      <w:lang w:eastAsia="ja-JP"/>
    </w:rPr>
  </w:style>
  <w:style w:type="paragraph" w:customStyle="1" w:styleId="xl68">
    <w:name w:val="xl68"/>
    <w:basedOn w:val="Normal"/>
    <w:rsid w:val="00C32218"/>
    <w:pPr>
      <w:widowControl/>
      <w:spacing w:before="100" w:beforeAutospacing="1" w:after="100" w:afterAutospacing="1"/>
    </w:pPr>
    <w:rPr>
      <w:b/>
      <w:bCs/>
      <w:kern w:val="0"/>
      <w:sz w:val="24"/>
      <w:szCs w:val="24"/>
      <w:lang w:eastAsia="ja-JP"/>
    </w:rPr>
  </w:style>
  <w:style w:type="paragraph" w:customStyle="1" w:styleId="xl69">
    <w:name w:val="xl69"/>
    <w:basedOn w:val="Normal"/>
    <w:rsid w:val="00C32218"/>
    <w:pPr>
      <w:widowControl/>
      <w:spacing w:before="100" w:beforeAutospacing="1" w:after="100" w:afterAutospacing="1"/>
      <w:jc w:val="center"/>
    </w:pPr>
    <w:rPr>
      <w:b/>
      <w:bCs/>
      <w:kern w:val="0"/>
      <w:sz w:val="24"/>
      <w:szCs w:val="24"/>
      <w:lang w:eastAsia="ja-JP"/>
    </w:rPr>
  </w:style>
  <w:style w:type="paragraph" w:customStyle="1" w:styleId="xl71">
    <w:name w:val="xl71"/>
    <w:basedOn w:val="Normal"/>
    <w:rsid w:val="00C32218"/>
    <w:pPr>
      <w:widowControl/>
      <w:spacing w:before="100" w:beforeAutospacing="1" w:after="100" w:afterAutospacing="1"/>
      <w:textAlignment w:val="center"/>
    </w:pPr>
    <w:rPr>
      <w:kern w:val="0"/>
      <w:sz w:val="24"/>
      <w:szCs w:val="24"/>
      <w:lang w:eastAsia="ja-JP"/>
    </w:rPr>
  </w:style>
  <w:style w:type="paragraph" w:customStyle="1" w:styleId="xl72">
    <w:name w:val="xl72"/>
    <w:basedOn w:val="Normal"/>
    <w:rsid w:val="00C32218"/>
    <w:pPr>
      <w:widowControl/>
      <w:spacing w:before="100" w:beforeAutospacing="1" w:after="100" w:afterAutospacing="1"/>
    </w:pPr>
    <w:rPr>
      <w:b/>
      <w:bCs/>
      <w:kern w:val="0"/>
      <w:sz w:val="24"/>
      <w:szCs w:val="24"/>
      <w:lang w:eastAsia="ja-JP"/>
    </w:rPr>
  </w:style>
  <w:style w:type="paragraph" w:customStyle="1" w:styleId="xl73">
    <w:name w:val="xl73"/>
    <w:basedOn w:val="Normal"/>
    <w:rsid w:val="00C32218"/>
    <w:pPr>
      <w:widowControl/>
      <w:spacing w:before="100" w:beforeAutospacing="1" w:after="100" w:afterAutospacing="1"/>
      <w:textAlignment w:val="center"/>
    </w:pPr>
    <w:rPr>
      <w:b/>
      <w:bCs/>
      <w:kern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auction/904"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