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C77B9">
      <w:pPr>
        <w:pStyle w:val="Header"/>
        <w:tabs>
          <w:tab w:val="clear" w:pos="4320"/>
          <w:tab w:val="clear" w:pos="8640"/>
        </w:tabs>
        <w:rPr>
          <w:szCs w:val="22"/>
        </w:rPr>
      </w:pPr>
    </w:p>
    <w:p w:rsidR="002710BB" w:rsidRPr="006B29E2">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1404EC">
        <w:rPr>
          <w:szCs w:val="22"/>
        </w:rPr>
        <w:t xml:space="preserve"> </w:t>
      </w:r>
      <w:r w:rsidR="006253CB">
        <w:rPr>
          <w:szCs w:val="22"/>
        </w:rPr>
        <w:t xml:space="preserve"> </w:t>
      </w:r>
    </w:p>
    <w:p w:rsidR="002710BB" w:rsidRPr="006B29E2" w:rsidP="00D160FC">
      <w:pPr>
        <w:ind w:left="6480" w:hanging="90"/>
        <w:jc w:val="center"/>
        <w:rPr>
          <w:b/>
          <w:szCs w:val="22"/>
        </w:rPr>
      </w:pPr>
      <w:r>
        <w:rPr>
          <w:b/>
          <w:szCs w:val="22"/>
        </w:rPr>
        <w:t xml:space="preserve"> </w:t>
      </w:r>
      <w:r w:rsidR="001E681F">
        <w:rPr>
          <w:b/>
          <w:szCs w:val="22"/>
        </w:rPr>
        <w:t xml:space="preserve">  </w:t>
      </w:r>
      <w:bookmarkStart w:id="1" w:name="_GoBack"/>
      <w:r w:rsidRPr="006B29E2">
        <w:rPr>
          <w:b/>
          <w:szCs w:val="22"/>
        </w:rPr>
        <w:t xml:space="preserve">DA </w:t>
      </w:r>
      <w:r w:rsidR="004775F2">
        <w:rPr>
          <w:b/>
          <w:szCs w:val="22"/>
        </w:rPr>
        <w:t>20</w:t>
      </w:r>
      <w:r w:rsidR="004241B2">
        <w:rPr>
          <w:b/>
          <w:szCs w:val="22"/>
        </w:rPr>
        <w:t>-</w:t>
      </w:r>
      <w:r w:rsidR="00485B96">
        <w:rPr>
          <w:b/>
          <w:szCs w:val="22"/>
        </w:rPr>
        <w:t>1178</w:t>
      </w:r>
    </w:p>
    <w:p w:rsidR="002710BB" w:rsidRPr="006B29E2" w:rsidP="00D160FC">
      <w:pPr>
        <w:spacing w:before="60"/>
        <w:ind w:left="6930"/>
        <w:jc w:val="center"/>
        <w:rPr>
          <w:b/>
          <w:szCs w:val="22"/>
        </w:rPr>
      </w:pPr>
      <w:r>
        <w:rPr>
          <w:b/>
          <w:szCs w:val="22"/>
        </w:rPr>
        <w:t xml:space="preserve">October </w:t>
      </w:r>
      <w:r w:rsidR="001E681F">
        <w:rPr>
          <w:b/>
          <w:szCs w:val="22"/>
        </w:rPr>
        <w:t>8</w:t>
      </w:r>
      <w:r w:rsidRPr="00D160FC" w:rsidR="00803F8F">
        <w:rPr>
          <w:b/>
          <w:szCs w:val="22"/>
        </w:rPr>
        <w:t>,</w:t>
      </w:r>
      <w:r w:rsidRPr="006B29E2" w:rsidR="00803F8F">
        <w:rPr>
          <w:b/>
          <w:szCs w:val="22"/>
        </w:rPr>
        <w:t xml:space="preserve"> 20</w:t>
      </w:r>
      <w:r w:rsidR="004775F2">
        <w:rPr>
          <w:b/>
          <w:szCs w:val="22"/>
        </w:rPr>
        <w:t>20</w:t>
      </w:r>
    </w:p>
    <w:p w:rsidR="002710BB" w:rsidRPr="006B29E2" w:rsidP="002710BB">
      <w:pPr>
        <w:tabs>
          <w:tab w:val="left" w:pos="5900"/>
        </w:tabs>
        <w:rPr>
          <w:szCs w:val="22"/>
        </w:rPr>
      </w:pPr>
      <w:r w:rsidRPr="006B29E2">
        <w:rPr>
          <w:szCs w:val="22"/>
        </w:rPr>
        <w:tab/>
      </w:r>
    </w:p>
    <w:p w:rsidR="00585942" w:rsidP="0020389B">
      <w:pPr>
        <w:autoSpaceDE w:val="0"/>
        <w:autoSpaceDN w:val="0"/>
        <w:adjustRightInd w:val="0"/>
        <w:jc w:val="center"/>
        <w:rPr>
          <w:b/>
          <w:bCs/>
          <w:szCs w:val="22"/>
        </w:rPr>
      </w:pPr>
      <w:bookmarkStart w:id="2" w:name="_Hlk519509475"/>
      <w:bookmarkStart w:id="3" w:name="_Hlk502044717"/>
      <w:bookmarkStart w:id="4" w:name="_Hlk516578398"/>
      <w:r w:rsidRPr="009F1D82">
        <w:rPr>
          <w:b/>
          <w:bCs/>
          <w:szCs w:val="22"/>
        </w:rPr>
        <w:t>APPLICATION</w:t>
      </w:r>
      <w:r>
        <w:rPr>
          <w:b/>
          <w:bCs/>
          <w:szCs w:val="22"/>
        </w:rPr>
        <w:t>S</w:t>
      </w:r>
      <w:r w:rsidRPr="009F1D82">
        <w:rPr>
          <w:b/>
          <w:bCs/>
          <w:szCs w:val="22"/>
        </w:rPr>
        <w:t xml:space="preserve"> FILED FOR THE TRANSFER OF </w:t>
      </w:r>
      <w:r w:rsidR="000264C0">
        <w:rPr>
          <w:b/>
          <w:bCs/>
          <w:szCs w:val="22"/>
        </w:rPr>
        <w:t>CONTROL</w:t>
      </w:r>
      <w:r w:rsidR="001C2BAE">
        <w:rPr>
          <w:b/>
          <w:bCs/>
          <w:szCs w:val="22"/>
        </w:rPr>
        <w:t xml:space="preserve"> </w:t>
      </w:r>
      <w:r w:rsidRPr="009F1D82" w:rsidR="00F54506">
        <w:rPr>
          <w:b/>
          <w:bCs/>
          <w:szCs w:val="22"/>
        </w:rPr>
        <w:t>OF</w:t>
      </w:r>
    </w:p>
    <w:p w:rsidR="0020389B" w:rsidP="0020389B">
      <w:pPr>
        <w:autoSpaceDE w:val="0"/>
        <w:autoSpaceDN w:val="0"/>
        <w:adjustRightInd w:val="0"/>
        <w:jc w:val="center"/>
        <w:rPr>
          <w:b/>
          <w:bCs/>
          <w:szCs w:val="22"/>
        </w:rPr>
      </w:pPr>
      <w:r>
        <w:rPr>
          <w:b/>
          <w:bCs/>
          <w:szCs w:val="22"/>
        </w:rPr>
        <w:t>CINCINNATI BELL INC.</w:t>
      </w:r>
      <w:r w:rsidR="00424CB4">
        <w:rPr>
          <w:b/>
          <w:bCs/>
          <w:szCs w:val="22"/>
        </w:rPr>
        <w:t xml:space="preserve"> </w:t>
      </w:r>
      <w:r w:rsidR="00C55AC6">
        <w:rPr>
          <w:b/>
          <w:bCs/>
          <w:szCs w:val="22"/>
        </w:rPr>
        <w:t xml:space="preserve">AND </w:t>
      </w:r>
      <w:r>
        <w:rPr>
          <w:b/>
          <w:bCs/>
          <w:szCs w:val="22"/>
        </w:rPr>
        <w:t xml:space="preserve">HAWAIIAN TELCOM, INC. </w:t>
      </w:r>
    </w:p>
    <w:p w:rsidR="004241B2" w:rsidP="0020389B">
      <w:pPr>
        <w:autoSpaceDE w:val="0"/>
        <w:autoSpaceDN w:val="0"/>
        <w:adjustRightInd w:val="0"/>
        <w:jc w:val="center"/>
        <w:rPr>
          <w:b/>
          <w:bCs/>
          <w:szCs w:val="22"/>
        </w:rPr>
      </w:pPr>
      <w:r>
        <w:rPr>
          <w:b/>
          <w:bCs/>
          <w:szCs w:val="22"/>
        </w:rPr>
        <w:t xml:space="preserve">TO </w:t>
      </w:r>
      <w:r w:rsidR="004775F2">
        <w:rPr>
          <w:b/>
          <w:bCs/>
          <w:szCs w:val="22"/>
        </w:rPr>
        <w:t>RED FIBER PARENT LLC</w:t>
      </w:r>
    </w:p>
    <w:bookmarkEnd w:id="2"/>
    <w:bookmarkEnd w:id="3"/>
    <w:bookmarkEnd w:id="4"/>
    <w:p w:rsidR="00F54506" w:rsidP="00F54506">
      <w:pPr>
        <w:autoSpaceDE w:val="0"/>
        <w:autoSpaceDN w:val="0"/>
        <w:adjustRightInd w:val="0"/>
        <w:rPr>
          <w:b/>
          <w:bCs/>
          <w:szCs w:val="22"/>
        </w:rPr>
      </w:pPr>
    </w:p>
    <w:p w:rsidR="002710BB" w:rsidRPr="006B29E2" w:rsidP="00F54506">
      <w:pPr>
        <w:autoSpaceDE w:val="0"/>
        <w:autoSpaceDN w:val="0"/>
        <w:adjustRightInd w:val="0"/>
        <w:jc w:val="center"/>
        <w:rPr>
          <w:b/>
          <w:szCs w:val="22"/>
        </w:rPr>
      </w:pPr>
      <w:r w:rsidRPr="006B29E2">
        <w:rPr>
          <w:b/>
          <w:szCs w:val="22"/>
        </w:rPr>
        <w:t>PLEADING CYCLE ESTABLISHED</w:t>
      </w:r>
    </w:p>
    <w:p w:rsidR="002710BB" w:rsidRPr="006B29E2" w:rsidP="002710BB">
      <w:pPr>
        <w:jc w:val="center"/>
        <w:rPr>
          <w:b/>
          <w:szCs w:val="22"/>
        </w:rPr>
      </w:pPr>
    </w:p>
    <w:p w:rsidR="002710BB" w:rsidP="002710BB">
      <w:pPr>
        <w:jc w:val="center"/>
        <w:rPr>
          <w:b/>
          <w:szCs w:val="22"/>
        </w:rPr>
      </w:pPr>
      <w:r>
        <w:rPr>
          <w:b/>
          <w:szCs w:val="22"/>
        </w:rPr>
        <w:t xml:space="preserve"> </w:t>
      </w:r>
      <w:r w:rsidRPr="00377CC1">
        <w:rPr>
          <w:b/>
          <w:szCs w:val="22"/>
        </w:rPr>
        <w:t xml:space="preserve">WC Docket No. </w:t>
      </w:r>
      <w:r w:rsidR="004775F2">
        <w:rPr>
          <w:b/>
          <w:szCs w:val="22"/>
        </w:rPr>
        <w:t>20</w:t>
      </w:r>
      <w:r w:rsidRPr="00377CC1">
        <w:rPr>
          <w:b/>
          <w:szCs w:val="22"/>
        </w:rPr>
        <w:t>-</w:t>
      </w:r>
      <w:r w:rsidRPr="00377CC1" w:rsidR="00377CC1">
        <w:rPr>
          <w:b/>
          <w:szCs w:val="22"/>
        </w:rPr>
        <w:t>1</w:t>
      </w:r>
      <w:r w:rsidR="004775F2">
        <w:rPr>
          <w:b/>
          <w:szCs w:val="22"/>
        </w:rPr>
        <w:t>46</w:t>
      </w:r>
    </w:p>
    <w:p w:rsidR="002710BB" w:rsidRPr="006B29E2" w:rsidP="002710BB">
      <w:pPr>
        <w:jc w:val="center"/>
        <w:rPr>
          <w:szCs w:val="22"/>
        </w:rPr>
      </w:pPr>
    </w:p>
    <w:p w:rsidR="002710BB" w:rsidRPr="006B29E2" w:rsidP="002710BB">
      <w:pPr>
        <w:pStyle w:val="NoSpacing"/>
        <w:rPr>
          <w:b/>
          <w:szCs w:val="22"/>
        </w:rPr>
      </w:pPr>
      <w:r>
        <w:rPr>
          <w:b/>
          <w:szCs w:val="22"/>
        </w:rPr>
        <w:t>Comments</w:t>
      </w:r>
      <w:r w:rsidR="00E736BA">
        <w:rPr>
          <w:b/>
          <w:szCs w:val="22"/>
        </w:rPr>
        <w:t>/Petitions Due</w:t>
      </w:r>
      <w:r>
        <w:rPr>
          <w:b/>
          <w:szCs w:val="22"/>
        </w:rPr>
        <w:t xml:space="preserve">:  </w:t>
      </w:r>
      <w:r w:rsidR="001E681F">
        <w:rPr>
          <w:b/>
          <w:szCs w:val="22"/>
        </w:rPr>
        <w:t>November 9</w:t>
      </w:r>
      <w:r w:rsidRPr="00AF1348">
        <w:rPr>
          <w:b/>
          <w:szCs w:val="22"/>
        </w:rPr>
        <w:t>, 20</w:t>
      </w:r>
      <w:r w:rsidR="004775F2">
        <w:rPr>
          <w:b/>
          <w:szCs w:val="22"/>
        </w:rPr>
        <w:t>20</w:t>
      </w:r>
    </w:p>
    <w:p w:rsidR="00590D65" w:rsidRPr="006B29E2" w:rsidP="002710BB">
      <w:pPr>
        <w:pStyle w:val="NoSpacing"/>
        <w:rPr>
          <w:b/>
          <w:szCs w:val="22"/>
        </w:rPr>
      </w:pPr>
      <w:r w:rsidRPr="006B29E2">
        <w:rPr>
          <w:b/>
          <w:szCs w:val="22"/>
        </w:rPr>
        <w:t>Reply Comments</w:t>
      </w:r>
      <w:r w:rsidR="00E736BA">
        <w:rPr>
          <w:b/>
          <w:szCs w:val="22"/>
        </w:rPr>
        <w:t>/Oppositions to Petitions Due</w:t>
      </w:r>
      <w:r w:rsidRPr="00AF1348">
        <w:rPr>
          <w:b/>
          <w:szCs w:val="22"/>
        </w:rPr>
        <w:t xml:space="preserve">:  </w:t>
      </w:r>
      <w:r w:rsidR="001E681F">
        <w:rPr>
          <w:b/>
          <w:szCs w:val="22"/>
        </w:rPr>
        <w:t>November 24</w:t>
      </w:r>
      <w:r w:rsidRPr="00AF1348">
        <w:rPr>
          <w:b/>
          <w:szCs w:val="22"/>
        </w:rPr>
        <w:t>, 2</w:t>
      </w:r>
      <w:r w:rsidR="004775F2">
        <w:rPr>
          <w:b/>
          <w:szCs w:val="22"/>
        </w:rPr>
        <w:t>020</w:t>
      </w:r>
    </w:p>
    <w:bookmarkEnd w:id="1"/>
    <w:p w:rsidR="002710BB" w:rsidRPr="006B29E2" w:rsidP="002710BB">
      <w:pPr>
        <w:autoSpaceDE w:val="0"/>
        <w:autoSpaceDN w:val="0"/>
        <w:adjustRightInd w:val="0"/>
        <w:rPr>
          <w:rFonts w:ascii="TimesNewRomanPSMT" w:hAnsi="TimesNewRomanPSMT" w:cs="TimesNewRomanPSMT"/>
          <w:szCs w:val="22"/>
        </w:rPr>
      </w:pPr>
    </w:p>
    <w:p w:rsidR="006C1429" w:rsidP="006C1429">
      <w:pPr>
        <w:autoSpaceDE w:val="0"/>
        <w:autoSpaceDN w:val="0"/>
        <w:adjustRightInd w:val="0"/>
        <w:ind w:firstLine="720"/>
        <w:rPr>
          <w:szCs w:val="22"/>
        </w:rPr>
      </w:pPr>
      <w:r w:rsidRPr="00FB3EDD">
        <w:rPr>
          <w:szCs w:val="22"/>
        </w:rPr>
        <w:t>By this Public Notice, the Wireline Competition</w:t>
      </w:r>
      <w:r w:rsidR="0020607D">
        <w:rPr>
          <w:szCs w:val="22"/>
        </w:rPr>
        <w:t xml:space="preserve"> </w:t>
      </w:r>
      <w:r w:rsidRPr="00FB3EDD">
        <w:rPr>
          <w:szCs w:val="22"/>
        </w:rPr>
        <w:t>Bureau</w:t>
      </w:r>
      <w:r w:rsidR="00377A13">
        <w:rPr>
          <w:szCs w:val="22"/>
        </w:rPr>
        <w:t xml:space="preserve">, International Bureau, </w:t>
      </w:r>
      <w:r w:rsidRPr="001212A4" w:rsidR="00377A13">
        <w:rPr>
          <w:szCs w:val="22"/>
        </w:rPr>
        <w:t xml:space="preserve">and Wireless </w:t>
      </w:r>
      <w:r w:rsidR="00332E1C">
        <w:rPr>
          <w:szCs w:val="22"/>
        </w:rPr>
        <w:t xml:space="preserve">Telecommunications </w:t>
      </w:r>
      <w:r w:rsidRPr="001212A4" w:rsidR="00377A13">
        <w:rPr>
          <w:szCs w:val="22"/>
        </w:rPr>
        <w:t>Bureau</w:t>
      </w:r>
      <w:r w:rsidRPr="00FB3EDD">
        <w:rPr>
          <w:szCs w:val="22"/>
        </w:rPr>
        <w:t xml:space="preserve"> </w:t>
      </w:r>
      <w:r w:rsidR="001E681F">
        <w:rPr>
          <w:szCs w:val="22"/>
        </w:rPr>
        <w:t xml:space="preserve">(Bureaus) </w:t>
      </w:r>
      <w:r w:rsidRPr="00FB3EDD">
        <w:rPr>
          <w:szCs w:val="22"/>
        </w:rPr>
        <w:t>seek comment from interested parties on</w:t>
      </w:r>
      <w:r w:rsidR="00585942">
        <w:rPr>
          <w:szCs w:val="22"/>
        </w:rPr>
        <w:t xml:space="preserve"> </w:t>
      </w:r>
      <w:r w:rsidR="001C2BAE">
        <w:rPr>
          <w:szCs w:val="22"/>
        </w:rPr>
        <w:t xml:space="preserve">a series of </w:t>
      </w:r>
      <w:r w:rsidRPr="00FB3EDD">
        <w:rPr>
          <w:szCs w:val="22"/>
        </w:rPr>
        <w:t>application</w:t>
      </w:r>
      <w:r w:rsidR="00585942">
        <w:rPr>
          <w:szCs w:val="22"/>
        </w:rPr>
        <w:t>s</w:t>
      </w:r>
      <w:r w:rsidRPr="00FB3EDD">
        <w:rPr>
          <w:szCs w:val="22"/>
        </w:rPr>
        <w:t xml:space="preserve"> filed by</w:t>
      </w:r>
      <w:r w:rsidRPr="00FB3EDD" w:rsidR="001419AD">
        <w:rPr>
          <w:color w:val="231F20"/>
          <w:szCs w:val="22"/>
        </w:rPr>
        <w:t xml:space="preserve"> </w:t>
      </w:r>
      <w:r w:rsidR="008B3949">
        <w:rPr>
          <w:color w:val="231F20"/>
          <w:szCs w:val="22"/>
        </w:rPr>
        <w:t>Cincinnati Bell Inc. (Cincinnati Bell), CBTS Technology Solutions LLC (CBTS), Cincinnati Bell Telephone Company LLC (CBT), Cincinnati Bell Extended Territories LLC (CBET), Hawaiian Telcom, Inc. (HTI), Hawaiian Telcom Services Company, Inc. (HTSC)</w:t>
      </w:r>
      <w:r w:rsidR="008D7191">
        <w:rPr>
          <w:color w:val="231F20"/>
          <w:szCs w:val="22"/>
        </w:rPr>
        <w:t>,</w:t>
      </w:r>
      <w:r w:rsidR="008B3949">
        <w:rPr>
          <w:color w:val="231F20"/>
          <w:szCs w:val="22"/>
        </w:rPr>
        <w:t xml:space="preserve"> and Wavecom Solutions Corporation (Wavecom) </w:t>
      </w:r>
      <w:r w:rsidR="002D10D9">
        <w:rPr>
          <w:color w:val="231F20"/>
          <w:szCs w:val="22"/>
        </w:rPr>
        <w:t>(</w:t>
      </w:r>
      <w:r w:rsidR="008B16AA">
        <w:rPr>
          <w:color w:val="231F20"/>
          <w:szCs w:val="22"/>
        </w:rPr>
        <w:t xml:space="preserve">CBTS, CBT CBET, HTI, HTSC, </w:t>
      </w:r>
      <w:r w:rsidR="00FB51FC">
        <w:rPr>
          <w:color w:val="231F20"/>
          <w:szCs w:val="22"/>
        </w:rPr>
        <w:t xml:space="preserve">and </w:t>
      </w:r>
      <w:r w:rsidR="008B16AA">
        <w:rPr>
          <w:color w:val="231F20"/>
          <w:szCs w:val="22"/>
        </w:rPr>
        <w:t>Wavecom</w:t>
      </w:r>
      <w:r w:rsidR="00221347">
        <w:rPr>
          <w:color w:val="231F20"/>
          <w:szCs w:val="22"/>
        </w:rPr>
        <w:t xml:space="preserve">, </w:t>
      </w:r>
      <w:r w:rsidR="002D10D9">
        <w:rPr>
          <w:color w:val="231F20"/>
          <w:szCs w:val="22"/>
        </w:rPr>
        <w:t xml:space="preserve">collectively, </w:t>
      </w:r>
      <w:r w:rsidR="008B16AA">
        <w:rPr>
          <w:color w:val="231F20"/>
          <w:szCs w:val="22"/>
        </w:rPr>
        <w:t>Licensees) for the transfer of Licensees to Red Fiber Parent LLC (Red Fiber Parent) (Licensees, together with Red Fiber Parent and Cincinnati Bell, Applicants</w:t>
      </w:r>
      <w:r w:rsidR="002D10D9">
        <w:rPr>
          <w:color w:val="231F20"/>
          <w:szCs w:val="22"/>
        </w:rPr>
        <w:t>)</w:t>
      </w:r>
      <w:r w:rsidRPr="00FB3EDD" w:rsidR="001419AD">
        <w:rPr>
          <w:color w:val="231F20"/>
          <w:szCs w:val="22"/>
        </w:rPr>
        <w:t xml:space="preserve">, </w:t>
      </w:r>
      <w:r w:rsidRPr="007656E1" w:rsidR="007656E1">
        <w:rPr>
          <w:snapToGrid w:val="0"/>
          <w:kern w:val="28"/>
          <w:szCs w:val="22"/>
        </w:rPr>
        <w:t>pursuant to sections 214 and 310(d) of the Communications Act of 1934, as amended (Act),</w:t>
      </w:r>
      <w:r>
        <w:rPr>
          <w:rStyle w:val="FootnoteReference"/>
          <w:snapToGrid w:val="0"/>
          <w:kern w:val="28"/>
          <w:szCs w:val="22"/>
        </w:rPr>
        <w:footnoteReference w:id="3"/>
      </w:r>
      <w:r w:rsidRPr="007656E1" w:rsidR="007656E1">
        <w:rPr>
          <w:snapToGrid w:val="0"/>
          <w:kern w:val="28"/>
          <w:szCs w:val="22"/>
        </w:rPr>
        <w:t xml:space="preserve"> </w:t>
      </w:r>
      <w:r w:rsidRPr="00E40B8D" w:rsidR="0086071E">
        <w:rPr>
          <w:snapToGrid w:val="0"/>
          <w:color w:val="000000"/>
          <w:kern w:val="28"/>
          <w:szCs w:val="22"/>
        </w:rPr>
        <w:t>the Cable Landing License Act of 1921</w:t>
      </w:r>
      <w:r w:rsidR="006E356E">
        <w:rPr>
          <w:snapToGrid w:val="0"/>
          <w:color w:val="000000"/>
          <w:kern w:val="28"/>
          <w:szCs w:val="22"/>
        </w:rPr>
        <w:t>,</w:t>
      </w:r>
      <w:r>
        <w:rPr>
          <w:snapToGrid w:val="0"/>
          <w:color w:val="000000"/>
          <w:kern w:val="28"/>
          <w:szCs w:val="22"/>
          <w:vertAlign w:val="superscript"/>
        </w:rPr>
        <w:footnoteReference w:id="4"/>
      </w:r>
      <w:r w:rsidR="00CD7D4C">
        <w:rPr>
          <w:snapToGrid w:val="0"/>
          <w:color w:val="000000"/>
          <w:kern w:val="28"/>
          <w:szCs w:val="22"/>
        </w:rPr>
        <w:t xml:space="preserve"> </w:t>
      </w:r>
      <w:r w:rsidRPr="007656E1" w:rsidR="007656E1">
        <w:rPr>
          <w:snapToGrid w:val="0"/>
          <w:kern w:val="28"/>
          <w:szCs w:val="22"/>
        </w:rPr>
        <w:t xml:space="preserve">and sections </w:t>
      </w:r>
      <w:r w:rsidR="0086071E">
        <w:rPr>
          <w:snapToGrid w:val="0"/>
          <w:kern w:val="28"/>
          <w:szCs w:val="22"/>
        </w:rPr>
        <w:t xml:space="preserve">1.767, </w:t>
      </w:r>
      <w:r w:rsidR="00F4126D">
        <w:rPr>
          <w:snapToGrid w:val="0"/>
          <w:kern w:val="28"/>
          <w:szCs w:val="22"/>
        </w:rPr>
        <w:t xml:space="preserve">1.948, </w:t>
      </w:r>
      <w:r w:rsidRPr="007656E1" w:rsidR="007656E1">
        <w:rPr>
          <w:snapToGrid w:val="0"/>
          <w:kern w:val="28"/>
          <w:szCs w:val="22"/>
        </w:rPr>
        <w:t>63.03-04, 63.18, and 63.24 of the Commission’s rules</w:t>
      </w:r>
      <w:r w:rsidR="006E356E">
        <w:rPr>
          <w:snapToGrid w:val="0"/>
          <w:kern w:val="28"/>
          <w:szCs w:val="22"/>
        </w:rPr>
        <w:t>.</w:t>
      </w:r>
      <w:r>
        <w:rPr>
          <w:snapToGrid w:val="0"/>
          <w:kern w:val="28"/>
          <w:szCs w:val="22"/>
          <w:vertAlign w:val="superscript"/>
        </w:rPr>
        <w:footnoteReference w:id="5"/>
      </w:r>
      <w:r w:rsidR="007A6DA2">
        <w:rPr>
          <w:snapToGrid w:val="0"/>
          <w:color w:val="000000"/>
          <w:kern w:val="28"/>
          <w:szCs w:val="22"/>
        </w:rPr>
        <w:t xml:space="preserve"> </w:t>
      </w:r>
      <w:r w:rsidR="00F40FFC">
        <w:rPr>
          <w:szCs w:val="22"/>
        </w:rPr>
        <w:t xml:space="preserve"> </w:t>
      </w:r>
      <w:r w:rsidRPr="00EC6A48" w:rsidR="00210870">
        <w:rPr>
          <w:szCs w:val="22"/>
        </w:rPr>
        <w:t xml:space="preserve">Red Fiber Parent </w:t>
      </w:r>
      <w:r w:rsidRPr="00EC6A48">
        <w:rPr>
          <w:szCs w:val="22"/>
        </w:rPr>
        <w:t>also filed a petition for declaratory ruling (Petition) to permit foreign investment above the 25</w:t>
      </w:r>
      <w:r w:rsidR="00E40B8D">
        <w:rPr>
          <w:szCs w:val="22"/>
        </w:rPr>
        <w:t>%</w:t>
      </w:r>
      <w:r w:rsidRPr="00EC6A48">
        <w:rPr>
          <w:szCs w:val="22"/>
        </w:rPr>
        <w:t xml:space="preserve"> benchmark in section 310(b)(4) of the Act </w:t>
      </w:r>
      <w:r w:rsidRPr="00EC6A48">
        <w:rPr>
          <w:color w:val="000000"/>
          <w:szCs w:val="22"/>
        </w:rPr>
        <w:t>and section 1.5000(a)(1) of the Commission’s rules.</w:t>
      </w:r>
      <w:r>
        <w:rPr>
          <w:rStyle w:val="FootnoteReference"/>
          <w:color w:val="000000"/>
          <w:szCs w:val="22"/>
        </w:rPr>
        <w:footnoteReference w:id="6"/>
      </w:r>
      <w:r>
        <w:rPr>
          <w:szCs w:val="22"/>
        </w:rPr>
        <w:t xml:space="preserve"> </w:t>
      </w:r>
    </w:p>
    <w:p w:rsidR="00210870" w:rsidP="006C1429">
      <w:pPr>
        <w:autoSpaceDE w:val="0"/>
        <w:autoSpaceDN w:val="0"/>
        <w:adjustRightInd w:val="0"/>
        <w:ind w:firstLine="720"/>
        <w:rPr>
          <w:szCs w:val="22"/>
        </w:rPr>
      </w:pPr>
    </w:p>
    <w:p w:rsidR="005F24AE" w:rsidP="006519AD">
      <w:pPr>
        <w:autoSpaceDE w:val="0"/>
        <w:autoSpaceDN w:val="0"/>
        <w:adjustRightInd w:val="0"/>
        <w:ind w:firstLine="720"/>
        <w:rPr>
          <w:szCs w:val="22"/>
        </w:rPr>
      </w:pPr>
      <w:r>
        <w:rPr>
          <w:szCs w:val="22"/>
        </w:rPr>
        <w:t>Cin</w:t>
      </w:r>
      <w:r w:rsidR="00086832">
        <w:rPr>
          <w:szCs w:val="22"/>
        </w:rPr>
        <w:t>cinnati Bell</w:t>
      </w:r>
      <w:r w:rsidR="00803F8F">
        <w:rPr>
          <w:szCs w:val="22"/>
        </w:rPr>
        <w:t xml:space="preserve">, </w:t>
      </w:r>
      <w:r w:rsidR="00224FC0">
        <w:rPr>
          <w:szCs w:val="22"/>
        </w:rPr>
        <w:t>a publicly</w:t>
      </w:r>
      <w:r w:rsidR="00146426">
        <w:rPr>
          <w:szCs w:val="22"/>
        </w:rPr>
        <w:t xml:space="preserve"> </w:t>
      </w:r>
      <w:r w:rsidR="00224FC0">
        <w:rPr>
          <w:szCs w:val="22"/>
        </w:rPr>
        <w:t xml:space="preserve">traded </w:t>
      </w:r>
      <w:r w:rsidR="00086832">
        <w:rPr>
          <w:szCs w:val="22"/>
        </w:rPr>
        <w:t>Ohio</w:t>
      </w:r>
      <w:r w:rsidR="00425372">
        <w:rPr>
          <w:szCs w:val="22"/>
        </w:rPr>
        <w:t xml:space="preserve"> corporation</w:t>
      </w:r>
      <w:r w:rsidR="00224FC0">
        <w:rPr>
          <w:szCs w:val="22"/>
        </w:rPr>
        <w:t xml:space="preserve">, </w:t>
      </w:r>
      <w:r w:rsidR="002B2167">
        <w:rPr>
          <w:szCs w:val="22"/>
        </w:rPr>
        <w:t>through</w:t>
      </w:r>
      <w:r w:rsidR="004220A8">
        <w:rPr>
          <w:szCs w:val="22"/>
        </w:rPr>
        <w:t xml:space="preserve"> the </w:t>
      </w:r>
      <w:r w:rsidR="00AE20E0">
        <w:rPr>
          <w:szCs w:val="22"/>
        </w:rPr>
        <w:t>Licensees</w:t>
      </w:r>
      <w:r w:rsidR="005200CE">
        <w:rPr>
          <w:szCs w:val="22"/>
        </w:rPr>
        <w:t xml:space="preserve"> provide</w:t>
      </w:r>
      <w:r w:rsidR="00E40B8D">
        <w:rPr>
          <w:szCs w:val="22"/>
        </w:rPr>
        <w:t>s voice, data, and video</w:t>
      </w:r>
      <w:r w:rsidR="005200CE">
        <w:rPr>
          <w:szCs w:val="22"/>
        </w:rPr>
        <w:t xml:space="preserve"> </w:t>
      </w:r>
      <w:r w:rsidR="00425372">
        <w:rPr>
          <w:szCs w:val="22"/>
        </w:rPr>
        <w:t>services over</w:t>
      </w:r>
      <w:r w:rsidR="005B4EFF">
        <w:rPr>
          <w:szCs w:val="22"/>
        </w:rPr>
        <w:t xml:space="preserve"> </w:t>
      </w:r>
      <w:r w:rsidR="00425372">
        <w:rPr>
          <w:szCs w:val="22"/>
        </w:rPr>
        <w:t>fiber optic and copper networks</w:t>
      </w:r>
      <w:r w:rsidR="00E40B8D">
        <w:rPr>
          <w:szCs w:val="22"/>
        </w:rPr>
        <w:t>:</w:t>
      </w:r>
      <w:r>
        <w:rPr>
          <w:rStyle w:val="FootnoteReference"/>
          <w:szCs w:val="22"/>
        </w:rPr>
        <w:footnoteReference w:id="7"/>
      </w:r>
      <w:r w:rsidR="00FF0286">
        <w:rPr>
          <w:szCs w:val="22"/>
        </w:rPr>
        <w:t xml:space="preserve">  </w:t>
      </w:r>
      <w:r w:rsidR="006F0BE7">
        <w:rPr>
          <w:szCs w:val="22"/>
        </w:rPr>
        <w:t>CBT</w:t>
      </w:r>
      <w:r w:rsidR="00654BEB">
        <w:rPr>
          <w:szCs w:val="22"/>
        </w:rPr>
        <w:t>, an incumbent local exchange carrier (LEC)</w:t>
      </w:r>
      <w:r w:rsidR="00E40B8D">
        <w:rPr>
          <w:szCs w:val="22"/>
        </w:rPr>
        <w:t>, serves</w:t>
      </w:r>
      <w:r w:rsidR="009C0F9D">
        <w:rPr>
          <w:szCs w:val="22"/>
        </w:rPr>
        <w:t xml:space="preserve"> portions of Ohio, Kentucky, and Indiana</w:t>
      </w:r>
      <w:r w:rsidR="00E40B8D">
        <w:rPr>
          <w:szCs w:val="22"/>
        </w:rPr>
        <w:t>;</w:t>
      </w:r>
      <w:r>
        <w:rPr>
          <w:rStyle w:val="FootnoteReference"/>
          <w:szCs w:val="22"/>
        </w:rPr>
        <w:footnoteReference w:id="8"/>
      </w:r>
      <w:r w:rsidR="00A71A74">
        <w:rPr>
          <w:szCs w:val="22"/>
        </w:rPr>
        <w:t xml:space="preserve"> </w:t>
      </w:r>
      <w:r w:rsidR="00026C02">
        <w:rPr>
          <w:szCs w:val="22"/>
        </w:rPr>
        <w:t>CBET</w:t>
      </w:r>
      <w:r w:rsidR="0011660A">
        <w:rPr>
          <w:szCs w:val="22"/>
        </w:rPr>
        <w:t xml:space="preserve"> provides competitive LEC services in contiguous area</w:t>
      </w:r>
      <w:r w:rsidR="00664968">
        <w:rPr>
          <w:szCs w:val="22"/>
        </w:rPr>
        <w:t>s</w:t>
      </w:r>
      <w:r w:rsidR="0011660A">
        <w:rPr>
          <w:szCs w:val="22"/>
        </w:rPr>
        <w:t xml:space="preserve"> in Ohio</w:t>
      </w:r>
      <w:r w:rsidR="00E40B8D">
        <w:rPr>
          <w:szCs w:val="22"/>
        </w:rPr>
        <w:t xml:space="preserve"> and video service in portions of Ohio, Kentucky, and Indiana;</w:t>
      </w:r>
      <w:r>
        <w:rPr>
          <w:rStyle w:val="FootnoteReference"/>
          <w:szCs w:val="22"/>
        </w:rPr>
        <w:footnoteReference w:id="9"/>
      </w:r>
      <w:r w:rsidR="006611D8">
        <w:rPr>
          <w:szCs w:val="22"/>
        </w:rPr>
        <w:t xml:space="preserve"> CBTS provides nationwide long distance</w:t>
      </w:r>
      <w:r w:rsidR="00E40B8D">
        <w:rPr>
          <w:szCs w:val="22"/>
        </w:rPr>
        <w:t>,</w:t>
      </w:r>
      <w:r w:rsidR="005C7EDA">
        <w:rPr>
          <w:szCs w:val="22"/>
        </w:rPr>
        <w:t xml:space="preserve"> competitive LEC</w:t>
      </w:r>
      <w:r w:rsidR="00E40B8D">
        <w:rPr>
          <w:szCs w:val="22"/>
        </w:rPr>
        <w:t>, and Vo</w:t>
      </w:r>
      <w:r w:rsidR="00F41833">
        <w:rPr>
          <w:szCs w:val="22"/>
        </w:rPr>
        <w:t>i</w:t>
      </w:r>
      <w:r w:rsidR="00E40B8D">
        <w:rPr>
          <w:szCs w:val="22"/>
        </w:rPr>
        <w:t>ce over Internet Protoc</w:t>
      </w:r>
      <w:r w:rsidR="002676E5">
        <w:rPr>
          <w:szCs w:val="22"/>
        </w:rPr>
        <w:t>o</w:t>
      </w:r>
      <w:r w:rsidR="00E40B8D">
        <w:rPr>
          <w:szCs w:val="22"/>
        </w:rPr>
        <w:t>l (VoIP)</w:t>
      </w:r>
      <w:r w:rsidR="005C7EDA">
        <w:rPr>
          <w:szCs w:val="22"/>
        </w:rPr>
        <w:t xml:space="preserve"> service</w:t>
      </w:r>
      <w:r w:rsidR="007A6DA2">
        <w:rPr>
          <w:szCs w:val="22"/>
        </w:rPr>
        <w:t>;</w:t>
      </w:r>
      <w:r>
        <w:rPr>
          <w:rStyle w:val="FootnoteReference"/>
          <w:szCs w:val="22"/>
        </w:rPr>
        <w:footnoteReference w:id="10"/>
      </w:r>
      <w:r w:rsidR="00DB4A56">
        <w:rPr>
          <w:szCs w:val="22"/>
        </w:rPr>
        <w:t xml:space="preserve"> </w:t>
      </w:r>
      <w:r w:rsidR="002B1056">
        <w:rPr>
          <w:szCs w:val="22"/>
        </w:rPr>
        <w:t xml:space="preserve">HTI, </w:t>
      </w:r>
      <w:r w:rsidR="00E23C72">
        <w:rPr>
          <w:szCs w:val="22"/>
        </w:rPr>
        <w:t xml:space="preserve">an </w:t>
      </w:r>
      <w:r w:rsidR="002E26BC">
        <w:rPr>
          <w:szCs w:val="22"/>
        </w:rPr>
        <w:t>incumbent LEC</w:t>
      </w:r>
      <w:r w:rsidR="001C249F">
        <w:rPr>
          <w:szCs w:val="22"/>
        </w:rPr>
        <w:t>,</w:t>
      </w:r>
      <w:r w:rsidR="002E26BC">
        <w:rPr>
          <w:szCs w:val="22"/>
        </w:rPr>
        <w:t xml:space="preserve"> </w:t>
      </w:r>
      <w:r w:rsidR="00E40B8D">
        <w:rPr>
          <w:szCs w:val="22"/>
        </w:rPr>
        <w:t>serves</w:t>
      </w:r>
      <w:r w:rsidR="002E26BC">
        <w:rPr>
          <w:szCs w:val="22"/>
        </w:rPr>
        <w:t xml:space="preserve"> Hawaii</w:t>
      </w:r>
      <w:r w:rsidR="00540FCC">
        <w:rPr>
          <w:szCs w:val="22"/>
        </w:rPr>
        <w:t>, and holds submarine cable landing licenses for interisland network facilities and various wi</w:t>
      </w:r>
      <w:r w:rsidR="002676E5">
        <w:rPr>
          <w:szCs w:val="22"/>
        </w:rPr>
        <w:t>reless</w:t>
      </w:r>
      <w:r w:rsidR="00540FCC">
        <w:rPr>
          <w:szCs w:val="22"/>
        </w:rPr>
        <w:t xml:space="preserve"> licenses for fixed microwave radio facilities</w:t>
      </w:r>
      <w:r w:rsidR="00F41833">
        <w:rPr>
          <w:szCs w:val="22"/>
        </w:rPr>
        <w:t>;</w:t>
      </w:r>
      <w:r>
        <w:rPr>
          <w:rStyle w:val="FootnoteReference"/>
          <w:szCs w:val="22"/>
        </w:rPr>
        <w:footnoteReference w:id="11"/>
      </w:r>
      <w:r w:rsidR="002E26BC">
        <w:rPr>
          <w:szCs w:val="22"/>
        </w:rPr>
        <w:t xml:space="preserve"> </w:t>
      </w:r>
      <w:r w:rsidR="00C47839">
        <w:rPr>
          <w:szCs w:val="22"/>
        </w:rPr>
        <w:t>HTSC</w:t>
      </w:r>
      <w:r w:rsidR="0001669F">
        <w:rPr>
          <w:szCs w:val="22"/>
        </w:rPr>
        <w:t xml:space="preserve"> provides</w:t>
      </w:r>
      <w:r w:rsidR="00844BF2">
        <w:rPr>
          <w:szCs w:val="22"/>
        </w:rPr>
        <w:t xml:space="preserve"> interstate</w:t>
      </w:r>
      <w:r w:rsidR="00B75F31">
        <w:rPr>
          <w:szCs w:val="22"/>
        </w:rPr>
        <w:t xml:space="preserve"> services, wireless service, and other services</w:t>
      </w:r>
      <w:r w:rsidR="00E23C72">
        <w:rPr>
          <w:szCs w:val="22"/>
        </w:rPr>
        <w:t xml:space="preserve"> in Hawaii</w:t>
      </w:r>
      <w:r w:rsidR="00540FCC">
        <w:rPr>
          <w:szCs w:val="22"/>
        </w:rPr>
        <w:t>,</w:t>
      </w:r>
      <w:r w:rsidR="0020389B">
        <w:rPr>
          <w:szCs w:val="22"/>
        </w:rPr>
        <w:t xml:space="preserve"> </w:t>
      </w:r>
      <w:r w:rsidR="00540FCC">
        <w:rPr>
          <w:szCs w:val="22"/>
        </w:rPr>
        <w:t>holds a submarine cable landing license for interisland network facilities, and has an ownership interest in the SEA-US fiber optic submarine cable system between the continental United States, Indonesia, Philippines, Guam, and Hawaii</w:t>
      </w:r>
      <w:r w:rsidR="00F41833">
        <w:rPr>
          <w:szCs w:val="22"/>
        </w:rPr>
        <w:t>;</w:t>
      </w:r>
      <w:r w:rsidR="00540FCC">
        <w:rPr>
          <w:rStyle w:val="FootnoteReference"/>
          <w:szCs w:val="22"/>
        </w:rPr>
        <w:t xml:space="preserve"> </w:t>
      </w:r>
      <w:r>
        <w:rPr>
          <w:rStyle w:val="FootnoteReference"/>
          <w:szCs w:val="22"/>
        </w:rPr>
        <w:footnoteReference w:id="12"/>
      </w:r>
      <w:r w:rsidR="00F41833">
        <w:rPr>
          <w:rStyle w:val="FootnoteReference"/>
          <w:szCs w:val="22"/>
        </w:rPr>
        <w:t xml:space="preserve"> </w:t>
      </w:r>
      <w:r w:rsidR="00F41833">
        <w:rPr>
          <w:szCs w:val="22"/>
        </w:rPr>
        <w:t xml:space="preserve"> and </w:t>
      </w:r>
      <w:r w:rsidR="00C370A7">
        <w:rPr>
          <w:szCs w:val="22"/>
        </w:rPr>
        <w:t>Wavecom</w:t>
      </w:r>
      <w:r w:rsidR="00E23C72">
        <w:rPr>
          <w:szCs w:val="22"/>
        </w:rPr>
        <w:t xml:space="preserve"> (formerly known as Pacific Lightnet, Inc.</w:t>
      </w:r>
      <w:r w:rsidR="002676E5">
        <w:rPr>
          <w:szCs w:val="22"/>
        </w:rPr>
        <w:t>)</w:t>
      </w:r>
      <w:r w:rsidR="00C370A7">
        <w:rPr>
          <w:szCs w:val="22"/>
        </w:rPr>
        <w:t xml:space="preserve"> </w:t>
      </w:r>
      <w:r w:rsidR="00D81DE9">
        <w:rPr>
          <w:szCs w:val="22"/>
        </w:rPr>
        <w:t>operates as a competitive LEC</w:t>
      </w:r>
      <w:r w:rsidR="00CA353D">
        <w:rPr>
          <w:szCs w:val="22"/>
        </w:rPr>
        <w:t xml:space="preserve"> in Hawaii.</w:t>
      </w:r>
      <w:r>
        <w:rPr>
          <w:rStyle w:val="FootnoteReference"/>
          <w:szCs w:val="22"/>
        </w:rPr>
        <w:footnoteReference w:id="13"/>
      </w:r>
      <w:r w:rsidR="00CA353D">
        <w:rPr>
          <w:szCs w:val="22"/>
        </w:rPr>
        <w:t xml:space="preserve">  </w:t>
      </w:r>
      <w:r w:rsidR="007004CE">
        <w:rPr>
          <w:szCs w:val="22"/>
        </w:rPr>
        <w:t xml:space="preserve">  </w:t>
      </w:r>
    </w:p>
    <w:p w:rsidR="00111189" w:rsidP="00111189">
      <w:pPr>
        <w:autoSpaceDE w:val="0"/>
        <w:autoSpaceDN w:val="0"/>
        <w:adjustRightInd w:val="0"/>
        <w:rPr>
          <w:szCs w:val="22"/>
        </w:rPr>
      </w:pPr>
    </w:p>
    <w:p w:rsidR="003C6D63" w:rsidP="00BD1E3C">
      <w:pPr>
        <w:autoSpaceDE w:val="0"/>
        <w:autoSpaceDN w:val="0"/>
        <w:adjustRightInd w:val="0"/>
        <w:ind w:firstLine="720"/>
        <w:rPr>
          <w:szCs w:val="22"/>
        </w:rPr>
      </w:pPr>
      <w:r>
        <w:rPr>
          <w:szCs w:val="22"/>
        </w:rPr>
        <w:t>Red Fiber Parent, a Delaware limited liability company</w:t>
      </w:r>
      <w:r w:rsidR="00237D99">
        <w:rPr>
          <w:szCs w:val="22"/>
        </w:rPr>
        <w:t xml:space="preserve">, was established as an acquisition vehicle for the purposes of the </w:t>
      </w:r>
      <w:r w:rsidR="00E23C72">
        <w:rPr>
          <w:szCs w:val="22"/>
        </w:rPr>
        <w:t>proposed transaction</w:t>
      </w:r>
      <w:r w:rsidR="00333584">
        <w:rPr>
          <w:szCs w:val="22"/>
        </w:rPr>
        <w:t xml:space="preserve"> and does not itself provide telecommunications services</w:t>
      </w:r>
      <w:r w:rsidR="00237D99">
        <w:rPr>
          <w:szCs w:val="22"/>
        </w:rPr>
        <w:t>.</w:t>
      </w:r>
      <w:r>
        <w:rPr>
          <w:rStyle w:val="FootnoteReference"/>
          <w:szCs w:val="22"/>
        </w:rPr>
        <w:footnoteReference w:id="14"/>
      </w:r>
      <w:r w:rsidR="00237D99">
        <w:rPr>
          <w:szCs w:val="22"/>
        </w:rPr>
        <w:t xml:space="preserve">  </w:t>
      </w:r>
      <w:r w:rsidR="00F2011C">
        <w:rPr>
          <w:szCs w:val="22"/>
        </w:rPr>
        <w:t xml:space="preserve">As described in the applications, </w:t>
      </w:r>
      <w:r w:rsidR="006C6B0C">
        <w:rPr>
          <w:szCs w:val="22"/>
        </w:rPr>
        <w:t xml:space="preserve">Red Fiber Parent </w:t>
      </w:r>
      <w:r w:rsidR="00F11F5E">
        <w:rPr>
          <w:szCs w:val="22"/>
        </w:rPr>
        <w:t xml:space="preserve">would </w:t>
      </w:r>
      <w:r w:rsidR="0085065C">
        <w:rPr>
          <w:szCs w:val="22"/>
        </w:rPr>
        <w:t xml:space="preserve">directly </w:t>
      </w:r>
      <w:r w:rsidR="00F11F5E">
        <w:rPr>
          <w:szCs w:val="22"/>
        </w:rPr>
        <w:t>acquire</w:t>
      </w:r>
      <w:r w:rsidR="008F7528">
        <w:rPr>
          <w:szCs w:val="22"/>
        </w:rPr>
        <w:t xml:space="preserve"> </w:t>
      </w:r>
      <w:r w:rsidR="00F11F5E">
        <w:rPr>
          <w:szCs w:val="22"/>
        </w:rPr>
        <w:t>at closing 100% of the stock of Cincinnati Bell.</w:t>
      </w:r>
      <w:r>
        <w:rPr>
          <w:rStyle w:val="FootnoteReference"/>
          <w:szCs w:val="22"/>
        </w:rPr>
        <w:footnoteReference w:id="15"/>
      </w:r>
      <w:r w:rsidR="00F11F5E">
        <w:rPr>
          <w:szCs w:val="22"/>
        </w:rPr>
        <w:t xml:space="preserve">  The sole member of Red Fiber Parent is RF Topco LLC (TopCo), a Delaware limited liability company formed at the direction of </w:t>
      </w:r>
      <w:r w:rsidR="006C6B0C">
        <w:rPr>
          <w:szCs w:val="22"/>
        </w:rPr>
        <w:t>MIP V (FCC) AIV, L.P.</w:t>
      </w:r>
      <w:r w:rsidR="00E23C72">
        <w:rPr>
          <w:szCs w:val="22"/>
        </w:rPr>
        <w:t xml:space="preserve"> (MIP V)</w:t>
      </w:r>
      <w:r w:rsidR="006C6B0C">
        <w:rPr>
          <w:szCs w:val="22"/>
        </w:rPr>
        <w:t xml:space="preserve">, a Delaware </w:t>
      </w:r>
      <w:r w:rsidR="00226F1C">
        <w:rPr>
          <w:szCs w:val="22"/>
        </w:rPr>
        <w:t xml:space="preserve">limited </w:t>
      </w:r>
      <w:r w:rsidR="006C6B0C">
        <w:rPr>
          <w:szCs w:val="22"/>
        </w:rPr>
        <w:t>partnership</w:t>
      </w:r>
      <w:r w:rsidR="00F11F5E">
        <w:rPr>
          <w:szCs w:val="22"/>
        </w:rPr>
        <w:t>.</w:t>
      </w:r>
      <w:r>
        <w:rPr>
          <w:rStyle w:val="FootnoteReference"/>
          <w:szCs w:val="22"/>
        </w:rPr>
        <w:footnoteReference w:id="16"/>
      </w:r>
      <w:r w:rsidR="00F11F5E">
        <w:rPr>
          <w:szCs w:val="22"/>
        </w:rPr>
        <w:t xml:space="preserve">  The sole member of TopCo is Red Fiber Holdings LLC (RF Holdings), a Delaware limited liability company.</w:t>
      </w:r>
      <w:r>
        <w:rPr>
          <w:rStyle w:val="FootnoteReference"/>
          <w:szCs w:val="22"/>
        </w:rPr>
        <w:footnoteReference w:id="17"/>
      </w:r>
      <w:r w:rsidR="00F11F5E">
        <w:rPr>
          <w:szCs w:val="22"/>
        </w:rPr>
        <w:t xml:space="preserve">  At the time of closing, RF Holdings would </w:t>
      </w:r>
      <w:r w:rsidR="00F11F5E">
        <w:rPr>
          <w:szCs w:val="22"/>
        </w:rPr>
        <w:t xml:space="preserve">be majority owned </w:t>
      </w:r>
      <w:r w:rsidR="00790991">
        <w:rPr>
          <w:szCs w:val="22"/>
        </w:rPr>
        <w:t>(61.5%</w:t>
      </w:r>
      <w:r w:rsidR="00C60C16">
        <w:rPr>
          <w:szCs w:val="22"/>
        </w:rPr>
        <w:t xml:space="preserve"> equity</w:t>
      </w:r>
      <w:r w:rsidR="00790991">
        <w:rPr>
          <w:szCs w:val="22"/>
        </w:rPr>
        <w:t xml:space="preserve">) </w:t>
      </w:r>
      <w:r w:rsidRPr="008500ED" w:rsidR="00790991">
        <w:rPr>
          <w:bCs/>
          <w:szCs w:val="22"/>
        </w:rPr>
        <w:t>and controlled</w:t>
      </w:r>
      <w:r w:rsidR="00790991">
        <w:rPr>
          <w:szCs w:val="22"/>
        </w:rPr>
        <w:t xml:space="preserve"> by </w:t>
      </w:r>
      <w:r w:rsidR="00226F1C">
        <w:rPr>
          <w:szCs w:val="22"/>
        </w:rPr>
        <w:t xml:space="preserve">MIP V RF Partners, L.P. (MIP V </w:t>
      </w:r>
      <w:r w:rsidR="00C10EA2">
        <w:rPr>
          <w:szCs w:val="22"/>
        </w:rPr>
        <w:t>Member</w:t>
      </w:r>
      <w:r w:rsidR="00226F1C">
        <w:rPr>
          <w:szCs w:val="22"/>
        </w:rPr>
        <w:t>), a Delaware limited partnership</w:t>
      </w:r>
      <w:r w:rsidR="00966A46">
        <w:rPr>
          <w:szCs w:val="22"/>
        </w:rPr>
        <w:t xml:space="preserve">, which, </w:t>
      </w:r>
      <w:r w:rsidR="00BD1E3C">
        <w:rPr>
          <w:szCs w:val="22"/>
        </w:rPr>
        <w:t>in turn,</w:t>
      </w:r>
      <w:r w:rsidR="00C10EA2">
        <w:rPr>
          <w:szCs w:val="22"/>
        </w:rPr>
        <w:t xml:space="preserve"> would </w:t>
      </w:r>
      <w:r w:rsidR="00790991">
        <w:rPr>
          <w:szCs w:val="22"/>
        </w:rPr>
        <w:t>be majority owned</w:t>
      </w:r>
      <w:r w:rsidR="00BD1E3C">
        <w:rPr>
          <w:szCs w:val="22"/>
        </w:rPr>
        <w:t xml:space="preserve"> (73.15%</w:t>
      </w:r>
      <w:r w:rsidR="00C60C16">
        <w:rPr>
          <w:szCs w:val="22"/>
        </w:rPr>
        <w:t xml:space="preserve"> equity</w:t>
      </w:r>
      <w:r w:rsidR="00BD1E3C">
        <w:rPr>
          <w:szCs w:val="22"/>
        </w:rPr>
        <w:t>)</w:t>
      </w:r>
      <w:r w:rsidR="00790991">
        <w:rPr>
          <w:szCs w:val="22"/>
        </w:rPr>
        <w:t xml:space="preserve"> </w:t>
      </w:r>
      <w:r w:rsidRPr="008500ED" w:rsidR="00790991">
        <w:rPr>
          <w:bCs/>
          <w:szCs w:val="22"/>
        </w:rPr>
        <w:t>and controlled</w:t>
      </w:r>
      <w:r w:rsidR="00790991">
        <w:rPr>
          <w:szCs w:val="22"/>
        </w:rPr>
        <w:t xml:space="preserve"> </w:t>
      </w:r>
      <w:r w:rsidR="00BD1E3C">
        <w:rPr>
          <w:szCs w:val="22"/>
        </w:rPr>
        <w:t>by MIP V.</w:t>
      </w:r>
      <w:r>
        <w:rPr>
          <w:rStyle w:val="FootnoteReference"/>
          <w:szCs w:val="22"/>
        </w:rPr>
        <w:footnoteReference w:id="18"/>
      </w:r>
      <w:r w:rsidR="002C2632">
        <w:rPr>
          <w:szCs w:val="22"/>
        </w:rPr>
        <w:t xml:space="preserve"> </w:t>
      </w:r>
      <w:r w:rsidR="001E0F42">
        <w:rPr>
          <w:szCs w:val="22"/>
        </w:rPr>
        <w:t xml:space="preserve"> </w:t>
      </w:r>
      <w:r w:rsidR="00226F1C">
        <w:rPr>
          <w:szCs w:val="22"/>
        </w:rPr>
        <w:t xml:space="preserve">Both </w:t>
      </w:r>
      <w:r w:rsidR="003D4F8F">
        <w:rPr>
          <w:szCs w:val="22"/>
        </w:rPr>
        <w:t xml:space="preserve">MIP V </w:t>
      </w:r>
      <w:r w:rsidR="00226F1C">
        <w:rPr>
          <w:szCs w:val="22"/>
        </w:rPr>
        <w:t xml:space="preserve">and MIP V </w:t>
      </w:r>
      <w:r w:rsidR="00BD1E3C">
        <w:rPr>
          <w:szCs w:val="22"/>
        </w:rPr>
        <w:t xml:space="preserve">Member </w:t>
      </w:r>
      <w:r w:rsidR="00226F1C">
        <w:rPr>
          <w:szCs w:val="22"/>
        </w:rPr>
        <w:t>are</w:t>
      </w:r>
      <w:r w:rsidR="002C2632">
        <w:rPr>
          <w:szCs w:val="22"/>
        </w:rPr>
        <w:t xml:space="preserve"> fund</w:t>
      </w:r>
      <w:r w:rsidR="00226F1C">
        <w:rPr>
          <w:szCs w:val="22"/>
        </w:rPr>
        <w:t>s</w:t>
      </w:r>
      <w:r w:rsidR="002C2632">
        <w:rPr>
          <w:szCs w:val="22"/>
        </w:rPr>
        <w:t xml:space="preserve"> managed by </w:t>
      </w:r>
      <w:r w:rsidR="008473F0">
        <w:rPr>
          <w:szCs w:val="22"/>
        </w:rPr>
        <w:t>Macquarie Infrastructure Partners Inc.</w:t>
      </w:r>
      <w:r w:rsidR="00340A1E">
        <w:rPr>
          <w:szCs w:val="22"/>
        </w:rPr>
        <w:t xml:space="preserve"> pursuant to agreement with the funds’ general partner, Macquarie Infrastructure Partners V GP, LLC (MIP V GP), which is controlled by </w:t>
      </w:r>
      <w:r w:rsidR="00D006BE">
        <w:rPr>
          <w:szCs w:val="22"/>
        </w:rPr>
        <w:t>Macquarie</w:t>
      </w:r>
      <w:r w:rsidR="002C2632">
        <w:rPr>
          <w:szCs w:val="22"/>
        </w:rPr>
        <w:t xml:space="preserve"> Infrastructure and Real Assets</w:t>
      </w:r>
      <w:r w:rsidR="00340A1E">
        <w:rPr>
          <w:szCs w:val="22"/>
        </w:rPr>
        <w:t xml:space="preserve"> Inc.</w:t>
      </w:r>
      <w:r w:rsidR="002C2632">
        <w:rPr>
          <w:szCs w:val="22"/>
        </w:rPr>
        <w:t xml:space="preserve"> </w:t>
      </w:r>
      <w:r w:rsidR="00340A1E">
        <w:rPr>
          <w:szCs w:val="22"/>
        </w:rPr>
        <w:t>(MIRA)</w:t>
      </w:r>
      <w:r w:rsidR="009D229F">
        <w:rPr>
          <w:szCs w:val="22"/>
        </w:rPr>
        <w:t>.</w:t>
      </w:r>
      <w:r>
        <w:rPr>
          <w:rStyle w:val="FootnoteReference"/>
          <w:szCs w:val="22"/>
        </w:rPr>
        <w:footnoteReference w:id="19"/>
      </w:r>
      <w:r w:rsidR="009D229F">
        <w:rPr>
          <w:szCs w:val="22"/>
        </w:rPr>
        <w:t xml:space="preserve">  MIRA is</w:t>
      </w:r>
      <w:r w:rsidR="00726CCB">
        <w:rPr>
          <w:szCs w:val="22"/>
        </w:rPr>
        <w:t xml:space="preserve"> ultimately </w:t>
      </w:r>
      <w:r w:rsidR="009D229F">
        <w:rPr>
          <w:szCs w:val="22"/>
        </w:rPr>
        <w:t xml:space="preserve">wholly </w:t>
      </w:r>
      <w:r w:rsidR="00BD1E3C">
        <w:rPr>
          <w:szCs w:val="22"/>
        </w:rPr>
        <w:t xml:space="preserve">owned </w:t>
      </w:r>
      <w:r w:rsidR="009D229F">
        <w:rPr>
          <w:szCs w:val="22"/>
        </w:rPr>
        <w:t xml:space="preserve">and controlled </w:t>
      </w:r>
      <w:r w:rsidR="00726CCB">
        <w:rPr>
          <w:szCs w:val="22"/>
        </w:rPr>
        <w:t xml:space="preserve">by </w:t>
      </w:r>
      <w:r w:rsidR="00D006BE">
        <w:rPr>
          <w:szCs w:val="22"/>
        </w:rPr>
        <w:t>Macquarie</w:t>
      </w:r>
      <w:r w:rsidR="00726CCB">
        <w:rPr>
          <w:szCs w:val="22"/>
        </w:rPr>
        <w:t xml:space="preserve"> Group Limited</w:t>
      </w:r>
      <w:r w:rsidR="00F25481">
        <w:rPr>
          <w:szCs w:val="22"/>
        </w:rPr>
        <w:t xml:space="preserve"> (MGL)</w:t>
      </w:r>
      <w:r w:rsidR="00726CCB">
        <w:rPr>
          <w:szCs w:val="22"/>
        </w:rPr>
        <w:t>,</w:t>
      </w:r>
      <w:r w:rsidRPr="003F6A60" w:rsidR="00BE11F6">
        <w:rPr>
          <w:rFonts w:ascii="TimesNewRoman" w:hAnsi="TimesNewRoman" w:cs="TimesNewRoman"/>
          <w:szCs w:val="22"/>
        </w:rPr>
        <w:t xml:space="preserve"> </w:t>
      </w:r>
      <w:r w:rsidRPr="001E681F" w:rsidR="00BE11F6">
        <w:rPr>
          <w:szCs w:val="22"/>
        </w:rPr>
        <w:t>a publicly-traded Australian company that provides banking and investment services.</w:t>
      </w:r>
      <w:r>
        <w:rPr>
          <w:rStyle w:val="FootnoteReference"/>
          <w:szCs w:val="22"/>
        </w:rPr>
        <w:footnoteReference w:id="20"/>
      </w:r>
      <w:r w:rsidRPr="001E681F" w:rsidR="00D74D23">
        <w:rPr>
          <w:szCs w:val="22"/>
        </w:rPr>
        <w:t xml:space="preserve">  </w:t>
      </w:r>
      <w:r w:rsidRPr="001E681F">
        <w:rPr>
          <w:szCs w:val="22"/>
        </w:rPr>
        <w:t xml:space="preserve">RF Holdings </w:t>
      </w:r>
      <w:r w:rsidRPr="003F2F90" w:rsidR="00C60C16">
        <w:rPr>
          <w:szCs w:val="22"/>
        </w:rPr>
        <w:t>would</w:t>
      </w:r>
      <w:r w:rsidRPr="003F2F90" w:rsidR="0022541B">
        <w:rPr>
          <w:szCs w:val="22"/>
        </w:rPr>
        <w:t xml:space="preserve"> be </w:t>
      </w:r>
      <w:r w:rsidRPr="003F2F90" w:rsidR="001E0F42">
        <w:rPr>
          <w:szCs w:val="22"/>
        </w:rPr>
        <w:t xml:space="preserve">indirectly </w:t>
      </w:r>
      <w:r w:rsidRPr="003F2F90" w:rsidR="0022541B">
        <w:rPr>
          <w:szCs w:val="22"/>
        </w:rPr>
        <w:t xml:space="preserve">minority owned by (i) </w:t>
      </w:r>
      <w:r w:rsidRPr="003F2F90" w:rsidR="00BD1E3C">
        <w:rPr>
          <w:szCs w:val="22"/>
        </w:rPr>
        <w:t xml:space="preserve">certain </w:t>
      </w:r>
      <w:r w:rsidRPr="003F2F90" w:rsidR="00A47334">
        <w:rPr>
          <w:szCs w:val="22"/>
        </w:rPr>
        <w:t xml:space="preserve">U.S.-organized </w:t>
      </w:r>
      <w:r w:rsidRPr="003F2F90" w:rsidR="0022541B">
        <w:rPr>
          <w:szCs w:val="22"/>
        </w:rPr>
        <w:t>alternative investment vehicles</w:t>
      </w:r>
      <w:r w:rsidRPr="0020389B" w:rsidR="0022541B">
        <w:rPr>
          <w:szCs w:val="22"/>
        </w:rPr>
        <w:t xml:space="preserve"> </w:t>
      </w:r>
      <w:r w:rsidRPr="00A47334" w:rsidR="00A47334">
        <w:rPr>
          <w:szCs w:val="22"/>
        </w:rPr>
        <w:t>(Ares AIVs)</w:t>
      </w:r>
      <w:r w:rsidR="00A47334">
        <w:rPr>
          <w:szCs w:val="22"/>
        </w:rPr>
        <w:t xml:space="preserve"> </w:t>
      </w:r>
      <w:r w:rsidRPr="0020389B" w:rsidR="00C92CA8">
        <w:rPr>
          <w:szCs w:val="22"/>
        </w:rPr>
        <w:t>managed by the Private Equity Group of Ares Management Corporation (Ares Management), a Delaware entity</w:t>
      </w:r>
      <w:r w:rsidR="00C92CA8">
        <w:rPr>
          <w:szCs w:val="22"/>
        </w:rPr>
        <w:t xml:space="preserve"> (an aggregate 21.2% equity interest);</w:t>
      </w:r>
      <w:r>
        <w:rPr>
          <w:rStyle w:val="FootnoteReference"/>
          <w:szCs w:val="22"/>
        </w:rPr>
        <w:footnoteReference w:id="21"/>
      </w:r>
      <w:r w:rsidR="00C92CA8">
        <w:rPr>
          <w:szCs w:val="22"/>
        </w:rPr>
        <w:t xml:space="preserve"> and (ii) Retail Employees Superannuation Trust (REST), a</w:t>
      </w:r>
      <w:r w:rsidR="00932FAF">
        <w:rPr>
          <w:szCs w:val="22"/>
        </w:rPr>
        <w:t xml:space="preserve"> widely </w:t>
      </w:r>
      <w:r w:rsidR="00CD7D4C">
        <w:rPr>
          <w:szCs w:val="22"/>
        </w:rPr>
        <w:t>held</w:t>
      </w:r>
      <w:r w:rsidR="00932FAF">
        <w:rPr>
          <w:szCs w:val="22"/>
        </w:rPr>
        <w:t xml:space="preserve"> </w:t>
      </w:r>
      <w:r w:rsidR="00C92CA8">
        <w:rPr>
          <w:szCs w:val="22"/>
        </w:rPr>
        <w:t>Australian</w:t>
      </w:r>
      <w:r w:rsidR="00932FAF">
        <w:rPr>
          <w:szCs w:val="22"/>
        </w:rPr>
        <w:t xml:space="preserve"> public offer pension</w:t>
      </w:r>
      <w:r w:rsidR="00C92CA8">
        <w:rPr>
          <w:szCs w:val="22"/>
        </w:rPr>
        <w:t xml:space="preserve"> fund managed by Retail Employees Superannuation Pty Limited (Rest Trustee), as trustee of the fund</w:t>
      </w:r>
      <w:r w:rsidR="00C60C16">
        <w:rPr>
          <w:szCs w:val="22"/>
        </w:rPr>
        <w:t xml:space="preserve"> (17.3% equity)</w:t>
      </w:r>
      <w:r w:rsidR="00C92CA8">
        <w:rPr>
          <w:szCs w:val="22"/>
        </w:rPr>
        <w:t>.</w:t>
      </w:r>
      <w:r>
        <w:rPr>
          <w:rStyle w:val="FootnoteReference"/>
          <w:szCs w:val="22"/>
        </w:rPr>
        <w:footnoteReference w:id="22"/>
      </w:r>
      <w:r w:rsidR="00D74D23">
        <w:rPr>
          <w:szCs w:val="22"/>
        </w:rPr>
        <w:t xml:space="preserve">  </w:t>
      </w:r>
      <w:r w:rsidR="00994B23">
        <w:rPr>
          <w:szCs w:val="22"/>
        </w:rPr>
        <w:t>REST</w:t>
      </w:r>
      <w:r w:rsidR="00932FAF">
        <w:rPr>
          <w:szCs w:val="22"/>
        </w:rPr>
        <w:t>’s</w:t>
      </w:r>
      <w:r w:rsidR="00994B23">
        <w:rPr>
          <w:szCs w:val="22"/>
        </w:rPr>
        <w:t xml:space="preserve"> indirect interest in Red Fiber Parent </w:t>
      </w:r>
      <w:r w:rsidR="006B6D13">
        <w:rPr>
          <w:szCs w:val="22"/>
        </w:rPr>
        <w:t>will be held by Rest Nominees No. 2 Pty Ltd as trustee for REST US Infrastructure No. 2 Trust (Rest Immediate Entity).</w:t>
      </w:r>
      <w:r>
        <w:rPr>
          <w:rStyle w:val="FootnoteReference"/>
          <w:szCs w:val="22"/>
        </w:rPr>
        <w:footnoteReference w:id="23"/>
      </w:r>
      <w:r w:rsidR="006B6D13">
        <w:rPr>
          <w:szCs w:val="22"/>
        </w:rPr>
        <w:t xml:space="preserve">  </w:t>
      </w:r>
      <w:r w:rsidR="00D74D23">
        <w:rPr>
          <w:szCs w:val="22"/>
        </w:rPr>
        <w:t>MIP V Member, the Ares AIVs, and Rest Immediate Entity</w:t>
      </w:r>
      <w:r w:rsidR="00994B23">
        <w:rPr>
          <w:szCs w:val="22"/>
        </w:rPr>
        <w:t xml:space="preserve"> </w:t>
      </w:r>
      <w:r w:rsidR="006B6D13">
        <w:rPr>
          <w:szCs w:val="22"/>
        </w:rPr>
        <w:t xml:space="preserve">would </w:t>
      </w:r>
      <w:r w:rsidR="00D74D23">
        <w:rPr>
          <w:szCs w:val="22"/>
        </w:rPr>
        <w:t>have the right to appoint directors of RF Holdings</w:t>
      </w:r>
      <w:r w:rsidR="008F7528">
        <w:rPr>
          <w:szCs w:val="22"/>
        </w:rPr>
        <w:t xml:space="preserve"> </w:t>
      </w:r>
      <w:r w:rsidR="00E2037B">
        <w:rPr>
          <w:szCs w:val="22"/>
        </w:rPr>
        <w:t xml:space="preserve">and Cincinnati Bell </w:t>
      </w:r>
      <w:r w:rsidR="00D74D23">
        <w:rPr>
          <w:szCs w:val="22"/>
        </w:rPr>
        <w:t>based on their equity interests in RF Holdings.</w:t>
      </w:r>
      <w:r>
        <w:rPr>
          <w:rStyle w:val="FootnoteReference"/>
          <w:szCs w:val="22"/>
        </w:rPr>
        <w:footnoteReference w:id="24"/>
      </w:r>
      <w:r w:rsidR="00C60C16">
        <w:rPr>
          <w:szCs w:val="22"/>
        </w:rPr>
        <w:t xml:space="preserve">  </w:t>
      </w:r>
    </w:p>
    <w:p w:rsidR="003C6D63" w:rsidP="003C6D63">
      <w:pPr>
        <w:autoSpaceDE w:val="0"/>
        <w:autoSpaceDN w:val="0"/>
        <w:adjustRightInd w:val="0"/>
        <w:ind w:firstLine="720"/>
        <w:rPr>
          <w:szCs w:val="22"/>
        </w:rPr>
      </w:pPr>
    </w:p>
    <w:p w:rsidR="00820BAE" w:rsidP="003C6D63">
      <w:pPr>
        <w:autoSpaceDE w:val="0"/>
        <w:autoSpaceDN w:val="0"/>
        <w:adjustRightInd w:val="0"/>
        <w:ind w:firstLine="720"/>
        <w:rPr>
          <w:szCs w:val="22"/>
        </w:rPr>
      </w:pPr>
      <w:r>
        <w:rPr>
          <w:szCs w:val="22"/>
        </w:rPr>
        <w:t xml:space="preserve">According to the Applicants, </w:t>
      </w:r>
      <w:r w:rsidRPr="00C60C16" w:rsidR="00C60C16">
        <w:rPr>
          <w:szCs w:val="22"/>
        </w:rPr>
        <w:t>passive investors will hold indirect equity interests</w:t>
      </w:r>
      <w:r>
        <w:rPr>
          <w:szCs w:val="22"/>
        </w:rPr>
        <w:t xml:space="preserve"> in Red Fiber Parent, through RF Holdings, in the form of </w:t>
      </w:r>
      <w:r w:rsidRPr="00C60C16" w:rsidR="00C60C16">
        <w:rPr>
          <w:szCs w:val="22"/>
        </w:rPr>
        <w:t>limited partnership interests in MIP V or MIP V Member (or an affiliate entity</w:t>
      </w:r>
      <w:r w:rsidR="00C60C16">
        <w:rPr>
          <w:szCs w:val="22"/>
        </w:rPr>
        <w:t>), or the Ares AIVs, or membership interests in REST</w:t>
      </w:r>
      <w:r>
        <w:rPr>
          <w:szCs w:val="22"/>
        </w:rPr>
        <w:t>.  These passive investors would each hold indirect interests of less than 10% in Red Fiber Parent.</w:t>
      </w:r>
      <w:r>
        <w:rPr>
          <w:rStyle w:val="FootnoteReference"/>
          <w:szCs w:val="22"/>
        </w:rPr>
        <w:footnoteReference w:id="25"/>
      </w:r>
      <w:r w:rsidR="00C92CA8">
        <w:rPr>
          <w:szCs w:val="22"/>
        </w:rPr>
        <w:t xml:space="preserve">   </w:t>
      </w:r>
      <w:r w:rsidRPr="0020389B" w:rsidR="0022541B">
        <w:rPr>
          <w:szCs w:val="22"/>
        </w:rPr>
        <w:t xml:space="preserve"> </w:t>
      </w:r>
    </w:p>
    <w:p w:rsidR="00C92CA8" w:rsidP="00CD1B34">
      <w:pPr>
        <w:autoSpaceDE w:val="0"/>
        <w:autoSpaceDN w:val="0"/>
        <w:adjustRightInd w:val="0"/>
        <w:ind w:firstLine="720"/>
        <w:rPr>
          <w:szCs w:val="22"/>
        </w:rPr>
      </w:pPr>
    </w:p>
    <w:p w:rsidR="00D74D23" w:rsidP="00C244AC">
      <w:pPr>
        <w:autoSpaceDE w:val="0"/>
        <w:autoSpaceDN w:val="0"/>
        <w:adjustRightInd w:val="0"/>
        <w:ind w:firstLine="720"/>
        <w:rPr>
          <w:szCs w:val="22"/>
        </w:rPr>
      </w:pPr>
      <w:r w:rsidRPr="00DE3D45">
        <w:rPr>
          <w:szCs w:val="22"/>
        </w:rPr>
        <w:t>Pursuant to the Agreement and Plan of Merger, dated March 13, 2020,</w:t>
      </w:r>
      <w:r w:rsidRPr="00DE3D45" w:rsidR="00DE3D45">
        <w:rPr>
          <w:szCs w:val="22"/>
        </w:rPr>
        <w:t xml:space="preserve"> </w:t>
      </w:r>
      <w:r w:rsidRPr="00DE3D45">
        <w:rPr>
          <w:szCs w:val="22"/>
        </w:rPr>
        <w:t>by and among Red Fiber Parent, RF Merger Sub Inc. (Merger Sub), and Cincinnati Bell, Merger Sub will merge with and into Cincinnati Bell</w:t>
      </w:r>
      <w:r w:rsidRPr="00DE3D45" w:rsidR="00DE3D45">
        <w:rPr>
          <w:szCs w:val="22"/>
        </w:rPr>
        <w:t xml:space="preserve">, </w:t>
      </w:r>
      <w:r w:rsidRPr="00DE3D45">
        <w:rPr>
          <w:szCs w:val="22"/>
        </w:rPr>
        <w:t>and, as a result, Red Fiber Parent will acquire all of the outstanding shares of common stock of Cincinnati Bell.</w:t>
      </w:r>
      <w:r>
        <w:rPr>
          <w:rStyle w:val="FootnoteReference"/>
          <w:szCs w:val="22"/>
        </w:rPr>
        <w:footnoteReference w:id="26"/>
      </w:r>
      <w:r w:rsidRPr="00DE3D45">
        <w:rPr>
          <w:szCs w:val="22"/>
        </w:rPr>
        <w:t xml:space="preserve">  Merger Sub, an Ohio corporation formed for the purposes of the </w:t>
      </w:r>
      <w:r w:rsidRPr="00DE3D45" w:rsidR="00DE3D45">
        <w:rPr>
          <w:szCs w:val="22"/>
        </w:rPr>
        <w:t>proposed t</w:t>
      </w:r>
      <w:r w:rsidRPr="00DE3D45">
        <w:rPr>
          <w:szCs w:val="22"/>
        </w:rPr>
        <w:t>ransaction, is a direct, wholly owned subsidiary of Red Fiber Parent.</w:t>
      </w:r>
      <w:r>
        <w:rPr>
          <w:rStyle w:val="FootnoteReference"/>
          <w:szCs w:val="22"/>
        </w:rPr>
        <w:footnoteReference w:id="27"/>
      </w:r>
      <w:r w:rsidRPr="00DE3D45">
        <w:rPr>
          <w:szCs w:val="22"/>
        </w:rPr>
        <w:t xml:space="preserve"> </w:t>
      </w:r>
      <w:r w:rsidRPr="00DE3D45" w:rsidR="00DE3D45">
        <w:rPr>
          <w:szCs w:val="22"/>
        </w:rPr>
        <w:t xml:space="preserve"> </w:t>
      </w:r>
      <w:r w:rsidR="007A6DA2">
        <w:rPr>
          <w:szCs w:val="22"/>
        </w:rPr>
        <w:t>U</w:t>
      </w:r>
      <w:r w:rsidRPr="00DE3D45">
        <w:rPr>
          <w:szCs w:val="22"/>
        </w:rPr>
        <w:t xml:space="preserve">pon closing of the </w:t>
      </w:r>
      <w:r w:rsidRPr="00DE3D45" w:rsidR="00DE3D45">
        <w:rPr>
          <w:szCs w:val="22"/>
        </w:rPr>
        <w:t>proposed t</w:t>
      </w:r>
      <w:r w:rsidRPr="00DE3D45">
        <w:rPr>
          <w:szCs w:val="22"/>
        </w:rPr>
        <w:t>ransaction, Merger Sub will merge with and into Cincinnati Bell, whereupon</w:t>
      </w:r>
      <w:r w:rsidRPr="00DE3D45" w:rsidR="00DE3D45">
        <w:rPr>
          <w:szCs w:val="22"/>
        </w:rPr>
        <w:t xml:space="preserve"> </w:t>
      </w:r>
      <w:r w:rsidRPr="00DE3D45">
        <w:rPr>
          <w:szCs w:val="22"/>
        </w:rPr>
        <w:t>the separate existence of Merger Sub will cease to exist</w:t>
      </w:r>
      <w:r w:rsidRPr="00DE3D45" w:rsidR="00DE3D45">
        <w:rPr>
          <w:szCs w:val="22"/>
        </w:rPr>
        <w:t>,</w:t>
      </w:r>
      <w:r w:rsidRPr="00DE3D45">
        <w:rPr>
          <w:szCs w:val="22"/>
        </w:rPr>
        <w:t xml:space="preserve"> and Cincinnati Bell will be the surviving</w:t>
      </w:r>
      <w:r w:rsidRPr="00DE3D45" w:rsidR="00DE3D45">
        <w:rPr>
          <w:szCs w:val="22"/>
        </w:rPr>
        <w:t xml:space="preserve"> </w:t>
      </w:r>
      <w:r w:rsidRPr="00DE3D45">
        <w:rPr>
          <w:szCs w:val="22"/>
        </w:rPr>
        <w:t>corporation.</w:t>
      </w:r>
      <w:r>
        <w:rPr>
          <w:rStyle w:val="FootnoteReference"/>
          <w:szCs w:val="22"/>
        </w:rPr>
        <w:footnoteReference w:id="28"/>
      </w:r>
      <w:r w:rsidRPr="00DE3D45">
        <w:rPr>
          <w:szCs w:val="22"/>
        </w:rPr>
        <w:t xml:space="preserve"> </w:t>
      </w:r>
      <w:r w:rsidRPr="00DE3D45" w:rsidR="00DE3D45">
        <w:rPr>
          <w:szCs w:val="22"/>
        </w:rPr>
        <w:t xml:space="preserve"> </w:t>
      </w:r>
      <w:r w:rsidRPr="00DE3D45">
        <w:rPr>
          <w:szCs w:val="22"/>
        </w:rPr>
        <w:t>Cincinnati Bell will then be a direct wholly</w:t>
      </w:r>
      <w:r w:rsidR="001B2FFE">
        <w:rPr>
          <w:szCs w:val="22"/>
        </w:rPr>
        <w:t xml:space="preserve"> </w:t>
      </w:r>
      <w:r w:rsidRPr="00DE3D45">
        <w:rPr>
          <w:szCs w:val="22"/>
        </w:rPr>
        <w:t>owned subsidiary of Re</w:t>
      </w:r>
      <w:r w:rsidRPr="00DE3D45" w:rsidR="00DE3D45">
        <w:rPr>
          <w:szCs w:val="22"/>
        </w:rPr>
        <w:t xml:space="preserve">d </w:t>
      </w:r>
      <w:r w:rsidRPr="00DE3D45">
        <w:rPr>
          <w:szCs w:val="22"/>
        </w:rPr>
        <w:t>Fiber Parent.</w:t>
      </w:r>
      <w:r>
        <w:rPr>
          <w:rStyle w:val="FootnoteReference"/>
          <w:szCs w:val="22"/>
        </w:rPr>
        <w:footnoteReference w:id="29"/>
      </w:r>
      <w:r w:rsidRPr="00DE3D45">
        <w:rPr>
          <w:szCs w:val="22"/>
        </w:rPr>
        <w:t xml:space="preserve"> </w:t>
      </w:r>
      <w:r w:rsidRPr="00DE3D45" w:rsidR="00DE3D45">
        <w:rPr>
          <w:szCs w:val="22"/>
        </w:rPr>
        <w:t xml:space="preserve"> </w:t>
      </w:r>
      <w:r w:rsidRPr="00DE3D45">
        <w:rPr>
          <w:szCs w:val="22"/>
        </w:rPr>
        <w:t xml:space="preserve">As a result of the </w:t>
      </w:r>
      <w:r w:rsidRPr="00DE3D45" w:rsidR="00DE3D45">
        <w:rPr>
          <w:szCs w:val="22"/>
        </w:rPr>
        <w:t>proposed t</w:t>
      </w:r>
      <w:r w:rsidRPr="00DE3D45">
        <w:rPr>
          <w:szCs w:val="22"/>
        </w:rPr>
        <w:t>ransaction, the Licensees will become indirect subsidiaries of</w:t>
      </w:r>
      <w:r w:rsidRPr="00DE3D45" w:rsidR="00DE3D45">
        <w:rPr>
          <w:szCs w:val="22"/>
        </w:rPr>
        <w:t xml:space="preserve"> </w:t>
      </w:r>
      <w:r w:rsidRPr="00DE3D45">
        <w:rPr>
          <w:szCs w:val="22"/>
        </w:rPr>
        <w:t>Red Fiber Parent.</w:t>
      </w:r>
      <w:r>
        <w:rPr>
          <w:rStyle w:val="FootnoteReference"/>
          <w:szCs w:val="22"/>
        </w:rPr>
        <w:footnoteReference w:id="30"/>
      </w:r>
      <w:r w:rsidR="009B310E">
        <w:rPr>
          <w:szCs w:val="22"/>
        </w:rPr>
        <w:t xml:space="preserve"> </w:t>
      </w:r>
    </w:p>
    <w:p w:rsidR="00F352D6" w:rsidP="00C244AC">
      <w:pPr>
        <w:autoSpaceDE w:val="0"/>
        <w:autoSpaceDN w:val="0"/>
        <w:adjustRightInd w:val="0"/>
        <w:ind w:firstLine="720"/>
        <w:rPr>
          <w:szCs w:val="22"/>
        </w:rPr>
      </w:pPr>
      <w:r>
        <w:rPr>
          <w:szCs w:val="22"/>
        </w:rPr>
        <w:t xml:space="preserve"> </w:t>
      </w:r>
    </w:p>
    <w:p w:rsidR="002710BB" w:rsidP="00FD3EDA">
      <w:pPr>
        <w:autoSpaceDE w:val="0"/>
        <w:autoSpaceDN w:val="0"/>
        <w:adjustRightInd w:val="0"/>
        <w:ind w:firstLine="720"/>
        <w:rPr>
          <w:szCs w:val="22"/>
        </w:rPr>
      </w:pPr>
      <w:r w:rsidRPr="00F55292">
        <w:rPr>
          <w:szCs w:val="22"/>
        </w:rPr>
        <w:t xml:space="preserve">Applicants assert </w:t>
      </w:r>
      <w:r>
        <w:rPr>
          <w:szCs w:val="22"/>
        </w:rPr>
        <w:t>that a grant of the application</w:t>
      </w:r>
      <w:r w:rsidR="00F4126D">
        <w:rPr>
          <w:szCs w:val="22"/>
        </w:rPr>
        <w:t>s</w:t>
      </w:r>
      <w:r w:rsidRPr="00F55292">
        <w:rPr>
          <w:szCs w:val="22"/>
        </w:rPr>
        <w:t xml:space="preserve"> will serve the public interest, convenience, and necessity.</w:t>
      </w:r>
      <w:r>
        <w:rPr>
          <w:rStyle w:val="FootnoteReference"/>
          <w:szCs w:val="22"/>
        </w:rPr>
        <w:footnoteReference w:id="31"/>
      </w:r>
      <w:r w:rsidRPr="00F55292">
        <w:rPr>
          <w:szCs w:val="22"/>
        </w:rPr>
        <w:t xml:space="preserve"> </w:t>
      </w:r>
      <w:r w:rsidR="00BF1FF9">
        <w:rPr>
          <w:szCs w:val="22"/>
        </w:rPr>
        <w:t xml:space="preserve"> </w:t>
      </w:r>
      <w:r w:rsidR="00DA7CB7">
        <w:rPr>
          <w:szCs w:val="22"/>
        </w:rPr>
        <w:t>They</w:t>
      </w:r>
      <w:r w:rsidR="00497B29">
        <w:rPr>
          <w:szCs w:val="22"/>
        </w:rPr>
        <w:t xml:space="preserve"> </w:t>
      </w:r>
      <w:r w:rsidR="00B90846">
        <w:rPr>
          <w:szCs w:val="22"/>
        </w:rPr>
        <w:t xml:space="preserve">assert that the “financial, management, and other </w:t>
      </w:r>
      <w:r w:rsidR="004F58C2">
        <w:rPr>
          <w:szCs w:val="22"/>
        </w:rPr>
        <w:t>resources made available to Ci</w:t>
      </w:r>
      <w:r w:rsidR="005A4409">
        <w:rPr>
          <w:szCs w:val="22"/>
        </w:rPr>
        <w:t>nci</w:t>
      </w:r>
      <w:r w:rsidR="004F58C2">
        <w:rPr>
          <w:szCs w:val="22"/>
        </w:rPr>
        <w:t>nnati Bell and its subsidiaries will enhance its networks and services to the benefit of their customers.”</w:t>
      </w:r>
      <w:r>
        <w:rPr>
          <w:rStyle w:val="FootnoteReference"/>
          <w:szCs w:val="22"/>
        </w:rPr>
        <w:footnoteReference w:id="32"/>
      </w:r>
      <w:r w:rsidR="004F58C2">
        <w:rPr>
          <w:szCs w:val="22"/>
        </w:rPr>
        <w:t xml:space="preserve">  </w:t>
      </w:r>
      <w:r w:rsidR="00F7738F">
        <w:rPr>
          <w:szCs w:val="22"/>
        </w:rPr>
        <w:t xml:space="preserve">Applicants state that </w:t>
      </w:r>
      <w:r w:rsidR="00DD56BF">
        <w:rPr>
          <w:szCs w:val="22"/>
        </w:rPr>
        <w:t xml:space="preserve">the </w:t>
      </w:r>
      <w:r w:rsidR="00DA7CB7">
        <w:rPr>
          <w:szCs w:val="22"/>
        </w:rPr>
        <w:t>proposed t</w:t>
      </w:r>
      <w:r w:rsidR="00B7011A">
        <w:rPr>
          <w:szCs w:val="22"/>
        </w:rPr>
        <w:t>ransaction</w:t>
      </w:r>
      <w:r w:rsidR="00DD56BF">
        <w:rPr>
          <w:szCs w:val="22"/>
        </w:rPr>
        <w:t xml:space="preserve"> </w:t>
      </w:r>
      <w:r w:rsidR="0020514B">
        <w:rPr>
          <w:szCs w:val="22"/>
        </w:rPr>
        <w:t>will “strengthen the financial position of the Cincinnati Bell enterprise as a whole by providing access to capital from new funding sources, and enabling acce</w:t>
      </w:r>
      <w:r w:rsidR="00B7011A">
        <w:rPr>
          <w:szCs w:val="22"/>
        </w:rPr>
        <w:t>lerated investment in the company’s strategic products that is not presently available to Cincinnati Bell as a standalone company.”</w:t>
      </w:r>
      <w:r>
        <w:rPr>
          <w:rStyle w:val="FootnoteReference"/>
          <w:szCs w:val="22"/>
        </w:rPr>
        <w:footnoteReference w:id="33"/>
      </w:r>
      <w:r w:rsidR="00B7011A">
        <w:rPr>
          <w:szCs w:val="22"/>
        </w:rPr>
        <w:t xml:space="preserve">  </w:t>
      </w:r>
      <w:r w:rsidR="00DA7CB7">
        <w:rPr>
          <w:szCs w:val="22"/>
        </w:rPr>
        <w:t xml:space="preserve">According to </w:t>
      </w:r>
      <w:r w:rsidR="00DF6E5E">
        <w:rPr>
          <w:szCs w:val="22"/>
        </w:rPr>
        <w:t>Applicants</w:t>
      </w:r>
      <w:r w:rsidR="00DA7CB7">
        <w:rPr>
          <w:szCs w:val="22"/>
        </w:rPr>
        <w:t>,</w:t>
      </w:r>
      <w:r w:rsidR="00DF6E5E">
        <w:rPr>
          <w:szCs w:val="22"/>
        </w:rPr>
        <w:t xml:space="preserve"> </w:t>
      </w:r>
      <w:r w:rsidR="00DA7CB7">
        <w:rPr>
          <w:szCs w:val="22"/>
        </w:rPr>
        <w:t>the proposed t</w:t>
      </w:r>
      <w:r w:rsidR="0010170C">
        <w:rPr>
          <w:szCs w:val="22"/>
        </w:rPr>
        <w:t xml:space="preserve">ransaction will </w:t>
      </w:r>
      <w:r w:rsidR="00C33568">
        <w:rPr>
          <w:szCs w:val="22"/>
        </w:rPr>
        <w:t>be at the holding company level</w:t>
      </w:r>
      <w:r w:rsidR="00DA7CB7">
        <w:rPr>
          <w:szCs w:val="22"/>
        </w:rPr>
        <w:t>,</w:t>
      </w:r>
      <w:r w:rsidR="00C33568">
        <w:rPr>
          <w:szCs w:val="22"/>
        </w:rPr>
        <w:t xml:space="preserve"> will </w:t>
      </w:r>
      <w:r w:rsidR="0010170C">
        <w:rPr>
          <w:szCs w:val="22"/>
        </w:rPr>
        <w:t xml:space="preserve">not result in a change of carrier for any </w:t>
      </w:r>
      <w:r w:rsidR="00841CEB">
        <w:rPr>
          <w:szCs w:val="22"/>
        </w:rPr>
        <w:t>customer</w:t>
      </w:r>
      <w:r w:rsidR="00DA7CB7">
        <w:rPr>
          <w:szCs w:val="22"/>
        </w:rPr>
        <w:t>,</w:t>
      </w:r>
      <w:r w:rsidR="00841CEB">
        <w:rPr>
          <w:szCs w:val="22"/>
        </w:rPr>
        <w:t xml:space="preserve"> and </w:t>
      </w:r>
      <w:r w:rsidR="00DF6E5E">
        <w:rPr>
          <w:szCs w:val="22"/>
        </w:rPr>
        <w:t xml:space="preserve">Red Fiber </w:t>
      </w:r>
      <w:r w:rsidR="00DA7CB7">
        <w:rPr>
          <w:szCs w:val="22"/>
        </w:rPr>
        <w:t>P</w:t>
      </w:r>
      <w:r w:rsidR="00DF6E5E">
        <w:rPr>
          <w:szCs w:val="22"/>
        </w:rPr>
        <w:t>arent has no plans to change the</w:t>
      </w:r>
      <w:r w:rsidR="00841CEB">
        <w:rPr>
          <w:szCs w:val="22"/>
        </w:rPr>
        <w:t xml:space="preserve"> current rates, terms</w:t>
      </w:r>
      <w:r w:rsidR="00DA7CB7">
        <w:rPr>
          <w:szCs w:val="22"/>
        </w:rPr>
        <w:t>,</w:t>
      </w:r>
      <w:r w:rsidR="00841CEB">
        <w:rPr>
          <w:szCs w:val="22"/>
        </w:rPr>
        <w:t xml:space="preserve"> and conditions of service </w:t>
      </w:r>
      <w:r w:rsidR="00DA7CB7">
        <w:rPr>
          <w:szCs w:val="22"/>
        </w:rPr>
        <w:t>post-closing</w:t>
      </w:r>
      <w:r w:rsidR="00076872">
        <w:rPr>
          <w:szCs w:val="22"/>
        </w:rPr>
        <w:t>.</w:t>
      </w:r>
      <w:r>
        <w:rPr>
          <w:rStyle w:val="FootnoteReference"/>
          <w:szCs w:val="22"/>
        </w:rPr>
        <w:footnoteReference w:id="34"/>
      </w:r>
      <w:r w:rsidR="00DF6E5E">
        <w:rPr>
          <w:szCs w:val="22"/>
        </w:rPr>
        <w:t xml:space="preserve"> </w:t>
      </w:r>
      <w:r w:rsidR="00DA7CB7">
        <w:rPr>
          <w:szCs w:val="22"/>
        </w:rPr>
        <w:t xml:space="preserve"> </w:t>
      </w:r>
      <w:r w:rsidR="00237D89">
        <w:rPr>
          <w:szCs w:val="22"/>
        </w:rPr>
        <w:t xml:space="preserve">Finally, Applicants </w:t>
      </w:r>
      <w:r w:rsidR="007A6DA2">
        <w:rPr>
          <w:szCs w:val="22"/>
        </w:rPr>
        <w:t>maintain that</w:t>
      </w:r>
      <w:r w:rsidR="00237D89">
        <w:rPr>
          <w:szCs w:val="22"/>
        </w:rPr>
        <w:t xml:space="preserve"> </w:t>
      </w:r>
      <w:r w:rsidR="00AB1083">
        <w:rPr>
          <w:szCs w:val="22"/>
        </w:rPr>
        <w:t xml:space="preserve">the </w:t>
      </w:r>
      <w:r w:rsidR="00DA7CB7">
        <w:rPr>
          <w:szCs w:val="22"/>
        </w:rPr>
        <w:t>proposed t</w:t>
      </w:r>
      <w:r w:rsidR="00AB1083">
        <w:rPr>
          <w:szCs w:val="22"/>
        </w:rPr>
        <w:t xml:space="preserve">ransaction will not result in a reduction in competition, as </w:t>
      </w:r>
      <w:r w:rsidR="00F41833">
        <w:rPr>
          <w:szCs w:val="22"/>
        </w:rPr>
        <w:t xml:space="preserve">their service areas are “complementary rather than competitive,” and </w:t>
      </w:r>
      <w:r w:rsidR="00237D89">
        <w:rPr>
          <w:szCs w:val="22"/>
        </w:rPr>
        <w:t>they have no overlapping service areas for their facilities-based services</w:t>
      </w:r>
      <w:r w:rsidR="00737F35">
        <w:rPr>
          <w:szCs w:val="22"/>
        </w:rPr>
        <w:t>.</w:t>
      </w:r>
      <w:r>
        <w:rPr>
          <w:rStyle w:val="FootnoteReference"/>
          <w:szCs w:val="22"/>
        </w:rPr>
        <w:footnoteReference w:id="35"/>
      </w:r>
    </w:p>
    <w:p w:rsidR="00AC34AD" w:rsidRPr="00E651E5" w:rsidP="00AC34AD">
      <w:pPr>
        <w:autoSpaceDE w:val="0"/>
        <w:autoSpaceDN w:val="0"/>
        <w:adjustRightInd w:val="0"/>
        <w:rPr>
          <w:szCs w:val="22"/>
        </w:rPr>
      </w:pPr>
    </w:p>
    <w:p w:rsidR="00AC34AD" w:rsidRPr="002336DD" w:rsidP="00AC34AD">
      <w:pPr>
        <w:autoSpaceDE w:val="0"/>
        <w:autoSpaceDN w:val="0"/>
        <w:adjustRightInd w:val="0"/>
        <w:rPr>
          <w:b/>
          <w:bCs/>
          <w:szCs w:val="22"/>
          <w:u w:val="single"/>
        </w:rPr>
      </w:pPr>
      <w:r w:rsidRPr="002336DD">
        <w:rPr>
          <w:b/>
          <w:bCs/>
          <w:szCs w:val="22"/>
          <w:u w:val="single"/>
        </w:rPr>
        <w:t>Petition for Declaratory Ruling Under Section 310(b)(4)</w:t>
      </w:r>
    </w:p>
    <w:p w:rsidR="00AC34AD" w:rsidRPr="00E651E5" w:rsidP="00AC34AD">
      <w:pPr>
        <w:autoSpaceDE w:val="0"/>
        <w:autoSpaceDN w:val="0"/>
        <w:adjustRightInd w:val="0"/>
        <w:rPr>
          <w:szCs w:val="22"/>
        </w:rPr>
      </w:pPr>
    </w:p>
    <w:p w:rsidR="00AC34AD" w:rsidRPr="00E651E5" w:rsidP="00AC34AD">
      <w:pPr>
        <w:autoSpaceDE w:val="0"/>
        <w:autoSpaceDN w:val="0"/>
        <w:adjustRightInd w:val="0"/>
        <w:rPr>
          <w:szCs w:val="22"/>
        </w:rPr>
      </w:pPr>
      <w:r w:rsidRPr="00E651E5">
        <w:rPr>
          <w:szCs w:val="22"/>
        </w:rPr>
        <w:tab/>
      </w:r>
      <w:r w:rsidRPr="00E651E5" w:rsidR="00517BB2">
        <w:rPr>
          <w:szCs w:val="22"/>
        </w:rPr>
        <w:t xml:space="preserve">As noted above, </w:t>
      </w:r>
      <w:r w:rsidRPr="00E651E5">
        <w:rPr>
          <w:szCs w:val="22"/>
        </w:rPr>
        <w:t>Red Fiber Parent (Petitioner) has filed a</w:t>
      </w:r>
      <w:r w:rsidRPr="00E651E5" w:rsidR="00517BB2">
        <w:rPr>
          <w:szCs w:val="22"/>
        </w:rPr>
        <w:t xml:space="preserve"> </w:t>
      </w:r>
      <w:r w:rsidRPr="00E651E5">
        <w:rPr>
          <w:szCs w:val="22"/>
        </w:rPr>
        <w:t>petition for declaratory ruling (Petition) pursuant to section 310(b)(4) of the Act and section 1.5000(a)(1) of the Commission’s rules,</w:t>
      </w:r>
      <w:r>
        <w:rPr>
          <w:rStyle w:val="FootnoteReference"/>
          <w:szCs w:val="22"/>
        </w:rPr>
        <w:footnoteReference w:id="36"/>
      </w:r>
      <w:r w:rsidRPr="00E651E5">
        <w:rPr>
          <w:szCs w:val="22"/>
        </w:rPr>
        <w:t xml:space="preserve"> to permit </w:t>
      </w:r>
      <w:r w:rsidRPr="00E651E5" w:rsidR="00E42CF5">
        <w:rPr>
          <w:szCs w:val="22"/>
        </w:rPr>
        <w:t xml:space="preserve">post-closing </w:t>
      </w:r>
      <w:r w:rsidRPr="00E651E5">
        <w:rPr>
          <w:szCs w:val="22"/>
        </w:rPr>
        <w:t>foreign ownership of Cincinnati Bell to exceed the 25% benchmark specified in section 310(b)(4) of the Act</w:t>
      </w:r>
      <w:r w:rsidRPr="00E651E5" w:rsidR="00E42CF5">
        <w:rPr>
          <w:szCs w:val="22"/>
        </w:rPr>
        <w:t>.  Cincinnati Bell</w:t>
      </w:r>
      <w:r w:rsidRPr="00E651E5" w:rsidR="001913A2">
        <w:rPr>
          <w:szCs w:val="22"/>
        </w:rPr>
        <w:t xml:space="preserve"> </w:t>
      </w:r>
      <w:r w:rsidRPr="00E651E5" w:rsidR="00E42CF5">
        <w:rPr>
          <w:szCs w:val="22"/>
        </w:rPr>
        <w:t xml:space="preserve">would remain the controlling U.S. parent of the Licensees after closing </w:t>
      </w:r>
      <w:r w:rsidRPr="00E651E5" w:rsidR="001913A2">
        <w:rPr>
          <w:szCs w:val="22"/>
        </w:rPr>
        <w:t xml:space="preserve">of </w:t>
      </w:r>
      <w:r w:rsidRPr="00E651E5" w:rsidR="00E42CF5">
        <w:rPr>
          <w:szCs w:val="22"/>
        </w:rPr>
        <w:t>the proposed transaction</w:t>
      </w:r>
      <w:r w:rsidRPr="00E651E5" w:rsidR="001913A2">
        <w:rPr>
          <w:szCs w:val="22"/>
        </w:rPr>
        <w:t xml:space="preserve">, </w:t>
      </w:r>
      <w:r w:rsidRPr="00E651E5" w:rsidR="001449D9">
        <w:rPr>
          <w:szCs w:val="22"/>
        </w:rPr>
        <w:t xml:space="preserve">including </w:t>
      </w:r>
      <w:r w:rsidRPr="00E651E5" w:rsidR="00E42CF5">
        <w:rPr>
          <w:szCs w:val="22"/>
        </w:rPr>
        <w:t>Hawaiian Telcom Inc.</w:t>
      </w:r>
      <w:r w:rsidR="00E14145">
        <w:rPr>
          <w:szCs w:val="22"/>
        </w:rPr>
        <w:t>,</w:t>
      </w:r>
      <w:r w:rsidRPr="00E651E5" w:rsidR="00E42CF5">
        <w:rPr>
          <w:szCs w:val="22"/>
        </w:rPr>
        <w:t xml:space="preserve"> </w:t>
      </w:r>
      <w:r w:rsidRPr="00E651E5" w:rsidR="001449D9">
        <w:rPr>
          <w:szCs w:val="22"/>
        </w:rPr>
        <w:t xml:space="preserve">which </w:t>
      </w:r>
      <w:r w:rsidRPr="00E651E5" w:rsidR="001913A2">
        <w:rPr>
          <w:szCs w:val="22"/>
        </w:rPr>
        <w:t>h</w:t>
      </w:r>
      <w:r w:rsidRPr="00E651E5" w:rsidR="00E42CF5">
        <w:rPr>
          <w:szCs w:val="22"/>
        </w:rPr>
        <w:t>old</w:t>
      </w:r>
      <w:r w:rsidRPr="00E651E5" w:rsidR="001449D9">
        <w:rPr>
          <w:szCs w:val="22"/>
        </w:rPr>
        <w:t xml:space="preserve">s </w:t>
      </w:r>
      <w:r w:rsidRPr="00E651E5" w:rsidR="00E42CF5">
        <w:rPr>
          <w:szCs w:val="22"/>
        </w:rPr>
        <w:t>common carrier microwave licenses</w:t>
      </w:r>
      <w:r w:rsidRPr="00E651E5" w:rsidR="008500ED">
        <w:rPr>
          <w:szCs w:val="22"/>
        </w:rPr>
        <w:t xml:space="preserve"> </w:t>
      </w:r>
      <w:r w:rsidRPr="00E651E5" w:rsidR="001449D9">
        <w:rPr>
          <w:szCs w:val="22"/>
        </w:rPr>
        <w:t xml:space="preserve">subject to review under section 310(b)(4). </w:t>
      </w:r>
      <w:r w:rsidRPr="00E651E5" w:rsidR="001913A2">
        <w:rPr>
          <w:szCs w:val="22"/>
        </w:rPr>
        <w:t xml:space="preserve"> </w:t>
      </w:r>
      <w:r w:rsidRPr="00E651E5">
        <w:rPr>
          <w:szCs w:val="22"/>
        </w:rPr>
        <w:t xml:space="preserve">Petitioner asserts that the proposed foreign ownership of Cincinnati </w:t>
      </w:r>
      <w:r w:rsidRPr="00E651E5" w:rsidR="008500ED">
        <w:rPr>
          <w:szCs w:val="22"/>
        </w:rPr>
        <w:t>Bell</w:t>
      </w:r>
      <w:r w:rsidRPr="00E651E5" w:rsidR="008500ED">
        <w:rPr>
          <w:szCs w:val="22"/>
        </w:rPr>
        <w:t xml:space="preserve"> </w:t>
      </w:r>
      <w:r w:rsidRPr="00E651E5">
        <w:rPr>
          <w:szCs w:val="22"/>
        </w:rPr>
        <w:t>would serve the public interest.</w:t>
      </w:r>
      <w:r>
        <w:rPr>
          <w:rStyle w:val="FootnoteReference"/>
          <w:szCs w:val="22"/>
        </w:rPr>
        <w:footnoteReference w:id="37"/>
      </w:r>
      <w:r w:rsidRPr="00E651E5" w:rsidR="008500ED">
        <w:rPr>
          <w:szCs w:val="22"/>
        </w:rPr>
        <w:t xml:space="preserve"> </w:t>
      </w:r>
    </w:p>
    <w:p w:rsidR="00AC34AD" w:rsidRPr="00E651E5" w:rsidP="00AC34AD">
      <w:pPr>
        <w:autoSpaceDE w:val="0"/>
        <w:autoSpaceDN w:val="0"/>
        <w:adjustRightInd w:val="0"/>
        <w:rPr>
          <w:szCs w:val="22"/>
        </w:rPr>
      </w:pPr>
    </w:p>
    <w:p w:rsidR="0093176B" w:rsidP="00D9473B">
      <w:pPr>
        <w:autoSpaceDE w:val="0"/>
        <w:autoSpaceDN w:val="0"/>
        <w:adjustRightInd w:val="0"/>
        <w:ind w:firstLine="720"/>
        <w:rPr>
          <w:szCs w:val="22"/>
        </w:rPr>
      </w:pPr>
      <w:r w:rsidRPr="00E651E5">
        <w:rPr>
          <w:szCs w:val="22"/>
        </w:rPr>
        <w:t>The</w:t>
      </w:r>
      <w:r w:rsidRPr="00E651E5" w:rsidR="00E341E1">
        <w:rPr>
          <w:szCs w:val="22"/>
        </w:rPr>
        <w:t xml:space="preserve"> Petition</w:t>
      </w:r>
      <w:r w:rsidRPr="00E651E5">
        <w:rPr>
          <w:szCs w:val="22"/>
        </w:rPr>
        <w:t xml:space="preserve"> states that</w:t>
      </w:r>
      <w:r w:rsidRPr="00E651E5" w:rsidR="00E341E1">
        <w:rPr>
          <w:szCs w:val="22"/>
        </w:rPr>
        <w:t xml:space="preserve">, upon completion of the proposed transaction, </w:t>
      </w:r>
      <w:r w:rsidRPr="00E651E5">
        <w:rPr>
          <w:szCs w:val="22"/>
        </w:rPr>
        <w:t>Cincinnati Bell w</w:t>
      </w:r>
      <w:r w:rsidRPr="00E651E5" w:rsidR="008500ED">
        <w:rPr>
          <w:szCs w:val="22"/>
        </w:rPr>
        <w:t>ould</w:t>
      </w:r>
      <w:r w:rsidRPr="00E651E5">
        <w:rPr>
          <w:szCs w:val="22"/>
        </w:rPr>
        <w:t xml:space="preserve"> be </w:t>
      </w:r>
      <w:r w:rsidR="009F0D74">
        <w:rPr>
          <w:szCs w:val="22"/>
        </w:rPr>
        <w:t>majority owned (61.5%</w:t>
      </w:r>
      <w:r w:rsidR="009628CB">
        <w:rPr>
          <w:szCs w:val="22"/>
        </w:rPr>
        <w:t xml:space="preserve"> equity</w:t>
      </w:r>
      <w:r w:rsidR="009F0D74">
        <w:rPr>
          <w:szCs w:val="22"/>
        </w:rPr>
        <w:t xml:space="preserve">) </w:t>
      </w:r>
      <w:r w:rsidRPr="008500ED" w:rsidR="009F0D74">
        <w:rPr>
          <w:bCs/>
          <w:szCs w:val="22"/>
        </w:rPr>
        <w:t>and controlled</w:t>
      </w:r>
      <w:r w:rsidR="009F0D74">
        <w:rPr>
          <w:szCs w:val="22"/>
        </w:rPr>
        <w:t xml:space="preserve"> by MIP V Member, a Delaware limited partnership.  MIP V Member, in turn, would be majority owned (73.15%</w:t>
      </w:r>
      <w:r w:rsidR="009628CB">
        <w:rPr>
          <w:szCs w:val="22"/>
        </w:rPr>
        <w:t xml:space="preserve"> equity</w:t>
      </w:r>
      <w:r w:rsidR="009F0D74">
        <w:rPr>
          <w:szCs w:val="22"/>
        </w:rPr>
        <w:t xml:space="preserve">) </w:t>
      </w:r>
      <w:r w:rsidRPr="008500ED" w:rsidR="009F0D74">
        <w:rPr>
          <w:bCs/>
          <w:szCs w:val="22"/>
        </w:rPr>
        <w:t>and controlled</w:t>
      </w:r>
      <w:r w:rsidR="009F0D74">
        <w:rPr>
          <w:szCs w:val="22"/>
        </w:rPr>
        <w:t xml:space="preserve"> by MIP V</w:t>
      </w:r>
      <w:r w:rsidR="009628CB">
        <w:rPr>
          <w:szCs w:val="22"/>
        </w:rPr>
        <w:t>, also a D</w:t>
      </w:r>
      <w:r w:rsidRPr="00E651E5" w:rsidR="009628CB">
        <w:rPr>
          <w:szCs w:val="22"/>
        </w:rPr>
        <w:t>elaware</w:t>
      </w:r>
      <w:r w:rsidR="009628CB">
        <w:rPr>
          <w:szCs w:val="22"/>
        </w:rPr>
        <w:t xml:space="preserve"> limited partnership</w:t>
      </w:r>
      <w:r w:rsidR="009F0D74">
        <w:rPr>
          <w:szCs w:val="22"/>
        </w:rPr>
        <w:t>.</w:t>
      </w:r>
      <w:r>
        <w:rPr>
          <w:rStyle w:val="FootnoteReference"/>
          <w:szCs w:val="22"/>
        </w:rPr>
        <w:footnoteReference w:id="38"/>
      </w:r>
      <w:r w:rsidRPr="00E651E5" w:rsidR="00742E26">
        <w:rPr>
          <w:szCs w:val="22"/>
        </w:rPr>
        <w:t xml:space="preserve">  MIP V and MIP V Member </w:t>
      </w:r>
      <w:r w:rsidR="000B69CA">
        <w:rPr>
          <w:szCs w:val="22"/>
        </w:rPr>
        <w:t xml:space="preserve">are controlled by their general partner, Macquarie Infrastructure Partners V GP LLC and </w:t>
      </w:r>
      <w:r w:rsidRPr="00E651E5" w:rsidR="00C57718">
        <w:rPr>
          <w:szCs w:val="22"/>
        </w:rPr>
        <w:t xml:space="preserve">managed by Macquarie Infrastructure Partners </w:t>
      </w:r>
      <w:r w:rsidRPr="00E651E5">
        <w:rPr>
          <w:szCs w:val="22"/>
        </w:rPr>
        <w:t xml:space="preserve">Inc., </w:t>
      </w:r>
      <w:r w:rsidR="000B69CA">
        <w:rPr>
          <w:szCs w:val="22"/>
        </w:rPr>
        <w:t xml:space="preserve">both of which ultimately are </w:t>
      </w:r>
      <w:r w:rsidRPr="00E651E5" w:rsidR="00960CA4">
        <w:rPr>
          <w:szCs w:val="22"/>
        </w:rPr>
        <w:t xml:space="preserve">controlled by </w:t>
      </w:r>
      <w:r w:rsidRPr="00E651E5" w:rsidR="001B2861">
        <w:rPr>
          <w:szCs w:val="22"/>
        </w:rPr>
        <w:t>M</w:t>
      </w:r>
      <w:r w:rsidRPr="00E651E5">
        <w:rPr>
          <w:szCs w:val="22"/>
        </w:rPr>
        <w:t>G</w:t>
      </w:r>
      <w:r w:rsidRPr="00E651E5" w:rsidR="001B2861">
        <w:rPr>
          <w:szCs w:val="22"/>
        </w:rPr>
        <w:t>L</w:t>
      </w:r>
      <w:r w:rsidRPr="00E651E5" w:rsidR="00960CA4">
        <w:rPr>
          <w:szCs w:val="22"/>
        </w:rPr>
        <w:t xml:space="preserve">, </w:t>
      </w:r>
      <w:r w:rsidRPr="00E651E5" w:rsidR="00960CA4">
        <w:rPr>
          <w:rFonts w:ascii="TimesNewRoman" w:hAnsi="TimesNewRoman" w:cs="TimesNewRoman"/>
          <w:szCs w:val="22"/>
        </w:rPr>
        <w:t xml:space="preserve">a publicly-traded Australian company, through a series of </w:t>
      </w:r>
      <w:r w:rsidRPr="00E651E5" w:rsidR="009615A4">
        <w:rPr>
          <w:rFonts w:ascii="TimesNewRoman" w:hAnsi="TimesNewRoman" w:cs="TimesNewRoman"/>
          <w:szCs w:val="22"/>
        </w:rPr>
        <w:t>intermediate holding companies organized in the United States and Australia</w:t>
      </w:r>
      <w:r w:rsidRPr="00E651E5">
        <w:rPr>
          <w:szCs w:val="22"/>
        </w:rPr>
        <w:t>.</w:t>
      </w:r>
      <w:r>
        <w:rPr>
          <w:rStyle w:val="FootnoteReference"/>
          <w:szCs w:val="22"/>
        </w:rPr>
        <w:footnoteReference w:id="39"/>
      </w:r>
      <w:r w:rsidRPr="00E651E5">
        <w:rPr>
          <w:szCs w:val="22"/>
        </w:rPr>
        <w:t xml:space="preserve">  Cincinnati Bell</w:t>
      </w:r>
      <w:r w:rsidRPr="00E651E5" w:rsidR="00C57718">
        <w:rPr>
          <w:szCs w:val="22"/>
        </w:rPr>
        <w:t>, therefore,</w:t>
      </w:r>
      <w:r w:rsidRPr="00E651E5">
        <w:rPr>
          <w:szCs w:val="22"/>
        </w:rPr>
        <w:t xml:space="preserve"> </w:t>
      </w:r>
      <w:r w:rsidR="000B69CA">
        <w:rPr>
          <w:szCs w:val="22"/>
        </w:rPr>
        <w:t xml:space="preserve">would </w:t>
      </w:r>
      <w:r w:rsidRPr="00E651E5">
        <w:rPr>
          <w:szCs w:val="22"/>
        </w:rPr>
        <w:t xml:space="preserve">be </w:t>
      </w:r>
      <w:r w:rsidRPr="00E651E5" w:rsidR="001B2861">
        <w:rPr>
          <w:szCs w:val="22"/>
        </w:rPr>
        <w:t>ultimately</w:t>
      </w:r>
      <w:r w:rsidRPr="00E651E5">
        <w:rPr>
          <w:szCs w:val="22"/>
        </w:rPr>
        <w:t xml:space="preserve"> </w:t>
      </w:r>
      <w:r w:rsidRPr="00E651E5" w:rsidR="001B2861">
        <w:rPr>
          <w:szCs w:val="22"/>
        </w:rPr>
        <w:t>control</w:t>
      </w:r>
      <w:r w:rsidRPr="00E651E5">
        <w:rPr>
          <w:szCs w:val="22"/>
        </w:rPr>
        <w:t>led by MGL</w:t>
      </w:r>
      <w:r w:rsidRPr="00E651E5">
        <w:rPr>
          <w:szCs w:val="22"/>
        </w:rPr>
        <w:t>.</w:t>
      </w:r>
      <w:r>
        <w:rPr>
          <w:rStyle w:val="FootnoteReference"/>
          <w:szCs w:val="22"/>
        </w:rPr>
        <w:footnoteReference w:id="40"/>
      </w:r>
      <w:r w:rsidRPr="00E651E5" w:rsidR="001D7171">
        <w:rPr>
          <w:szCs w:val="22"/>
        </w:rPr>
        <w:t xml:space="preserve">  Petitioner states that </w:t>
      </w:r>
      <w:r w:rsidRPr="00E651E5" w:rsidR="00C57718">
        <w:rPr>
          <w:szCs w:val="22"/>
        </w:rPr>
        <w:t>foreign</w:t>
      </w:r>
      <w:r w:rsidRPr="00E651E5" w:rsidR="001D7171">
        <w:rPr>
          <w:szCs w:val="22"/>
        </w:rPr>
        <w:t xml:space="preserve"> investor aggregators will also be formed </w:t>
      </w:r>
      <w:r w:rsidRPr="00E651E5" w:rsidR="00EE6669">
        <w:rPr>
          <w:szCs w:val="22"/>
        </w:rPr>
        <w:t xml:space="preserve">under Canadian and Luxembourg laws </w:t>
      </w:r>
      <w:r w:rsidRPr="00E651E5" w:rsidR="001D7171">
        <w:rPr>
          <w:szCs w:val="22"/>
        </w:rPr>
        <w:t>to hold indirect ownership interests in Cincinnati Bell through limited partnership interest</w:t>
      </w:r>
      <w:r w:rsidR="0083593B">
        <w:rPr>
          <w:szCs w:val="22"/>
        </w:rPr>
        <w:t>s</w:t>
      </w:r>
      <w:r w:rsidRPr="00E651E5" w:rsidR="001D7171">
        <w:rPr>
          <w:szCs w:val="22"/>
        </w:rPr>
        <w:t xml:space="preserve"> in MIP V</w:t>
      </w:r>
      <w:r w:rsidRPr="00E651E5" w:rsidR="008500ED">
        <w:rPr>
          <w:szCs w:val="22"/>
        </w:rPr>
        <w:t>.</w:t>
      </w:r>
      <w:r>
        <w:rPr>
          <w:rStyle w:val="FootnoteReference"/>
          <w:szCs w:val="22"/>
        </w:rPr>
        <w:footnoteReference w:id="41"/>
      </w:r>
      <w:r w:rsidR="00013A06">
        <w:rPr>
          <w:szCs w:val="22"/>
        </w:rPr>
        <w:t xml:space="preserve">  </w:t>
      </w:r>
      <w:r w:rsidR="00D54B38">
        <w:rPr>
          <w:szCs w:val="22"/>
        </w:rPr>
        <w:t xml:space="preserve">The limited partnership </w:t>
      </w:r>
      <w:r w:rsidR="009252EB">
        <w:rPr>
          <w:szCs w:val="22"/>
        </w:rPr>
        <w:t>interests</w:t>
      </w:r>
      <w:r w:rsidR="00D54B38">
        <w:rPr>
          <w:szCs w:val="22"/>
        </w:rPr>
        <w:t xml:space="preserve"> in or through MIP V Member and MIP V would be insulated in accordance </w:t>
      </w:r>
      <w:r w:rsidR="009252EB">
        <w:rPr>
          <w:szCs w:val="22"/>
        </w:rPr>
        <w:t>with</w:t>
      </w:r>
      <w:r w:rsidR="00D54B38">
        <w:rPr>
          <w:szCs w:val="22"/>
        </w:rPr>
        <w:t xml:space="preserve"> section 1.5003 of the rules.</w:t>
      </w:r>
      <w:r>
        <w:rPr>
          <w:rStyle w:val="FootnoteReference"/>
          <w:szCs w:val="22"/>
        </w:rPr>
        <w:footnoteReference w:id="42"/>
      </w:r>
      <w:r w:rsidR="008500ED">
        <w:rPr>
          <w:szCs w:val="22"/>
          <w:u w:val="single"/>
        </w:rPr>
        <w:t xml:space="preserve"> </w:t>
      </w:r>
    </w:p>
    <w:p w:rsidR="00D93363" w:rsidP="00D9473B">
      <w:pPr>
        <w:autoSpaceDE w:val="0"/>
        <w:autoSpaceDN w:val="0"/>
        <w:adjustRightInd w:val="0"/>
        <w:ind w:firstLine="720"/>
        <w:rPr>
          <w:szCs w:val="22"/>
        </w:rPr>
      </w:pPr>
    </w:p>
    <w:p w:rsidR="002B211F" w:rsidRPr="00CE6605" w:rsidP="00D9473B">
      <w:pPr>
        <w:autoSpaceDE w:val="0"/>
        <w:autoSpaceDN w:val="0"/>
        <w:adjustRightInd w:val="0"/>
        <w:ind w:firstLine="720"/>
        <w:rPr>
          <w:b/>
          <w:szCs w:val="22"/>
        </w:rPr>
      </w:pPr>
      <w:r>
        <w:rPr>
          <w:szCs w:val="22"/>
        </w:rPr>
        <w:t xml:space="preserve">According to the Petition, </w:t>
      </w:r>
      <w:r w:rsidR="00AB530F">
        <w:rPr>
          <w:szCs w:val="22"/>
        </w:rPr>
        <w:t xml:space="preserve">certain alternative investment vehicles </w:t>
      </w:r>
      <w:r w:rsidR="00F24916">
        <w:rPr>
          <w:szCs w:val="22"/>
        </w:rPr>
        <w:t xml:space="preserve">(Ares AIVs) </w:t>
      </w:r>
      <w:r w:rsidR="00AB530F">
        <w:rPr>
          <w:szCs w:val="22"/>
        </w:rPr>
        <w:t>ultimately controlled by Ares Managemen</w:t>
      </w:r>
      <w:r>
        <w:rPr>
          <w:szCs w:val="22"/>
        </w:rPr>
        <w:t>t</w:t>
      </w:r>
      <w:r w:rsidR="00AB530F">
        <w:rPr>
          <w:szCs w:val="22"/>
        </w:rPr>
        <w:t>, a Delaware corporation,</w:t>
      </w:r>
      <w:r>
        <w:rPr>
          <w:szCs w:val="22"/>
        </w:rPr>
        <w:t xml:space="preserve"> and managed by its Private Equity Group </w:t>
      </w:r>
      <w:r w:rsidR="002F000F">
        <w:rPr>
          <w:szCs w:val="22"/>
        </w:rPr>
        <w:t>would</w:t>
      </w:r>
      <w:r w:rsidR="00EE6669">
        <w:rPr>
          <w:szCs w:val="22"/>
        </w:rPr>
        <w:t xml:space="preserve"> hold</w:t>
      </w:r>
      <w:r w:rsidR="002F000F">
        <w:rPr>
          <w:szCs w:val="22"/>
        </w:rPr>
        <w:t xml:space="preserve"> </w:t>
      </w:r>
      <w:r>
        <w:rPr>
          <w:szCs w:val="22"/>
        </w:rPr>
        <w:t xml:space="preserve">indirectly </w:t>
      </w:r>
      <w:r w:rsidR="002F000F">
        <w:rPr>
          <w:szCs w:val="22"/>
        </w:rPr>
        <w:t xml:space="preserve">an aggregate 21.2% </w:t>
      </w:r>
      <w:r>
        <w:rPr>
          <w:szCs w:val="22"/>
        </w:rPr>
        <w:t xml:space="preserve">equity interest </w:t>
      </w:r>
      <w:r w:rsidR="00192917">
        <w:rPr>
          <w:szCs w:val="22"/>
        </w:rPr>
        <w:t>in Cincinnati Bell</w:t>
      </w:r>
      <w:r>
        <w:rPr>
          <w:szCs w:val="22"/>
        </w:rPr>
        <w:t>.</w:t>
      </w:r>
      <w:r>
        <w:rPr>
          <w:rStyle w:val="FootnoteReference"/>
          <w:szCs w:val="22"/>
        </w:rPr>
        <w:footnoteReference w:id="43"/>
      </w:r>
      <w:r w:rsidR="00557A85">
        <w:rPr>
          <w:szCs w:val="22"/>
        </w:rPr>
        <w:t xml:space="preserve"> </w:t>
      </w:r>
      <w:r w:rsidR="00976497">
        <w:rPr>
          <w:szCs w:val="22"/>
        </w:rPr>
        <w:t xml:space="preserve"> </w:t>
      </w:r>
      <w:r w:rsidRPr="00557A85">
        <w:rPr>
          <w:szCs w:val="22"/>
        </w:rPr>
        <w:t xml:space="preserve">Petitioner states that </w:t>
      </w:r>
      <w:r w:rsidRPr="00557A85">
        <w:rPr>
          <w:szCs w:val="22"/>
        </w:rPr>
        <w:t xml:space="preserve">there are no non-U.S. holders of Ares Management or the Ares AIVs for which specific approval </w:t>
      </w:r>
      <w:r w:rsidRPr="00557A85" w:rsidR="00CE6605">
        <w:rPr>
          <w:szCs w:val="22"/>
        </w:rPr>
        <w:t xml:space="preserve">under section 1.5001(i) of the rules </w:t>
      </w:r>
      <w:r w:rsidRPr="00557A85">
        <w:rPr>
          <w:szCs w:val="22"/>
        </w:rPr>
        <w:t>is required or sought in the Petition.</w:t>
      </w:r>
      <w:r>
        <w:rPr>
          <w:rStyle w:val="FootnoteReference"/>
          <w:szCs w:val="22"/>
        </w:rPr>
        <w:footnoteReference w:id="44"/>
      </w:r>
    </w:p>
    <w:p w:rsidR="002B211F" w:rsidP="00D9473B">
      <w:pPr>
        <w:autoSpaceDE w:val="0"/>
        <w:autoSpaceDN w:val="0"/>
        <w:adjustRightInd w:val="0"/>
        <w:ind w:firstLine="720"/>
        <w:rPr>
          <w:szCs w:val="22"/>
        </w:rPr>
      </w:pPr>
    </w:p>
    <w:p w:rsidR="0093176B" w:rsidRPr="00557A85" w:rsidP="00557A85">
      <w:pPr>
        <w:autoSpaceDE w:val="0"/>
        <w:autoSpaceDN w:val="0"/>
        <w:adjustRightInd w:val="0"/>
        <w:ind w:firstLine="720"/>
        <w:rPr>
          <w:szCs w:val="22"/>
        </w:rPr>
      </w:pPr>
      <w:r>
        <w:rPr>
          <w:szCs w:val="22"/>
        </w:rPr>
        <w:t xml:space="preserve"> </w:t>
      </w:r>
      <w:r w:rsidR="002F000F">
        <w:rPr>
          <w:szCs w:val="22"/>
        </w:rPr>
        <w:t xml:space="preserve">The </w:t>
      </w:r>
      <w:r>
        <w:rPr>
          <w:szCs w:val="22"/>
        </w:rPr>
        <w:t xml:space="preserve">remaining </w:t>
      </w:r>
      <w:r w:rsidR="002F1F0C">
        <w:rPr>
          <w:szCs w:val="22"/>
        </w:rPr>
        <w:t xml:space="preserve">17.3% </w:t>
      </w:r>
      <w:r>
        <w:rPr>
          <w:szCs w:val="22"/>
        </w:rPr>
        <w:t xml:space="preserve">of Cincinnati Bell’s equity </w:t>
      </w:r>
      <w:r w:rsidR="00CE6605">
        <w:rPr>
          <w:szCs w:val="22"/>
        </w:rPr>
        <w:t xml:space="preserve">investment </w:t>
      </w:r>
      <w:r>
        <w:rPr>
          <w:szCs w:val="22"/>
        </w:rPr>
        <w:t xml:space="preserve">would be held indirectly </w:t>
      </w:r>
      <w:r w:rsidR="00CE6605">
        <w:rPr>
          <w:szCs w:val="22"/>
        </w:rPr>
        <w:t>Rest Nominees No. 2 Pty Limited as trustee for the REST US Infrastructure No. 2 Trust (</w:t>
      </w:r>
      <w:r w:rsidR="004D24DB">
        <w:rPr>
          <w:szCs w:val="22"/>
        </w:rPr>
        <w:t>Rest</w:t>
      </w:r>
      <w:r w:rsidR="00CE6605">
        <w:rPr>
          <w:szCs w:val="22"/>
        </w:rPr>
        <w:t xml:space="preserve"> </w:t>
      </w:r>
      <w:r w:rsidR="004D24DB">
        <w:rPr>
          <w:szCs w:val="22"/>
        </w:rPr>
        <w:t>Immediate Entity).  T</w:t>
      </w:r>
      <w:r w:rsidR="002A7866">
        <w:rPr>
          <w:szCs w:val="22"/>
        </w:rPr>
        <w:t xml:space="preserve">he sole beneficiary of Rest Immediate Entity is REST Nominees No. 1 Pty Ltd, </w:t>
      </w:r>
      <w:r w:rsidR="004D24DB">
        <w:rPr>
          <w:szCs w:val="22"/>
        </w:rPr>
        <w:t xml:space="preserve">as trustee for </w:t>
      </w:r>
      <w:r w:rsidR="002A7866">
        <w:rPr>
          <w:szCs w:val="22"/>
        </w:rPr>
        <w:t>the Rest International Infrastructure Investments Holding Trust (Rest Intermediate Entity</w:t>
      </w:r>
      <w:r w:rsidR="004D24DB">
        <w:rPr>
          <w:szCs w:val="22"/>
        </w:rPr>
        <w:t>).</w:t>
      </w:r>
      <w:r>
        <w:rPr>
          <w:rStyle w:val="FootnoteReference"/>
          <w:szCs w:val="22"/>
        </w:rPr>
        <w:footnoteReference w:id="45"/>
      </w:r>
      <w:r w:rsidR="002A7866">
        <w:rPr>
          <w:szCs w:val="22"/>
        </w:rPr>
        <w:t xml:space="preserve">  The sole beneficiary of the Rest Intermediate Entity is the Retail Employees Superannuation Trust (REST), an Australian </w:t>
      </w:r>
      <w:r w:rsidR="00742E26">
        <w:rPr>
          <w:szCs w:val="22"/>
        </w:rPr>
        <w:t>superannuation fund</w:t>
      </w:r>
      <w:r w:rsidR="002A7866">
        <w:rPr>
          <w:szCs w:val="22"/>
        </w:rPr>
        <w:t xml:space="preserve"> managed by Retail Empl</w:t>
      </w:r>
      <w:r w:rsidR="00253E81">
        <w:rPr>
          <w:szCs w:val="22"/>
        </w:rPr>
        <w:t>oyees Superannuation Pty Ltd</w:t>
      </w:r>
      <w:r w:rsidR="002A7866">
        <w:rPr>
          <w:szCs w:val="22"/>
        </w:rPr>
        <w:t xml:space="preserve"> (Rest Trustee), </w:t>
      </w:r>
      <w:r w:rsidR="004D24DB">
        <w:rPr>
          <w:szCs w:val="22"/>
        </w:rPr>
        <w:t xml:space="preserve">as </w:t>
      </w:r>
      <w:r w:rsidR="002A7866">
        <w:rPr>
          <w:szCs w:val="22"/>
        </w:rPr>
        <w:t>trustee</w:t>
      </w:r>
      <w:r w:rsidR="004D24DB">
        <w:rPr>
          <w:szCs w:val="22"/>
        </w:rPr>
        <w:t xml:space="preserve"> of the fund</w:t>
      </w:r>
      <w:r w:rsidR="002A7866">
        <w:rPr>
          <w:szCs w:val="22"/>
        </w:rPr>
        <w:t>.</w:t>
      </w:r>
      <w:r>
        <w:rPr>
          <w:rStyle w:val="FootnoteReference"/>
          <w:szCs w:val="22"/>
        </w:rPr>
        <w:footnoteReference w:id="46"/>
      </w:r>
      <w:r w:rsidR="00A96247">
        <w:rPr>
          <w:szCs w:val="22"/>
        </w:rPr>
        <w:t xml:space="preserve">  The ultimate beneficial owners of Rest Trustee are Shop, Distributive and Allied Employees’ Association</w:t>
      </w:r>
      <w:r w:rsidR="00253E81">
        <w:rPr>
          <w:szCs w:val="22"/>
        </w:rPr>
        <w:t xml:space="preserve"> (SDA)</w:t>
      </w:r>
      <w:r w:rsidR="00EE6669">
        <w:rPr>
          <w:szCs w:val="22"/>
        </w:rPr>
        <w:t xml:space="preserve">, an </w:t>
      </w:r>
      <w:r w:rsidR="00A96247">
        <w:rPr>
          <w:szCs w:val="22"/>
        </w:rPr>
        <w:t>Australia</w:t>
      </w:r>
      <w:r w:rsidR="00EE6669">
        <w:rPr>
          <w:szCs w:val="22"/>
        </w:rPr>
        <w:t xml:space="preserve"> entity, </w:t>
      </w:r>
      <w:r w:rsidR="00253E81">
        <w:rPr>
          <w:szCs w:val="22"/>
        </w:rPr>
        <w:t xml:space="preserve">with </w:t>
      </w:r>
      <w:r w:rsidRPr="00253E81" w:rsidR="00EE6669">
        <w:rPr>
          <w:szCs w:val="22"/>
        </w:rPr>
        <w:t xml:space="preserve">50% of the </w:t>
      </w:r>
      <w:r w:rsidRPr="00253E81" w:rsidR="00253E81">
        <w:rPr>
          <w:szCs w:val="22"/>
        </w:rPr>
        <w:t xml:space="preserve">beneficial interest in SDA, </w:t>
      </w:r>
      <w:r w:rsidRPr="00253E81" w:rsidR="00EE6669">
        <w:rPr>
          <w:szCs w:val="22"/>
        </w:rPr>
        <w:t>and the following foreign individuals</w:t>
      </w:r>
      <w:r w:rsidR="00253E81">
        <w:rPr>
          <w:szCs w:val="22"/>
        </w:rPr>
        <w:t>,</w:t>
      </w:r>
      <w:r w:rsidRPr="00253E81" w:rsidR="00EE6669">
        <w:rPr>
          <w:szCs w:val="22"/>
        </w:rPr>
        <w:t xml:space="preserve"> </w:t>
      </w:r>
      <w:r w:rsidR="00557A85">
        <w:rPr>
          <w:szCs w:val="22"/>
        </w:rPr>
        <w:t>each with</w:t>
      </w:r>
      <w:r w:rsidR="00253E81">
        <w:rPr>
          <w:szCs w:val="22"/>
        </w:rPr>
        <w:t xml:space="preserve"> </w:t>
      </w:r>
      <w:r w:rsidRPr="00253E81" w:rsidR="00EE6669">
        <w:rPr>
          <w:szCs w:val="22"/>
        </w:rPr>
        <w:t>12.5% of the</w:t>
      </w:r>
      <w:r w:rsidR="00557A85">
        <w:rPr>
          <w:szCs w:val="22"/>
        </w:rPr>
        <w:t xml:space="preserve"> legal and</w:t>
      </w:r>
      <w:r w:rsidRPr="00253E81" w:rsidR="00253E81">
        <w:rPr>
          <w:szCs w:val="22"/>
        </w:rPr>
        <w:t xml:space="preserve"> beneficial interest</w:t>
      </w:r>
      <w:r w:rsidR="00557A85">
        <w:rPr>
          <w:szCs w:val="22"/>
        </w:rPr>
        <w:t>s</w:t>
      </w:r>
      <w:r w:rsidRPr="00253E81" w:rsidR="00253E81">
        <w:rPr>
          <w:szCs w:val="22"/>
        </w:rPr>
        <w:t xml:space="preserve"> </w:t>
      </w:r>
      <w:r w:rsidR="00174884">
        <w:rPr>
          <w:szCs w:val="22"/>
        </w:rPr>
        <w:t>as nominees of employer sponsors</w:t>
      </w:r>
      <w:r w:rsidR="00557A85">
        <w:rPr>
          <w:szCs w:val="22"/>
        </w:rPr>
        <w:t>:</w:t>
      </w:r>
      <w:r w:rsidR="00174884">
        <w:rPr>
          <w:szCs w:val="22"/>
        </w:rPr>
        <w:t xml:space="preserve"> </w:t>
      </w:r>
      <w:r w:rsidR="00A96247">
        <w:rPr>
          <w:szCs w:val="22"/>
        </w:rPr>
        <w:t xml:space="preserve"> Steven Joh</w:t>
      </w:r>
      <w:r w:rsidR="00EE6669">
        <w:rPr>
          <w:szCs w:val="22"/>
        </w:rPr>
        <w:t>n</w:t>
      </w:r>
      <w:r w:rsidR="00A96247">
        <w:rPr>
          <w:szCs w:val="22"/>
        </w:rPr>
        <w:t xml:space="preserve"> Priestly (Australia and United Kingdom), John Vincent Edstein (Australia and United Kingdom), and Sally Louise Evans (Australia and New Zealand).</w:t>
      </w:r>
      <w:r>
        <w:rPr>
          <w:rStyle w:val="FootnoteReference"/>
          <w:szCs w:val="22"/>
        </w:rPr>
        <w:footnoteReference w:id="47"/>
      </w:r>
    </w:p>
    <w:p w:rsidR="00D9473B" w:rsidP="00685022">
      <w:pPr>
        <w:autoSpaceDE w:val="0"/>
        <w:autoSpaceDN w:val="0"/>
        <w:adjustRightInd w:val="0"/>
        <w:ind w:firstLine="720"/>
        <w:rPr>
          <w:szCs w:val="22"/>
          <w:u w:val="single"/>
        </w:rPr>
      </w:pPr>
    </w:p>
    <w:p w:rsidR="00241771" w:rsidRPr="00E651E5" w:rsidP="00CD1B34">
      <w:pPr>
        <w:autoSpaceDE w:val="0"/>
        <w:autoSpaceDN w:val="0"/>
        <w:adjustRightInd w:val="0"/>
        <w:ind w:firstLine="720"/>
        <w:rPr>
          <w:szCs w:val="22"/>
        </w:rPr>
      </w:pPr>
      <w:r w:rsidRPr="00E651E5">
        <w:rPr>
          <w:szCs w:val="22"/>
        </w:rPr>
        <w:t>Pursuant to section 1.5001(i) of the rules, Petitioner requests that the Commission specifically approve foreign equity and/or voting interests that would be held</w:t>
      </w:r>
      <w:r w:rsidR="00394713">
        <w:rPr>
          <w:szCs w:val="22"/>
        </w:rPr>
        <w:t xml:space="preserve"> indirectly</w:t>
      </w:r>
      <w:r w:rsidRPr="00E651E5">
        <w:rPr>
          <w:szCs w:val="22"/>
        </w:rPr>
        <w:t xml:space="preserve"> in Cincinnati Bell upon completion of the proposed transaction by </w:t>
      </w:r>
      <w:r w:rsidR="00394713">
        <w:rPr>
          <w:szCs w:val="22"/>
        </w:rPr>
        <w:t>f</w:t>
      </w:r>
      <w:r w:rsidRPr="00E651E5">
        <w:rPr>
          <w:szCs w:val="22"/>
        </w:rPr>
        <w:t>oreign-organized entities</w:t>
      </w:r>
      <w:r w:rsidRPr="00E651E5" w:rsidR="005939BE">
        <w:rPr>
          <w:szCs w:val="22"/>
        </w:rPr>
        <w:t xml:space="preserve"> </w:t>
      </w:r>
      <w:r w:rsidR="00394713">
        <w:rPr>
          <w:szCs w:val="22"/>
        </w:rPr>
        <w:t>ultimately controlled by MGL at the ownership percentages specified below.  Petitioner also requests, p</w:t>
      </w:r>
      <w:r w:rsidRPr="00E651E5" w:rsidR="00394713">
        <w:rPr>
          <w:szCs w:val="22"/>
        </w:rPr>
        <w:t>ursuant to section 1.5001(</w:t>
      </w:r>
      <w:r w:rsidR="00394713">
        <w:rPr>
          <w:szCs w:val="22"/>
        </w:rPr>
        <w:t>k</w:t>
      </w:r>
      <w:r w:rsidRPr="00E651E5" w:rsidR="00394713">
        <w:rPr>
          <w:szCs w:val="22"/>
        </w:rPr>
        <w:t>) of the rules</w:t>
      </w:r>
      <w:r w:rsidR="00394713">
        <w:rPr>
          <w:szCs w:val="22"/>
        </w:rPr>
        <w:t>, advance approval for all such entities to hold indirect equity and/or voting interests in Cincinnati Bell up to and including 100%.</w:t>
      </w:r>
      <w:r w:rsidRPr="00E651E5" w:rsidR="00CD1B34">
        <w:rPr>
          <w:szCs w:val="22"/>
        </w:rPr>
        <w:t xml:space="preserve"> </w:t>
      </w:r>
    </w:p>
    <w:p w:rsidR="00CD1B34" w:rsidRPr="00E651E5" w:rsidP="00CA536F">
      <w:pPr>
        <w:autoSpaceDE w:val="0"/>
        <w:autoSpaceDN w:val="0"/>
        <w:adjustRightInd w:val="0"/>
        <w:spacing w:before="240"/>
        <w:ind w:firstLine="720"/>
        <w:rPr>
          <w:szCs w:val="22"/>
        </w:rPr>
      </w:pPr>
      <w:r w:rsidRPr="0096507D">
        <w:rPr>
          <w:szCs w:val="22"/>
          <w:u w:val="single"/>
        </w:rPr>
        <w:t>Macquarie Group Limited Entities</w:t>
      </w:r>
      <w:r w:rsidRPr="00E651E5">
        <w:rPr>
          <w:szCs w:val="22"/>
        </w:rPr>
        <w:t>:</w:t>
      </w:r>
    </w:p>
    <w:p w:rsidR="003C6F1A" w:rsidP="004C4740">
      <w:pPr>
        <w:autoSpaceDE w:val="0"/>
        <w:autoSpaceDN w:val="0"/>
        <w:adjustRightInd w:val="0"/>
        <w:ind w:left="720"/>
        <w:rPr>
          <w:szCs w:val="22"/>
        </w:rPr>
      </w:pPr>
      <w:r w:rsidRPr="007E67FE">
        <w:rPr>
          <w:szCs w:val="22"/>
        </w:rPr>
        <w:t>Macquarie Infrastructure and Real Assets Investments Limited (U</w:t>
      </w:r>
      <w:r w:rsidRPr="004C27EA">
        <w:rPr>
          <w:szCs w:val="22"/>
        </w:rPr>
        <w:t>.K.) (5.55% equity, 100% voting);</w:t>
      </w:r>
    </w:p>
    <w:p w:rsidR="007E67FE" w:rsidRPr="003C6F1A" w:rsidP="004C4740">
      <w:pPr>
        <w:autoSpaceDE w:val="0"/>
        <w:autoSpaceDN w:val="0"/>
        <w:adjustRightInd w:val="0"/>
        <w:ind w:left="720"/>
        <w:rPr>
          <w:szCs w:val="22"/>
        </w:rPr>
      </w:pPr>
      <w:r w:rsidRPr="003C6F1A">
        <w:rPr>
          <w:szCs w:val="22"/>
        </w:rPr>
        <w:t>Macquarie International Limited (U.K.) (5.55% equity, 100% voting);</w:t>
      </w:r>
    </w:p>
    <w:p w:rsidR="007E67FE" w:rsidRPr="003C6F1A" w:rsidP="004C4740">
      <w:pPr>
        <w:autoSpaceDE w:val="0"/>
        <w:autoSpaceDN w:val="0"/>
        <w:adjustRightInd w:val="0"/>
        <w:ind w:left="720"/>
        <w:rPr>
          <w:szCs w:val="22"/>
        </w:rPr>
      </w:pPr>
      <w:r w:rsidRPr="003C6F1A">
        <w:rPr>
          <w:szCs w:val="22"/>
        </w:rPr>
        <w:t>Macquarie Asset Management UK Holdings Pty Limited (Australia) (5.55% equity, 100% voting);</w:t>
      </w:r>
    </w:p>
    <w:p w:rsidR="007E67FE" w:rsidRPr="007E67FE" w:rsidP="004C4740">
      <w:pPr>
        <w:autoSpaceDE w:val="0"/>
        <w:autoSpaceDN w:val="0"/>
        <w:adjustRightInd w:val="0"/>
        <w:ind w:left="720"/>
        <w:rPr>
          <w:szCs w:val="22"/>
        </w:rPr>
      </w:pPr>
      <w:r w:rsidRPr="003C6F1A">
        <w:rPr>
          <w:szCs w:val="22"/>
        </w:rPr>
        <w:t>Macquarie Asset Management Holdings Pty Limited (Australia) (5.</w:t>
      </w:r>
      <w:r w:rsidRPr="007E67FE">
        <w:rPr>
          <w:szCs w:val="22"/>
        </w:rPr>
        <w:t xml:space="preserve">55% equity, 100% </w:t>
      </w:r>
      <w:r w:rsidRPr="003C6F1A">
        <w:rPr>
          <w:szCs w:val="22"/>
        </w:rPr>
        <w:t>voting);</w:t>
      </w:r>
    </w:p>
    <w:p w:rsidR="00424253" w:rsidRPr="00E651E5" w:rsidP="004C4740">
      <w:pPr>
        <w:autoSpaceDE w:val="0"/>
        <w:autoSpaceDN w:val="0"/>
        <w:adjustRightInd w:val="0"/>
        <w:ind w:firstLine="720"/>
        <w:rPr>
          <w:szCs w:val="22"/>
        </w:rPr>
      </w:pPr>
      <w:r w:rsidRPr="00E651E5">
        <w:rPr>
          <w:szCs w:val="22"/>
        </w:rPr>
        <w:t xml:space="preserve">MIGS II AIV, L.P. </w:t>
      </w:r>
      <w:r w:rsidRPr="006A733C">
        <w:rPr>
          <w:b/>
          <w:szCs w:val="22"/>
        </w:rPr>
        <w:t>(</w:t>
      </w:r>
      <w:r w:rsidRPr="006A733C" w:rsidR="00F57D5C">
        <w:rPr>
          <w:szCs w:val="22"/>
        </w:rPr>
        <w:t>2</w:t>
      </w:r>
      <w:r w:rsidRPr="006A733C" w:rsidR="00BC77B9">
        <w:rPr>
          <w:szCs w:val="22"/>
        </w:rPr>
        <w:t>.</w:t>
      </w:r>
      <w:r w:rsidRPr="006A733C" w:rsidR="00F57D5C">
        <w:rPr>
          <w:szCs w:val="22"/>
        </w:rPr>
        <w:t>3</w:t>
      </w:r>
      <w:r w:rsidRPr="00E651E5">
        <w:rPr>
          <w:szCs w:val="22"/>
        </w:rPr>
        <w:t>% equity, 100% voting) (Canada);</w:t>
      </w:r>
      <w:r w:rsidR="00666103">
        <w:rPr>
          <w:szCs w:val="22"/>
        </w:rPr>
        <w:t xml:space="preserve"> </w:t>
      </w:r>
    </w:p>
    <w:p w:rsidR="00424253" w:rsidRPr="00E651E5" w:rsidP="004C4740">
      <w:pPr>
        <w:autoSpaceDE w:val="0"/>
        <w:autoSpaceDN w:val="0"/>
        <w:adjustRightInd w:val="0"/>
        <w:rPr>
          <w:szCs w:val="22"/>
        </w:rPr>
      </w:pPr>
      <w:r w:rsidRPr="00E651E5">
        <w:rPr>
          <w:szCs w:val="22"/>
        </w:rPr>
        <w:tab/>
        <w:t>N1 C</w:t>
      </w:r>
      <w:r w:rsidRPr="00E651E5" w:rsidR="00461586">
        <w:rPr>
          <w:szCs w:val="22"/>
        </w:rPr>
        <w:t>o</w:t>
      </w:r>
      <w:r w:rsidRPr="00E651E5">
        <w:rPr>
          <w:szCs w:val="22"/>
        </w:rPr>
        <w:t>-invest, L.P. (</w:t>
      </w:r>
      <w:r w:rsidRPr="006A733C" w:rsidR="00AF0165">
        <w:rPr>
          <w:szCs w:val="22"/>
        </w:rPr>
        <w:t>5</w:t>
      </w:r>
      <w:r w:rsidRPr="006A733C" w:rsidR="00BC77B9">
        <w:rPr>
          <w:szCs w:val="22"/>
        </w:rPr>
        <w:t>.</w:t>
      </w:r>
      <w:r w:rsidRPr="006A733C" w:rsidR="00AF0165">
        <w:rPr>
          <w:szCs w:val="22"/>
        </w:rPr>
        <w:t>18</w:t>
      </w:r>
      <w:r w:rsidRPr="00E651E5">
        <w:rPr>
          <w:szCs w:val="22"/>
        </w:rPr>
        <w:t>% equity, 100% voting) (Canada);</w:t>
      </w:r>
    </w:p>
    <w:p w:rsidR="00424253" w:rsidRPr="00E651E5" w:rsidP="004C4740">
      <w:pPr>
        <w:autoSpaceDE w:val="0"/>
        <w:autoSpaceDN w:val="0"/>
        <w:adjustRightInd w:val="0"/>
        <w:rPr>
          <w:szCs w:val="22"/>
        </w:rPr>
      </w:pPr>
      <w:r w:rsidRPr="00E651E5">
        <w:rPr>
          <w:szCs w:val="22"/>
        </w:rPr>
        <w:tab/>
        <w:t xml:space="preserve">MIP V Direct Partners LP (11.25% equity, 100% voting) (Canada); </w:t>
      </w:r>
    </w:p>
    <w:p w:rsidR="00424253" w:rsidRPr="00E651E5" w:rsidP="004C4740">
      <w:pPr>
        <w:autoSpaceDE w:val="0"/>
        <w:autoSpaceDN w:val="0"/>
        <w:adjustRightInd w:val="0"/>
        <w:rPr>
          <w:szCs w:val="22"/>
        </w:rPr>
      </w:pPr>
      <w:r w:rsidRPr="00E651E5">
        <w:rPr>
          <w:szCs w:val="22"/>
        </w:rPr>
        <w:tab/>
        <w:t xml:space="preserve">MIP V Electing Partners 1 LP (13.5% equity, 100% voting) (Canada); </w:t>
      </w:r>
    </w:p>
    <w:p w:rsidR="00424253" w:rsidRPr="00E651E5" w:rsidP="004C4740">
      <w:pPr>
        <w:autoSpaceDE w:val="0"/>
        <w:autoSpaceDN w:val="0"/>
        <w:adjustRightInd w:val="0"/>
        <w:rPr>
          <w:szCs w:val="22"/>
        </w:rPr>
      </w:pPr>
      <w:r w:rsidRPr="00E651E5">
        <w:rPr>
          <w:szCs w:val="22"/>
        </w:rPr>
        <w:tab/>
        <w:t>MIP V Electing Partners 2 LP (13.5% equity, 100% voting) (Canada);</w:t>
      </w:r>
    </w:p>
    <w:p w:rsidR="00424253" w:rsidRPr="00E651E5" w:rsidP="004C4740">
      <w:pPr>
        <w:autoSpaceDE w:val="0"/>
        <w:autoSpaceDN w:val="0"/>
        <w:adjustRightInd w:val="0"/>
        <w:rPr>
          <w:szCs w:val="22"/>
        </w:rPr>
      </w:pPr>
      <w:r w:rsidRPr="00E651E5">
        <w:rPr>
          <w:szCs w:val="22"/>
        </w:rPr>
        <w:tab/>
        <w:t xml:space="preserve">MIP V Direct EU Partners SCSp (1.35% equity, 100% voting) (Luxembourg); </w:t>
      </w:r>
    </w:p>
    <w:p w:rsidR="00424253" w:rsidRPr="00E651E5" w:rsidP="004C4740">
      <w:pPr>
        <w:autoSpaceDE w:val="0"/>
        <w:autoSpaceDN w:val="0"/>
        <w:adjustRightInd w:val="0"/>
        <w:rPr>
          <w:szCs w:val="22"/>
        </w:rPr>
      </w:pPr>
      <w:r w:rsidRPr="00E651E5">
        <w:rPr>
          <w:szCs w:val="22"/>
        </w:rPr>
        <w:tab/>
        <w:t>MIP V Electing EU Partners SCSp (5.4</w:t>
      </w:r>
      <w:r w:rsidRPr="00E651E5" w:rsidR="00254ECA">
        <w:rPr>
          <w:szCs w:val="22"/>
        </w:rPr>
        <w:t>%</w:t>
      </w:r>
      <w:r w:rsidRPr="00E651E5">
        <w:rPr>
          <w:szCs w:val="22"/>
        </w:rPr>
        <w:t xml:space="preserve"> equity, 100% voting) (Luxembourg); </w:t>
      </w:r>
    </w:p>
    <w:p w:rsidR="003E79E3" w:rsidRPr="00E651E5" w:rsidP="004C4740">
      <w:pPr>
        <w:autoSpaceDE w:val="0"/>
        <w:autoSpaceDN w:val="0"/>
        <w:adjustRightInd w:val="0"/>
        <w:rPr>
          <w:szCs w:val="22"/>
        </w:rPr>
      </w:pPr>
      <w:r w:rsidRPr="00E651E5">
        <w:rPr>
          <w:szCs w:val="22"/>
        </w:rPr>
        <w:tab/>
        <w:t>MIP V Luxembourg GP S.à.r.l. (&lt;5% equity, 100% voting) (Luxembourg);</w:t>
      </w:r>
    </w:p>
    <w:p w:rsidR="003E79E3" w:rsidRPr="00E651E5" w:rsidP="004C4740">
      <w:pPr>
        <w:autoSpaceDE w:val="0"/>
        <w:autoSpaceDN w:val="0"/>
        <w:adjustRightInd w:val="0"/>
        <w:rPr>
          <w:szCs w:val="22"/>
        </w:rPr>
      </w:pPr>
      <w:r w:rsidRPr="00E651E5">
        <w:rPr>
          <w:szCs w:val="22"/>
        </w:rPr>
        <w:tab/>
        <w:t xml:space="preserve">Macquarie Asset Management Europe S.à.r.l. (&lt;5% equity, 100% voting) (Luxembourg); </w:t>
      </w:r>
    </w:p>
    <w:p w:rsidR="00254ECA" w:rsidRPr="00E651E5" w:rsidP="004C4740">
      <w:pPr>
        <w:autoSpaceDE w:val="0"/>
        <w:autoSpaceDN w:val="0"/>
        <w:adjustRightInd w:val="0"/>
        <w:ind w:left="720" w:hanging="720"/>
        <w:rPr>
          <w:szCs w:val="22"/>
        </w:rPr>
      </w:pPr>
      <w:r w:rsidRPr="00E651E5">
        <w:rPr>
          <w:szCs w:val="22"/>
        </w:rPr>
        <w:tab/>
        <w:t>Macquarie Asset Management US Holdings Pty Limited (&lt;5% equity, 100% voting)</w:t>
      </w:r>
      <w:r w:rsidRPr="00E651E5" w:rsidR="00E44776">
        <w:rPr>
          <w:szCs w:val="22"/>
        </w:rPr>
        <w:t xml:space="preserve"> </w:t>
      </w:r>
      <w:r w:rsidRPr="00E651E5">
        <w:rPr>
          <w:szCs w:val="22"/>
        </w:rPr>
        <w:t>(Australia)</w:t>
      </w:r>
    </w:p>
    <w:p w:rsidR="00254ECA" w:rsidRPr="00E651E5" w:rsidP="004C4740">
      <w:pPr>
        <w:autoSpaceDE w:val="0"/>
        <w:autoSpaceDN w:val="0"/>
        <w:adjustRightInd w:val="0"/>
        <w:rPr>
          <w:szCs w:val="22"/>
        </w:rPr>
      </w:pPr>
      <w:r w:rsidRPr="00E651E5">
        <w:rPr>
          <w:szCs w:val="22"/>
        </w:rPr>
        <w:tab/>
        <w:t>Macquarie Corporate Holdings Europe Limited (&lt;5% equity, 100% voting)</w:t>
      </w:r>
      <w:r w:rsidR="006A0E18">
        <w:rPr>
          <w:szCs w:val="22"/>
        </w:rPr>
        <w:t xml:space="preserve"> </w:t>
      </w:r>
      <w:r w:rsidRPr="00E651E5">
        <w:rPr>
          <w:szCs w:val="22"/>
        </w:rPr>
        <w:t>(</w:t>
      </w:r>
      <w:r w:rsidRPr="00E651E5" w:rsidR="00E44776">
        <w:rPr>
          <w:szCs w:val="22"/>
        </w:rPr>
        <w:t>Jersey)</w:t>
      </w:r>
    </w:p>
    <w:p w:rsidR="003E79E3" w:rsidRPr="00E651E5" w:rsidP="004C4740">
      <w:pPr>
        <w:autoSpaceDE w:val="0"/>
        <w:autoSpaceDN w:val="0"/>
        <w:adjustRightInd w:val="0"/>
        <w:rPr>
          <w:szCs w:val="22"/>
        </w:rPr>
      </w:pPr>
      <w:r w:rsidRPr="00E651E5">
        <w:rPr>
          <w:szCs w:val="22"/>
        </w:rPr>
        <w:tab/>
        <w:t xml:space="preserve">Macquarie Equities (US) Holding Pty Limited (&lt;5% equity, 100% voting) (Australia); </w:t>
      </w:r>
    </w:p>
    <w:p w:rsidR="003E79E3" w:rsidRPr="00E651E5" w:rsidP="004C4740">
      <w:pPr>
        <w:autoSpaceDE w:val="0"/>
        <w:autoSpaceDN w:val="0"/>
        <w:adjustRightInd w:val="0"/>
        <w:ind w:firstLine="720"/>
        <w:rPr>
          <w:szCs w:val="22"/>
        </w:rPr>
      </w:pPr>
      <w:r w:rsidRPr="00E651E5">
        <w:rPr>
          <w:szCs w:val="22"/>
        </w:rPr>
        <w:t xml:space="preserve">Macquarie Group (US) Holdings No. 1 Pty Limited (&lt;5% equity, 100% voting) (Australia); </w:t>
      </w:r>
    </w:p>
    <w:p w:rsidR="003E79E3" w:rsidRPr="00E651E5" w:rsidP="004C4740">
      <w:pPr>
        <w:autoSpaceDE w:val="0"/>
        <w:autoSpaceDN w:val="0"/>
        <w:adjustRightInd w:val="0"/>
        <w:ind w:left="720"/>
        <w:rPr>
          <w:szCs w:val="22"/>
        </w:rPr>
      </w:pPr>
      <w:r w:rsidRPr="00E651E5">
        <w:rPr>
          <w:szCs w:val="22"/>
        </w:rPr>
        <w:t xml:space="preserve">Macquarie Corporate International Holdings Pty Limited (&lt;5% equity, 100% voting) (Australia); </w:t>
      </w:r>
    </w:p>
    <w:p w:rsidR="003E79E3" w:rsidRPr="00E651E5" w:rsidP="004C4740">
      <w:pPr>
        <w:autoSpaceDE w:val="0"/>
        <w:autoSpaceDN w:val="0"/>
        <w:adjustRightInd w:val="0"/>
        <w:ind w:left="720"/>
        <w:rPr>
          <w:szCs w:val="22"/>
        </w:rPr>
      </w:pPr>
      <w:r w:rsidRPr="00E651E5">
        <w:rPr>
          <w:szCs w:val="22"/>
        </w:rPr>
        <w:t xml:space="preserve">Macquarie Corporate Holdings Pty Limited (&lt;5% equity, 100% voting) (Australia); </w:t>
      </w:r>
    </w:p>
    <w:p w:rsidR="003E79E3" w:rsidRPr="00E651E5" w:rsidP="004C4740">
      <w:pPr>
        <w:autoSpaceDE w:val="0"/>
        <w:autoSpaceDN w:val="0"/>
        <w:adjustRightInd w:val="0"/>
        <w:ind w:left="720"/>
        <w:rPr>
          <w:szCs w:val="22"/>
        </w:rPr>
      </w:pPr>
      <w:r w:rsidRPr="00E651E5">
        <w:rPr>
          <w:szCs w:val="22"/>
        </w:rPr>
        <w:t>Macquarie Financial Holdings Pty Limited (&lt;5% equity, 100% voting) (Australia);</w:t>
      </w:r>
      <w:r w:rsidR="00394713">
        <w:rPr>
          <w:szCs w:val="22"/>
        </w:rPr>
        <w:t xml:space="preserve"> and </w:t>
      </w:r>
    </w:p>
    <w:p w:rsidR="00394713" w:rsidP="004C4740">
      <w:pPr>
        <w:autoSpaceDE w:val="0"/>
        <w:autoSpaceDN w:val="0"/>
        <w:adjustRightInd w:val="0"/>
        <w:ind w:left="720"/>
        <w:rPr>
          <w:szCs w:val="22"/>
        </w:rPr>
      </w:pPr>
      <w:r w:rsidRPr="00E651E5">
        <w:rPr>
          <w:szCs w:val="22"/>
        </w:rPr>
        <w:t>Macquarie Group Limited (&lt;5% equity, 100% voting) (Australia)</w:t>
      </w:r>
      <w:r>
        <w:rPr>
          <w:szCs w:val="22"/>
        </w:rPr>
        <w:t>.</w:t>
      </w:r>
    </w:p>
    <w:p w:rsidR="00651297" w:rsidP="00651297">
      <w:pPr>
        <w:autoSpaceDE w:val="0"/>
        <w:autoSpaceDN w:val="0"/>
        <w:adjustRightInd w:val="0"/>
        <w:ind w:firstLine="720"/>
        <w:rPr>
          <w:szCs w:val="22"/>
        </w:rPr>
      </w:pPr>
    </w:p>
    <w:p w:rsidR="003E79E3" w:rsidRPr="00E651E5" w:rsidP="00651297">
      <w:pPr>
        <w:autoSpaceDE w:val="0"/>
        <w:autoSpaceDN w:val="0"/>
        <w:adjustRightInd w:val="0"/>
        <w:ind w:firstLine="720"/>
        <w:rPr>
          <w:szCs w:val="22"/>
        </w:rPr>
      </w:pPr>
      <w:r>
        <w:rPr>
          <w:szCs w:val="22"/>
        </w:rPr>
        <w:t>In addition, p</w:t>
      </w:r>
      <w:r w:rsidRPr="00E651E5" w:rsidR="00394713">
        <w:rPr>
          <w:szCs w:val="22"/>
        </w:rPr>
        <w:t>ursuant to section 1.5001(i) of the rules, Petitioner requests that the Commission specifically approve foreign equity and/or voting interests that would be held</w:t>
      </w:r>
      <w:r w:rsidR="00394713">
        <w:rPr>
          <w:szCs w:val="22"/>
        </w:rPr>
        <w:t xml:space="preserve"> indirectly</w:t>
      </w:r>
      <w:r w:rsidRPr="00E651E5" w:rsidR="00394713">
        <w:rPr>
          <w:szCs w:val="22"/>
        </w:rPr>
        <w:t xml:space="preserve"> in Cincinnati Bell upon completion of the proposed transaction by </w:t>
      </w:r>
      <w:r w:rsidR="00394713">
        <w:rPr>
          <w:szCs w:val="22"/>
        </w:rPr>
        <w:t>f</w:t>
      </w:r>
      <w:r w:rsidRPr="00E651E5" w:rsidR="00394713">
        <w:rPr>
          <w:szCs w:val="22"/>
        </w:rPr>
        <w:t>oreign-organized entities</w:t>
      </w:r>
      <w:r w:rsidR="00394713">
        <w:rPr>
          <w:szCs w:val="22"/>
        </w:rPr>
        <w:t xml:space="preserve"> </w:t>
      </w:r>
      <w:r w:rsidR="002D5FEB">
        <w:rPr>
          <w:szCs w:val="22"/>
        </w:rPr>
        <w:t xml:space="preserve">and foreign individuals that would hold equity and/or voting interests through REST US Infrastructure No. 2 Trust </w:t>
      </w:r>
      <w:r w:rsidR="00394713">
        <w:rPr>
          <w:szCs w:val="22"/>
        </w:rPr>
        <w:t xml:space="preserve">at the ownership percentages specified below.  </w:t>
      </w:r>
      <w:r w:rsidRPr="00E651E5" w:rsidR="002D5FEB">
        <w:rPr>
          <w:szCs w:val="22"/>
        </w:rPr>
        <w:t>Petitioner also seeks advance approval, pursuant to section 1.5001(k), for each REST entit</w:t>
      </w:r>
      <w:r w:rsidR="002D5FEB">
        <w:rPr>
          <w:szCs w:val="22"/>
        </w:rPr>
        <w:t>y</w:t>
      </w:r>
      <w:r w:rsidRPr="00E651E5" w:rsidR="002D5FEB">
        <w:rPr>
          <w:szCs w:val="22"/>
        </w:rPr>
        <w:t xml:space="preserve"> to increase </w:t>
      </w:r>
      <w:r w:rsidR="002D5FEB">
        <w:rPr>
          <w:szCs w:val="22"/>
        </w:rPr>
        <w:t xml:space="preserve">its </w:t>
      </w:r>
      <w:r w:rsidRPr="00E651E5" w:rsidR="002D5FEB">
        <w:rPr>
          <w:szCs w:val="22"/>
        </w:rPr>
        <w:t>indirect equity and/or voting interests in Cincinnati Bell up to a 49.99% non-controlling interest</w:t>
      </w:r>
      <w:r w:rsidR="00394713">
        <w:rPr>
          <w:szCs w:val="22"/>
        </w:rPr>
        <w:t>.</w:t>
      </w:r>
      <w:r w:rsidRPr="00E651E5" w:rsidR="00394713">
        <w:rPr>
          <w:szCs w:val="22"/>
        </w:rPr>
        <w:t xml:space="preserve"> </w:t>
      </w:r>
      <w:r w:rsidRPr="00E651E5">
        <w:rPr>
          <w:szCs w:val="22"/>
        </w:rPr>
        <w:t xml:space="preserve"> </w:t>
      </w:r>
    </w:p>
    <w:p w:rsidR="00CD1B34" w:rsidRPr="00E651E5" w:rsidP="003E79E3">
      <w:pPr>
        <w:autoSpaceDE w:val="0"/>
        <w:autoSpaceDN w:val="0"/>
        <w:adjustRightInd w:val="0"/>
        <w:spacing w:before="240"/>
        <w:ind w:left="720"/>
        <w:rPr>
          <w:szCs w:val="22"/>
        </w:rPr>
      </w:pPr>
      <w:r w:rsidRPr="0096507D">
        <w:rPr>
          <w:szCs w:val="22"/>
          <w:u w:val="single"/>
        </w:rPr>
        <w:t>REST Entities</w:t>
      </w:r>
      <w:r w:rsidRPr="00E651E5" w:rsidR="00F165A6">
        <w:rPr>
          <w:szCs w:val="22"/>
        </w:rPr>
        <w:t>:</w:t>
      </w:r>
    </w:p>
    <w:p w:rsidR="005939BE" w:rsidRPr="00E651E5" w:rsidP="004C4740">
      <w:pPr>
        <w:autoSpaceDE w:val="0"/>
        <w:autoSpaceDN w:val="0"/>
        <w:adjustRightInd w:val="0"/>
        <w:ind w:left="720"/>
        <w:rPr>
          <w:szCs w:val="22"/>
        </w:rPr>
      </w:pPr>
      <w:r w:rsidRPr="00E651E5">
        <w:rPr>
          <w:szCs w:val="22"/>
        </w:rPr>
        <w:t>REST Nominees No. 2 Pty Ltd (17.3% equity, 10% voting) (Australia);</w:t>
      </w:r>
    </w:p>
    <w:p w:rsidR="005939BE" w:rsidRPr="00E651E5" w:rsidP="004C4740">
      <w:pPr>
        <w:autoSpaceDE w:val="0"/>
        <w:autoSpaceDN w:val="0"/>
        <w:adjustRightInd w:val="0"/>
        <w:ind w:left="720"/>
        <w:rPr>
          <w:szCs w:val="22"/>
        </w:rPr>
      </w:pPr>
      <w:r w:rsidRPr="00E651E5">
        <w:rPr>
          <w:szCs w:val="22"/>
        </w:rPr>
        <w:t>REST International Infrastructure Investments Holding Trust (17.3%, 10% voting) (Australia);</w:t>
      </w:r>
    </w:p>
    <w:p w:rsidR="005939BE" w:rsidRPr="00E651E5" w:rsidP="004C4740">
      <w:pPr>
        <w:autoSpaceDE w:val="0"/>
        <w:autoSpaceDN w:val="0"/>
        <w:adjustRightInd w:val="0"/>
        <w:ind w:left="720"/>
        <w:rPr>
          <w:szCs w:val="22"/>
        </w:rPr>
      </w:pPr>
      <w:r w:rsidRPr="00E651E5">
        <w:rPr>
          <w:szCs w:val="22"/>
        </w:rPr>
        <w:t>REST Nominees No. 1 Pty Ltd (17.3% equity, 10% voting) (Australia);</w:t>
      </w:r>
    </w:p>
    <w:p w:rsidR="005939BE" w:rsidRPr="00E651E5" w:rsidP="004C4740">
      <w:pPr>
        <w:autoSpaceDE w:val="0"/>
        <w:autoSpaceDN w:val="0"/>
        <w:adjustRightInd w:val="0"/>
        <w:ind w:left="720"/>
        <w:rPr>
          <w:szCs w:val="22"/>
        </w:rPr>
      </w:pPr>
      <w:r w:rsidRPr="00E651E5">
        <w:rPr>
          <w:szCs w:val="22"/>
        </w:rPr>
        <w:t xml:space="preserve">Retail Employees Superannuation Pty Ltd </w:t>
      </w:r>
      <w:r w:rsidR="005508E4">
        <w:rPr>
          <w:szCs w:val="22"/>
        </w:rPr>
        <w:t xml:space="preserve">(REST Trustee) </w:t>
      </w:r>
      <w:r w:rsidRPr="00E651E5" w:rsidR="00095BE7">
        <w:rPr>
          <w:szCs w:val="22"/>
        </w:rPr>
        <w:t>(17.3% equity, 10% voting) (Australia);</w:t>
      </w:r>
    </w:p>
    <w:p w:rsidR="00095BE7" w:rsidRPr="00E651E5" w:rsidP="004C4740">
      <w:pPr>
        <w:autoSpaceDE w:val="0"/>
        <w:autoSpaceDN w:val="0"/>
        <w:adjustRightInd w:val="0"/>
        <w:ind w:left="720"/>
        <w:rPr>
          <w:szCs w:val="22"/>
        </w:rPr>
      </w:pPr>
      <w:r w:rsidRPr="00E651E5">
        <w:rPr>
          <w:szCs w:val="22"/>
        </w:rPr>
        <w:t xml:space="preserve">Retail Employees Superannuation Trust </w:t>
      </w:r>
      <w:r w:rsidR="005508E4">
        <w:rPr>
          <w:szCs w:val="22"/>
        </w:rPr>
        <w:t xml:space="preserve">(REST) </w:t>
      </w:r>
      <w:r w:rsidRPr="006326A3">
        <w:rPr>
          <w:b/>
          <w:szCs w:val="22"/>
        </w:rPr>
        <w:t>(</w:t>
      </w:r>
      <w:r w:rsidRPr="00E651E5">
        <w:rPr>
          <w:szCs w:val="22"/>
        </w:rPr>
        <w:t>17.3% equity, 10% voting) (Australia);</w:t>
      </w:r>
      <w:r w:rsidR="00BF5D06">
        <w:rPr>
          <w:szCs w:val="22"/>
        </w:rPr>
        <w:t xml:space="preserve"> and </w:t>
      </w:r>
    </w:p>
    <w:p w:rsidR="009B705D" w:rsidP="004C4740">
      <w:pPr>
        <w:autoSpaceDE w:val="0"/>
        <w:autoSpaceDN w:val="0"/>
        <w:adjustRightInd w:val="0"/>
        <w:ind w:left="720"/>
        <w:rPr>
          <w:szCs w:val="22"/>
        </w:rPr>
      </w:pPr>
      <w:r w:rsidRPr="00E651E5">
        <w:rPr>
          <w:szCs w:val="22"/>
        </w:rPr>
        <w:t xml:space="preserve">Shop, Distributive and Allied Employees’ Association </w:t>
      </w:r>
      <w:r w:rsidR="006326A3">
        <w:rPr>
          <w:szCs w:val="22"/>
        </w:rPr>
        <w:t xml:space="preserve">(SDA) </w:t>
      </w:r>
      <w:r w:rsidRPr="00E651E5">
        <w:rPr>
          <w:szCs w:val="22"/>
        </w:rPr>
        <w:t>(</w:t>
      </w:r>
      <w:r w:rsidRPr="00E651E5" w:rsidR="001E580B">
        <w:rPr>
          <w:szCs w:val="22"/>
        </w:rPr>
        <w:t>8.65</w:t>
      </w:r>
      <w:r w:rsidRPr="00E651E5" w:rsidR="000A6052">
        <w:rPr>
          <w:szCs w:val="22"/>
        </w:rPr>
        <w:t xml:space="preserve">% </w:t>
      </w:r>
      <w:r w:rsidRPr="00E651E5">
        <w:rPr>
          <w:szCs w:val="22"/>
        </w:rPr>
        <w:t>equity, 0% voting) (Australia)</w:t>
      </w:r>
      <w:r w:rsidR="00BF5D06">
        <w:rPr>
          <w:szCs w:val="22"/>
        </w:rPr>
        <w:t>.</w:t>
      </w:r>
    </w:p>
    <w:p w:rsidR="00651297" w:rsidP="00651297">
      <w:pPr>
        <w:autoSpaceDE w:val="0"/>
        <w:autoSpaceDN w:val="0"/>
        <w:adjustRightInd w:val="0"/>
        <w:ind w:firstLine="720"/>
        <w:rPr>
          <w:szCs w:val="22"/>
        </w:rPr>
      </w:pPr>
    </w:p>
    <w:p w:rsidR="00222727" w:rsidP="00651297">
      <w:pPr>
        <w:autoSpaceDE w:val="0"/>
        <w:autoSpaceDN w:val="0"/>
        <w:adjustRightInd w:val="0"/>
        <w:ind w:firstLine="720"/>
        <w:rPr>
          <w:szCs w:val="22"/>
        </w:rPr>
      </w:pPr>
      <w:r>
        <w:rPr>
          <w:szCs w:val="22"/>
        </w:rPr>
        <w:t>The ultimate beneficial owners of</w:t>
      </w:r>
      <w:r w:rsidR="005508E4">
        <w:rPr>
          <w:szCs w:val="22"/>
        </w:rPr>
        <w:t xml:space="preserve"> REST Trustee</w:t>
      </w:r>
      <w:r>
        <w:rPr>
          <w:szCs w:val="22"/>
        </w:rPr>
        <w:t xml:space="preserve">, as trustee of </w:t>
      </w:r>
      <w:r w:rsidR="005508E4">
        <w:rPr>
          <w:szCs w:val="22"/>
        </w:rPr>
        <w:t xml:space="preserve">REST, are </w:t>
      </w:r>
      <w:r>
        <w:rPr>
          <w:szCs w:val="22"/>
        </w:rPr>
        <w:t>SDA</w:t>
      </w:r>
      <w:r w:rsidR="005508E4">
        <w:rPr>
          <w:szCs w:val="22"/>
        </w:rPr>
        <w:t xml:space="preserve"> (50%)</w:t>
      </w:r>
      <w:r w:rsidR="00BF5D06">
        <w:rPr>
          <w:szCs w:val="22"/>
        </w:rPr>
        <w:t xml:space="preserve"> and </w:t>
      </w:r>
      <w:r w:rsidR="009B705D">
        <w:rPr>
          <w:szCs w:val="22"/>
        </w:rPr>
        <w:t xml:space="preserve">the following </w:t>
      </w:r>
      <w:r w:rsidR="00557A85">
        <w:rPr>
          <w:szCs w:val="22"/>
        </w:rPr>
        <w:t xml:space="preserve">four </w:t>
      </w:r>
      <w:r w:rsidR="00DF6B35">
        <w:rPr>
          <w:szCs w:val="22"/>
        </w:rPr>
        <w:t xml:space="preserve">non-U.S. </w:t>
      </w:r>
      <w:r w:rsidR="00BF5D06">
        <w:rPr>
          <w:szCs w:val="22"/>
        </w:rPr>
        <w:t xml:space="preserve">individuals which </w:t>
      </w:r>
      <w:r w:rsidR="00557A85">
        <w:rPr>
          <w:szCs w:val="22"/>
        </w:rPr>
        <w:t xml:space="preserve">each </w:t>
      </w:r>
      <w:r w:rsidR="009B705D">
        <w:rPr>
          <w:szCs w:val="22"/>
        </w:rPr>
        <w:t>hold legal and benefi</w:t>
      </w:r>
      <w:r w:rsidR="00BF5D06">
        <w:rPr>
          <w:szCs w:val="22"/>
        </w:rPr>
        <w:t xml:space="preserve">cial ownership interests </w:t>
      </w:r>
      <w:r w:rsidR="00DF6B35">
        <w:rPr>
          <w:szCs w:val="22"/>
        </w:rPr>
        <w:t xml:space="preserve">(12.5%) in REST Trustee </w:t>
      </w:r>
      <w:r w:rsidR="00BF5D06">
        <w:rPr>
          <w:szCs w:val="22"/>
        </w:rPr>
        <w:t>as nominees of REST employer sponsors</w:t>
      </w:r>
      <w:r w:rsidR="00557A85">
        <w:rPr>
          <w:szCs w:val="22"/>
        </w:rPr>
        <w:t>:</w:t>
      </w:r>
      <w:r w:rsidR="00731F2F">
        <w:rPr>
          <w:szCs w:val="22"/>
        </w:rPr>
        <w:t xml:space="preserve">  </w:t>
      </w:r>
      <w:r w:rsidRPr="00E651E5" w:rsidR="005508E4">
        <w:rPr>
          <w:szCs w:val="22"/>
        </w:rPr>
        <w:t>Steven John Priestly (Australia and United Kingdom);</w:t>
      </w:r>
      <w:r w:rsidR="00731F2F">
        <w:rPr>
          <w:szCs w:val="22"/>
        </w:rPr>
        <w:t xml:space="preserve"> </w:t>
      </w:r>
      <w:r w:rsidRPr="00E651E5" w:rsidR="00095BE7">
        <w:rPr>
          <w:szCs w:val="22"/>
        </w:rPr>
        <w:t>Joh</w:t>
      </w:r>
      <w:r w:rsidR="0063296E">
        <w:rPr>
          <w:szCs w:val="22"/>
        </w:rPr>
        <w:t>n</w:t>
      </w:r>
      <w:r w:rsidRPr="00E651E5" w:rsidR="00095BE7">
        <w:rPr>
          <w:szCs w:val="22"/>
        </w:rPr>
        <w:t xml:space="preserve"> Vincent Edstein (Australia);</w:t>
      </w:r>
      <w:r w:rsidR="00731F2F">
        <w:rPr>
          <w:szCs w:val="22"/>
        </w:rPr>
        <w:t xml:space="preserve"> </w:t>
      </w:r>
      <w:r w:rsidRPr="00E651E5" w:rsidR="00095BE7">
        <w:rPr>
          <w:szCs w:val="22"/>
        </w:rPr>
        <w:t>Vaughn Nigel Richtor (Australia and United Kingdom); and</w:t>
      </w:r>
      <w:r w:rsidR="00731F2F">
        <w:rPr>
          <w:szCs w:val="22"/>
        </w:rPr>
        <w:t xml:space="preserve"> </w:t>
      </w:r>
      <w:r w:rsidRPr="00E651E5" w:rsidR="00095BE7">
        <w:rPr>
          <w:szCs w:val="22"/>
        </w:rPr>
        <w:t>Sally Louise Evans (Australia and New Zealand).</w:t>
      </w:r>
    </w:p>
    <w:p w:rsidR="00651297" w:rsidP="00651297">
      <w:pPr>
        <w:autoSpaceDE w:val="0"/>
        <w:autoSpaceDN w:val="0"/>
        <w:adjustRightInd w:val="0"/>
        <w:ind w:firstLine="720"/>
        <w:rPr>
          <w:szCs w:val="22"/>
        </w:rPr>
      </w:pPr>
    </w:p>
    <w:p w:rsidR="00731F2F" w:rsidP="00CB7798">
      <w:pPr>
        <w:autoSpaceDE w:val="0"/>
        <w:autoSpaceDN w:val="0"/>
        <w:adjustRightInd w:val="0"/>
        <w:ind w:firstLine="720"/>
        <w:rPr>
          <w:szCs w:val="22"/>
        </w:rPr>
      </w:pPr>
      <w:r>
        <w:rPr>
          <w:szCs w:val="22"/>
        </w:rPr>
        <w:t>The following f</w:t>
      </w:r>
      <w:r w:rsidR="009B705D">
        <w:rPr>
          <w:szCs w:val="22"/>
        </w:rPr>
        <w:t>our citizens of Australia each legally hold SDA’s 50% interest in REST Trustee for the benefit of and as nominees of SDA, which is a REST member sponsor</w:t>
      </w:r>
      <w:r>
        <w:rPr>
          <w:szCs w:val="22"/>
        </w:rPr>
        <w:t>: Ian John Blandthorn;</w:t>
      </w:r>
      <w:r w:rsidR="009B705D">
        <w:rPr>
          <w:szCs w:val="22"/>
        </w:rPr>
        <w:t xml:space="preserve"> </w:t>
      </w:r>
      <w:r>
        <w:rPr>
          <w:szCs w:val="22"/>
        </w:rPr>
        <w:t>Michael Ward Tehan; Adam Neil Walk</w:t>
      </w:r>
      <w:r w:rsidR="00F24916">
        <w:rPr>
          <w:szCs w:val="22"/>
        </w:rPr>
        <w:t>;</w:t>
      </w:r>
      <w:r>
        <w:rPr>
          <w:szCs w:val="22"/>
        </w:rPr>
        <w:t xml:space="preserve"> and Julia Fox.</w:t>
      </w:r>
    </w:p>
    <w:p w:rsidR="00395FC7" w:rsidP="00651297">
      <w:pPr>
        <w:autoSpaceDE w:val="0"/>
        <w:autoSpaceDN w:val="0"/>
        <w:adjustRightInd w:val="0"/>
        <w:ind w:firstLine="720"/>
        <w:rPr>
          <w:szCs w:val="22"/>
        </w:rPr>
      </w:pPr>
    </w:p>
    <w:p w:rsidR="00395FC7" w:rsidRPr="00E651E5" w:rsidP="00395FC7">
      <w:pPr>
        <w:autoSpaceDE w:val="0"/>
        <w:autoSpaceDN w:val="0"/>
        <w:adjustRightInd w:val="0"/>
        <w:ind w:firstLine="720"/>
        <w:rPr>
          <w:szCs w:val="22"/>
        </w:rPr>
      </w:pPr>
      <w:r w:rsidRPr="00F94C14">
        <w:rPr>
          <w:rFonts w:ascii="TimesNewRomanPSMT" w:hAnsi="TimesNewRomanPSMT" w:cs="TimesNewRomanPSMT"/>
          <w:szCs w:val="22"/>
          <w:u w:val="single"/>
        </w:rPr>
        <w:t>Referral to Executive Branch Agencies</w:t>
      </w:r>
      <w:r>
        <w:rPr>
          <w:rFonts w:ascii="TimesNewRomanPSMT" w:hAnsi="TimesNewRomanPSMT" w:cs="TimesNewRomanPSMT"/>
          <w:szCs w:val="22"/>
        </w:rPr>
        <w:t xml:space="preserve">. </w:t>
      </w:r>
      <w:r w:rsidR="008A1D00">
        <w:rPr>
          <w:rFonts w:ascii="TimesNewRomanPSMT" w:hAnsi="TimesNewRomanPSMT" w:cs="TimesNewRomanPSMT"/>
          <w:szCs w:val="22"/>
        </w:rPr>
        <w:t xml:space="preserve"> </w:t>
      </w:r>
      <w:r>
        <w:rPr>
          <w:rFonts w:ascii="TimesNewRomanPSMT" w:hAnsi="TimesNewRomanPSMT" w:cs="TimesNewRomanPSMT"/>
          <w:szCs w:val="22"/>
        </w:rPr>
        <w:t>Through this Public Notice, pursuant to Commission practice, these applications are being referred to the relevant Executive Branch agencies for their views on any national security, law enforcement, foreign policy or trade policy concerns related to the foreign ownership of the Applicants.</w:t>
      </w:r>
      <w:r>
        <w:rPr>
          <w:rStyle w:val="FootnoteReference"/>
          <w:rFonts w:ascii="TimesNewRomanPSMT" w:hAnsi="TimesNewRomanPSMT" w:cs="TimesNewRomanPSMT"/>
          <w:szCs w:val="22"/>
        </w:rPr>
        <w:footnoteReference w:id="48"/>
      </w:r>
    </w:p>
    <w:p w:rsidR="00FE2A23" w:rsidRPr="00E651E5" w:rsidP="00FD3EDA">
      <w:pPr>
        <w:autoSpaceDE w:val="0"/>
        <w:autoSpaceDN w:val="0"/>
        <w:adjustRightInd w:val="0"/>
        <w:ind w:firstLine="720"/>
        <w:rPr>
          <w:szCs w:val="22"/>
        </w:rPr>
      </w:pPr>
    </w:p>
    <w:p w:rsidR="008A1D00" w:rsidP="004E75F5">
      <w:pPr>
        <w:autoSpaceDE w:val="0"/>
        <w:autoSpaceDN w:val="0"/>
        <w:adjustRightInd w:val="0"/>
        <w:rPr>
          <w:b/>
          <w:color w:val="000000"/>
          <w:szCs w:val="22"/>
          <w:u w:val="single"/>
        </w:rPr>
      </w:pPr>
    </w:p>
    <w:p w:rsidR="0009631D" w:rsidRPr="004E75F5" w:rsidP="004E75F5">
      <w:pPr>
        <w:autoSpaceDE w:val="0"/>
        <w:autoSpaceDN w:val="0"/>
        <w:adjustRightInd w:val="0"/>
        <w:rPr>
          <w:szCs w:val="22"/>
        </w:rPr>
      </w:pPr>
      <w:r w:rsidRPr="0009631D">
        <w:rPr>
          <w:b/>
          <w:color w:val="000000"/>
          <w:szCs w:val="22"/>
          <w:u w:val="single"/>
        </w:rPr>
        <w:t>GENERAL INFORMATION</w:t>
      </w:r>
    </w:p>
    <w:p w:rsidR="0009631D" w:rsidRPr="0009631D" w:rsidP="0009631D">
      <w:pPr>
        <w:rPr>
          <w:color w:val="000000"/>
          <w:szCs w:val="22"/>
        </w:rPr>
      </w:pPr>
    </w:p>
    <w:p w:rsidR="0009631D" w:rsidRPr="0009631D" w:rsidP="0009631D">
      <w:pPr>
        <w:ind w:firstLine="720"/>
        <w:rPr>
          <w:color w:val="000000"/>
          <w:szCs w:val="22"/>
        </w:rPr>
      </w:pPr>
      <w:r w:rsidRPr="0009631D">
        <w:rPr>
          <w:color w:val="000000"/>
          <w:szCs w:val="22"/>
        </w:rPr>
        <w:t>The application</w:t>
      </w:r>
      <w:r w:rsidR="00585942">
        <w:rPr>
          <w:color w:val="000000"/>
          <w:szCs w:val="22"/>
        </w:rPr>
        <w:t>s</w:t>
      </w:r>
      <w:r w:rsidRPr="0009631D">
        <w:rPr>
          <w:color w:val="000000"/>
          <w:szCs w:val="22"/>
        </w:rPr>
        <w:t xml:space="preserve"> identified herein ha</w:t>
      </w:r>
      <w:r w:rsidR="00585942">
        <w:rPr>
          <w:color w:val="000000"/>
          <w:szCs w:val="22"/>
        </w:rPr>
        <w:t>ve</w:t>
      </w:r>
      <w:r w:rsidRPr="0009631D">
        <w:rPr>
          <w:color w:val="000000"/>
          <w:szCs w:val="22"/>
        </w:rPr>
        <w:t xml:space="preserve"> been found, upon initial review, to be acceptable for filing.  The Commission reserves the right to return any application if, upon further examination, it is determined to be defective and not in conformance with the Commission’s rules and policies.  </w:t>
      </w:r>
    </w:p>
    <w:p w:rsidR="0009631D" w:rsidRPr="0009631D" w:rsidP="0009631D">
      <w:pPr>
        <w:rPr>
          <w:color w:val="000000"/>
          <w:szCs w:val="22"/>
        </w:rPr>
      </w:pPr>
    </w:p>
    <w:p w:rsidR="0009631D" w:rsidRPr="0009631D" w:rsidP="0009631D">
      <w:pPr>
        <w:ind w:firstLine="360"/>
        <w:rPr>
          <w:color w:val="000000"/>
          <w:szCs w:val="22"/>
        </w:rPr>
      </w:pPr>
      <w:r w:rsidRPr="0009631D">
        <w:rPr>
          <w:color w:val="000000"/>
          <w:szCs w:val="22"/>
        </w:rPr>
        <w:t xml:space="preserve">Interested parties may file comments and </w:t>
      </w:r>
      <w:r w:rsidRPr="00AF1348">
        <w:rPr>
          <w:color w:val="000000"/>
          <w:szCs w:val="22"/>
        </w:rPr>
        <w:t xml:space="preserve">petitions </w:t>
      </w:r>
      <w:r w:rsidRPr="00AF1348">
        <w:rPr>
          <w:b/>
          <w:color w:val="000000"/>
          <w:szCs w:val="22"/>
        </w:rPr>
        <w:t>on or</w:t>
      </w:r>
      <w:r w:rsidRPr="00AF1348">
        <w:rPr>
          <w:color w:val="000000"/>
          <w:szCs w:val="22"/>
        </w:rPr>
        <w:t xml:space="preserve"> </w:t>
      </w:r>
      <w:r w:rsidRPr="00AF1348">
        <w:rPr>
          <w:b/>
          <w:color w:val="000000"/>
          <w:szCs w:val="22"/>
        </w:rPr>
        <w:t xml:space="preserve">before </w:t>
      </w:r>
      <w:r w:rsidR="008A1D00">
        <w:rPr>
          <w:b/>
          <w:color w:val="000000"/>
          <w:szCs w:val="22"/>
        </w:rPr>
        <w:t>November 9</w:t>
      </w:r>
      <w:r w:rsidRPr="00AF1348">
        <w:rPr>
          <w:b/>
          <w:color w:val="000000"/>
          <w:szCs w:val="22"/>
        </w:rPr>
        <w:t>, 20</w:t>
      </w:r>
      <w:r w:rsidR="00552C0F">
        <w:rPr>
          <w:b/>
          <w:color w:val="000000"/>
          <w:szCs w:val="22"/>
        </w:rPr>
        <w:t>20</w:t>
      </w:r>
      <w:r w:rsidRPr="0009631D">
        <w:rPr>
          <w:b/>
          <w:color w:val="000000"/>
          <w:szCs w:val="22"/>
        </w:rPr>
        <w:t>,</w:t>
      </w:r>
      <w:r w:rsidRPr="0009631D">
        <w:rPr>
          <w:color w:val="000000"/>
          <w:szCs w:val="22"/>
        </w:rPr>
        <w:t xml:space="preserve"> and</w:t>
      </w:r>
      <w:r w:rsidRPr="0009631D">
        <w:rPr>
          <w:color w:val="000000"/>
          <w:szCs w:val="22"/>
        </w:rPr>
        <w:t xml:space="preserve"> reply comments or oppositions to </w:t>
      </w:r>
      <w:r w:rsidRPr="00AF1348">
        <w:rPr>
          <w:color w:val="000000"/>
          <w:szCs w:val="22"/>
        </w:rPr>
        <w:t xml:space="preserve">petitions </w:t>
      </w:r>
      <w:r w:rsidRPr="00AF1348">
        <w:rPr>
          <w:b/>
          <w:color w:val="000000"/>
          <w:szCs w:val="22"/>
        </w:rPr>
        <w:t xml:space="preserve">on or before </w:t>
      </w:r>
      <w:r w:rsidR="008A1D00">
        <w:rPr>
          <w:b/>
          <w:color w:val="000000"/>
          <w:szCs w:val="22"/>
        </w:rPr>
        <w:t>November 24</w:t>
      </w:r>
      <w:r w:rsidRPr="00AF1348">
        <w:rPr>
          <w:b/>
          <w:color w:val="000000"/>
          <w:szCs w:val="22"/>
        </w:rPr>
        <w:t>, 20</w:t>
      </w:r>
      <w:r w:rsidR="00552C0F">
        <w:rPr>
          <w:b/>
          <w:color w:val="000000"/>
          <w:szCs w:val="22"/>
        </w:rPr>
        <w:t>20</w:t>
      </w:r>
      <w:r w:rsidRPr="0009631D">
        <w:rPr>
          <w:color w:val="000000"/>
          <w:szCs w:val="22"/>
        </w:rPr>
        <w:t>.  Comments may be filed using the Commission’s Electronic Comment Filing System (ECFS) or by paper.  All filings must be addressed to the Commission’s Secretary, Office of the Secretary, Federal Communications Commission.</w:t>
      </w:r>
    </w:p>
    <w:p w:rsidR="0009631D" w:rsidRPr="0009631D" w:rsidP="0009631D">
      <w:pPr>
        <w:rPr>
          <w:color w:val="000000"/>
          <w:szCs w:val="22"/>
        </w:rPr>
      </w:pPr>
      <w:r w:rsidRPr="0009631D">
        <w:rPr>
          <w:color w:val="000000"/>
          <w:szCs w:val="22"/>
        </w:rPr>
        <w:t> </w:t>
      </w:r>
    </w:p>
    <w:p w:rsidR="0009631D" w:rsidRPr="0009631D" w:rsidP="0009631D">
      <w:pPr>
        <w:numPr>
          <w:ilvl w:val="0"/>
          <w:numId w:val="20"/>
        </w:numPr>
        <w:rPr>
          <w:color w:val="000000"/>
          <w:szCs w:val="22"/>
        </w:rPr>
      </w:pPr>
      <w:r w:rsidRPr="0009631D">
        <w:rPr>
          <w:color w:val="000000"/>
          <w:szCs w:val="22"/>
        </w:rPr>
        <w:t>Electronic Filers:  Comments may be filed electronically by accessing ECFS at </w:t>
      </w:r>
      <w:hyperlink r:id="rId8" w:history="1">
        <w:r w:rsidRPr="0009631D">
          <w:rPr>
            <w:rStyle w:val="Hyperlink"/>
            <w:szCs w:val="22"/>
          </w:rPr>
          <w:t>http://apps.fcc.gov/ecfs/</w:t>
        </w:r>
      </w:hyperlink>
      <w:r w:rsidRPr="0009631D">
        <w:rPr>
          <w:color w:val="000000"/>
          <w:szCs w:val="22"/>
        </w:rPr>
        <w:t>.</w:t>
      </w:r>
    </w:p>
    <w:p w:rsidR="0009631D" w:rsidRPr="0009631D" w:rsidP="0009631D">
      <w:pPr>
        <w:rPr>
          <w:color w:val="000000"/>
          <w:szCs w:val="22"/>
        </w:rPr>
      </w:pPr>
    </w:p>
    <w:p w:rsidR="0009631D" w:rsidRPr="0009631D" w:rsidP="0009631D">
      <w:pPr>
        <w:numPr>
          <w:ilvl w:val="0"/>
          <w:numId w:val="21"/>
        </w:numPr>
        <w:rPr>
          <w:color w:val="000000"/>
          <w:szCs w:val="22"/>
        </w:rPr>
      </w:pPr>
      <w:r w:rsidRPr="0009631D">
        <w:rPr>
          <w:color w:val="000000"/>
          <w:szCs w:val="22"/>
        </w:rPr>
        <w:t>Paper Filers:  Parties who choose to file by paper must file an original and one copy of each filing.  Paper filings can be sent by hand or messenger delivery, by commercial overnight courier, or by first-class or overnight U.S. Postal Service mail.</w:t>
      </w:r>
      <w:r>
        <w:rPr>
          <w:rStyle w:val="FootnoteReference"/>
          <w:color w:val="000000"/>
          <w:szCs w:val="22"/>
        </w:rPr>
        <w:footnoteReference w:id="49"/>
      </w:r>
      <w:r w:rsidRPr="0009631D">
        <w:rPr>
          <w:color w:val="000000"/>
          <w:szCs w:val="22"/>
        </w:rPr>
        <w:t xml:space="preserve">  </w:t>
      </w:r>
    </w:p>
    <w:p w:rsidR="0009631D" w:rsidRPr="0009631D" w:rsidP="0009631D">
      <w:pPr>
        <w:rPr>
          <w:color w:val="000000"/>
          <w:szCs w:val="22"/>
        </w:rPr>
      </w:pPr>
    </w:p>
    <w:p w:rsidR="0009631D" w:rsidRPr="0009631D" w:rsidP="0009631D">
      <w:pPr>
        <w:numPr>
          <w:ilvl w:val="1"/>
          <w:numId w:val="21"/>
        </w:numPr>
        <w:rPr>
          <w:color w:val="000000"/>
          <w:szCs w:val="22"/>
        </w:rPr>
      </w:pPr>
      <w:r w:rsidRPr="0009631D">
        <w:rPr>
          <w:color w:val="000000"/>
          <w:szCs w:val="22"/>
        </w:rPr>
        <w:t>All hand-delivered or messenger-delivered paper filings for the Commission’s Secretary must be delivered to FCC Headquarters at 445 12</w:t>
      </w:r>
      <w:r w:rsidRPr="0009631D">
        <w:rPr>
          <w:color w:val="000000"/>
          <w:szCs w:val="22"/>
          <w:vertAlign w:val="superscript"/>
        </w:rPr>
        <w:t>th</w:t>
      </w:r>
      <w:r w:rsidRPr="0009631D">
        <w:rPr>
          <w:color w:val="000000"/>
          <w:szCs w:val="22"/>
        </w:rPr>
        <w:t> St., SW, Room TW-A325, Washington, DC, 20554.  The filing hours are 8:00 a.m. to 7:00 p.m.  All hand deliveries must be held together with rubber bands or fasteners.  All envelopes and boxes must be disposed of before entering the building. </w:t>
      </w:r>
    </w:p>
    <w:p w:rsidR="0009631D" w:rsidRPr="0009631D" w:rsidP="0009631D">
      <w:pPr>
        <w:rPr>
          <w:color w:val="000000"/>
          <w:szCs w:val="22"/>
        </w:rPr>
      </w:pPr>
    </w:p>
    <w:p w:rsidR="0009631D" w:rsidRPr="0009631D" w:rsidP="0009631D">
      <w:pPr>
        <w:numPr>
          <w:ilvl w:val="1"/>
          <w:numId w:val="21"/>
        </w:numPr>
        <w:rPr>
          <w:color w:val="000000"/>
          <w:szCs w:val="22"/>
        </w:rPr>
      </w:pPr>
      <w:r w:rsidRPr="0009631D">
        <w:rPr>
          <w:color w:val="000000"/>
          <w:szCs w:val="22"/>
        </w:rPr>
        <w:t>Commercial overnight mail (other than U.S. Postal Service Express Mail and Priority Mail) must be sent to 9050 Junction Drive, Annapolis Junction, MD, 20701.</w:t>
      </w:r>
    </w:p>
    <w:p w:rsidR="0009631D" w:rsidRPr="0009631D" w:rsidP="0009631D">
      <w:pPr>
        <w:rPr>
          <w:color w:val="000000"/>
          <w:szCs w:val="22"/>
        </w:rPr>
      </w:pPr>
    </w:p>
    <w:p w:rsidR="0009631D" w:rsidRPr="0009631D" w:rsidP="0009631D">
      <w:pPr>
        <w:numPr>
          <w:ilvl w:val="1"/>
          <w:numId w:val="21"/>
        </w:numPr>
        <w:rPr>
          <w:color w:val="000000"/>
          <w:szCs w:val="22"/>
        </w:rPr>
      </w:pPr>
      <w:r w:rsidRPr="0009631D">
        <w:rPr>
          <w:color w:val="000000"/>
          <w:szCs w:val="22"/>
        </w:rPr>
        <w:t>U.S. Postal Service first-class, Express, and Priority mail must be addressed to 445 12</w:t>
      </w:r>
      <w:r w:rsidRPr="0009631D">
        <w:rPr>
          <w:color w:val="000000"/>
          <w:szCs w:val="22"/>
          <w:vertAlign w:val="superscript"/>
        </w:rPr>
        <w:t>th</w:t>
      </w:r>
      <w:r w:rsidRPr="0009631D">
        <w:rPr>
          <w:color w:val="000000"/>
          <w:szCs w:val="22"/>
        </w:rPr>
        <w:t> Street, SW, Washington DC, 20554.</w:t>
      </w:r>
    </w:p>
    <w:p w:rsidR="0009631D" w:rsidRPr="0009631D" w:rsidP="0009631D">
      <w:pPr>
        <w:rPr>
          <w:color w:val="000000"/>
          <w:szCs w:val="22"/>
        </w:rPr>
      </w:pPr>
      <w:r w:rsidRPr="0009631D">
        <w:rPr>
          <w:color w:val="000000"/>
          <w:szCs w:val="22"/>
        </w:rPr>
        <w:t> </w:t>
      </w:r>
    </w:p>
    <w:p w:rsidR="0009631D" w:rsidRPr="0009631D" w:rsidP="0009631D">
      <w:pPr>
        <w:ind w:firstLine="720"/>
        <w:rPr>
          <w:color w:val="000000"/>
          <w:szCs w:val="22"/>
        </w:rPr>
      </w:pPr>
      <w:r w:rsidRPr="0009631D">
        <w:rPr>
          <w:color w:val="000000"/>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09631D" w:rsidRPr="0009631D" w:rsidP="0009631D">
      <w:pPr>
        <w:rPr>
          <w:color w:val="000000"/>
          <w:szCs w:val="22"/>
        </w:rPr>
      </w:pPr>
    </w:p>
    <w:p w:rsidR="0009631D" w:rsidRPr="0009631D" w:rsidP="0009631D">
      <w:pPr>
        <w:rPr>
          <w:b/>
          <w:color w:val="000000"/>
          <w:szCs w:val="22"/>
        </w:rPr>
      </w:pPr>
      <w:r w:rsidRPr="0009631D">
        <w:rPr>
          <w:b/>
          <w:color w:val="000000"/>
          <w:szCs w:val="22"/>
        </w:rPr>
        <w:t>In addition, e-mail one copy of each pleading to each of the following:</w:t>
      </w:r>
    </w:p>
    <w:p w:rsidR="0009631D" w:rsidRPr="0009631D" w:rsidP="0009631D">
      <w:pPr>
        <w:rPr>
          <w:b/>
          <w:color w:val="000000"/>
          <w:szCs w:val="22"/>
        </w:rPr>
      </w:pPr>
    </w:p>
    <w:p w:rsidR="0009631D" w:rsidRPr="0009631D" w:rsidP="0009631D">
      <w:pPr>
        <w:numPr>
          <w:ilvl w:val="0"/>
          <w:numId w:val="18"/>
        </w:numPr>
        <w:rPr>
          <w:color w:val="000000"/>
          <w:szCs w:val="22"/>
        </w:rPr>
      </w:pPr>
      <w:r>
        <w:rPr>
          <w:color w:val="000000"/>
          <w:szCs w:val="22"/>
        </w:rPr>
        <w:t>Greg Kwan</w:t>
      </w:r>
      <w:r w:rsidRPr="0009631D" w:rsidR="00803F8F">
        <w:rPr>
          <w:color w:val="000000"/>
          <w:szCs w:val="22"/>
        </w:rPr>
        <w:t xml:space="preserve">, Wireline Competition Bureau, </w:t>
      </w:r>
      <w:r>
        <w:rPr>
          <w:color w:val="000000"/>
          <w:szCs w:val="22"/>
        </w:rPr>
        <w:t>gregory.kwan@fcc.gov</w:t>
      </w:r>
      <w:r w:rsidR="00235E4B">
        <w:rPr>
          <w:color w:val="000000"/>
          <w:szCs w:val="22"/>
        </w:rPr>
        <w:t>;</w:t>
      </w:r>
    </w:p>
    <w:p w:rsidR="0009631D" w:rsidRPr="0009631D" w:rsidP="0009631D">
      <w:pPr>
        <w:rPr>
          <w:color w:val="000000"/>
          <w:szCs w:val="22"/>
        </w:rPr>
      </w:pPr>
    </w:p>
    <w:p w:rsidR="008C77CA" w:rsidP="008C77CA">
      <w:pPr>
        <w:numPr>
          <w:ilvl w:val="0"/>
          <w:numId w:val="18"/>
        </w:numPr>
        <w:spacing w:after="120"/>
        <w:rPr>
          <w:rStyle w:val="Hyperlink"/>
          <w:color w:val="000000"/>
          <w:szCs w:val="22"/>
          <w:u w:val="none"/>
        </w:rPr>
      </w:pPr>
      <w:bookmarkStart w:id="10" w:name="_Hlk520384977"/>
      <w:r>
        <w:rPr>
          <w:color w:val="000000"/>
          <w:szCs w:val="22"/>
        </w:rPr>
        <w:t>Kimberly Cook</w:t>
      </w:r>
      <w:r>
        <w:rPr>
          <w:color w:val="000000"/>
          <w:szCs w:val="22"/>
        </w:rPr>
        <w:t>, International Bureau,</w:t>
      </w:r>
      <w:r w:rsidR="000F3C60">
        <w:rPr>
          <w:color w:val="000000"/>
          <w:szCs w:val="22"/>
        </w:rPr>
        <w:t xml:space="preserve"> </w:t>
      </w:r>
      <w:hyperlink r:id="rId9" w:history="1"/>
      <w:r w:rsidRPr="000F3C60">
        <w:rPr>
          <w:rStyle w:val="Hyperlink"/>
        </w:rPr>
        <w:t>kimberly.cook@fcc.gov</w:t>
      </w:r>
      <w:r w:rsidRPr="00A37DBC">
        <w:rPr>
          <w:rStyle w:val="Hyperlink"/>
          <w:color w:val="auto"/>
          <w:szCs w:val="22"/>
          <w:u w:val="none"/>
        </w:rPr>
        <w:t>;</w:t>
      </w:r>
    </w:p>
    <w:p w:rsidR="00235E4B" w:rsidP="00235E4B">
      <w:pPr>
        <w:numPr>
          <w:ilvl w:val="0"/>
          <w:numId w:val="18"/>
        </w:numPr>
        <w:rPr>
          <w:color w:val="000000"/>
          <w:szCs w:val="22"/>
        </w:rPr>
      </w:pPr>
      <w:r>
        <w:rPr>
          <w:color w:val="000000"/>
          <w:szCs w:val="22"/>
        </w:rPr>
        <w:t>Linda Ray, Broadband Division, Wireless Telecommunications Bureau</w:t>
      </w:r>
      <w:r w:rsidRPr="0009631D">
        <w:rPr>
          <w:color w:val="000000"/>
          <w:szCs w:val="22"/>
        </w:rPr>
        <w:t xml:space="preserve">; </w:t>
      </w:r>
      <w:hyperlink r:id="rId10" w:history="1">
        <w:r w:rsidRPr="006D71A2">
          <w:rPr>
            <w:rStyle w:val="Hyperlink"/>
            <w:szCs w:val="22"/>
          </w:rPr>
          <w:t>linda.ray@fcc.gov</w:t>
        </w:r>
      </w:hyperlink>
      <w:r>
        <w:rPr>
          <w:color w:val="000000"/>
          <w:szCs w:val="22"/>
        </w:rPr>
        <w:t xml:space="preserve">; </w:t>
      </w:r>
      <w:r w:rsidRPr="0009631D">
        <w:rPr>
          <w:color w:val="000000"/>
          <w:szCs w:val="22"/>
        </w:rPr>
        <w:t>and</w:t>
      </w:r>
    </w:p>
    <w:p w:rsidR="008C77CA" w:rsidRPr="0009631D" w:rsidP="008C77CA">
      <w:pPr>
        <w:ind w:left="720"/>
        <w:rPr>
          <w:color w:val="000000"/>
          <w:szCs w:val="22"/>
        </w:rPr>
      </w:pPr>
    </w:p>
    <w:p w:rsidR="0009631D" w:rsidRPr="006538F7" w:rsidP="006538F7">
      <w:pPr>
        <w:numPr>
          <w:ilvl w:val="0"/>
          <w:numId w:val="18"/>
        </w:numPr>
        <w:rPr>
          <w:color w:val="000000"/>
          <w:szCs w:val="22"/>
        </w:rPr>
      </w:pPr>
      <w:r w:rsidRPr="0009631D">
        <w:rPr>
          <w:color w:val="000000"/>
          <w:szCs w:val="22"/>
        </w:rPr>
        <w:t xml:space="preserve">Jim Bird, Office of General Counsel, </w:t>
      </w:r>
      <w:hyperlink r:id="rId11" w:history="1">
        <w:r w:rsidRPr="0009631D">
          <w:rPr>
            <w:rStyle w:val="Hyperlink"/>
            <w:szCs w:val="22"/>
          </w:rPr>
          <w:t>jim.bird@fcc.gov</w:t>
        </w:r>
      </w:hyperlink>
      <w:r w:rsidRPr="0009631D">
        <w:rPr>
          <w:color w:val="000000"/>
          <w:szCs w:val="22"/>
        </w:rPr>
        <w:t>.</w:t>
      </w:r>
      <w:r w:rsidR="001C0061">
        <w:rPr>
          <w:color w:val="000000"/>
          <w:szCs w:val="22"/>
        </w:rPr>
        <w:t xml:space="preserve"> </w:t>
      </w:r>
    </w:p>
    <w:bookmarkEnd w:id="10"/>
    <w:p w:rsidR="0009631D" w:rsidRPr="0009631D" w:rsidP="0009631D">
      <w:pPr>
        <w:rPr>
          <w:color w:val="000000"/>
          <w:szCs w:val="22"/>
        </w:rPr>
      </w:pPr>
    </w:p>
    <w:p w:rsidR="0009631D" w:rsidRPr="0009631D" w:rsidP="0009631D">
      <w:pPr>
        <w:ind w:firstLine="720"/>
        <w:rPr>
          <w:color w:val="000000"/>
          <w:szCs w:val="22"/>
        </w:rPr>
      </w:pPr>
      <w:r w:rsidRPr="0009631D">
        <w:rPr>
          <w:color w:val="000000"/>
          <w:szCs w:val="22"/>
        </w:rPr>
        <w:t xml:space="preserve">The proceeding in this Notice shall be treated as a “permit-but-disclose” proceeding in accordance with the Commission’s </w:t>
      </w:r>
      <w:r w:rsidRPr="0009631D">
        <w:rPr>
          <w:i/>
          <w:color w:val="000000"/>
          <w:szCs w:val="22"/>
        </w:rPr>
        <w:t>ex parte</w:t>
      </w:r>
      <w:r w:rsidRPr="0009631D">
        <w:rPr>
          <w:color w:val="000000"/>
          <w:szCs w:val="22"/>
        </w:rPr>
        <w:t xml:space="preserve"> rules.  Persons making </w:t>
      </w:r>
      <w:r w:rsidRPr="0009631D">
        <w:rPr>
          <w:i/>
          <w:color w:val="000000"/>
          <w:szCs w:val="22"/>
        </w:rPr>
        <w:t>ex parte</w:t>
      </w:r>
      <w:r w:rsidRPr="0009631D">
        <w:rPr>
          <w:color w:val="00000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9631D">
        <w:rPr>
          <w:i/>
          <w:color w:val="000000"/>
          <w:szCs w:val="22"/>
        </w:rPr>
        <w:t>ex parte</w:t>
      </w:r>
      <w:r w:rsidRPr="0009631D">
        <w:rPr>
          <w:color w:val="000000"/>
          <w:szCs w:val="22"/>
        </w:rPr>
        <w:t xml:space="preserve"> presentations are reminded that memoranda summarizing the presentation must (1) list all persons attending or otherwise participating in the meeting at which the </w:t>
      </w:r>
      <w:r w:rsidRPr="0009631D">
        <w:rPr>
          <w:i/>
          <w:color w:val="000000"/>
          <w:szCs w:val="22"/>
        </w:rPr>
        <w:t>ex parte</w:t>
      </w:r>
      <w:r w:rsidRPr="0009631D">
        <w:rPr>
          <w:color w:val="00000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9631D">
        <w:rPr>
          <w:i/>
          <w:color w:val="000000"/>
          <w:szCs w:val="22"/>
        </w:rPr>
        <w:t>ex parte</w:t>
      </w:r>
      <w:r w:rsidRPr="0009631D">
        <w:rPr>
          <w:color w:val="000000"/>
          <w:szCs w:val="22"/>
        </w:rPr>
        <w:t xml:space="preserve"> meetings are deemed to be written </w:t>
      </w:r>
      <w:r w:rsidRPr="0009631D">
        <w:rPr>
          <w:i/>
          <w:color w:val="000000"/>
          <w:szCs w:val="22"/>
        </w:rPr>
        <w:t>ex parte</w:t>
      </w:r>
      <w:r w:rsidRPr="0009631D">
        <w:rPr>
          <w:color w:val="000000"/>
          <w:szCs w:val="22"/>
        </w:rPr>
        <w:t xml:space="preserve"> presentations and must be filed consistent with rule 1.1206(b), 47 CFR § 1.1206(b).  Participants in this proceeding should familiarize themselves with the Commission’s </w:t>
      </w:r>
      <w:r w:rsidRPr="0009631D">
        <w:rPr>
          <w:i/>
          <w:color w:val="000000"/>
          <w:szCs w:val="22"/>
        </w:rPr>
        <w:t>ex parte</w:t>
      </w:r>
      <w:r w:rsidRPr="0009631D">
        <w:rPr>
          <w:color w:val="000000"/>
          <w:szCs w:val="22"/>
        </w:rPr>
        <w:t xml:space="preserve"> rules.</w:t>
      </w:r>
    </w:p>
    <w:p w:rsidR="0009631D" w:rsidRPr="0009631D" w:rsidP="0009631D">
      <w:pPr>
        <w:rPr>
          <w:color w:val="000000"/>
          <w:szCs w:val="22"/>
        </w:rPr>
      </w:pPr>
    </w:p>
    <w:p w:rsidR="0009631D" w:rsidRPr="0009631D" w:rsidP="004E1A72">
      <w:pPr>
        <w:ind w:firstLine="720"/>
        <w:rPr>
          <w:color w:val="000000"/>
          <w:szCs w:val="22"/>
        </w:rPr>
      </w:pPr>
      <w:r w:rsidRPr="0009631D">
        <w:rPr>
          <w:color w:val="00000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color w:val="000000"/>
          <w:szCs w:val="22"/>
          <w:vertAlign w:val="superscript"/>
        </w:rPr>
        <w:footnoteReference w:id="50"/>
      </w:r>
      <w:r w:rsidRPr="0009631D">
        <w:rPr>
          <w:color w:val="00000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09631D" w:rsidRPr="0009631D" w:rsidP="0009631D">
      <w:pPr>
        <w:rPr>
          <w:color w:val="000000"/>
          <w:szCs w:val="22"/>
        </w:rPr>
      </w:pPr>
    </w:p>
    <w:p w:rsidR="0009631D" w:rsidRPr="0009631D" w:rsidP="009D0445">
      <w:pPr>
        <w:ind w:firstLine="720"/>
        <w:rPr>
          <w:color w:val="000000"/>
          <w:szCs w:val="22"/>
        </w:rPr>
      </w:pPr>
      <w:r w:rsidRPr="0009631D">
        <w:rPr>
          <w:color w:val="000000"/>
          <w:szCs w:val="22"/>
        </w:rPr>
        <w:t xml:space="preserve">For further information, please contact </w:t>
      </w:r>
      <w:r w:rsidR="008A1D00">
        <w:rPr>
          <w:color w:val="000000"/>
          <w:szCs w:val="22"/>
        </w:rPr>
        <w:t>Greg</w:t>
      </w:r>
      <w:r w:rsidR="006A29F2">
        <w:rPr>
          <w:color w:val="000000"/>
          <w:szCs w:val="22"/>
        </w:rPr>
        <w:t>ory</w:t>
      </w:r>
      <w:r w:rsidR="008A1D00">
        <w:rPr>
          <w:color w:val="000000"/>
          <w:szCs w:val="22"/>
        </w:rPr>
        <w:t xml:space="preserve"> Kwan</w:t>
      </w:r>
      <w:r w:rsidR="00332E1C">
        <w:rPr>
          <w:color w:val="000000"/>
          <w:szCs w:val="22"/>
        </w:rPr>
        <w:t>, Wireline Competition Bureau,</w:t>
      </w:r>
      <w:r w:rsidRPr="0009631D">
        <w:rPr>
          <w:color w:val="000000"/>
          <w:szCs w:val="22"/>
        </w:rPr>
        <w:t xml:space="preserve"> (202) 418-</w:t>
      </w:r>
      <w:r w:rsidR="008A1D00">
        <w:rPr>
          <w:color w:val="000000"/>
          <w:szCs w:val="22"/>
        </w:rPr>
        <w:t>1191</w:t>
      </w:r>
      <w:r w:rsidR="00332E1C">
        <w:rPr>
          <w:color w:val="000000"/>
          <w:szCs w:val="22"/>
        </w:rPr>
        <w:t xml:space="preserve">; </w:t>
      </w:r>
      <w:r w:rsidR="00CF2859">
        <w:rPr>
          <w:color w:val="000000"/>
          <w:szCs w:val="22"/>
        </w:rPr>
        <w:t>Kimberly Cook</w:t>
      </w:r>
      <w:r w:rsidR="00332E1C">
        <w:rPr>
          <w:color w:val="000000"/>
          <w:szCs w:val="22"/>
        </w:rPr>
        <w:t>, International Bureau, (202) 418-7</w:t>
      </w:r>
      <w:r w:rsidR="00CF2859">
        <w:rPr>
          <w:color w:val="000000"/>
          <w:szCs w:val="22"/>
        </w:rPr>
        <w:t>532</w:t>
      </w:r>
      <w:r w:rsidR="00332E1C">
        <w:rPr>
          <w:color w:val="000000"/>
          <w:szCs w:val="22"/>
        </w:rPr>
        <w:t>; or Linda Ray, Wireless Telecommunications Bureau, (202) 418-0257</w:t>
      </w:r>
      <w:r w:rsidRPr="0009631D">
        <w:rPr>
          <w:color w:val="000000"/>
          <w:szCs w:val="22"/>
        </w:rPr>
        <w:t>.</w:t>
      </w:r>
    </w:p>
    <w:p w:rsidR="0038750A" w:rsidRPr="00585942" w:rsidP="00AC34AD">
      <w:pPr>
        <w:jc w:val="center"/>
        <w:rPr>
          <w:b/>
          <w:color w:val="000000"/>
          <w:szCs w:val="22"/>
          <w:u w:val="single"/>
        </w:rPr>
      </w:pPr>
      <w:r>
        <w:rPr>
          <w:b/>
          <w:color w:val="000000"/>
          <w:szCs w:val="22"/>
        </w:rPr>
        <w:br w:type="page"/>
      </w:r>
      <w:r w:rsidRPr="00585942">
        <w:rPr>
          <w:b/>
          <w:color w:val="000000"/>
          <w:szCs w:val="22"/>
          <w:u w:val="single"/>
        </w:rPr>
        <w:t>ATTACHMENT A</w:t>
      </w:r>
    </w:p>
    <w:p w:rsidR="0038750A" w:rsidRPr="00585942" w:rsidP="0038750A">
      <w:pPr>
        <w:rPr>
          <w:b/>
          <w:color w:val="000000"/>
          <w:szCs w:val="22"/>
        </w:rPr>
      </w:pPr>
    </w:p>
    <w:p w:rsidR="0038750A" w:rsidRPr="00585942" w:rsidP="0038750A">
      <w:pPr>
        <w:rPr>
          <w:b/>
          <w:color w:val="000000"/>
          <w:szCs w:val="22"/>
        </w:rPr>
      </w:pPr>
    </w:p>
    <w:p w:rsidR="0038750A" w:rsidRPr="0022664E" w:rsidP="0038750A">
      <w:pPr>
        <w:rPr>
          <w:color w:val="000000"/>
          <w:szCs w:val="22"/>
        </w:rPr>
      </w:pPr>
      <w:r w:rsidRPr="00585942">
        <w:rPr>
          <w:b/>
          <w:color w:val="000000"/>
          <w:szCs w:val="22"/>
        </w:rPr>
        <w:t>SECTION 214 AUTHORIZATIONS</w:t>
      </w:r>
    </w:p>
    <w:p w:rsidR="0038750A" w:rsidRPr="0022664E" w:rsidP="0038750A">
      <w:pPr>
        <w:rPr>
          <w:color w:val="000000"/>
          <w:szCs w:val="22"/>
        </w:rPr>
      </w:pPr>
    </w:p>
    <w:p w:rsidR="0038750A" w:rsidRPr="00585942" w:rsidP="0038750A">
      <w:pPr>
        <w:rPr>
          <w:b/>
          <w:color w:val="000000"/>
          <w:szCs w:val="22"/>
        </w:rPr>
      </w:pPr>
      <w:r w:rsidRPr="00585942">
        <w:rPr>
          <w:b/>
          <w:color w:val="000000"/>
          <w:szCs w:val="22"/>
        </w:rPr>
        <w:t>A.</w:t>
      </w:r>
      <w:r w:rsidRPr="00585942">
        <w:rPr>
          <w:b/>
          <w:color w:val="000000"/>
          <w:szCs w:val="22"/>
        </w:rPr>
        <w:tab/>
        <w:t>International</w:t>
      </w:r>
    </w:p>
    <w:p w:rsidR="0038750A" w:rsidRPr="0022664E" w:rsidP="0038750A">
      <w:pPr>
        <w:rPr>
          <w:color w:val="000000"/>
          <w:szCs w:val="22"/>
        </w:rPr>
      </w:pPr>
    </w:p>
    <w:p w:rsidR="0038750A" w:rsidRPr="0022664E" w:rsidP="0038750A">
      <w:pPr>
        <w:rPr>
          <w:color w:val="000000"/>
          <w:szCs w:val="22"/>
        </w:rPr>
      </w:pPr>
      <w:bookmarkStart w:id="11" w:name="_Hlk1664737"/>
      <w:r w:rsidRPr="0022664E">
        <w:rPr>
          <w:color w:val="000000"/>
          <w:szCs w:val="22"/>
        </w:rPr>
        <w:t>The applications for consent to the transfer of control of certain international section 214 authorizations have been assigned the file numbers listed below.</w:t>
      </w:r>
    </w:p>
    <w:bookmarkEnd w:id="11"/>
    <w:p w:rsidR="0038750A" w:rsidRPr="0022664E" w:rsidP="0038750A">
      <w:pPr>
        <w:rPr>
          <w:color w:val="000000"/>
          <w:szCs w:val="22"/>
        </w:rPr>
      </w:pPr>
    </w:p>
    <w:tbl>
      <w:tblPr>
        <w:tblW w:w="9738" w:type="dxa"/>
        <w:tblLook w:val="01E0"/>
      </w:tblPr>
      <w:tblGrid>
        <w:gridCol w:w="2880"/>
        <w:gridCol w:w="3888"/>
        <w:gridCol w:w="2970"/>
      </w:tblGrid>
      <w:tr w:rsidTr="00A67047">
        <w:tblPrEx>
          <w:tblW w:w="9738" w:type="dxa"/>
          <w:tblLook w:val="01E0"/>
        </w:tblPrEx>
        <w:tc>
          <w:tcPr>
            <w:tcW w:w="2880" w:type="dxa"/>
          </w:tcPr>
          <w:p w:rsidR="0038750A" w:rsidRPr="0022664E" w:rsidP="0038750A">
            <w:pPr>
              <w:rPr>
                <w:color w:val="000000"/>
                <w:szCs w:val="22"/>
              </w:rPr>
            </w:pPr>
            <w:bookmarkStart w:id="12" w:name="_Hlk1656452"/>
            <w:r w:rsidRPr="0022664E">
              <w:rPr>
                <w:color w:val="000000"/>
                <w:szCs w:val="22"/>
                <w:u w:val="single"/>
              </w:rPr>
              <w:t>File Number</w:t>
            </w:r>
          </w:p>
        </w:tc>
        <w:tc>
          <w:tcPr>
            <w:tcW w:w="3888" w:type="dxa"/>
          </w:tcPr>
          <w:p w:rsidR="0038750A" w:rsidRPr="0022664E" w:rsidP="0038750A">
            <w:pPr>
              <w:rPr>
                <w:color w:val="000000"/>
                <w:szCs w:val="22"/>
              </w:rPr>
            </w:pPr>
            <w:r w:rsidRPr="0022664E">
              <w:rPr>
                <w:color w:val="000000"/>
                <w:szCs w:val="22"/>
                <w:u w:val="single"/>
              </w:rPr>
              <w:t>Authorization Holder</w:t>
            </w:r>
          </w:p>
        </w:tc>
        <w:tc>
          <w:tcPr>
            <w:tcW w:w="2970" w:type="dxa"/>
          </w:tcPr>
          <w:p w:rsidR="0038750A" w:rsidRPr="0022664E" w:rsidP="0038750A">
            <w:pPr>
              <w:rPr>
                <w:color w:val="000000"/>
                <w:szCs w:val="22"/>
                <w:u w:val="single"/>
              </w:rPr>
            </w:pPr>
            <w:r w:rsidRPr="0022664E">
              <w:rPr>
                <w:color w:val="000000"/>
                <w:szCs w:val="22"/>
                <w:u w:val="single"/>
              </w:rPr>
              <w:t>Authorization Number</w:t>
            </w:r>
          </w:p>
          <w:p w:rsidR="0038750A" w:rsidRPr="0022664E" w:rsidP="0038750A">
            <w:pPr>
              <w:rPr>
                <w:color w:val="000000"/>
                <w:szCs w:val="22"/>
                <w:u w:val="single"/>
              </w:rPr>
            </w:pPr>
          </w:p>
        </w:tc>
      </w:tr>
      <w:tr w:rsidTr="00A67047">
        <w:tblPrEx>
          <w:tblW w:w="9738" w:type="dxa"/>
          <w:tblLook w:val="01E0"/>
        </w:tblPrEx>
        <w:tc>
          <w:tcPr>
            <w:tcW w:w="2880" w:type="dxa"/>
          </w:tcPr>
          <w:p w:rsidR="00AE0645" w:rsidRPr="00704B2F" w:rsidP="0038750A">
            <w:pPr>
              <w:rPr>
                <w:color w:val="000000"/>
                <w:szCs w:val="22"/>
                <w:highlight w:val="yellow"/>
              </w:rPr>
            </w:pPr>
            <w:bookmarkStart w:id="13" w:name="_Hlk1728800"/>
          </w:p>
        </w:tc>
        <w:tc>
          <w:tcPr>
            <w:tcW w:w="3888" w:type="dxa"/>
          </w:tcPr>
          <w:p w:rsidR="00AE0645" w:rsidRPr="0022664E" w:rsidP="00897029">
            <w:pPr>
              <w:rPr>
                <w:color w:val="000000"/>
                <w:szCs w:val="22"/>
              </w:rPr>
            </w:pPr>
          </w:p>
        </w:tc>
        <w:tc>
          <w:tcPr>
            <w:tcW w:w="2970" w:type="dxa"/>
          </w:tcPr>
          <w:p w:rsidR="0081425C" w:rsidRPr="00704B2F" w:rsidP="00897029">
            <w:pPr>
              <w:rPr>
                <w:color w:val="000000"/>
                <w:szCs w:val="22"/>
                <w:highlight w:val="yellow"/>
              </w:rPr>
            </w:pPr>
          </w:p>
        </w:tc>
      </w:tr>
      <w:bookmarkEnd w:id="12"/>
      <w:bookmarkEnd w:id="13"/>
      <w:tr w:rsidTr="00A67047">
        <w:tblPrEx>
          <w:tblW w:w="9738" w:type="dxa"/>
          <w:tblLook w:val="01E0"/>
        </w:tblPrEx>
        <w:tc>
          <w:tcPr>
            <w:tcW w:w="2880" w:type="dxa"/>
          </w:tcPr>
          <w:p w:rsidR="004E26B5" w:rsidRPr="00704B2F" w:rsidP="00321FD3">
            <w:pPr>
              <w:rPr>
                <w:color w:val="000000"/>
                <w:szCs w:val="22"/>
                <w:highlight w:val="yellow"/>
              </w:rPr>
            </w:pPr>
            <w:r w:rsidRPr="008D3514">
              <w:rPr>
                <w:color w:val="000000"/>
                <w:szCs w:val="22"/>
              </w:rPr>
              <w:t>ITC-T/C-</w:t>
            </w:r>
            <w:r w:rsidR="00163DCE">
              <w:rPr>
                <w:color w:val="000000"/>
                <w:szCs w:val="22"/>
              </w:rPr>
              <w:t>20200515-00070</w:t>
            </w:r>
            <w:r w:rsidR="00D04654">
              <w:rPr>
                <w:color w:val="000000"/>
                <w:szCs w:val="22"/>
              </w:rPr>
              <w:t xml:space="preserve"> </w:t>
            </w:r>
          </w:p>
        </w:tc>
        <w:tc>
          <w:tcPr>
            <w:tcW w:w="3888" w:type="dxa"/>
          </w:tcPr>
          <w:p w:rsidR="004E26B5" w:rsidRPr="0022664E" w:rsidP="004E26B5">
            <w:pPr>
              <w:rPr>
                <w:color w:val="000000"/>
                <w:szCs w:val="22"/>
              </w:rPr>
            </w:pPr>
            <w:r>
              <w:rPr>
                <w:color w:val="000000"/>
                <w:szCs w:val="22"/>
              </w:rPr>
              <w:t>CBTS Technology Solutions LLC</w:t>
            </w:r>
          </w:p>
        </w:tc>
        <w:tc>
          <w:tcPr>
            <w:tcW w:w="2970" w:type="dxa"/>
          </w:tcPr>
          <w:p w:rsidR="004E26B5" w:rsidRPr="00704B2F" w:rsidP="004E26B5">
            <w:pPr>
              <w:rPr>
                <w:color w:val="000000"/>
                <w:szCs w:val="22"/>
                <w:highlight w:val="yellow"/>
              </w:rPr>
            </w:pPr>
            <w:r w:rsidRPr="008D3514">
              <w:rPr>
                <w:color w:val="000000"/>
                <w:szCs w:val="22"/>
              </w:rPr>
              <w:t>ITC-214-</w:t>
            </w:r>
            <w:r w:rsidR="00AF7384">
              <w:rPr>
                <w:color w:val="000000"/>
                <w:szCs w:val="22"/>
              </w:rPr>
              <w:t>19950101</w:t>
            </w:r>
            <w:r w:rsidRPr="008D3514">
              <w:rPr>
                <w:color w:val="000000"/>
                <w:szCs w:val="22"/>
              </w:rPr>
              <w:t>-000</w:t>
            </w:r>
            <w:r w:rsidR="00F80039">
              <w:rPr>
                <w:color w:val="000000"/>
                <w:szCs w:val="22"/>
              </w:rPr>
              <w:t>0</w:t>
            </w:r>
            <w:r w:rsidRPr="008D3514">
              <w:rPr>
                <w:color w:val="000000"/>
                <w:szCs w:val="22"/>
              </w:rPr>
              <w:t>7</w:t>
            </w:r>
          </w:p>
        </w:tc>
      </w:tr>
      <w:tr w:rsidTr="00A67047">
        <w:tblPrEx>
          <w:tblW w:w="9738" w:type="dxa"/>
          <w:tblLook w:val="01E0"/>
        </w:tblPrEx>
        <w:tc>
          <w:tcPr>
            <w:tcW w:w="2880" w:type="dxa"/>
          </w:tcPr>
          <w:p w:rsidR="004E26B5" w:rsidRPr="00704B2F" w:rsidP="004E26B5">
            <w:pPr>
              <w:rPr>
                <w:color w:val="000000"/>
                <w:szCs w:val="22"/>
                <w:highlight w:val="yellow"/>
              </w:rPr>
            </w:pPr>
            <w:bookmarkStart w:id="14" w:name="_Hlk12362083"/>
          </w:p>
        </w:tc>
        <w:tc>
          <w:tcPr>
            <w:tcW w:w="3888" w:type="dxa"/>
          </w:tcPr>
          <w:p w:rsidR="004E26B5" w:rsidRPr="0022664E" w:rsidP="004E26B5">
            <w:pPr>
              <w:rPr>
                <w:color w:val="000000"/>
                <w:szCs w:val="22"/>
              </w:rPr>
            </w:pPr>
          </w:p>
        </w:tc>
        <w:tc>
          <w:tcPr>
            <w:tcW w:w="2970" w:type="dxa"/>
          </w:tcPr>
          <w:p w:rsidR="004E26B5" w:rsidRPr="00704B2F" w:rsidP="004E26B5">
            <w:pPr>
              <w:rPr>
                <w:color w:val="000000"/>
                <w:szCs w:val="22"/>
                <w:highlight w:val="yellow"/>
              </w:rPr>
            </w:pPr>
          </w:p>
        </w:tc>
      </w:tr>
      <w:tr w:rsidTr="00A67047">
        <w:tblPrEx>
          <w:tblW w:w="9738" w:type="dxa"/>
          <w:tblLook w:val="01E0"/>
        </w:tblPrEx>
        <w:tc>
          <w:tcPr>
            <w:tcW w:w="2880" w:type="dxa"/>
          </w:tcPr>
          <w:p w:rsidR="004E26B5" w:rsidRPr="00704B2F" w:rsidP="004E26B5">
            <w:pPr>
              <w:rPr>
                <w:color w:val="000000"/>
                <w:szCs w:val="22"/>
                <w:highlight w:val="yellow"/>
              </w:rPr>
            </w:pPr>
          </w:p>
        </w:tc>
        <w:tc>
          <w:tcPr>
            <w:tcW w:w="3888" w:type="dxa"/>
          </w:tcPr>
          <w:p w:rsidR="004E26B5" w:rsidRPr="0022664E" w:rsidP="004E26B5">
            <w:pPr>
              <w:rPr>
                <w:color w:val="000000"/>
                <w:szCs w:val="22"/>
              </w:rPr>
            </w:pPr>
          </w:p>
        </w:tc>
        <w:tc>
          <w:tcPr>
            <w:tcW w:w="2970" w:type="dxa"/>
          </w:tcPr>
          <w:p w:rsidR="004E26B5" w:rsidRPr="00CB7798" w:rsidP="004E26B5">
            <w:pPr>
              <w:rPr>
                <w:color w:val="000000"/>
                <w:szCs w:val="22"/>
              </w:rPr>
            </w:pPr>
            <w:r w:rsidRPr="00CB7798">
              <w:rPr>
                <w:color w:val="000000"/>
                <w:szCs w:val="22"/>
              </w:rPr>
              <w:t>ITC-214-</w:t>
            </w:r>
            <w:r w:rsidRPr="00CB7798" w:rsidR="004C6285">
              <w:rPr>
                <w:color w:val="000000"/>
                <w:szCs w:val="22"/>
              </w:rPr>
              <w:t>20010921-00492</w:t>
            </w:r>
          </w:p>
          <w:p w:rsidR="004E26B5" w:rsidRPr="00CB7798" w:rsidP="004E26B5">
            <w:pPr>
              <w:rPr>
                <w:color w:val="000000"/>
                <w:szCs w:val="22"/>
              </w:rPr>
            </w:pPr>
            <w:r w:rsidRPr="00CB7798">
              <w:rPr>
                <w:color w:val="000000"/>
                <w:szCs w:val="22"/>
              </w:rPr>
              <w:t>ITC-214-200</w:t>
            </w:r>
            <w:r w:rsidRPr="00CB7798" w:rsidR="001E215D">
              <w:rPr>
                <w:color w:val="000000"/>
                <w:szCs w:val="22"/>
              </w:rPr>
              <w:t>10921</w:t>
            </w:r>
            <w:r w:rsidRPr="00CB7798">
              <w:rPr>
                <w:color w:val="000000"/>
                <w:szCs w:val="22"/>
              </w:rPr>
              <w:t>-00</w:t>
            </w:r>
            <w:r w:rsidRPr="00CB7798" w:rsidR="001E215D">
              <w:rPr>
                <w:color w:val="000000"/>
                <w:szCs w:val="22"/>
              </w:rPr>
              <w:t>493</w:t>
            </w:r>
          </w:p>
          <w:p w:rsidR="00271386" w:rsidRPr="00CB7798" w:rsidP="004E26B5">
            <w:pPr>
              <w:rPr>
                <w:color w:val="000000"/>
                <w:szCs w:val="22"/>
              </w:rPr>
            </w:pPr>
            <w:r w:rsidRPr="00CB7798">
              <w:rPr>
                <w:color w:val="000000"/>
                <w:szCs w:val="22"/>
              </w:rPr>
              <w:t>ITC-214-20071024-00434</w:t>
            </w:r>
          </w:p>
        </w:tc>
      </w:tr>
      <w:bookmarkEnd w:id="14"/>
      <w:tr w:rsidTr="00D7212F">
        <w:tblPrEx>
          <w:tblW w:w="9738" w:type="dxa"/>
          <w:tblLook w:val="01E0"/>
        </w:tblPrEx>
        <w:tc>
          <w:tcPr>
            <w:tcW w:w="2880" w:type="dxa"/>
          </w:tcPr>
          <w:p w:rsidR="004E26B5" w:rsidRPr="00704B2F" w:rsidP="004E26B5">
            <w:pPr>
              <w:rPr>
                <w:color w:val="000000"/>
                <w:szCs w:val="22"/>
                <w:highlight w:val="yellow"/>
              </w:rPr>
            </w:pPr>
          </w:p>
        </w:tc>
        <w:tc>
          <w:tcPr>
            <w:tcW w:w="3888" w:type="dxa"/>
          </w:tcPr>
          <w:p w:rsidR="004E26B5" w:rsidRPr="0022664E" w:rsidP="004E26B5">
            <w:pPr>
              <w:jc w:val="center"/>
              <w:rPr>
                <w:color w:val="000000"/>
                <w:szCs w:val="22"/>
              </w:rPr>
            </w:pPr>
          </w:p>
        </w:tc>
        <w:tc>
          <w:tcPr>
            <w:tcW w:w="2970" w:type="dxa"/>
          </w:tcPr>
          <w:p w:rsidR="004E26B5" w:rsidRPr="00704B2F" w:rsidP="004E26B5">
            <w:pPr>
              <w:rPr>
                <w:color w:val="000000"/>
                <w:szCs w:val="22"/>
                <w:highlight w:val="yellow"/>
              </w:rPr>
            </w:pPr>
          </w:p>
        </w:tc>
      </w:tr>
      <w:tr w:rsidTr="00D7212F">
        <w:tblPrEx>
          <w:tblW w:w="9738" w:type="dxa"/>
          <w:tblLook w:val="01E0"/>
        </w:tblPrEx>
        <w:tc>
          <w:tcPr>
            <w:tcW w:w="2880" w:type="dxa"/>
          </w:tcPr>
          <w:p w:rsidR="004E26B5" w:rsidRPr="00704B2F" w:rsidP="004E26B5">
            <w:pPr>
              <w:rPr>
                <w:color w:val="000000"/>
                <w:szCs w:val="22"/>
                <w:highlight w:val="yellow"/>
              </w:rPr>
            </w:pPr>
            <w:r w:rsidRPr="008D3514">
              <w:rPr>
                <w:color w:val="000000"/>
                <w:szCs w:val="22"/>
              </w:rPr>
              <w:t>ITC-</w:t>
            </w:r>
            <w:r w:rsidR="00163DCE">
              <w:rPr>
                <w:color w:val="000000"/>
                <w:szCs w:val="22"/>
              </w:rPr>
              <w:t xml:space="preserve">T/C-20200515-00071 </w:t>
            </w:r>
          </w:p>
        </w:tc>
        <w:tc>
          <w:tcPr>
            <w:tcW w:w="3888" w:type="dxa"/>
          </w:tcPr>
          <w:p w:rsidR="004E26B5" w:rsidRPr="0022664E" w:rsidP="004E26B5">
            <w:pPr>
              <w:rPr>
                <w:color w:val="000000"/>
                <w:szCs w:val="22"/>
              </w:rPr>
            </w:pPr>
            <w:r>
              <w:rPr>
                <w:color w:val="000000"/>
                <w:szCs w:val="22"/>
              </w:rPr>
              <w:t>Hawaiian Telcom, Inc.</w:t>
            </w:r>
          </w:p>
        </w:tc>
        <w:tc>
          <w:tcPr>
            <w:tcW w:w="2970" w:type="dxa"/>
          </w:tcPr>
          <w:p w:rsidR="004E26B5" w:rsidP="004E26B5">
            <w:pPr>
              <w:rPr>
                <w:color w:val="000000"/>
                <w:szCs w:val="22"/>
              </w:rPr>
            </w:pPr>
            <w:r w:rsidRPr="008D3514">
              <w:rPr>
                <w:color w:val="000000"/>
                <w:szCs w:val="22"/>
              </w:rPr>
              <w:t>ITC-214-200</w:t>
            </w:r>
            <w:r w:rsidR="00726940">
              <w:rPr>
                <w:color w:val="000000"/>
                <w:szCs w:val="22"/>
              </w:rPr>
              <w:t>40630-00512</w:t>
            </w:r>
          </w:p>
          <w:p w:rsidR="0095557C" w:rsidP="004E26B5">
            <w:pPr>
              <w:rPr>
                <w:color w:val="000000"/>
                <w:szCs w:val="22"/>
                <w:highlight w:val="yellow"/>
              </w:rPr>
            </w:pPr>
          </w:p>
          <w:p w:rsidR="0095557C" w:rsidRPr="00704B2F" w:rsidP="004E26B5">
            <w:pPr>
              <w:rPr>
                <w:color w:val="000000"/>
                <w:szCs w:val="22"/>
                <w:highlight w:val="yellow"/>
              </w:rPr>
            </w:pPr>
          </w:p>
        </w:tc>
      </w:tr>
      <w:tr w:rsidTr="00D7212F">
        <w:tblPrEx>
          <w:tblW w:w="9738" w:type="dxa"/>
          <w:tblLook w:val="01E0"/>
        </w:tblPrEx>
        <w:tc>
          <w:tcPr>
            <w:tcW w:w="2880" w:type="dxa"/>
          </w:tcPr>
          <w:p w:rsidR="0095557C" w:rsidRPr="008D3514" w:rsidP="004E26B5">
            <w:pPr>
              <w:rPr>
                <w:color w:val="000000"/>
                <w:szCs w:val="22"/>
              </w:rPr>
            </w:pPr>
            <w:r>
              <w:rPr>
                <w:color w:val="000000"/>
                <w:szCs w:val="22"/>
              </w:rPr>
              <w:t>ITC-</w:t>
            </w:r>
            <w:r w:rsidR="00163DCE">
              <w:rPr>
                <w:color w:val="000000"/>
                <w:szCs w:val="22"/>
              </w:rPr>
              <w:t>T/C-20200515-00072</w:t>
            </w:r>
            <w:r w:rsidR="00D04654">
              <w:rPr>
                <w:color w:val="000000"/>
                <w:szCs w:val="22"/>
              </w:rPr>
              <w:t xml:space="preserve"> </w:t>
            </w:r>
          </w:p>
        </w:tc>
        <w:tc>
          <w:tcPr>
            <w:tcW w:w="3888" w:type="dxa"/>
          </w:tcPr>
          <w:p w:rsidR="0095557C" w:rsidP="004E26B5">
            <w:pPr>
              <w:rPr>
                <w:color w:val="000000"/>
                <w:szCs w:val="22"/>
              </w:rPr>
            </w:pPr>
            <w:r>
              <w:rPr>
                <w:color w:val="000000"/>
                <w:szCs w:val="22"/>
              </w:rPr>
              <w:t>Hawaiian Telcom Services Company</w:t>
            </w:r>
            <w:r w:rsidR="00BD366E">
              <w:rPr>
                <w:color w:val="000000"/>
                <w:szCs w:val="22"/>
              </w:rPr>
              <w:t>, Inc.</w:t>
            </w:r>
          </w:p>
        </w:tc>
        <w:tc>
          <w:tcPr>
            <w:tcW w:w="2970" w:type="dxa"/>
          </w:tcPr>
          <w:p w:rsidR="0095557C" w:rsidRPr="008D3514" w:rsidP="004E26B5">
            <w:pPr>
              <w:rPr>
                <w:color w:val="000000"/>
                <w:szCs w:val="22"/>
              </w:rPr>
            </w:pPr>
            <w:r>
              <w:rPr>
                <w:color w:val="000000"/>
                <w:szCs w:val="22"/>
              </w:rPr>
              <w:t>ITC-214-20040630-00</w:t>
            </w:r>
            <w:r w:rsidR="00841587">
              <w:rPr>
                <w:color w:val="000000"/>
                <w:szCs w:val="22"/>
              </w:rPr>
              <w:t>513</w:t>
            </w:r>
          </w:p>
        </w:tc>
      </w:tr>
      <w:tr w:rsidTr="007C3463">
        <w:tblPrEx>
          <w:tblW w:w="9738" w:type="dxa"/>
          <w:tblLook w:val="01E0"/>
        </w:tblPrEx>
        <w:tc>
          <w:tcPr>
            <w:tcW w:w="2880" w:type="dxa"/>
          </w:tcPr>
          <w:p w:rsidR="004E26B5" w:rsidRPr="00704B2F" w:rsidP="004E26B5">
            <w:pPr>
              <w:rPr>
                <w:color w:val="000000"/>
                <w:szCs w:val="22"/>
                <w:highlight w:val="yellow"/>
              </w:rPr>
            </w:pPr>
          </w:p>
        </w:tc>
        <w:tc>
          <w:tcPr>
            <w:tcW w:w="3888" w:type="dxa"/>
          </w:tcPr>
          <w:p w:rsidR="004E26B5" w:rsidRPr="0022664E" w:rsidP="004E26B5">
            <w:pPr>
              <w:rPr>
                <w:color w:val="000000"/>
                <w:szCs w:val="22"/>
              </w:rPr>
            </w:pPr>
          </w:p>
        </w:tc>
        <w:tc>
          <w:tcPr>
            <w:tcW w:w="2970" w:type="dxa"/>
          </w:tcPr>
          <w:p w:rsidR="004E26B5" w:rsidRPr="00704B2F" w:rsidP="004E26B5">
            <w:pPr>
              <w:rPr>
                <w:color w:val="000000"/>
                <w:szCs w:val="22"/>
                <w:highlight w:val="yellow"/>
              </w:rPr>
            </w:pPr>
          </w:p>
        </w:tc>
      </w:tr>
    </w:tbl>
    <w:p w:rsidR="0038750A" w:rsidRPr="00585942" w:rsidP="0038750A">
      <w:pPr>
        <w:rPr>
          <w:b/>
          <w:color w:val="000000"/>
          <w:szCs w:val="22"/>
        </w:rPr>
      </w:pPr>
      <w:r w:rsidRPr="00585942">
        <w:rPr>
          <w:b/>
          <w:color w:val="000000"/>
          <w:szCs w:val="22"/>
        </w:rPr>
        <w:t>B.</w:t>
      </w:r>
      <w:r w:rsidRPr="00585942">
        <w:rPr>
          <w:b/>
          <w:color w:val="000000"/>
          <w:szCs w:val="22"/>
        </w:rPr>
        <w:tab/>
        <w:t>Domestic</w:t>
      </w:r>
    </w:p>
    <w:p w:rsidR="0038750A" w:rsidRPr="0022664E" w:rsidP="0038750A">
      <w:pPr>
        <w:rPr>
          <w:color w:val="000000"/>
          <w:szCs w:val="22"/>
        </w:rPr>
      </w:pPr>
    </w:p>
    <w:p w:rsidR="0038750A" w:rsidRPr="0022664E" w:rsidP="0038750A">
      <w:pPr>
        <w:rPr>
          <w:color w:val="000000"/>
          <w:szCs w:val="22"/>
        </w:rPr>
      </w:pPr>
      <w:r w:rsidRPr="0022664E">
        <w:rPr>
          <w:color w:val="000000"/>
          <w:szCs w:val="22"/>
        </w:rPr>
        <w:t>Applicants filed an application to transfer control of domestic section 214 authority in connection with the proposed transaction</w:t>
      </w:r>
      <w:r w:rsidRPr="008E581F">
        <w:rPr>
          <w:color w:val="000000"/>
          <w:szCs w:val="22"/>
        </w:rPr>
        <w:t>.</w:t>
      </w:r>
      <w:bookmarkStart w:id="15" w:name="sp_999_4"/>
      <w:bookmarkStart w:id="16" w:name="SDU_4"/>
      <w:bookmarkStart w:id="17" w:name="citeas((Cite_as:_26_F.C.C.R._13372,_*133"/>
      <w:bookmarkEnd w:id="15"/>
      <w:bookmarkEnd w:id="16"/>
      <w:bookmarkEnd w:id="17"/>
      <w:r w:rsidRPr="008E581F">
        <w:rPr>
          <w:color w:val="000000"/>
          <w:szCs w:val="22"/>
        </w:rPr>
        <w:t xml:space="preserve">  </w:t>
      </w:r>
      <w:r w:rsidRPr="00B62EDB">
        <w:rPr>
          <w:color w:val="000000"/>
          <w:szCs w:val="22"/>
        </w:rPr>
        <w:t>In light of</w:t>
      </w:r>
      <w:r w:rsidRPr="00B62EDB">
        <w:rPr>
          <w:color w:val="000000"/>
          <w:szCs w:val="22"/>
        </w:rPr>
        <w:t xml:space="preserve"> the multiple applications pending before the Commission with respect to this transaction and the public interest review associated with them, the </w:t>
      </w:r>
      <w:r w:rsidR="00235E4B">
        <w:rPr>
          <w:color w:val="000000"/>
          <w:szCs w:val="22"/>
        </w:rPr>
        <w:t>domestic transfer of control application</w:t>
      </w:r>
      <w:r w:rsidRPr="00B62EDB">
        <w:rPr>
          <w:color w:val="000000"/>
          <w:szCs w:val="22"/>
        </w:rPr>
        <w:t xml:space="preserve"> </w:t>
      </w:r>
      <w:r w:rsidR="00235E4B">
        <w:rPr>
          <w:color w:val="000000"/>
          <w:szCs w:val="22"/>
        </w:rPr>
        <w:t xml:space="preserve">is </w:t>
      </w:r>
      <w:r w:rsidRPr="00B62EDB">
        <w:rPr>
          <w:color w:val="000000"/>
          <w:szCs w:val="22"/>
        </w:rPr>
        <w:t>not subject to streamlined treatment.</w:t>
      </w:r>
      <w:r>
        <w:rPr>
          <w:color w:val="000000"/>
          <w:szCs w:val="22"/>
          <w:vertAlign w:val="superscript"/>
        </w:rPr>
        <w:footnoteReference w:id="51"/>
      </w:r>
      <w:r w:rsidRPr="00B62EDB" w:rsidR="00CD125D">
        <w:rPr>
          <w:color w:val="000000"/>
          <w:szCs w:val="22"/>
        </w:rPr>
        <w:t xml:space="preserve"> </w:t>
      </w:r>
    </w:p>
    <w:tbl>
      <w:tblPr>
        <w:tblW w:w="9744" w:type="dxa"/>
        <w:tblLook w:val="01E0"/>
      </w:tblPr>
      <w:tblGrid>
        <w:gridCol w:w="2882"/>
        <w:gridCol w:w="3890"/>
        <w:gridCol w:w="2972"/>
      </w:tblGrid>
      <w:tr w:rsidTr="00A67047">
        <w:tblPrEx>
          <w:tblW w:w="9744" w:type="dxa"/>
          <w:tblLook w:val="01E0"/>
        </w:tblPrEx>
        <w:trPr>
          <w:trHeight w:val="297"/>
        </w:trPr>
        <w:tc>
          <w:tcPr>
            <w:tcW w:w="2882" w:type="dxa"/>
          </w:tcPr>
          <w:p w:rsidR="0038750A" w:rsidRPr="0022664E" w:rsidP="0038750A">
            <w:pPr>
              <w:rPr>
                <w:color w:val="000000"/>
                <w:szCs w:val="22"/>
              </w:rPr>
            </w:pPr>
          </w:p>
        </w:tc>
        <w:tc>
          <w:tcPr>
            <w:tcW w:w="3890" w:type="dxa"/>
          </w:tcPr>
          <w:p w:rsidR="0038750A" w:rsidRPr="0022664E" w:rsidP="0038750A">
            <w:pPr>
              <w:rPr>
                <w:color w:val="000000"/>
                <w:szCs w:val="22"/>
              </w:rPr>
            </w:pPr>
          </w:p>
        </w:tc>
        <w:tc>
          <w:tcPr>
            <w:tcW w:w="2972" w:type="dxa"/>
          </w:tcPr>
          <w:p w:rsidR="0038750A" w:rsidRPr="0022664E" w:rsidP="0038750A">
            <w:pPr>
              <w:rPr>
                <w:color w:val="000000"/>
                <w:szCs w:val="22"/>
              </w:rPr>
            </w:pPr>
          </w:p>
        </w:tc>
      </w:tr>
    </w:tbl>
    <w:p w:rsidR="0038750A" w:rsidRPr="0022664E" w:rsidP="0038750A">
      <w:pPr>
        <w:rPr>
          <w:color w:val="000000"/>
          <w:szCs w:val="22"/>
        </w:rPr>
      </w:pPr>
    </w:p>
    <w:p w:rsidR="008C77CA" w:rsidRPr="008C77CA" w:rsidP="008C77CA">
      <w:pPr>
        <w:widowControl w:val="0"/>
        <w:rPr>
          <w:b/>
          <w:snapToGrid w:val="0"/>
          <w:color w:val="000000"/>
          <w:kern w:val="28"/>
          <w:szCs w:val="22"/>
        </w:rPr>
      </w:pPr>
      <w:r w:rsidRPr="008C77CA">
        <w:rPr>
          <w:b/>
          <w:snapToGrid w:val="0"/>
          <w:color w:val="000000"/>
          <w:kern w:val="28"/>
          <w:szCs w:val="22"/>
        </w:rPr>
        <w:t>CABLE LANDING LICENSES</w:t>
      </w:r>
    </w:p>
    <w:p w:rsidR="008C77CA" w:rsidRPr="008C77CA" w:rsidP="008C77CA">
      <w:pPr>
        <w:widowControl w:val="0"/>
        <w:rPr>
          <w:b/>
          <w:snapToGrid w:val="0"/>
          <w:color w:val="000000"/>
          <w:kern w:val="28"/>
          <w:szCs w:val="22"/>
        </w:rPr>
      </w:pPr>
      <w:r w:rsidRPr="008C77CA">
        <w:rPr>
          <w:b/>
          <w:snapToGrid w:val="0"/>
          <w:color w:val="000000"/>
          <w:kern w:val="28"/>
          <w:szCs w:val="22"/>
        </w:rPr>
        <w:tab/>
      </w:r>
    </w:p>
    <w:tbl>
      <w:tblPr>
        <w:tblW w:w="9738" w:type="dxa"/>
        <w:tblLook w:val="01E0"/>
      </w:tblPr>
      <w:tblGrid>
        <w:gridCol w:w="2880"/>
        <w:gridCol w:w="3888"/>
        <w:gridCol w:w="2970"/>
      </w:tblGrid>
      <w:tr w:rsidTr="00164A7E">
        <w:tblPrEx>
          <w:tblW w:w="9738" w:type="dxa"/>
          <w:tblLook w:val="01E0"/>
        </w:tblPrEx>
        <w:tc>
          <w:tcPr>
            <w:tcW w:w="2880" w:type="dxa"/>
          </w:tcPr>
          <w:p w:rsidR="008C77CA" w:rsidRPr="008C77CA" w:rsidP="008C77CA">
            <w:pPr>
              <w:widowControl w:val="0"/>
              <w:rPr>
                <w:b/>
                <w:snapToGrid w:val="0"/>
                <w:color w:val="000000"/>
                <w:kern w:val="28"/>
                <w:szCs w:val="22"/>
              </w:rPr>
            </w:pPr>
            <w:r w:rsidRPr="008C77CA">
              <w:rPr>
                <w:b/>
                <w:snapToGrid w:val="0"/>
                <w:color w:val="000000"/>
                <w:kern w:val="28"/>
                <w:szCs w:val="22"/>
                <w:u w:val="single"/>
              </w:rPr>
              <w:t>File Number</w:t>
            </w:r>
          </w:p>
        </w:tc>
        <w:tc>
          <w:tcPr>
            <w:tcW w:w="3888" w:type="dxa"/>
          </w:tcPr>
          <w:p w:rsidR="008C77CA" w:rsidRPr="008C77CA" w:rsidP="008C77CA">
            <w:pPr>
              <w:widowControl w:val="0"/>
              <w:rPr>
                <w:b/>
                <w:snapToGrid w:val="0"/>
                <w:color w:val="000000"/>
                <w:kern w:val="28"/>
                <w:szCs w:val="22"/>
                <w:u w:val="single"/>
              </w:rPr>
            </w:pPr>
            <w:r w:rsidRPr="008C77CA">
              <w:rPr>
                <w:b/>
                <w:snapToGrid w:val="0"/>
                <w:color w:val="000000"/>
                <w:kern w:val="28"/>
                <w:szCs w:val="22"/>
                <w:u w:val="single"/>
              </w:rPr>
              <w:t>Licensee</w:t>
            </w:r>
          </w:p>
        </w:tc>
        <w:tc>
          <w:tcPr>
            <w:tcW w:w="2970" w:type="dxa"/>
          </w:tcPr>
          <w:p w:rsidR="008C77CA" w:rsidRPr="008C77CA" w:rsidP="008C77CA">
            <w:pPr>
              <w:widowControl w:val="0"/>
              <w:rPr>
                <w:b/>
                <w:snapToGrid w:val="0"/>
                <w:color w:val="000000"/>
                <w:kern w:val="28"/>
                <w:szCs w:val="22"/>
                <w:u w:val="single"/>
              </w:rPr>
            </w:pPr>
            <w:r w:rsidRPr="008C77CA">
              <w:rPr>
                <w:b/>
                <w:snapToGrid w:val="0"/>
                <w:color w:val="000000"/>
                <w:kern w:val="28"/>
                <w:szCs w:val="22"/>
                <w:u w:val="single"/>
              </w:rPr>
              <w:t>License Number</w:t>
            </w:r>
          </w:p>
          <w:p w:rsidR="008C77CA" w:rsidRPr="008C77CA" w:rsidP="008C77CA">
            <w:pPr>
              <w:widowControl w:val="0"/>
              <w:rPr>
                <w:b/>
                <w:snapToGrid w:val="0"/>
                <w:color w:val="000000"/>
                <w:kern w:val="28"/>
                <w:szCs w:val="22"/>
                <w:u w:val="single"/>
              </w:rPr>
            </w:pPr>
          </w:p>
        </w:tc>
      </w:tr>
      <w:tr w:rsidTr="00164A7E">
        <w:tblPrEx>
          <w:tblW w:w="9738" w:type="dxa"/>
          <w:tblLook w:val="01E0"/>
        </w:tblPrEx>
        <w:tc>
          <w:tcPr>
            <w:tcW w:w="2880" w:type="dxa"/>
          </w:tcPr>
          <w:p w:rsidR="008C77CA" w:rsidRPr="008C77CA" w:rsidP="008C77CA">
            <w:pPr>
              <w:widowControl w:val="0"/>
              <w:rPr>
                <w:snapToGrid w:val="0"/>
                <w:color w:val="000000"/>
                <w:kern w:val="28"/>
                <w:szCs w:val="22"/>
              </w:rPr>
            </w:pPr>
            <w:r w:rsidRPr="008C77CA">
              <w:rPr>
                <w:snapToGrid w:val="0"/>
                <w:color w:val="000000"/>
                <w:kern w:val="28"/>
                <w:szCs w:val="22"/>
              </w:rPr>
              <w:t>SCL-T/C-</w:t>
            </w:r>
            <w:r w:rsidR="00163DCE">
              <w:rPr>
                <w:snapToGrid w:val="0"/>
                <w:color w:val="000000"/>
                <w:kern w:val="28"/>
                <w:szCs w:val="22"/>
              </w:rPr>
              <w:t xml:space="preserve">20200520-00021 </w:t>
            </w:r>
          </w:p>
          <w:p w:rsidR="008C77CA" w:rsidRPr="008C77CA" w:rsidP="008C77CA">
            <w:pPr>
              <w:widowControl w:val="0"/>
              <w:rPr>
                <w:snapToGrid w:val="0"/>
                <w:color w:val="000000"/>
                <w:kern w:val="28"/>
                <w:szCs w:val="22"/>
              </w:rPr>
            </w:pPr>
          </w:p>
        </w:tc>
        <w:tc>
          <w:tcPr>
            <w:tcW w:w="3888" w:type="dxa"/>
          </w:tcPr>
          <w:p w:rsidR="008C77CA" w:rsidRPr="008C77CA" w:rsidP="008C77CA">
            <w:pPr>
              <w:widowControl w:val="0"/>
              <w:rPr>
                <w:snapToGrid w:val="0"/>
                <w:color w:val="000000"/>
                <w:kern w:val="28"/>
                <w:szCs w:val="22"/>
              </w:rPr>
            </w:pPr>
            <w:r w:rsidRPr="008C77CA">
              <w:rPr>
                <w:snapToGrid w:val="0"/>
                <w:color w:val="000000"/>
                <w:kern w:val="28"/>
                <w:szCs w:val="22"/>
              </w:rPr>
              <w:t>Hawaiian Telcom, Inc.</w:t>
            </w:r>
          </w:p>
          <w:p w:rsidR="008C77CA" w:rsidRPr="008C77CA" w:rsidP="008C77CA">
            <w:pPr>
              <w:widowControl w:val="0"/>
              <w:rPr>
                <w:snapToGrid w:val="0"/>
                <w:color w:val="000000"/>
                <w:kern w:val="28"/>
                <w:szCs w:val="22"/>
              </w:rPr>
            </w:pPr>
          </w:p>
        </w:tc>
        <w:tc>
          <w:tcPr>
            <w:tcW w:w="2970" w:type="dxa"/>
          </w:tcPr>
          <w:p w:rsidR="008C77CA" w:rsidP="008C77CA">
            <w:pPr>
              <w:widowControl w:val="0"/>
              <w:rPr>
                <w:snapToGrid w:val="0"/>
                <w:color w:val="000000"/>
                <w:kern w:val="28"/>
                <w:szCs w:val="22"/>
              </w:rPr>
            </w:pPr>
            <w:r w:rsidRPr="008C77CA">
              <w:rPr>
                <w:snapToGrid w:val="0"/>
                <w:color w:val="000000"/>
                <w:kern w:val="28"/>
                <w:szCs w:val="22"/>
              </w:rPr>
              <w:t>SCL-LIC-19921015-00008</w:t>
            </w:r>
          </w:p>
          <w:p w:rsidR="00B874EC" w:rsidRPr="008C77CA" w:rsidP="008C77CA">
            <w:pPr>
              <w:widowControl w:val="0"/>
              <w:rPr>
                <w:snapToGrid w:val="0"/>
                <w:color w:val="000000"/>
                <w:kern w:val="28"/>
                <w:szCs w:val="22"/>
              </w:rPr>
            </w:pPr>
            <w:r>
              <w:rPr>
                <w:snapToGrid w:val="0"/>
                <w:color w:val="000000"/>
                <w:kern w:val="28"/>
                <w:szCs w:val="22"/>
              </w:rPr>
              <w:t>SCL-MOD-20190305-00007</w:t>
            </w:r>
          </w:p>
          <w:p w:rsidR="008C77CA" w:rsidP="008C77CA">
            <w:pPr>
              <w:widowControl w:val="0"/>
              <w:rPr>
                <w:snapToGrid w:val="0"/>
                <w:color w:val="000000"/>
                <w:kern w:val="28"/>
                <w:szCs w:val="22"/>
              </w:rPr>
            </w:pPr>
            <w:r w:rsidRPr="008C77CA">
              <w:rPr>
                <w:snapToGrid w:val="0"/>
                <w:color w:val="000000"/>
                <w:kern w:val="28"/>
                <w:szCs w:val="22"/>
              </w:rPr>
              <w:t>SCL-LIC-19950627-00024</w:t>
            </w:r>
          </w:p>
          <w:p w:rsidR="00B874EC" w:rsidP="008C77CA">
            <w:pPr>
              <w:widowControl w:val="0"/>
              <w:rPr>
                <w:snapToGrid w:val="0"/>
                <w:color w:val="000000"/>
                <w:kern w:val="28"/>
                <w:szCs w:val="22"/>
              </w:rPr>
            </w:pPr>
            <w:r>
              <w:rPr>
                <w:snapToGrid w:val="0"/>
                <w:color w:val="000000"/>
                <w:kern w:val="28"/>
                <w:szCs w:val="22"/>
              </w:rPr>
              <w:t>SCL-MOD-20131114-00012</w:t>
            </w:r>
          </w:p>
          <w:p w:rsidR="00271386" w:rsidRPr="008C77CA" w:rsidP="008C77CA">
            <w:pPr>
              <w:widowControl w:val="0"/>
              <w:rPr>
                <w:snapToGrid w:val="0"/>
                <w:color w:val="000000"/>
                <w:kern w:val="28"/>
                <w:szCs w:val="22"/>
              </w:rPr>
            </w:pPr>
          </w:p>
        </w:tc>
      </w:tr>
      <w:tr w:rsidTr="00164A7E">
        <w:tblPrEx>
          <w:tblW w:w="9738" w:type="dxa"/>
          <w:tblLook w:val="01E0"/>
        </w:tblPrEx>
        <w:tc>
          <w:tcPr>
            <w:tcW w:w="2880" w:type="dxa"/>
          </w:tcPr>
          <w:p w:rsidR="008C77CA" w:rsidRPr="008C77CA" w:rsidP="008C77CA">
            <w:pPr>
              <w:widowControl w:val="0"/>
              <w:rPr>
                <w:snapToGrid w:val="0"/>
                <w:color w:val="000000"/>
                <w:kern w:val="28"/>
                <w:szCs w:val="22"/>
              </w:rPr>
            </w:pPr>
            <w:r w:rsidRPr="008C77CA">
              <w:rPr>
                <w:snapToGrid w:val="0"/>
                <w:color w:val="000000"/>
                <w:kern w:val="28"/>
                <w:szCs w:val="22"/>
              </w:rPr>
              <w:t>SCL-T/C-</w:t>
            </w:r>
            <w:r w:rsidR="00163DCE">
              <w:rPr>
                <w:bCs/>
                <w:snapToGrid w:val="0"/>
                <w:kern w:val="28"/>
              </w:rPr>
              <w:t xml:space="preserve">20200520-00020 </w:t>
            </w:r>
          </w:p>
        </w:tc>
        <w:tc>
          <w:tcPr>
            <w:tcW w:w="3888" w:type="dxa"/>
          </w:tcPr>
          <w:p w:rsidR="008C77CA" w:rsidRPr="008C77CA" w:rsidP="008C77CA">
            <w:pPr>
              <w:widowControl w:val="0"/>
              <w:rPr>
                <w:snapToGrid w:val="0"/>
                <w:color w:val="000000"/>
                <w:kern w:val="28"/>
                <w:szCs w:val="22"/>
              </w:rPr>
            </w:pPr>
            <w:r w:rsidRPr="008C77CA">
              <w:rPr>
                <w:snapToGrid w:val="0"/>
                <w:color w:val="000000"/>
                <w:kern w:val="28"/>
                <w:szCs w:val="22"/>
              </w:rPr>
              <w:t>Hawaiian Telcom Services Company Inc.</w:t>
            </w:r>
          </w:p>
        </w:tc>
        <w:tc>
          <w:tcPr>
            <w:tcW w:w="2970" w:type="dxa"/>
          </w:tcPr>
          <w:p w:rsidR="00B874EC" w:rsidRPr="008C77CA" w:rsidP="00B874EC">
            <w:pPr>
              <w:widowControl w:val="0"/>
              <w:rPr>
                <w:snapToGrid w:val="0"/>
                <w:color w:val="000000"/>
                <w:kern w:val="28"/>
                <w:szCs w:val="22"/>
              </w:rPr>
            </w:pPr>
            <w:r w:rsidRPr="008C77CA">
              <w:rPr>
                <w:snapToGrid w:val="0"/>
                <w:color w:val="000000"/>
                <w:kern w:val="28"/>
                <w:szCs w:val="22"/>
              </w:rPr>
              <w:t>SCL-LIC-19921015-00008</w:t>
            </w:r>
          </w:p>
          <w:p w:rsidR="008C77CA" w:rsidRPr="008C77CA" w:rsidP="008C77CA">
            <w:pPr>
              <w:widowControl w:val="0"/>
              <w:rPr>
                <w:snapToGrid w:val="0"/>
                <w:color w:val="000000"/>
                <w:kern w:val="28"/>
                <w:szCs w:val="22"/>
              </w:rPr>
            </w:pPr>
            <w:r>
              <w:rPr>
                <w:snapToGrid w:val="0"/>
                <w:color w:val="000000"/>
                <w:kern w:val="28"/>
                <w:szCs w:val="22"/>
              </w:rPr>
              <w:t xml:space="preserve">SCL-MOD-20190305-00007 </w:t>
            </w:r>
            <w:r w:rsidRPr="008C77CA">
              <w:rPr>
                <w:snapToGrid w:val="0"/>
                <w:color w:val="000000"/>
                <w:kern w:val="28"/>
                <w:szCs w:val="22"/>
              </w:rPr>
              <w:t>SCL-LIC-19950627-00024</w:t>
            </w:r>
          </w:p>
        </w:tc>
      </w:tr>
      <w:tr w:rsidTr="00164A7E">
        <w:tblPrEx>
          <w:tblW w:w="9738" w:type="dxa"/>
          <w:tblLook w:val="01E0"/>
        </w:tblPrEx>
        <w:tc>
          <w:tcPr>
            <w:tcW w:w="2880" w:type="dxa"/>
          </w:tcPr>
          <w:p w:rsidR="008C77CA" w:rsidRPr="008C77CA" w:rsidP="008C77CA">
            <w:pPr>
              <w:widowControl w:val="0"/>
              <w:rPr>
                <w:snapToGrid w:val="0"/>
                <w:color w:val="000000"/>
                <w:kern w:val="28"/>
                <w:szCs w:val="22"/>
              </w:rPr>
            </w:pPr>
          </w:p>
        </w:tc>
        <w:tc>
          <w:tcPr>
            <w:tcW w:w="3888" w:type="dxa"/>
          </w:tcPr>
          <w:p w:rsidR="008C77CA" w:rsidRPr="008C77CA" w:rsidP="008C77CA">
            <w:pPr>
              <w:widowControl w:val="0"/>
              <w:rPr>
                <w:snapToGrid w:val="0"/>
                <w:color w:val="000000"/>
                <w:kern w:val="28"/>
                <w:szCs w:val="22"/>
              </w:rPr>
            </w:pPr>
          </w:p>
        </w:tc>
        <w:tc>
          <w:tcPr>
            <w:tcW w:w="2970" w:type="dxa"/>
          </w:tcPr>
          <w:p w:rsidR="00B874EC" w:rsidP="00B874EC">
            <w:pPr>
              <w:widowControl w:val="0"/>
              <w:rPr>
                <w:snapToGrid w:val="0"/>
                <w:color w:val="000000"/>
                <w:kern w:val="28"/>
                <w:szCs w:val="22"/>
              </w:rPr>
            </w:pPr>
            <w:r>
              <w:rPr>
                <w:snapToGrid w:val="0"/>
                <w:color w:val="000000"/>
                <w:kern w:val="28"/>
                <w:szCs w:val="22"/>
              </w:rPr>
              <w:t>SCL-MOD-20131114-00012</w:t>
            </w:r>
          </w:p>
          <w:p w:rsidR="008C77CA" w:rsidP="008C77CA">
            <w:pPr>
              <w:widowControl w:val="0"/>
              <w:rPr>
                <w:snapToGrid w:val="0"/>
                <w:color w:val="000000"/>
                <w:kern w:val="28"/>
                <w:szCs w:val="22"/>
              </w:rPr>
            </w:pPr>
            <w:r w:rsidRPr="008C77CA">
              <w:rPr>
                <w:snapToGrid w:val="0"/>
                <w:color w:val="000000"/>
                <w:kern w:val="28"/>
                <w:szCs w:val="22"/>
              </w:rPr>
              <w:t>SCL-LIC-20150626-00016</w:t>
            </w:r>
          </w:p>
          <w:p w:rsidR="00B874EC" w:rsidRPr="008C77CA" w:rsidP="00B874EC">
            <w:pPr>
              <w:widowControl w:val="0"/>
              <w:rPr>
                <w:snapToGrid w:val="0"/>
                <w:color w:val="000000"/>
                <w:kern w:val="28"/>
                <w:szCs w:val="22"/>
              </w:rPr>
            </w:pPr>
          </w:p>
        </w:tc>
      </w:tr>
    </w:tbl>
    <w:p w:rsidR="008C77CA" w:rsidRPr="008C77CA" w:rsidP="008C77CA">
      <w:pPr>
        <w:widowControl w:val="0"/>
        <w:rPr>
          <w:b/>
          <w:snapToGrid w:val="0"/>
          <w:color w:val="000000"/>
          <w:kern w:val="28"/>
          <w:szCs w:val="22"/>
        </w:rPr>
      </w:pPr>
    </w:p>
    <w:p w:rsidR="008C77CA" w:rsidRPr="008C77CA" w:rsidP="008C77CA">
      <w:pPr>
        <w:keepNext/>
        <w:widowControl w:val="0"/>
        <w:rPr>
          <w:b/>
          <w:snapToGrid w:val="0"/>
          <w:color w:val="000000"/>
          <w:kern w:val="28"/>
          <w:szCs w:val="22"/>
        </w:rPr>
      </w:pPr>
      <w:r w:rsidRPr="008C77CA">
        <w:rPr>
          <w:b/>
          <w:snapToGrid w:val="0"/>
          <w:color w:val="000000"/>
          <w:kern w:val="28"/>
          <w:szCs w:val="22"/>
        </w:rPr>
        <w:t>SECTION 310(d) APPLICATION</w:t>
      </w:r>
    </w:p>
    <w:tbl>
      <w:tblPr>
        <w:tblW w:w="9738" w:type="dxa"/>
        <w:tblLook w:val="01E0"/>
      </w:tblPr>
      <w:tblGrid>
        <w:gridCol w:w="2880"/>
        <w:gridCol w:w="3888"/>
        <w:gridCol w:w="2970"/>
      </w:tblGrid>
      <w:tr w:rsidTr="008C77CA">
        <w:tblPrEx>
          <w:tblW w:w="9738" w:type="dxa"/>
          <w:tblLook w:val="01E0"/>
        </w:tblPrEx>
        <w:trPr>
          <w:trHeight w:val="669"/>
        </w:trPr>
        <w:tc>
          <w:tcPr>
            <w:tcW w:w="2880" w:type="dxa"/>
          </w:tcPr>
          <w:p w:rsidR="008C77CA" w:rsidRPr="008C77CA" w:rsidP="008C77CA">
            <w:pPr>
              <w:widowControl w:val="0"/>
              <w:rPr>
                <w:b/>
                <w:snapToGrid w:val="0"/>
                <w:color w:val="000000"/>
                <w:kern w:val="28"/>
                <w:szCs w:val="22"/>
              </w:rPr>
            </w:pPr>
            <w:r w:rsidRPr="008C77CA">
              <w:rPr>
                <w:b/>
                <w:snapToGrid w:val="0"/>
                <w:color w:val="000000"/>
                <w:kern w:val="28"/>
                <w:szCs w:val="22"/>
                <w:u w:val="single"/>
              </w:rPr>
              <w:t>File Number</w:t>
            </w:r>
          </w:p>
        </w:tc>
        <w:tc>
          <w:tcPr>
            <w:tcW w:w="3888" w:type="dxa"/>
          </w:tcPr>
          <w:p w:rsidR="008C77CA" w:rsidRPr="008C77CA" w:rsidP="008C77CA">
            <w:pPr>
              <w:widowControl w:val="0"/>
              <w:rPr>
                <w:b/>
                <w:snapToGrid w:val="0"/>
                <w:color w:val="000000"/>
                <w:kern w:val="28"/>
                <w:szCs w:val="22"/>
                <w:u w:val="single"/>
              </w:rPr>
            </w:pPr>
            <w:r w:rsidRPr="008C77CA">
              <w:rPr>
                <w:b/>
                <w:snapToGrid w:val="0"/>
                <w:color w:val="000000"/>
                <w:kern w:val="28"/>
                <w:szCs w:val="22"/>
                <w:u w:val="single"/>
              </w:rPr>
              <w:t>Licensee</w:t>
            </w:r>
          </w:p>
        </w:tc>
        <w:tc>
          <w:tcPr>
            <w:tcW w:w="2970" w:type="dxa"/>
          </w:tcPr>
          <w:p w:rsidR="008C77CA" w:rsidRPr="008C77CA" w:rsidP="008C77CA">
            <w:pPr>
              <w:widowControl w:val="0"/>
              <w:rPr>
                <w:b/>
                <w:snapToGrid w:val="0"/>
                <w:color w:val="000000"/>
                <w:kern w:val="28"/>
                <w:szCs w:val="22"/>
                <w:u w:val="single"/>
              </w:rPr>
            </w:pPr>
            <w:r w:rsidRPr="008C77CA">
              <w:rPr>
                <w:b/>
                <w:snapToGrid w:val="0"/>
                <w:color w:val="000000"/>
                <w:kern w:val="28"/>
                <w:szCs w:val="22"/>
                <w:u w:val="single"/>
              </w:rPr>
              <w:t>Lead Call Sign</w:t>
            </w:r>
          </w:p>
          <w:p w:rsidR="008C77CA" w:rsidRPr="008C77CA" w:rsidP="008C77CA">
            <w:pPr>
              <w:widowControl w:val="0"/>
              <w:rPr>
                <w:b/>
                <w:snapToGrid w:val="0"/>
                <w:color w:val="000000"/>
                <w:kern w:val="28"/>
                <w:szCs w:val="22"/>
                <w:u w:val="single"/>
              </w:rPr>
            </w:pPr>
          </w:p>
        </w:tc>
      </w:tr>
      <w:tr w:rsidTr="00164A7E">
        <w:tblPrEx>
          <w:tblW w:w="9738" w:type="dxa"/>
          <w:tblLook w:val="01E0"/>
        </w:tblPrEx>
        <w:tc>
          <w:tcPr>
            <w:tcW w:w="2880" w:type="dxa"/>
          </w:tcPr>
          <w:p w:rsidR="008C77CA" w:rsidRPr="008C77CA" w:rsidP="008C77CA">
            <w:pPr>
              <w:widowControl w:val="0"/>
              <w:rPr>
                <w:snapToGrid w:val="0"/>
                <w:kern w:val="28"/>
                <w:szCs w:val="22"/>
              </w:rPr>
            </w:pPr>
            <w:r>
              <w:rPr>
                <w:snapToGrid w:val="0"/>
                <w:kern w:val="28"/>
                <w:szCs w:val="22"/>
              </w:rPr>
              <w:t>0009033032</w:t>
            </w:r>
          </w:p>
        </w:tc>
        <w:tc>
          <w:tcPr>
            <w:tcW w:w="3888" w:type="dxa"/>
          </w:tcPr>
          <w:p w:rsidR="008C77CA" w:rsidRPr="008C77CA" w:rsidP="008C77CA">
            <w:pPr>
              <w:widowControl w:val="0"/>
              <w:rPr>
                <w:snapToGrid w:val="0"/>
                <w:kern w:val="28"/>
                <w:szCs w:val="22"/>
              </w:rPr>
            </w:pPr>
            <w:r>
              <w:rPr>
                <w:snapToGrid w:val="0"/>
                <w:kern w:val="28"/>
                <w:szCs w:val="22"/>
              </w:rPr>
              <w:t>Hawaiian Telcom, Inc.</w:t>
            </w:r>
          </w:p>
        </w:tc>
        <w:tc>
          <w:tcPr>
            <w:tcW w:w="2970" w:type="dxa"/>
          </w:tcPr>
          <w:p w:rsidR="008C77CA" w:rsidRPr="008C77CA" w:rsidP="008C77CA">
            <w:pPr>
              <w:widowControl w:val="0"/>
              <w:rPr>
                <w:snapToGrid w:val="0"/>
                <w:kern w:val="28"/>
                <w:szCs w:val="22"/>
              </w:rPr>
            </w:pPr>
            <w:r>
              <w:rPr>
                <w:snapToGrid w:val="0"/>
                <w:kern w:val="28"/>
                <w:szCs w:val="22"/>
              </w:rPr>
              <w:t>KCG66</w:t>
            </w:r>
          </w:p>
        </w:tc>
      </w:tr>
      <w:tr w:rsidTr="00164A7E">
        <w:tblPrEx>
          <w:tblW w:w="9738" w:type="dxa"/>
          <w:tblLook w:val="01E0"/>
        </w:tblPrEx>
        <w:tc>
          <w:tcPr>
            <w:tcW w:w="2880" w:type="dxa"/>
          </w:tcPr>
          <w:p w:rsidR="008C77CA" w:rsidRPr="008C77CA" w:rsidP="008C77CA">
            <w:pPr>
              <w:widowControl w:val="0"/>
              <w:rPr>
                <w:snapToGrid w:val="0"/>
                <w:kern w:val="28"/>
                <w:szCs w:val="22"/>
              </w:rPr>
            </w:pPr>
          </w:p>
        </w:tc>
        <w:tc>
          <w:tcPr>
            <w:tcW w:w="3888" w:type="dxa"/>
          </w:tcPr>
          <w:p w:rsidR="008C77CA" w:rsidRPr="008C77CA" w:rsidP="008C77CA">
            <w:pPr>
              <w:widowControl w:val="0"/>
              <w:rPr>
                <w:snapToGrid w:val="0"/>
                <w:kern w:val="28"/>
              </w:rPr>
            </w:pPr>
          </w:p>
        </w:tc>
        <w:tc>
          <w:tcPr>
            <w:tcW w:w="2970" w:type="dxa"/>
          </w:tcPr>
          <w:p w:rsidR="008C77CA" w:rsidRPr="008C77CA" w:rsidP="008C77CA">
            <w:pPr>
              <w:widowControl w:val="0"/>
              <w:rPr>
                <w:snapToGrid w:val="0"/>
                <w:kern w:val="28"/>
              </w:rPr>
            </w:pPr>
          </w:p>
        </w:tc>
      </w:tr>
      <w:tr w:rsidTr="00164A7E">
        <w:tblPrEx>
          <w:tblW w:w="9738" w:type="dxa"/>
          <w:tblLook w:val="01E0"/>
        </w:tblPrEx>
        <w:tc>
          <w:tcPr>
            <w:tcW w:w="2880" w:type="dxa"/>
          </w:tcPr>
          <w:p w:rsidR="008C77CA" w:rsidRPr="008C77CA" w:rsidP="008C77CA">
            <w:pPr>
              <w:widowControl w:val="0"/>
              <w:rPr>
                <w:snapToGrid w:val="0"/>
                <w:kern w:val="28"/>
                <w:szCs w:val="22"/>
              </w:rPr>
            </w:pPr>
          </w:p>
        </w:tc>
        <w:tc>
          <w:tcPr>
            <w:tcW w:w="3888" w:type="dxa"/>
          </w:tcPr>
          <w:p w:rsidR="008C77CA" w:rsidRPr="008C77CA" w:rsidP="008C77CA">
            <w:pPr>
              <w:widowControl w:val="0"/>
              <w:rPr>
                <w:snapToGrid w:val="0"/>
                <w:kern w:val="28"/>
              </w:rPr>
            </w:pPr>
          </w:p>
        </w:tc>
        <w:tc>
          <w:tcPr>
            <w:tcW w:w="2970" w:type="dxa"/>
          </w:tcPr>
          <w:p w:rsidR="008C77CA" w:rsidRPr="008C77CA" w:rsidP="008C77CA">
            <w:pPr>
              <w:widowControl w:val="0"/>
              <w:rPr>
                <w:snapToGrid w:val="0"/>
                <w:kern w:val="28"/>
              </w:rPr>
            </w:pPr>
          </w:p>
        </w:tc>
      </w:tr>
      <w:tr w:rsidTr="00164A7E">
        <w:tblPrEx>
          <w:tblW w:w="9738" w:type="dxa"/>
          <w:tblLook w:val="01E0"/>
        </w:tblPrEx>
        <w:tc>
          <w:tcPr>
            <w:tcW w:w="2880" w:type="dxa"/>
          </w:tcPr>
          <w:p w:rsidR="008C77CA" w:rsidRPr="008C77CA" w:rsidP="008C77CA">
            <w:pPr>
              <w:widowControl w:val="0"/>
              <w:rPr>
                <w:snapToGrid w:val="0"/>
                <w:kern w:val="28"/>
                <w:szCs w:val="22"/>
              </w:rPr>
            </w:pPr>
          </w:p>
        </w:tc>
        <w:tc>
          <w:tcPr>
            <w:tcW w:w="3888" w:type="dxa"/>
          </w:tcPr>
          <w:p w:rsidR="008C77CA" w:rsidRPr="008C77CA" w:rsidP="008C77CA">
            <w:pPr>
              <w:widowControl w:val="0"/>
              <w:rPr>
                <w:snapToGrid w:val="0"/>
                <w:kern w:val="28"/>
              </w:rPr>
            </w:pPr>
          </w:p>
        </w:tc>
        <w:tc>
          <w:tcPr>
            <w:tcW w:w="2970" w:type="dxa"/>
          </w:tcPr>
          <w:p w:rsidR="008C77CA" w:rsidRPr="008C77CA" w:rsidP="008C77CA">
            <w:pPr>
              <w:widowControl w:val="0"/>
              <w:rPr>
                <w:snapToGrid w:val="0"/>
                <w:kern w:val="28"/>
              </w:rPr>
            </w:pPr>
          </w:p>
        </w:tc>
      </w:tr>
    </w:tbl>
    <w:p w:rsidR="008C77CA" w:rsidP="00B73F61">
      <w:pPr>
        <w:autoSpaceDE w:val="0"/>
        <w:autoSpaceDN w:val="0"/>
        <w:adjustRightInd w:val="0"/>
        <w:rPr>
          <w:rFonts w:ascii="TimesNewRomanPS-BoldMT" w:hAnsi="TimesNewRomanPS-BoldMT" w:cs="TimesNewRomanPS-BoldMT"/>
          <w:b/>
          <w:bCs/>
          <w:szCs w:val="22"/>
        </w:rPr>
      </w:pPr>
      <w:r>
        <w:rPr>
          <w:rFonts w:ascii="TimesNewRomanPS-BoldMT" w:hAnsi="TimesNewRomanPS-BoldMT" w:cs="TimesNewRomanPS-BoldMT"/>
          <w:b/>
          <w:bCs/>
          <w:szCs w:val="22"/>
        </w:rPr>
        <w:t>PETITION FOR DECLARATORY RULING UNDER SECTION 310(b)(4)</w:t>
      </w:r>
    </w:p>
    <w:p w:rsidR="00A86F9C" w:rsidP="00B73F61">
      <w:pPr>
        <w:autoSpaceDE w:val="0"/>
        <w:autoSpaceDN w:val="0"/>
        <w:adjustRightInd w:val="0"/>
        <w:rPr>
          <w:rFonts w:ascii="TimesNewRomanPS-BoldMT" w:hAnsi="TimesNewRomanPS-BoldMT" w:cs="TimesNewRomanPS-BoldMT"/>
          <w:b/>
          <w:bCs/>
          <w:szCs w:val="22"/>
        </w:rPr>
      </w:pPr>
    </w:p>
    <w:p w:rsidR="00A86F9C" w:rsidP="00CB7798">
      <w:pPr>
        <w:autoSpaceDE w:val="0"/>
        <w:autoSpaceDN w:val="0"/>
        <w:adjustRightInd w:val="0"/>
        <w:rPr>
          <w:szCs w:val="22"/>
        </w:rPr>
      </w:pPr>
      <w:r w:rsidRPr="00E651E5">
        <w:rPr>
          <w:szCs w:val="22"/>
        </w:rPr>
        <w:t xml:space="preserve">The Petition has been assigned File No. ISP-PDR-20200515-00003. </w:t>
      </w:r>
    </w:p>
    <w:p w:rsidR="00A86F9C" w:rsidP="00B73F61">
      <w:pPr>
        <w:autoSpaceDE w:val="0"/>
        <w:autoSpaceDN w:val="0"/>
        <w:adjustRightInd w:val="0"/>
        <w:rPr>
          <w:rFonts w:ascii="TimesNewRoman,Bold" w:hAnsi="TimesNewRoman,Bold" w:cs="TimesNewRoman,Bold"/>
          <w:b/>
          <w:bCs/>
          <w:color w:val="010101"/>
          <w:szCs w:val="22"/>
        </w:rPr>
      </w:pPr>
    </w:p>
    <w:p w:rsidR="00B73F61" w:rsidP="00B73F61">
      <w:pPr>
        <w:autoSpaceDE w:val="0"/>
        <w:autoSpaceDN w:val="0"/>
        <w:adjustRightInd w:val="0"/>
        <w:rPr>
          <w:rFonts w:ascii="TimesNewRoman,Bold" w:hAnsi="TimesNewRoman,Bold" w:cs="TimesNewRoman,Bold"/>
          <w:b/>
          <w:bCs/>
          <w:color w:val="010101"/>
          <w:szCs w:val="22"/>
        </w:rPr>
      </w:pPr>
    </w:p>
    <w:p w:rsidR="00B73F61" w:rsidP="00B73F61">
      <w:pPr>
        <w:autoSpaceDE w:val="0"/>
        <w:autoSpaceDN w:val="0"/>
        <w:adjustRightInd w:val="0"/>
        <w:rPr>
          <w:rFonts w:ascii="TimesNewRoman" w:hAnsi="TimesNewRoman" w:cs="TimesNewRoman"/>
          <w:color w:val="010101"/>
          <w:szCs w:val="22"/>
        </w:rPr>
      </w:pPr>
    </w:p>
    <w:p w:rsidR="00EF113F" w:rsidRPr="00D006BE" w:rsidP="0038750A">
      <w:pPr>
        <w:rPr>
          <w:b/>
          <w:bCs/>
          <w:color w:val="000000"/>
          <w:szCs w:val="22"/>
        </w:rPr>
      </w:pPr>
      <w:r w:rsidRPr="00D006BE">
        <w:rPr>
          <w:b/>
          <w:bCs/>
          <w:color w:val="000000"/>
          <w:szCs w:val="22"/>
        </w:rPr>
        <w:tab/>
      </w:r>
      <w:r w:rsidRPr="00D006BE">
        <w:rPr>
          <w:b/>
          <w:bCs/>
          <w:color w:val="000000"/>
          <w:szCs w:val="22"/>
        </w:rPr>
        <w:tab/>
      </w:r>
      <w:r w:rsidRPr="00D006BE">
        <w:rPr>
          <w:b/>
          <w:bCs/>
          <w:color w:val="000000"/>
          <w:szCs w:val="22"/>
        </w:rPr>
        <w:tab/>
      </w:r>
      <w:r w:rsidRPr="00D006BE">
        <w:rPr>
          <w:b/>
          <w:bCs/>
          <w:color w:val="000000"/>
          <w:szCs w:val="22"/>
        </w:rPr>
        <w:tab/>
      </w:r>
      <w:r w:rsidRPr="00D006BE">
        <w:rPr>
          <w:b/>
          <w:bCs/>
          <w:color w:val="000000"/>
          <w:szCs w:val="22"/>
        </w:rPr>
        <w:tab/>
        <w:t>-FCC-</w:t>
      </w:r>
    </w:p>
    <w:sectPr w:rsidSect="002710BB">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TimesNewRoman">
    <w:altName w:val="MS Mincho"/>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sidR="002570DE">
      <w:rPr>
        <w:rStyle w:val="PageNumber"/>
        <w:noProof/>
      </w:rPr>
      <w:t>11</w:t>
    </w:r>
    <w:r>
      <w:rPr>
        <w:rStyle w:val="PageNumber"/>
      </w:rPr>
      <w:fldChar w:fldCharType="end"/>
    </w:r>
  </w:p>
  <w:p w:rsidR="002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7DE7">
      <w:r>
        <w:separator/>
      </w:r>
    </w:p>
  </w:footnote>
  <w:footnote w:type="continuationSeparator" w:id="1">
    <w:p w:rsidR="00A27DE7">
      <w:r>
        <w:continuationSeparator/>
      </w:r>
    </w:p>
  </w:footnote>
  <w:footnote w:type="continuationNotice" w:id="2">
    <w:p w:rsidR="00A27DE7"/>
  </w:footnote>
  <w:footnote w:id="3">
    <w:p w:rsidR="0086071E">
      <w:pPr>
        <w:pStyle w:val="FootnoteText"/>
      </w:pPr>
      <w:r>
        <w:rPr>
          <w:rStyle w:val="FootnoteReference"/>
        </w:rPr>
        <w:footnoteRef/>
      </w:r>
      <w:r>
        <w:t xml:space="preserve"> </w:t>
      </w:r>
      <w:r w:rsidRPr="00021F2D">
        <w:rPr>
          <w:sz w:val="20"/>
        </w:rPr>
        <w:t>47 U.S.C. §§ 214, 310(d)</w:t>
      </w:r>
      <w:r>
        <w:rPr>
          <w:sz w:val="20"/>
        </w:rPr>
        <w:t>.</w:t>
      </w:r>
    </w:p>
  </w:footnote>
  <w:footnote w:id="4">
    <w:p w:rsidR="0086071E" w:rsidP="0086071E">
      <w:pPr>
        <w:pStyle w:val="FootnoteText"/>
        <w:spacing w:after="120"/>
        <w:rPr>
          <w:sz w:val="20"/>
        </w:rPr>
      </w:pPr>
      <w:r>
        <w:rPr>
          <w:rStyle w:val="FootnoteReference"/>
          <w:sz w:val="20"/>
        </w:rPr>
        <w:footnoteRef/>
      </w:r>
      <w:r>
        <w:rPr>
          <w:sz w:val="20"/>
        </w:rPr>
        <w:t xml:space="preserve"> </w:t>
      </w:r>
      <w:hyperlink r:id="rId1" w:history="1">
        <w:r>
          <w:rPr>
            <w:rStyle w:val="Hyperlink"/>
            <w:color w:val="000000"/>
            <w:sz w:val="20"/>
            <w:u w:val="none"/>
          </w:rPr>
          <w:t>47 U.S.C. §§ 34</w:t>
        </w:r>
      </w:hyperlink>
      <w:r>
        <w:rPr>
          <w:color w:val="000000"/>
          <w:sz w:val="20"/>
        </w:rPr>
        <w:t>-</w:t>
      </w:r>
      <w:hyperlink r:id="rId2" w:history="1">
        <w:r>
          <w:rPr>
            <w:rStyle w:val="Hyperlink"/>
            <w:color w:val="000000"/>
            <w:sz w:val="20"/>
            <w:u w:val="none"/>
          </w:rPr>
          <w:t>39</w:t>
        </w:r>
      </w:hyperlink>
      <w:r>
        <w:rPr>
          <w:color w:val="000000"/>
          <w:sz w:val="20"/>
        </w:rPr>
        <w:t xml:space="preserve">; </w:t>
      </w:r>
      <w:r>
        <w:rPr>
          <w:i/>
          <w:color w:val="000000"/>
          <w:sz w:val="20"/>
        </w:rPr>
        <w:t>s</w:t>
      </w:r>
      <w:r>
        <w:rPr>
          <w:i/>
          <w:iCs/>
          <w:color w:val="000000"/>
          <w:sz w:val="20"/>
        </w:rPr>
        <w:t>ee also</w:t>
      </w:r>
      <w:r>
        <w:rPr>
          <w:color w:val="000000"/>
          <w:sz w:val="20"/>
        </w:rPr>
        <w:t xml:space="preserve"> </w:t>
      </w:r>
      <w:hyperlink r:id="rId3" w:history="1">
        <w:r>
          <w:rPr>
            <w:rStyle w:val="Hyperlink"/>
            <w:color w:val="000000"/>
            <w:sz w:val="20"/>
            <w:u w:val="none"/>
          </w:rPr>
          <w:t>Exec. Ord. No. 10530</w:t>
        </w:r>
      </w:hyperlink>
      <w:r>
        <w:rPr>
          <w:color w:val="000000"/>
          <w:sz w:val="20"/>
        </w:rPr>
        <w:t xml:space="preserve">, Sec. 5(a), reprinted as amended at </w:t>
      </w:r>
      <w:hyperlink r:id="rId4" w:history="1">
        <w:r>
          <w:rPr>
            <w:rStyle w:val="Hyperlink"/>
            <w:color w:val="000000"/>
            <w:sz w:val="20"/>
            <w:u w:val="none"/>
          </w:rPr>
          <w:t>3 U.S.C. § 301</w:t>
        </w:r>
      </w:hyperlink>
      <w:r>
        <w:rPr>
          <w:color w:val="000000"/>
          <w:sz w:val="20"/>
        </w:rPr>
        <w:t xml:space="preserve"> (delegating the President’s authority under the Cable Landing License Act to the Commission).</w:t>
      </w:r>
    </w:p>
  </w:footnote>
  <w:footnote w:id="5">
    <w:p w:rsidR="00E40B8D" w:rsidRPr="00021F2D" w:rsidP="009252EB">
      <w:pPr>
        <w:pStyle w:val="FootnoteText"/>
        <w:spacing w:after="120"/>
        <w:rPr>
          <w:sz w:val="20"/>
        </w:rPr>
      </w:pPr>
      <w:r w:rsidRPr="00021F2D">
        <w:rPr>
          <w:rStyle w:val="FootnoteReference"/>
          <w:sz w:val="20"/>
        </w:rPr>
        <w:footnoteRef/>
      </w:r>
      <w:r w:rsidRPr="00021F2D">
        <w:rPr>
          <w:sz w:val="20"/>
        </w:rPr>
        <w:t xml:space="preserve"> 47 CFR §§ </w:t>
      </w:r>
      <w:r w:rsidR="00B87B96">
        <w:rPr>
          <w:sz w:val="20"/>
        </w:rPr>
        <w:t xml:space="preserve">1.767, </w:t>
      </w:r>
      <w:r>
        <w:rPr>
          <w:sz w:val="20"/>
        </w:rPr>
        <w:t xml:space="preserve">1.948, </w:t>
      </w:r>
      <w:r w:rsidRPr="00021F2D">
        <w:rPr>
          <w:sz w:val="20"/>
        </w:rPr>
        <w:t>63.03-04, 63.18, 63.24</w:t>
      </w:r>
      <w:r>
        <w:rPr>
          <w:sz w:val="20"/>
        </w:rPr>
        <w:t xml:space="preserve">; </w:t>
      </w:r>
      <w:r w:rsidRPr="00021F2D">
        <w:rPr>
          <w:sz w:val="20"/>
        </w:rPr>
        <w:t>Application for Consent to Transfer</w:t>
      </w:r>
      <w:r>
        <w:rPr>
          <w:sz w:val="20"/>
        </w:rPr>
        <w:t xml:space="preserve"> Indirect</w:t>
      </w:r>
      <w:r w:rsidRPr="00021F2D">
        <w:rPr>
          <w:sz w:val="20"/>
        </w:rPr>
        <w:t xml:space="preserve"> Control of Domestic and International Authorization</w:t>
      </w:r>
      <w:r>
        <w:rPr>
          <w:sz w:val="20"/>
        </w:rPr>
        <w:t xml:space="preserve"> Holders to Red Fiber Parent LLC</w:t>
      </w:r>
      <w:r w:rsidRPr="00021F2D">
        <w:rPr>
          <w:sz w:val="20"/>
        </w:rPr>
        <w:t xml:space="preserve">, WC Docket No. </w:t>
      </w:r>
      <w:r>
        <w:rPr>
          <w:sz w:val="20"/>
        </w:rPr>
        <w:t>20</w:t>
      </w:r>
      <w:r w:rsidRPr="00021F2D">
        <w:rPr>
          <w:sz w:val="20"/>
        </w:rPr>
        <w:t>-1</w:t>
      </w:r>
      <w:r>
        <w:rPr>
          <w:sz w:val="20"/>
        </w:rPr>
        <w:t>46</w:t>
      </w:r>
      <w:r w:rsidRPr="00021F2D">
        <w:rPr>
          <w:sz w:val="20"/>
        </w:rPr>
        <w:t xml:space="preserve"> (filed </w:t>
      </w:r>
      <w:r>
        <w:rPr>
          <w:sz w:val="20"/>
        </w:rPr>
        <w:t>May 15</w:t>
      </w:r>
      <w:r w:rsidRPr="00021F2D">
        <w:rPr>
          <w:sz w:val="20"/>
        </w:rPr>
        <w:t>, 20</w:t>
      </w:r>
      <w:r>
        <w:rPr>
          <w:sz w:val="20"/>
        </w:rPr>
        <w:t>20</w:t>
      </w:r>
      <w:r w:rsidRPr="00021F2D">
        <w:rPr>
          <w:sz w:val="20"/>
        </w:rPr>
        <w:t xml:space="preserve">) (Lead </w:t>
      </w:r>
      <w:r w:rsidRPr="00FC5E62">
        <w:rPr>
          <w:sz w:val="20"/>
        </w:rPr>
        <w:t>Application)</w:t>
      </w:r>
      <w:r>
        <w:rPr>
          <w:sz w:val="20"/>
        </w:rPr>
        <w:t xml:space="preserve">.  </w:t>
      </w:r>
      <w:r w:rsidR="0047434F">
        <w:rPr>
          <w:sz w:val="20"/>
        </w:rPr>
        <w:t xml:space="preserve">On July 28, 2020, Applicants filed a supplement to the Lead Application.  Letter from James H. Barker, </w:t>
      </w:r>
      <w:r w:rsidR="00116230">
        <w:rPr>
          <w:sz w:val="20"/>
        </w:rPr>
        <w:t>C</w:t>
      </w:r>
      <w:r w:rsidR="0047434F">
        <w:rPr>
          <w:sz w:val="20"/>
        </w:rPr>
        <w:t xml:space="preserve">ounsel to Red Fiber Parent, to Marlene H Dortch, Secretary, FCC, WC Docket No. 20-146 (July 28, 2020) </w:t>
      </w:r>
      <w:r w:rsidR="0034414A">
        <w:rPr>
          <w:sz w:val="20"/>
        </w:rPr>
        <w:t xml:space="preserve">(on file in WC Docket No. 20-146) </w:t>
      </w:r>
      <w:r w:rsidR="0047434F">
        <w:rPr>
          <w:sz w:val="20"/>
        </w:rPr>
        <w:t>(Suppl</w:t>
      </w:r>
      <w:r w:rsidR="003F2F90">
        <w:rPr>
          <w:sz w:val="20"/>
        </w:rPr>
        <w:t>e</w:t>
      </w:r>
      <w:r w:rsidR="0047434F">
        <w:rPr>
          <w:sz w:val="20"/>
        </w:rPr>
        <w:t>ment)</w:t>
      </w:r>
      <w:r w:rsidR="00BD1557">
        <w:rPr>
          <w:rFonts w:ascii="TimesNewRomanPSMT" w:hAnsi="TimesNewRomanPSMT" w:cs="TimesNewRomanPSMT"/>
          <w:sz w:val="20"/>
        </w:rPr>
        <w:t>.</w:t>
      </w:r>
    </w:p>
  </w:footnote>
  <w:footnote w:id="6">
    <w:p w:rsidR="006C1429" w:rsidRPr="00D238CC" w:rsidP="006A09B4">
      <w:pPr>
        <w:pStyle w:val="FootnoteText"/>
        <w:rPr>
          <w:sz w:val="20"/>
        </w:rPr>
      </w:pPr>
      <w:r w:rsidRPr="00D238CC">
        <w:rPr>
          <w:rStyle w:val="FootnoteReference"/>
          <w:sz w:val="20"/>
        </w:rPr>
        <w:footnoteRef/>
      </w:r>
      <w:r w:rsidRPr="00D238CC">
        <w:rPr>
          <w:sz w:val="20"/>
        </w:rPr>
        <w:t xml:space="preserve"> </w:t>
      </w:r>
      <w:r>
        <w:rPr>
          <w:sz w:val="20"/>
        </w:rPr>
        <w:t xml:space="preserve">47 U.S.C. § 310(b)(4); </w:t>
      </w:r>
      <w:r w:rsidRPr="00D238CC">
        <w:rPr>
          <w:sz w:val="20"/>
        </w:rPr>
        <w:t xml:space="preserve">47 CFR </w:t>
      </w:r>
      <w:r w:rsidRPr="003602FC">
        <w:rPr>
          <w:sz w:val="20"/>
        </w:rPr>
        <w:t>§</w:t>
      </w:r>
      <w:r w:rsidRPr="00D238CC">
        <w:rPr>
          <w:sz w:val="20"/>
        </w:rPr>
        <w:t xml:space="preserve"> 1.5000(a)(1)</w:t>
      </w:r>
      <w:r w:rsidR="00BD1557">
        <w:rPr>
          <w:sz w:val="20"/>
        </w:rPr>
        <w:t xml:space="preserve">; </w:t>
      </w:r>
      <w:r w:rsidR="001E16DF">
        <w:rPr>
          <w:rFonts w:ascii="TimesNewRomanPSMT" w:hAnsi="TimesNewRomanPSMT" w:cs="TimesNewRomanPSMT"/>
          <w:sz w:val="20"/>
        </w:rPr>
        <w:t>Red Fiber Parent LLC, Petition for Declaratory Ruling Under Section 310(b)(4) of the Communications Act of 1934, as amended, IBFS File No. ISP-PDR-202000515-00003 (filed May 15, 2020) (Petition)</w:t>
      </w:r>
      <w:r w:rsidR="00BD1557">
        <w:rPr>
          <w:sz w:val="20"/>
        </w:rPr>
        <w:t xml:space="preserve">; </w:t>
      </w:r>
      <w:r w:rsidR="001E16DF">
        <w:rPr>
          <w:rFonts w:ascii="TimesNewRomanPSMT" w:hAnsi="TimesNewRomanPSMT" w:cs="TimesNewRomanPSMT"/>
          <w:sz w:val="20"/>
        </w:rPr>
        <w:t>Red Fiber Parent LLC, Petition for Declaratory Ruling Under Section 310(b)(4) of the Communications Act of 1934, as amended, IBFS File No. ISP-PDR-202000515-00003 (filed August 26, 2020) (</w:t>
      </w:r>
      <w:r w:rsidR="00BD1557">
        <w:rPr>
          <w:sz w:val="20"/>
        </w:rPr>
        <w:t>Restated Petition</w:t>
      </w:r>
      <w:r w:rsidR="001E16DF">
        <w:rPr>
          <w:sz w:val="20"/>
        </w:rPr>
        <w:t>)</w:t>
      </w:r>
      <w:r w:rsidRPr="00D238CC">
        <w:rPr>
          <w:sz w:val="20"/>
        </w:rPr>
        <w:t>.</w:t>
      </w:r>
    </w:p>
  </w:footnote>
  <w:footnote w:id="7">
    <w:p w:rsidR="00C55AC6" w:rsidRPr="00C55AC6">
      <w:pPr>
        <w:pStyle w:val="FootnoteText"/>
        <w:rPr>
          <w:sz w:val="20"/>
        </w:rPr>
      </w:pPr>
      <w:r w:rsidRPr="00C55AC6">
        <w:rPr>
          <w:rStyle w:val="FootnoteReference"/>
          <w:sz w:val="20"/>
        </w:rPr>
        <w:footnoteRef/>
      </w:r>
      <w:r w:rsidRPr="00C55AC6">
        <w:rPr>
          <w:sz w:val="20"/>
        </w:rPr>
        <w:t xml:space="preserve"> Lead Application at 3-4.</w:t>
      </w:r>
    </w:p>
  </w:footnote>
  <w:footnote w:id="8">
    <w:p w:rsidR="00F41833" w:rsidRPr="00F41833" w:rsidP="00F41833">
      <w:pPr>
        <w:autoSpaceDE w:val="0"/>
        <w:autoSpaceDN w:val="0"/>
        <w:adjustRightInd w:val="0"/>
        <w:rPr>
          <w:sz w:val="20"/>
        </w:rPr>
      </w:pPr>
      <w:r>
        <w:rPr>
          <w:rStyle w:val="FootnoteReference"/>
        </w:rPr>
        <w:footnoteRef/>
      </w:r>
      <w:r>
        <w:t xml:space="preserve"> </w:t>
      </w:r>
      <w:r w:rsidRPr="001E0F42" w:rsidR="001E0F42">
        <w:rPr>
          <w:i/>
          <w:iCs/>
        </w:rPr>
        <w:t>Id</w:t>
      </w:r>
      <w:r w:rsidR="001E0F42">
        <w:t xml:space="preserve">. </w:t>
      </w:r>
      <w:r w:rsidRPr="00D95E5B">
        <w:rPr>
          <w:sz w:val="20"/>
        </w:rPr>
        <w:t>at 4-5</w:t>
      </w:r>
      <w:r>
        <w:rPr>
          <w:sz w:val="20"/>
        </w:rPr>
        <w:t xml:space="preserve">, 20.  </w:t>
      </w:r>
      <w:r w:rsidRPr="00F41833">
        <w:rPr>
          <w:sz w:val="20"/>
        </w:rPr>
        <w:t xml:space="preserve">In Ohio, CBT operates the following exchanges: </w:t>
      </w:r>
      <w:r>
        <w:rPr>
          <w:sz w:val="20"/>
        </w:rPr>
        <w:t xml:space="preserve"> </w:t>
      </w:r>
      <w:r w:rsidRPr="00F41833">
        <w:rPr>
          <w:sz w:val="20"/>
        </w:rPr>
        <w:t>Bethany, Bethel, Cincinnati,</w:t>
      </w:r>
    </w:p>
    <w:p w:rsidR="00F41833" w:rsidRPr="00F41833" w:rsidP="00F25481">
      <w:pPr>
        <w:pStyle w:val="FootnoteText"/>
        <w:spacing w:after="120"/>
        <w:rPr>
          <w:sz w:val="20"/>
        </w:rPr>
      </w:pPr>
      <w:r w:rsidRPr="00F41833">
        <w:rPr>
          <w:sz w:val="20"/>
        </w:rPr>
        <w:t>Clermont, Hamilton, Harrison, Little Miami, Newtonsville, Reily, Seven Mile, Shandon, and Williamsburg.  In Kentucky, CBT operates the following exchanges: Alexandria, Boone, Butler, Falmouth, Glencoe, Independence, Kentucky Metropolitan, Walton, Warsaw, and Williamstown.  In Indiana, CBT operates the following exchanges:  Peoria and West Harrison.</w:t>
      </w:r>
    </w:p>
  </w:footnote>
  <w:footnote w:id="9">
    <w:p w:rsidR="00F026EC" w:rsidRPr="001F6CEE" w:rsidP="00F25481">
      <w:pPr>
        <w:pStyle w:val="FootnoteText"/>
        <w:spacing w:after="120"/>
        <w:rPr>
          <w:sz w:val="20"/>
        </w:rPr>
      </w:pPr>
      <w:r w:rsidRPr="001F6CEE">
        <w:rPr>
          <w:rStyle w:val="FootnoteReference"/>
          <w:sz w:val="20"/>
        </w:rPr>
        <w:footnoteRef/>
      </w:r>
      <w:r w:rsidRPr="001F6CEE">
        <w:rPr>
          <w:sz w:val="20"/>
        </w:rPr>
        <w:t xml:space="preserve"> </w:t>
      </w:r>
      <w:r w:rsidRPr="001F6CEE" w:rsidR="001F6CEE">
        <w:rPr>
          <w:i/>
          <w:iCs/>
          <w:sz w:val="20"/>
        </w:rPr>
        <w:t>Id</w:t>
      </w:r>
      <w:r w:rsidRPr="001F6CEE" w:rsidR="001F6CEE">
        <w:rPr>
          <w:sz w:val="20"/>
        </w:rPr>
        <w:t xml:space="preserve">. </w:t>
      </w:r>
      <w:r w:rsidR="00B75F31">
        <w:rPr>
          <w:sz w:val="20"/>
        </w:rPr>
        <w:t>a</w:t>
      </w:r>
      <w:r w:rsidRPr="001F6CEE" w:rsidR="001F6CEE">
        <w:rPr>
          <w:sz w:val="20"/>
        </w:rPr>
        <w:t xml:space="preserve">t 5. </w:t>
      </w:r>
    </w:p>
  </w:footnote>
  <w:footnote w:id="10">
    <w:p w:rsidR="005C7EDA" w:rsidP="00F25481">
      <w:pPr>
        <w:pStyle w:val="FootnoteText"/>
        <w:spacing w:after="120"/>
      </w:pPr>
      <w:r>
        <w:rPr>
          <w:rStyle w:val="FootnoteReference"/>
        </w:rPr>
        <w:footnoteRef/>
      </w:r>
      <w:r>
        <w:t xml:space="preserve"> </w:t>
      </w:r>
      <w:bookmarkStart w:id="5" w:name="_Hlk41906350"/>
      <w:r w:rsidRPr="005C7EDA">
        <w:rPr>
          <w:i/>
          <w:iCs/>
          <w:sz w:val="20"/>
        </w:rPr>
        <w:t>Id.</w:t>
      </w:r>
      <w:bookmarkEnd w:id="5"/>
    </w:p>
  </w:footnote>
  <w:footnote w:id="11">
    <w:p w:rsidR="00256D3A" w:rsidP="00F25481">
      <w:pPr>
        <w:autoSpaceDE w:val="0"/>
        <w:autoSpaceDN w:val="0"/>
        <w:adjustRightInd w:val="0"/>
        <w:rPr>
          <w:sz w:val="24"/>
          <w:szCs w:val="24"/>
        </w:rPr>
      </w:pPr>
      <w:r>
        <w:rPr>
          <w:rStyle w:val="FootnoteReference"/>
        </w:rPr>
        <w:footnoteRef/>
      </w:r>
      <w:r>
        <w:t xml:space="preserve"> </w:t>
      </w:r>
      <w:r w:rsidRPr="005C7EDA">
        <w:rPr>
          <w:i/>
          <w:iCs/>
          <w:sz w:val="20"/>
        </w:rPr>
        <w:t>Id.</w:t>
      </w:r>
      <w:r w:rsidR="00540FCC">
        <w:rPr>
          <w:sz w:val="20"/>
        </w:rPr>
        <w:t xml:space="preserve"> at </w:t>
      </w:r>
      <w:r w:rsidR="00FA2F0C">
        <w:rPr>
          <w:sz w:val="20"/>
        </w:rPr>
        <w:t xml:space="preserve">5, </w:t>
      </w:r>
      <w:r w:rsidR="00540FCC">
        <w:rPr>
          <w:sz w:val="20"/>
        </w:rPr>
        <w:t>11, n.11</w:t>
      </w:r>
      <w:r w:rsidR="00FA2F0C">
        <w:rPr>
          <w:sz w:val="20"/>
        </w:rPr>
        <w:t>.</w:t>
      </w:r>
      <w:r w:rsidR="00F25481">
        <w:rPr>
          <w:sz w:val="20"/>
        </w:rPr>
        <w:t xml:space="preserve">  </w:t>
      </w:r>
      <w:r w:rsidRPr="00F25481" w:rsidR="00F25481">
        <w:rPr>
          <w:sz w:val="20"/>
        </w:rPr>
        <w:t xml:space="preserve">In Hawaii, HTI operates the following exchanges by island: </w:t>
      </w:r>
      <w:r w:rsidR="00F25481">
        <w:rPr>
          <w:sz w:val="20"/>
        </w:rPr>
        <w:t xml:space="preserve"> </w:t>
      </w:r>
      <w:r w:rsidRPr="00F25481" w:rsidR="00F25481">
        <w:rPr>
          <w:sz w:val="20"/>
        </w:rPr>
        <w:t xml:space="preserve">Hawaii - Hilo, Honokaa,Honomu, Kamuela, Kau, Kohala, Kona, Laupahoehoe, Puna, Volcano; Kauai - Hanapepe, Kapaa, Kilauea, Koloa, Lihue, Waimea; Lanai - Lanai; Maui - Hana, Kula, Lahaina, Paia,Wailuku; Molokai - Kaunakakai, Maunaloa, Ualapue; Oahu - Honolulu, Kailua, Laie, Nanakuli, Wahiawa, Waialua, Waipahu.  </w:t>
      </w:r>
      <w:r w:rsidRPr="00F25481" w:rsidR="00F25481">
        <w:rPr>
          <w:i/>
          <w:iCs/>
          <w:sz w:val="20"/>
        </w:rPr>
        <w:t>Id</w:t>
      </w:r>
      <w:r w:rsidRPr="00F25481" w:rsidR="00F25481">
        <w:rPr>
          <w:sz w:val="20"/>
        </w:rPr>
        <w:t>. at 21, n.21.</w:t>
      </w:r>
      <w:r w:rsidR="00F25481">
        <w:rPr>
          <w:sz w:val="24"/>
          <w:szCs w:val="24"/>
        </w:rPr>
        <w:t xml:space="preserve">  </w:t>
      </w:r>
    </w:p>
    <w:p w:rsidR="00F25481" w:rsidRPr="00F25481" w:rsidP="00F25481">
      <w:pPr>
        <w:autoSpaceDE w:val="0"/>
        <w:autoSpaceDN w:val="0"/>
        <w:adjustRightInd w:val="0"/>
        <w:rPr>
          <w:sz w:val="24"/>
          <w:szCs w:val="24"/>
        </w:rPr>
      </w:pPr>
    </w:p>
  </w:footnote>
  <w:footnote w:id="12">
    <w:p w:rsidR="00B75F31" w:rsidRPr="00FA2F0C">
      <w:pPr>
        <w:pStyle w:val="FootnoteText"/>
      </w:pPr>
      <w:r>
        <w:rPr>
          <w:rStyle w:val="FootnoteReference"/>
        </w:rPr>
        <w:footnoteRef/>
      </w:r>
      <w:r>
        <w:t xml:space="preserve"> </w:t>
      </w:r>
      <w:r w:rsidRPr="00B75F31">
        <w:rPr>
          <w:i/>
          <w:iCs/>
          <w:sz w:val="20"/>
        </w:rPr>
        <w:t>Id.</w:t>
      </w:r>
      <w:r w:rsidR="00FA2F0C">
        <w:rPr>
          <w:sz w:val="20"/>
        </w:rPr>
        <w:t xml:space="preserve"> at 6, 12, n.12.</w:t>
      </w:r>
    </w:p>
  </w:footnote>
  <w:footnote w:id="13">
    <w:p w:rsidR="00C55AC6">
      <w:pPr>
        <w:pStyle w:val="FootnoteText"/>
      </w:pPr>
      <w:r>
        <w:rPr>
          <w:rStyle w:val="FootnoteReference"/>
        </w:rPr>
        <w:footnoteRef/>
      </w:r>
      <w:r>
        <w:t xml:space="preserve"> </w:t>
      </w:r>
      <w:bookmarkStart w:id="6" w:name="_Hlk42165045"/>
      <w:r w:rsidRPr="00C55AC6">
        <w:rPr>
          <w:i/>
          <w:iCs/>
          <w:sz w:val="20"/>
        </w:rPr>
        <w:t>Id</w:t>
      </w:r>
      <w:r w:rsidRPr="00C55AC6">
        <w:rPr>
          <w:sz w:val="20"/>
        </w:rPr>
        <w:t>. at 6.</w:t>
      </w:r>
      <w:r>
        <w:t xml:space="preserve"> </w:t>
      </w:r>
      <w:bookmarkEnd w:id="6"/>
    </w:p>
  </w:footnote>
  <w:footnote w:id="14">
    <w:p w:rsidR="00C55AC6">
      <w:pPr>
        <w:pStyle w:val="FootnoteText"/>
      </w:pPr>
      <w:r>
        <w:rPr>
          <w:rStyle w:val="FootnoteReference"/>
        </w:rPr>
        <w:footnoteRef/>
      </w:r>
      <w:r>
        <w:t xml:space="preserve"> </w:t>
      </w:r>
      <w:r w:rsidRPr="00C55AC6">
        <w:rPr>
          <w:i/>
          <w:iCs/>
          <w:sz w:val="20"/>
        </w:rPr>
        <w:t>Id</w:t>
      </w:r>
      <w:r w:rsidRPr="00C55AC6">
        <w:rPr>
          <w:sz w:val="20"/>
        </w:rPr>
        <w:t xml:space="preserve">. at </w:t>
      </w:r>
      <w:r>
        <w:rPr>
          <w:sz w:val="20"/>
        </w:rPr>
        <w:t>2</w:t>
      </w:r>
      <w:r w:rsidR="003E3315">
        <w:rPr>
          <w:sz w:val="20"/>
        </w:rPr>
        <w:t>; Restated Petition at 2</w:t>
      </w:r>
      <w:r w:rsidRPr="00C55AC6">
        <w:rPr>
          <w:sz w:val="20"/>
        </w:rPr>
        <w:t>.</w:t>
      </w:r>
    </w:p>
  </w:footnote>
  <w:footnote w:id="15">
    <w:p w:rsidR="0047434F">
      <w:pPr>
        <w:pStyle w:val="FootnoteText"/>
      </w:pPr>
      <w:r>
        <w:rPr>
          <w:rStyle w:val="FootnoteReference"/>
        </w:rPr>
        <w:footnoteRef/>
      </w:r>
      <w:r>
        <w:t xml:space="preserve"> </w:t>
      </w:r>
      <w:r w:rsidRPr="001E681F" w:rsidR="003F2F90">
        <w:rPr>
          <w:sz w:val="20"/>
        </w:rPr>
        <w:t>Lead Application at 6; Supplement at 2.</w:t>
      </w:r>
    </w:p>
  </w:footnote>
  <w:footnote w:id="16">
    <w:p w:rsidR="003F2F90" w:rsidRPr="006819A7">
      <w:pPr>
        <w:pStyle w:val="FootnoteText"/>
      </w:pPr>
      <w:r>
        <w:rPr>
          <w:rStyle w:val="FootnoteReference"/>
        </w:rPr>
        <w:footnoteRef/>
      </w:r>
      <w:r>
        <w:t xml:space="preserve"> </w:t>
      </w:r>
      <w:r w:rsidR="006819A7">
        <w:rPr>
          <w:sz w:val="20"/>
        </w:rPr>
        <w:t>Lead Application at 14; Supplement at 2.</w:t>
      </w:r>
    </w:p>
  </w:footnote>
  <w:footnote w:id="17">
    <w:p w:rsidR="006819A7" w:rsidRPr="001E681F">
      <w:pPr>
        <w:pStyle w:val="FootnoteText"/>
        <w:rPr>
          <w:i/>
          <w:iCs/>
        </w:rPr>
      </w:pPr>
      <w:r>
        <w:rPr>
          <w:rStyle w:val="FootnoteReference"/>
        </w:rPr>
        <w:footnoteRef/>
      </w:r>
      <w:r>
        <w:t xml:space="preserve"> </w:t>
      </w:r>
      <w:r w:rsidRPr="001E681F">
        <w:rPr>
          <w:i/>
          <w:iCs/>
          <w:sz w:val="20"/>
        </w:rPr>
        <w:t>Id.</w:t>
      </w:r>
    </w:p>
  </w:footnote>
  <w:footnote w:id="18">
    <w:p w:rsidR="00B84416" w:rsidRPr="003E2D28">
      <w:pPr>
        <w:pStyle w:val="FootnoteText"/>
        <w:rPr>
          <w:sz w:val="20"/>
        </w:rPr>
      </w:pPr>
      <w:r w:rsidRPr="003E2D28">
        <w:rPr>
          <w:rStyle w:val="FootnoteReference"/>
          <w:sz w:val="20"/>
        </w:rPr>
        <w:footnoteRef/>
      </w:r>
      <w:r w:rsidRPr="003E2D28">
        <w:rPr>
          <w:sz w:val="20"/>
        </w:rPr>
        <w:t xml:space="preserve"> </w:t>
      </w:r>
      <w:r w:rsidR="006819A7">
        <w:rPr>
          <w:sz w:val="20"/>
        </w:rPr>
        <w:t xml:space="preserve">Supplement at 2; </w:t>
      </w:r>
      <w:r w:rsidR="004A230E">
        <w:rPr>
          <w:sz w:val="20"/>
        </w:rPr>
        <w:t>Restated Petition at 2-3, 7</w:t>
      </w:r>
      <w:r w:rsidR="00497857">
        <w:rPr>
          <w:sz w:val="20"/>
        </w:rPr>
        <w:t xml:space="preserve">. </w:t>
      </w:r>
      <w:r w:rsidRPr="003E2D28" w:rsidR="003E2D28">
        <w:rPr>
          <w:sz w:val="20"/>
        </w:rPr>
        <w:t xml:space="preserve">  </w:t>
      </w:r>
    </w:p>
  </w:footnote>
  <w:footnote w:id="19">
    <w:p w:rsidR="006819A7">
      <w:pPr>
        <w:pStyle w:val="FootnoteText"/>
      </w:pPr>
      <w:r>
        <w:rPr>
          <w:rStyle w:val="FootnoteReference"/>
        </w:rPr>
        <w:footnoteRef/>
      </w:r>
      <w:r>
        <w:t xml:space="preserve"> </w:t>
      </w:r>
      <w:r w:rsidRPr="001E681F">
        <w:rPr>
          <w:sz w:val="20"/>
        </w:rPr>
        <w:t>Supplement at 2.</w:t>
      </w:r>
    </w:p>
  </w:footnote>
  <w:footnote w:id="20">
    <w:p w:rsidR="00BE11F6" w:rsidRPr="0022541B" w:rsidP="00BE11F6">
      <w:pPr>
        <w:pStyle w:val="FootnoteText"/>
        <w:rPr>
          <w:sz w:val="20"/>
        </w:rPr>
      </w:pPr>
      <w:r w:rsidRPr="00D006BE">
        <w:rPr>
          <w:rStyle w:val="FootnoteReference"/>
          <w:sz w:val="20"/>
        </w:rPr>
        <w:footnoteRef/>
      </w:r>
      <w:r w:rsidRPr="00D006BE">
        <w:rPr>
          <w:sz w:val="20"/>
        </w:rPr>
        <w:t xml:space="preserve"> The Application provides the post-transaction corporate structure for </w:t>
      </w:r>
      <w:r w:rsidRPr="00D006BE" w:rsidR="00AC3097">
        <w:rPr>
          <w:sz w:val="20"/>
        </w:rPr>
        <w:t>Red Fiber Parent, LLC</w:t>
      </w:r>
      <w:r w:rsidRPr="00D006BE">
        <w:rPr>
          <w:sz w:val="20"/>
        </w:rPr>
        <w:t xml:space="preserve"> and lists MGL’s board of directors and senior management, all citizens of Australia.  </w:t>
      </w:r>
      <w:r w:rsidR="009D0DB9">
        <w:rPr>
          <w:sz w:val="20"/>
        </w:rPr>
        <w:t>Lead Application</w:t>
      </w:r>
      <w:r w:rsidR="001E0F42">
        <w:rPr>
          <w:sz w:val="20"/>
        </w:rPr>
        <w:t xml:space="preserve"> at </w:t>
      </w:r>
      <w:r w:rsidRPr="00D006BE" w:rsidR="00D006BE">
        <w:rPr>
          <w:sz w:val="20"/>
        </w:rPr>
        <w:t>Exh. A</w:t>
      </w:r>
      <w:r w:rsidR="001E0F42">
        <w:rPr>
          <w:sz w:val="20"/>
        </w:rPr>
        <w:t xml:space="preserve"> (Pre- and Post-Transaction Corporate Ownership Structure Charts) and Exh</w:t>
      </w:r>
      <w:r w:rsidRPr="00D006BE" w:rsidR="00D006BE">
        <w:rPr>
          <w:sz w:val="20"/>
        </w:rPr>
        <w:t xml:space="preserve"> C</w:t>
      </w:r>
      <w:r w:rsidRPr="0022541B" w:rsidR="00D006BE">
        <w:rPr>
          <w:sz w:val="20"/>
        </w:rPr>
        <w:t>.</w:t>
      </w:r>
      <w:r w:rsidRPr="0020389B" w:rsidR="0022541B">
        <w:rPr>
          <w:sz w:val="20"/>
        </w:rPr>
        <w:t xml:space="preserve">  Red Fiber Parent is affiliated with Bluebird Network, LLC, which is owned by a fund managed by MIRA.  The subsidiaries of Bluebird Network, LLC are:  Missouri Network Alliance, LLC d/b/a Bluebird Network (MNA), providing transport and other services to wholesale and enterprise customers in </w:t>
      </w:r>
      <w:r w:rsidR="00F25481">
        <w:rPr>
          <w:sz w:val="20"/>
        </w:rPr>
        <w:t>Missouri, Illinois, Iowa, Oklahoma, Kansas, Kentucky, Tennessee, and Nebraska,</w:t>
      </w:r>
      <w:r w:rsidRPr="0020389B" w:rsidR="0022541B">
        <w:rPr>
          <w:sz w:val="20"/>
        </w:rPr>
        <w:t xml:space="preserve"> and tandem switching and transport services in Missouri; Illinois Network Alliance, LLC (INA) providing transport services to wholesale customers in Illinois, Kentucky, and Tennessee; and PEG Bandwidth IL, LLC</w:t>
      </w:r>
      <w:r w:rsidR="007A6DA2">
        <w:rPr>
          <w:sz w:val="20"/>
        </w:rPr>
        <w:t xml:space="preserve"> (PEG IL)</w:t>
      </w:r>
      <w:r w:rsidRPr="0020389B" w:rsidR="0022541B">
        <w:rPr>
          <w:sz w:val="20"/>
        </w:rPr>
        <w:t xml:space="preserve"> providing competitive interexchange services in Illinois, Indiana, Iowa, and Missouri</w:t>
      </w:r>
      <w:r w:rsidR="0022541B">
        <w:rPr>
          <w:sz w:val="20"/>
        </w:rPr>
        <w:t xml:space="preserve">.  </w:t>
      </w:r>
      <w:r w:rsidR="0022541B">
        <w:rPr>
          <w:i/>
          <w:iCs/>
          <w:sz w:val="20"/>
        </w:rPr>
        <w:t>Id</w:t>
      </w:r>
      <w:r w:rsidR="0022541B">
        <w:rPr>
          <w:sz w:val="20"/>
        </w:rPr>
        <w:t>. at 19-20.</w:t>
      </w:r>
      <w:r w:rsidR="00F25481">
        <w:rPr>
          <w:sz w:val="20"/>
        </w:rPr>
        <w:t xml:space="preserve">  Applicants state that </w:t>
      </w:r>
      <w:r w:rsidR="00D058EE">
        <w:rPr>
          <w:sz w:val="20"/>
        </w:rPr>
        <w:t xml:space="preserve">Macquarie Holdings (U.S.A.), Inc., owned by MGL, has an indirect interest in OpenFiber Kentucky, which is not operational but will provide middle mile connectivity services in Kentucky.  </w:t>
      </w:r>
      <w:r w:rsidR="00A60588">
        <w:rPr>
          <w:i/>
          <w:iCs/>
          <w:sz w:val="20"/>
        </w:rPr>
        <w:t xml:space="preserve">Id. </w:t>
      </w:r>
      <w:r w:rsidR="00D058EE">
        <w:rPr>
          <w:sz w:val="20"/>
        </w:rPr>
        <w:t>at 20, n.19.</w:t>
      </w:r>
    </w:p>
  </w:footnote>
  <w:footnote w:id="21">
    <w:p w:rsidR="00C92CA8" w:rsidRPr="00164E4E" w:rsidP="00C92CA8">
      <w:pPr>
        <w:pStyle w:val="FootnoteText"/>
        <w:rPr>
          <w:sz w:val="20"/>
        </w:rPr>
      </w:pPr>
      <w:r w:rsidRPr="00CD1B34">
        <w:rPr>
          <w:rStyle w:val="FootnoteReference"/>
          <w:sz w:val="20"/>
        </w:rPr>
        <w:footnoteRef/>
      </w:r>
      <w:r w:rsidRPr="00CD1B34">
        <w:rPr>
          <w:sz w:val="20"/>
        </w:rPr>
        <w:t xml:space="preserve"> </w:t>
      </w:r>
      <w:r w:rsidR="00BC1A8F">
        <w:rPr>
          <w:sz w:val="20"/>
        </w:rPr>
        <w:t xml:space="preserve">The interests in Red Fiber Parent that would be held indirectly by Area Management will be held by (i) alternative investment vehicles (the SSF AIVs) </w:t>
      </w:r>
      <w:r w:rsidRPr="00CD1B34" w:rsidR="00BC1A8F">
        <w:rPr>
          <w:sz w:val="20"/>
        </w:rPr>
        <w:t>controlled by ASSF Management IV, L.P., a Delaware limited partnership (SSF IV), as the general partner of the SSF AIVs, and (ii) alternative investment vehicles (</w:t>
      </w:r>
      <w:r w:rsidR="00BC1A8F">
        <w:rPr>
          <w:sz w:val="20"/>
        </w:rPr>
        <w:t xml:space="preserve">the </w:t>
      </w:r>
      <w:r w:rsidRPr="00CD1B34" w:rsidR="00BC1A8F">
        <w:rPr>
          <w:sz w:val="20"/>
        </w:rPr>
        <w:t>ASOF AIVs</w:t>
      </w:r>
      <w:r w:rsidR="008557B2">
        <w:rPr>
          <w:sz w:val="20"/>
        </w:rPr>
        <w:t>)</w:t>
      </w:r>
      <w:r w:rsidRPr="00CD1B34" w:rsidR="00BC1A8F">
        <w:rPr>
          <w:sz w:val="20"/>
        </w:rPr>
        <w:t xml:space="preserve"> controlled by ASOF Management, L.P., a Delaware limited partnership (ASOF</w:t>
      </w:r>
      <w:r w:rsidR="008557B2">
        <w:rPr>
          <w:sz w:val="20"/>
        </w:rPr>
        <w:t>)</w:t>
      </w:r>
      <w:r w:rsidRPr="00CD1B34" w:rsidR="00BC1A8F">
        <w:rPr>
          <w:sz w:val="20"/>
        </w:rPr>
        <w:t>, as the general partner of the ASOF AIVs</w:t>
      </w:r>
      <w:r w:rsidR="008557B2">
        <w:rPr>
          <w:sz w:val="20"/>
        </w:rPr>
        <w:t xml:space="preserve"> (which, together with the SSF AIVs, are referred to collectively as the Ares AIVs).  </w:t>
      </w:r>
      <w:r>
        <w:rPr>
          <w:sz w:val="20"/>
        </w:rPr>
        <w:t>Lead Application</w:t>
      </w:r>
      <w:r w:rsidRPr="000E2D3F">
        <w:rPr>
          <w:sz w:val="20"/>
        </w:rPr>
        <w:t xml:space="preserve"> at </w:t>
      </w:r>
      <w:r>
        <w:rPr>
          <w:sz w:val="20"/>
        </w:rPr>
        <w:t xml:space="preserve">3 and Exh. C at 9-13; Restated Petition at </w:t>
      </w:r>
      <w:r w:rsidR="00BC1A8F">
        <w:rPr>
          <w:sz w:val="20"/>
        </w:rPr>
        <w:t>3-4, 10</w:t>
      </w:r>
      <w:r>
        <w:rPr>
          <w:sz w:val="20"/>
        </w:rPr>
        <w:t xml:space="preserve"> and Exh. B at 23-24</w:t>
      </w:r>
      <w:r w:rsidRPr="00D74D23" w:rsidR="00D74D23">
        <w:rPr>
          <w:sz w:val="20"/>
        </w:rPr>
        <w:t>.</w:t>
      </w:r>
      <w:r w:rsidR="00A1492F">
        <w:rPr>
          <w:sz w:val="20"/>
        </w:rPr>
        <w:t xml:space="preserve"> </w:t>
      </w:r>
      <w:r w:rsidRPr="00164E4E" w:rsidR="00A1492F">
        <w:rPr>
          <w:sz w:val="20"/>
        </w:rPr>
        <w:t xml:space="preserve"> </w:t>
      </w:r>
    </w:p>
  </w:footnote>
  <w:footnote w:id="22">
    <w:p w:rsidR="003C6D63" w:rsidRPr="00164E4E">
      <w:pPr>
        <w:pStyle w:val="FootnoteText"/>
        <w:rPr>
          <w:sz w:val="20"/>
        </w:rPr>
      </w:pPr>
      <w:r w:rsidRPr="00164E4E">
        <w:rPr>
          <w:rStyle w:val="FootnoteReference"/>
          <w:sz w:val="20"/>
        </w:rPr>
        <w:footnoteRef/>
      </w:r>
      <w:r w:rsidRPr="00164E4E">
        <w:rPr>
          <w:sz w:val="20"/>
        </w:rPr>
        <w:t xml:space="preserve"> Applicants state that the respective membership interests owned at closing </w:t>
      </w:r>
      <w:r w:rsidR="00994B23">
        <w:rPr>
          <w:sz w:val="20"/>
        </w:rPr>
        <w:t xml:space="preserve">in RF Holdings </w:t>
      </w:r>
      <w:r w:rsidRPr="00164E4E">
        <w:rPr>
          <w:sz w:val="20"/>
        </w:rPr>
        <w:t>by MIP V Member, the Ares IVs, and the Rest Immediate Entity may be subject to change prior to or shortly after clos</w:t>
      </w:r>
      <w:r w:rsidR="00164E4E">
        <w:rPr>
          <w:sz w:val="20"/>
        </w:rPr>
        <w:t>ing of the proposed transaction</w:t>
      </w:r>
      <w:r w:rsidRPr="00164E4E">
        <w:rPr>
          <w:sz w:val="20"/>
        </w:rPr>
        <w:t xml:space="preserve"> based on additional equity investment by these entities.</w:t>
      </w:r>
      <w:r w:rsidR="00164E4E">
        <w:rPr>
          <w:sz w:val="20"/>
        </w:rPr>
        <w:t xml:space="preserve">  Letter from James H. Barker, Elizabeth R. Park, and Alexander L. Stout, Counsel to Red Fiber Parent, to Marlene H. Dortch, Secretary, FCC, WC Docket No. 20-146 (filed July 28, 2020) (Section 1.65 Amendment).</w:t>
      </w:r>
    </w:p>
  </w:footnote>
  <w:footnote w:id="23">
    <w:p w:rsidR="00202DA1">
      <w:pPr>
        <w:pStyle w:val="FootnoteText"/>
      </w:pPr>
      <w:r>
        <w:rPr>
          <w:rStyle w:val="FootnoteReference"/>
        </w:rPr>
        <w:footnoteRef/>
      </w:r>
      <w:r>
        <w:t xml:space="preserve"> </w:t>
      </w:r>
      <w:r w:rsidRPr="001E681F">
        <w:rPr>
          <w:sz w:val="20"/>
        </w:rPr>
        <w:t>Supplement at 2</w:t>
      </w:r>
      <w:r>
        <w:rPr>
          <w:sz w:val="20"/>
        </w:rPr>
        <w:t xml:space="preserve"> and Exh. A 1-2</w:t>
      </w:r>
      <w:r w:rsidRPr="001E681F">
        <w:rPr>
          <w:sz w:val="20"/>
        </w:rPr>
        <w:t>.</w:t>
      </w:r>
    </w:p>
  </w:footnote>
  <w:footnote w:id="24">
    <w:p w:rsidR="00D74D23" w:rsidRPr="00CD1B34" w:rsidP="00D74D23">
      <w:pPr>
        <w:pStyle w:val="FootnoteText"/>
        <w:rPr>
          <w:caps/>
        </w:rPr>
      </w:pPr>
      <w:r>
        <w:rPr>
          <w:rStyle w:val="FootnoteReference"/>
        </w:rPr>
        <w:footnoteRef/>
      </w:r>
      <w:r>
        <w:t xml:space="preserve"> </w:t>
      </w:r>
      <w:r>
        <w:rPr>
          <w:sz w:val="20"/>
        </w:rPr>
        <w:t>Restated Petition at 6-7</w:t>
      </w:r>
      <w:r w:rsidR="008F7528">
        <w:rPr>
          <w:sz w:val="20"/>
        </w:rPr>
        <w:t>.</w:t>
      </w:r>
      <w:r w:rsidR="00E2037B">
        <w:rPr>
          <w:sz w:val="20"/>
        </w:rPr>
        <w:t xml:space="preserve">  As of the effective time of the merger, MIP V Member will have five votes, </w:t>
      </w:r>
      <w:r w:rsidRPr="000E501F" w:rsidR="000E501F">
        <w:rPr>
          <w:sz w:val="20"/>
        </w:rPr>
        <w:t>Ares Management</w:t>
      </w:r>
      <w:r w:rsidR="00E2037B">
        <w:rPr>
          <w:sz w:val="20"/>
        </w:rPr>
        <w:t xml:space="preserve"> will have two votes, and REST will have one vote on the boards of RF Holdings and Cincinnati Bell.  Additionally, there will be two independent and/or non-member appointed directors of each of RF Holdings and Cincinnati Bell.  Restated Petition at 6-7. </w:t>
      </w:r>
      <w:r w:rsidR="004D6FE2">
        <w:rPr>
          <w:sz w:val="20"/>
        </w:rPr>
        <w:t xml:space="preserve">   </w:t>
      </w:r>
    </w:p>
  </w:footnote>
  <w:footnote w:id="25">
    <w:p w:rsidR="0015641C">
      <w:pPr>
        <w:pStyle w:val="FootnoteText"/>
      </w:pPr>
      <w:r>
        <w:rPr>
          <w:rStyle w:val="FootnoteReference"/>
        </w:rPr>
        <w:footnoteRef/>
      </w:r>
      <w:r>
        <w:t xml:space="preserve"> </w:t>
      </w:r>
      <w:r>
        <w:rPr>
          <w:sz w:val="20"/>
        </w:rPr>
        <w:t xml:space="preserve">Restated Petition </w:t>
      </w:r>
      <w:r w:rsidRPr="00670401">
        <w:rPr>
          <w:sz w:val="20"/>
        </w:rPr>
        <w:t>at 6-7.</w:t>
      </w:r>
    </w:p>
  </w:footnote>
  <w:footnote w:id="26">
    <w:p w:rsidR="00DE3D45" w:rsidRPr="007A6DA2">
      <w:pPr>
        <w:pStyle w:val="FootnoteText"/>
        <w:rPr>
          <w:sz w:val="20"/>
        </w:rPr>
      </w:pPr>
      <w:r w:rsidRPr="007A6DA2">
        <w:rPr>
          <w:rStyle w:val="FootnoteReference"/>
          <w:sz w:val="20"/>
        </w:rPr>
        <w:footnoteRef/>
      </w:r>
      <w:r w:rsidRPr="007A6DA2">
        <w:rPr>
          <w:sz w:val="20"/>
        </w:rPr>
        <w:t xml:space="preserve"> </w:t>
      </w:r>
      <w:r w:rsidR="009B56B1">
        <w:rPr>
          <w:sz w:val="20"/>
        </w:rPr>
        <w:t>Lead Application</w:t>
      </w:r>
      <w:r w:rsidRPr="007A6DA2">
        <w:rPr>
          <w:sz w:val="20"/>
        </w:rPr>
        <w:t xml:space="preserve"> at 6-7</w:t>
      </w:r>
      <w:r w:rsidR="00024F0E">
        <w:rPr>
          <w:sz w:val="20"/>
        </w:rPr>
        <w:t>; Restated Petition at 2</w:t>
      </w:r>
      <w:r w:rsidRPr="007A6DA2">
        <w:rPr>
          <w:sz w:val="20"/>
        </w:rPr>
        <w:t>.</w:t>
      </w:r>
    </w:p>
  </w:footnote>
  <w:footnote w:id="27">
    <w:p w:rsidR="00DE3D45" w:rsidRPr="007A6DA2">
      <w:pPr>
        <w:pStyle w:val="FootnoteText"/>
        <w:rPr>
          <w:sz w:val="20"/>
        </w:rPr>
      </w:pPr>
      <w:r w:rsidRPr="007A6DA2">
        <w:rPr>
          <w:rStyle w:val="FootnoteReference"/>
          <w:sz w:val="20"/>
        </w:rPr>
        <w:footnoteRef/>
      </w:r>
      <w:r w:rsidRPr="007A6DA2">
        <w:rPr>
          <w:sz w:val="20"/>
        </w:rPr>
        <w:t xml:space="preserve"> </w:t>
      </w:r>
      <w:r w:rsidRPr="00B87B96" w:rsidR="00B87B96">
        <w:rPr>
          <w:i/>
          <w:iCs/>
          <w:sz w:val="20"/>
        </w:rPr>
        <w:t>Id.</w:t>
      </w:r>
      <w:r w:rsidR="00B87B96">
        <w:rPr>
          <w:sz w:val="20"/>
        </w:rPr>
        <w:t xml:space="preserve"> </w:t>
      </w:r>
    </w:p>
  </w:footnote>
  <w:footnote w:id="28">
    <w:p w:rsidR="00DE3D45" w:rsidRPr="00B87B96">
      <w:pPr>
        <w:pStyle w:val="FootnoteText"/>
        <w:rPr>
          <w:sz w:val="20"/>
        </w:rPr>
      </w:pPr>
      <w:r w:rsidRPr="007A6DA2">
        <w:rPr>
          <w:rStyle w:val="FootnoteReference"/>
          <w:sz w:val="20"/>
        </w:rPr>
        <w:footnoteRef/>
      </w:r>
      <w:r w:rsidRPr="007A6DA2">
        <w:rPr>
          <w:sz w:val="20"/>
        </w:rPr>
        <w:t xml:space="preserve"> </w:t>
      </w:r>
      <w:r w:rsidR="00B87B96">
        <w:rPr>
          <w:sz w:val="20"/>
        </w:rPr>
        <w:t xml:space="preserve"> </w:t>
      </w:r>
      <w:r w:rsidR="00B87B96">
        <w:rPr>
          <w:i/>
          <w:iCs/>
          <w:sz w:val="20"/>
        </w:rPr>
        <w:t>Id</w:t>
      </w:r>
      <w:r w:rsidR="00B87B96">
        <w:rPr>
          <w:sz w:val="20"/>
        </w:rPr>
        <w:t>.</w:t>
      </w:r>
    </w:p>
  </w:footnote>
  <w:footnote w:id="29">
    <w:p w:rsidR="00DE3D45" w:rsidRPr="00B87B96">
      <w:pPr>
        <w:pStyle w:val="FootnoteText"/>
        <w:rPr>
          <w:i/>
          <w:iCs/>
          <w:sz w:val="20"/>
        </w:rPr>
      </w:pPr>
      <w:r w:rsidRPr="007A6DA2">
        <w:rPr>
          <w:rStyle w:val="FootnoteReference"/>
          <w:sz w:val="20"/>
        </w:rPr>
        <w:footnoteRef/>
      </w:r>
      <w:r w:rsidRPr="007A6DA2">
        <w:rPr>
          <w:sz w:val="20"/>
        </w:rPr>
        <w:t xml:space="preserve"> </w:t>
      </w:r>
      <w:r w:rsidR="00B87B96">
        <w:rPr>
          <w:sz w:val="20"/>
        </w:rPr>
        <w:t xml:space="preserve"> </w:t>
      </w:r>
      <w:r w:rsidRPr="00B87B96" w:rsidR="00B87B96">
        <w:rPr>
          <w:i/>
          <w:iCs/>
          <w:sz w:val="20"/>
        </w:rPr>
        <w:t>Id.</w:t>
      </w:r>
    </w:p>
  </w:footnote>
  <w:footnote w:id="30">
    <w:p w:rsidR="00DE3D45" w:rsidRPr="007A6DA2">
      <w:pPr>
        <w:pStyle w:val="FootnoteText"/>
        <w:rPr>
          <w:sz w:val="20"/>
        </w:rPr>
      </w:pPr>
      <w:r w:rsidRPr="007A6DA2">
        <w:rPr>
          <w:rStyle w:val="FootnoteReference"/>
          <w:sz w:val="20"/>
        </w:rPr>
        <w:footnoteRef/>
      </w:r>
      <w:r w:rsidRPr="007A6DA2">
        <w:rPr>
          <w:sz w:val="20"/>
        </w:rPr>
        <w:t xml:space="preserve"> </w:t>
      </w:r>
      <w:r w:rsidR="001D1752">
        <w:rPr>
          <w:sz w:val="20"/>
        </w:rPr>
        <w:t>Lead Application</w:t>
      </w:r>
      <w:r w:rsidRPr="007A6DA2">
        <w:rPr>
          <w:sz w:val="20"/>
        </w:rPr>
        <w:t xml:space="preserve"> at 7.</w:t>
      </w:r>
    </w:p>
  </w:footnote>
  <w:footnote w:id="31">
    <w:p w:rsidR="00520CFE" w:rsidRPr="003D3B9E">
      <w:pPr>
        <w:pStyle w:val="FootnoteText"/>
        <w:rPr>
          <w:sz w:val="20"/>
        </w:rPr>
      </w:pPr>
      <w:r w:rsidRPr="003D3B9E">
        <w:rPr>
          <w:rStyle w:val="FootnoteReference"/>
          <w:sz w:val="20"/>
        </w:rPr>
        <w:footnoteRef/>
      </w:r>
      <w:r w:rsidRPr="003D3B9E">
        <w:rPr>
          <w:sz w:val="20"/>
        </w:rPr>
        <w:t xml:space="preserve"> </w:t>
      </w:r>
      <w:bookmarkStart w:id="7" w:name="_Hlk41917104"/>
      <w:r w:rsidRPr="001F15D2" w:rsidR="001F15D2">
        <w:rPr>
          <w:i/>
          <w:sz w:val="20"/>
        </w:rPr>
        <w:t>Id</w:t>
      </w:r>
      <w:r w:rsidR="001F15D2">
        <w:rPr>
          <w:sz w:val="20"/>
        </w:rPr>
        <w:t>.</w:t>
      </w:r>
      <w:r w:rsidR="00E651B7">
        <w:rPr>
          <w:sz w:val="20"/>
        </w:rPr>
        <w:t xml:space="preserve"> at Exh B. (Public Interest Statement)</w:t>
      </w:r>
      <w:r w:rsidR="00760761">
        <w:rPr>
          <w:sz w:val="20"/>
        </w:rPr>
        <w:t xml:space="preserve"> at </w:t>
      </w:r>
      <w:r w:rsidR="009A1144">
        <w:rPr>
          <w:sz w:val="20"/>
        </w:rPr>
        <w:t>1-2</w:t>
      </w:r>
      <w:r w:rsidR="00D43780">
        <w:rPr>
          <w:sz w:val="20"/>
        </w:rPr>
        <w:t>; Restated Petition at 12-13</w:t>
      </w:r>
      <w:r w:rsidR="009A1144">
        <w:rPr>
          <w:sz w:val="20"/>
        </w:rPr>
        <w:t>.</w:t>
      </w:r>
      <w:bookmarkEnd w:id="7"/>
    </w:p>
  </w:footnote>
  <w:footnote w:id="32">
    <w:p w:rsidR="005A4409">
      <w:pPr>
        <w:pStyle w:val="FootnoteText"/>
      </w:pPr>
      <w:r>
        <w:rPr>
          <w:rStyle w:val="FootnoteReference"/>
        </w:rPr>
        <w:footnoteRef/>
      </w:r>
      <w:r>
        <w:t xml:space="preserve"> </w:t>
      </w:r>
      <w:r w:rsidR="00D55894">
        <w:rPr>
          <w:sz w:val="20"/>
        </w:rPr>
        <w:t xml:space="preserve">Lead Application, </w:t>
      </w:r>
      <w:r w:rsidR="00E651B7">
        <w:rPr>
          <w:sz w:val="20"/>
        </w:rPr>
        <w:t>Exh. B</w:t>
      </w:r>
      <w:r w:rsidR="00D55894">
        <w:rPr>
          <w:sz w:val="20"/>
        </w:rPr>
        <w:t>.</w:t>
      </w:r>
      <w:r>
        <w:rPr>
          <w:sz w:val="20"/>
        </w:rPr>
        <w:t xml:space="preserve"> at 2-3.</w:t>
      </w:r>
    </w:p>
  </w:footnote>
  <w:footnote w:id="33">
    <w:p w:rsidR="00101E17">
      <w:pPr>
        <w:pStyle w:val="FootnoteText"/>
      </w:pPr>
      <w:r>
        <w:rPr>
          <w:rStyle w:val="FootnoteReference"/>
        </w:rPr>
        <w:footnoteRef/>
      </w:r>
      <w:r>
        <w:t xml:space="preserve"> </w:t>
      </w:r>
      <w:bookmarkStart w:id="8" w:name="_Hlk41917768"/>
      <w:r w:rsidRPr="001F15D2">
        <w:rPr>
          <w:i/>
          <w:sz w:val="20"/>
        </w:rPr>
        <w:t>Id</w:t>
      </w:r>
      <w:r>
        <w:rPr>
          <w:sz w:val="20"/>
        </w:rPr>
        <w:t>.</w:t>
      </w:r>
      <w:r w:rsidR="00F41833">
        <w:rPr>
          <w:sz w:val="20"/>
        </w:rPr>
        <w:t xml:space="preserve"> at Exh. B</w:t>
      </w:r>
      <w:r>
        <w:rPr>
          <w:sz w:val="20"/>
        </w:rPr>
        <w:t xml:space="preserve"> at 1-2.</w:t>
      </w:r>
      <w:bookmarkEnd w:id="8"/>
    </w:p>
  </w:footnote>
  <w:footnote w:id="34">
    <w:p w:rsidR="00076872">
      <w:pPr>
        <w:pStyle w:val="FootnoteText"/>
      </w:pPr>
      <w:r>
        <w:rPr>
          <w:rStyle w:val="FootnoteReference"/>
        </w:rPr>
        <w:footnoteRef/>
      </w:r>
      <w:r>
        <w:t xml:space="preserve"> </w:t>
      </w:r>
      <w:bookmarkStart w:id="9" w:name="_Hlk41918418"/>
      <w:r w:rsidRPr="001F15D2">
        <w:rPr>
          <w:i/>
          <w:sz w:val="20"/>
        </w:rPr>
        <w:t>Id</w:t>
      </w:r>
      <w:r>
        <w:rPr>
          <w:sz w:val="20"/>
        </w:rPr>
        <w:t>.</w:t>
      </w:r>
      <w:r w:rsidR="00F41833">
        <w:rPr>
          <w:sz w:val="20"/>
        </w:rPr>
        <w:t xml:space="preserve"> at Exh. B </w:t>
      </w:r>
      <w:r>
        <w:rPr>
          <w:sz w:val="20"/>
        </w:rPr>
        <w:t>at 3.</w:t>
      </w:r>
      <w:bookmarkEnd w:id="9"/>
    </w:p>
  </w:footnote>
  <w:footnote w:id="35">
    <w:p w:rsidR="00AB1083">
      <w:pPr>
        <w:pStyle w:val="FootnoteText"/>
      </w:pPr>
      <w:r w:rsidRPr="007A6DA2">
        <w:rPr>
          <w:rStyle w:val="FootnoteReference"/>
          <w:sz w:val="20"/>
        </w:rPr>
        <w:footnoteRef/>
      </w:r>
      <w:r w:rsidRPr="007A6DA2">
        <w:rPr>
          <w:sz w:val="20"/>
        </w:rPr>
        <w:t xml:space="preserve"> </w:t>
      </w:r>
      <w:r w:rsidRPr="007A6DA2" w:rsidR="00F41833">
        <w:rPr>
          <w:i/>
          <w:iCs/>
          <w:sz w:val="20"/>
        </w:rPr>
        <w:t>Id</w:t>
      </w:r>
      <w:r w:rsidRPr="007A6DA2" w:rsidR="00F41833">
        <w:rPr>
          <w:sz w:val="20"/>
        </w:rPr>
        <w:t>. at Exh. B at 4.</w:t>
      </w:r>
      <w:r w:rsidRPr="007A6DA2" w:rsidR="00F41833">
        <w:rPr>
          <w:i/>
          <w:iCs/>
          <w:sz w:val="20"/>
        </w:rPr>
        <w:t xml:space="preserve"> </w:t>
      </w:r>
      <w:r w:rsidRPr="007A6DA2" w:rsidR="00F41833">
        <w:rPr>
          <w:sz w:val="20"/>
        </w:rPr>
        <w:t xml:space="preserve"> </w:t>
      </w:r>
      <w:r w:rsidRPr="007A6DA2" w:rsidR="002A013D">
        <w:rPr>
          <w:sz w:val="20"/>
        </w:rPr>
        <w:t>Applicants state that PEG IL’s interexchange services and Cincinnati Bell’s competitive LEC services are</w:t>
      </w:r>
      <w:r w:rsidR="002A013D">
        <w:rPr>
          <w:sz w:val="20"/>
        </w:rPr>
        <w:t xml:space="preserve"> both available in </w:t>
      </w:r>
      <w:r w:rsidR="007A6DA2">
        <w:rPr>
          <w:sz w:val="20"/>
        </w:rPr>
        <w:t>five</w:t>
      </w:r>
      <w:r w:rsidR="002A013D">
        <w:rPr>
          <w:sz w:val="20"/>
        </w:rPr>
        <w:t xml:space="preserve"> counties in Indiana where Cincinnati Bell’s affiliate</w:t>
      </w:r>
      <w:r w:rsidR="007A6DA2">
        <w:rPr>
          <w:sz w:val="20"/>
        </w:rPr>
        <w:t>,</w:t>
      </w:r>
      <w:r w:rsidR="002A013D">
        <w:rPr>
          <w:sz w:val="20"/>
        </w:rPr>
        <w:t xml:space="preserve"> CBTS</w:t>
      </w:r>
      <w:r w:rsidR="007A6DA2">
        <w:rPr>
          <w:sz w:val="20"/>
        </w:rPr>
        <w:t>,</w:t>
      </w:r>
      <w:r w:rsidR="002A013D">
        <w:rPr>
          <w:sz w:val="20"/>
        </w:rPr>
        <w:t xml:space="preserve"> provides over-the-top VOIP and resold services using third-party facilities.  </w:t>
      </w:r>
      <w:r w:rsidRPr="001F15D2">
        <w:rPr>
          <w:i/>
          <w:sz w:val="20"/>
        </w:rPr>
        <w:t>Id</w:t>
      </w:r>
      <w:r>
        <w:rPr>
          <w:sz w:val="20"/>
        </w:rPr>
        <w:t>.</w:t>
      </w:r>
      <w:r w:rsidR="007A6DA2">
        <w:rPr>
          <w:sz w:val="20"/>
        </w:rPr>
        <w:t xml:space="preserve"> at Exh. B</w:t>
      </w:r>
      <w:r>
        <w:rPr>
          <w:sz w:val="20"/>
        </w:rPr>
        <w:t xml:space="preserve"> at 4.</w:t>
      </w:r>
      <w:r w:rsidR="004558C2">
        <w:rPr>
          <w:sz w:val="20"/>
        </w:rPr>
        <w:t xml:space="preserve">  </w:t>
      </w:r>
      <w:r w:rsidR="002A013D">
        <w:rPr>
          <w:sz w:val="20"/>
        </w:rPr>
        <w:t xml:space="preserve">  </w:t>
      </w:r>
    </w:p>
  </w:footnote>
  <w:footnote w:id="36">
    <w:p w:rsidR="00FD1AC5" w:rsidRPr="00CD1B34">
      <w:pPr>
        <w:pStyle w:val="FootnoteText"/>
        <w:rPr>
          <w:sz w:val="20"/>
        </w:rPr>
      </w:pPr>
      <w:r w:rsidRPr="00CD1B34">
        <w:rPr>
          <w:rStyle w:val="FootnoteReference"/>
          <w:sz w:val="20"/>
        </w:rPr>
        <w:footnoteRef/>
      </w:r>
      <w:r w:rsidRPr="00CD1B34">
        <w:rPr>
          <w:sz w:val="20"/>
        </w:rPr>
        <w:t xml:space="preserve"> </w:t>
      </w:r>
      <w:r w:rsidRPr="001449D9">
        <w:rPr>
          <w:sz w:val="20"/>
        </w:rPr>
        <w:t>47 CFR § 1.5000(a)(1).</w:t>
      </w:r>
    </w:p>
  </w:footnote>
  <w:footnote w:id="37">
    <w:p w:rsidR="00517BB2" w:rsidRPr="00CD1B34">
      <w:pPr>
        <w:pStyle w:val="FootnoteText"/>
        <w:rPr>
          <w:sz w:val="20"/>
        </w:rPr>
      </w:pPr>
      <w:r w:rsidRPr="00CD1B34">
        <w:rPr>
          <w:rStyle w:val="FootnoteReference"/>
          <w:sz w:val="20"/>
        </w:rPr>
        <w:footnoteRef/>
      </w:r>
      <w:r w:rsidRPr="00CD1B34">
        <w:rPr>
          <w:sz w:val="20"/>
        </w:rPr>
        <w:t xml:space="preserve"> Restated Petition at 1, 12-13.</w:t>
      </w:r>
    </w:p>
  </w:footnote>
  <w:footnote w:id="38">
    <w:p w:rsidR="009F0D74" w:rsidRPr="003E2D28" w:rsidP="009F0D74">
      <w:pPr>
        <w:pStyle w:val="FootnoteText"/>
        <w:rPr>
          <w:sz w:val="20"/>
        </w:rPr>
      </w:pPr>
      <w:r w:rsidRPr="003E2D28">
        <w:rPr>
          <w:rStyle w:val="FootnoteReference"/>
          <w:sz w:val="20"/>
        </w:rPr>
        <w:footnoteRef/>
      </w:r>
      <w:r w:rsidRPr="003E2D28">
        <w:rPr>
          <w:sz w:val="20"/>
        </w:rPr>
        <w:t xml:space="preserve"> </w:t>
      </w:r>
      <w:r w:rsidRPr="00B87B96" w:rsidR="00B87B96">
        <w:rPr>
          <w:i/>
          <w:iCs/>
          <w:sz w:val="20"/>
        </w:rPr>
        <w:t>Id</w:t>
      </w:r>
      <w:r w:rsidR="00B87B96">
        <w:rPr>
          <w:sz w:val="20"/>
        </w:rPr>
        <w:t>.</w:t>
      </w:r>
      <w:r>
        <w:rPr>
          <w:sz w:val="20"/>
        </w:rPr>
        <w:t xml:space="preserve"> at 2-3, 7</w:t>
      </w:r>
      <w:r w:rsidRPr="003E2D28">
        <w:rPr>
          <w:sz w:val="20"/>
        </w:rPr>
        <w:t>.</w:t>
      </w:r>
    </w:p>
  </w:footnote>
  <w:footnote w:id="39">
    <w:p w:rsidR="00EE6669">
      <w:pPr>
        <w:pStyle w:val="FootnoteText"/>
      </w:pPr>
      <w:r>
        <w:rPr>
          <w:rStyle w:val="FootnoteReference"/>
        </w:rPr>
        <w:footnoteRef/>
      </w:r>
      <w:r>
        <w:t xml:space="preserve"> </w:t>
      </w:r>
      <w:r w:rsidRPr="007A6DA2" w:rsidR="009C2EE7">
        <w:rPr>
          <w:i/>
          <w:iCs/>
          <w:sz w:val="20"/>
        </w:rPr>
        <w:t>Id</w:t>
      </w:r>
      <w:r w:rsidRPr="007A6DA2" w:rsidR="009C2EE7">
        <w:rPr>
          <w:sz w:val="20"/>
        </w:rPr>
        <w:t>.</w:t>
      </w:r>
      <w:r w:rsidR="009C2EE7">
        <w:rPr>
          <w:sz w:val="20"/>
        </w:rPr>
        <w:t xml:space="preserve"> at 2-3. </w:t>
      </w:r>
    </w:p>
  </w:footnote>
  <w:footnote w:id="40">
    <w:p w:rsidR="00D9473B" w:rsidP="00D9473B">
      <w:pPr>
        <w:pStyle w:val="FootnoteText"/>
      </w:pPr>
      <w:r>
        <w:rPr>
          <w:rStyle w:val="FootnoteReference"/>
        </w:rPr>
        <w:footnoteRef/>
      </w:r>
      <w:r>
        <w:t xml:space="preserve"> </w:t>
      </w:r>
      <w:r w:rsidRPr="007A6DA2" w:rsidR="009C2EE7">
        <w:rPr>
          <w:i/>
          <w:iCs/>
          <w:sz w:val="20"/>
        </w:rPr>
        <w:t>Id</w:t>
      </w:r>
      <w:r w:rsidRPr="007A6DA2" w:rsidR="009C2EE7">
        <w:rPr>
          <w:sz w:val="20"/>
        </w:rPr>
        <w:t>.</w:t>
      </w:r>
      <w:r w:rsidR="009C2EE7">
        <w:rPr>
          <w:sz w:val="20"/>
        </w:rPr>
        <w:t xml:space="preserve"> at 9</w:t>
      </w:r>
      <w:r w:rsidR="004603BC">
        <w:rPr>
          <w:sz w:val="20"/>
        </w:rPr>
        <w:t>.</w:t>
      </w:r>
      <w:r w:rsidR="00E14145">
        <w:rPr>
          <w:sz w:val="20"/>
        </w:rPr>
        <w:t xml:space="preserve">  </w:t>
      </w:r>
      <w:r w:rsidR="00013A06">
        <w:rPr>
          <w:sz w:val="20"/>
        </w:rPr>
        <w:t xml:space="preserve">According to the </w:t>
      </w:r>
      <w:r w:rsidR="00E777A6">
        <w:rPr>
          <w:sz w:val="20"/>
        </w:rPr>
        <w:t>Petition</w:t>
      </w:r>
      <w:r w:rsidR="00013A06">
        <w:rPr>
          <w:sz w:val="20"/>
        </w:rPr>
        <w:t>,</w:t>
      </w:r>
      <w:r w:rsidR="00E777A6">
        <w:rPr>
          <w:sz w:val="20"/>
        </w:rPr>
        <w:t xml:space="preserve"> the voting interest of </w:t>
      </w:r>
      <w:r w:rsidR="00E14145">
        <w:rPr>
          <w:sz w:val="20"/>
        </w:rPr>
        <w:t>MIP V Member</w:t>
      </w:r>
      <w:r w:rsidR="00E777A6">
        <w:rPr>
          <w:sz w:val="20"/>
        </w:rPr>
        <w:t xml:space="preserve"> and its affiliates in Red Fiber Parent </w:t>
      </w:r>
      <w:r w:rsidR="00252622">
        <w:rPr>
          <w:sz w:val="20"/>
        </w:rPr>
        <w:t xml:space="preserve">and, in turn, in </w:t>
      </w:r>
      <w:r w:rsidR="00E777A6">
        <w:rPr>
          <w:sz w:val="20"/>
        </w:rPr>
        <w:t xml:space="preserve">Cincinnati Bell </w:t>
      </w:r>
      <w:r w:rsidR="00DD71CC">
        <w:rPr>
          <w:sz w:val="20"/>
        </w:rPr>
        <w:t>is 50%</w:t>
      </w:r>
      <w:r w:rsidR="00E14145">
        <w:rPr>
          <w:sz w:val="20"/>
        </w:rPr>
        <w:t xml:space="preserve">, </w:t>
      </w:r>
      <w:r w:rsidR="00DD71CC">
        <w:rPr>
          <w:sz w:val="20"/>
        </w:rPr>
        <w:t xml:space="preserve">based on the five of ten board seats </w:t>
      </w:r>
      <w:r w:rsidR="00252622">
        <w:rPr>
          <w:sz w:val="20"/>
        </w:rPr>
        <w:t xml:space="preserve">of each company </w:t>
      </w:r>
      <w:r w:rsidR="00DD71CC">
        <w:rPr>
          <w:sz w:val="20"/>
        </w:rPr>
        <w:t xml:space="preserve">appointed by MIP V Member.  </w:t>
      </w:r>
      <w:r w:rsidR="00252622">
        <w:rPr>
          <w:sz w:val="20"/>
        </w:rPr>
        <w:t xml:space="preserve">Petitioner </w:t>
      </w:r>
      <w:r w:rsidR="00D338CF">
        <w:rPr>
          <w:sz w:val="20"/>
        </w:rPr>
        <w:t xml:space="preserve">states that MIP V </w:t>
      </w:r>
      <w:r w:rsidR="00DD71CC">
        <w:rPr>
          <w:sz w:val="20"/>
        </w:rPr>
        <w:t>Member’s (and, in turn, MGL’s) voting interest</w:t>
      </w:r>
      <w:r w:rsidR="00252622">
        <w:rPr>
          <w:sz w:val="20"/>
        </w:rPr>
        <w:t xml:space="preserve"> in Cincinnati Bell</w:t>
      </w:r>
      <w:r w:rsidR="00DD71CC">
        <w:rPr>
          <w:sz w:val="20"/>
        </w:rPr>
        <w:t xml:space="preserve"> is deemed to be 100% for purposes of calculating </w:t>
      </w:r>
      <w:r w:rsidR="00252622">
        <w:rPr>
          <w:sz w:val="20"/>
        </w:rPr>
        <w:t>Cincinnati Bell’s</w:t>
      </w:r>
      <w:r w:rsidR="003E227E">
        <w:rPr>
          <w:sz w:val="20"/>
        </w:rPr>
        <w:t>`</w:t>
      </w:r>
      <w:r w:rsidR="00252622">
        <w:rPr>
          <w:sz w:val="20"/>
        </w:rPr>
        <w:t xml:space="preserve"> </w:t>
      </w:r>
      <w:r w:rsidR="00DD71CC">
        <w:rPr>
          <w:sz w:val="20"/>
        </w:rPr>
        <w:t xml:space="preserve">foreign voting interests </w:t>
      </w:r>
      <w:r w:rsidR="00252622">
        <w:rPr>
          <w:sz w:val="20"/>
        </w:rPr>
        <w:t xml:space="preserve">under the Commission’s foreign ownership rules.  </w:t>
      </w:r>
      <w:r w:rsidR="00D54B38">
        <w:rPr>
          <w:sz w:val="20"/>
        </w:rPr>
        <w:t xml:space="preserve"> </w:t>
      </w:r>
      <w:r w:rsidRPr="006A733C" w:rsidR="00D54B38">
        <w:rPr>
          <w:i/>
          <w:sz w:val="20"/>
        </w:rPr>
        <w:t>Id</w:t>
      </w:r>
      <w:r w:rsidR="00D54B38">
        <w:rPr>
          <w:sz w:val="20"/>
        </w:rPr>
        <w:t xml:space="preserve">. at 7 (citing </w:t>
      </w:r>
      <w:r w:rsidR="00252622">
        <w:rPr>
          <w:sz w:val="20"/>
        </w:rPr>
        <w:t xml:space="preserve">47 CFR </w:t>
      </w:r>
      <w:r w:rsidRPr="00252622" w:rsidR="00252622">
        <w:rPr>
          <w:sz w:val="20"/>
        </w:rPr>
        <w:t>§</w:t>
      </w:r>
      <w:r w:rsidR="00252622">
        <w:rPr>
          <w:sz w:val="20"/>
        </w:rPr>
        <w:t xml:space="preserve"> 1.5002(b)(2)(i)</w:t>
      </w:r>
      <w:r w:rsidR="00D54B38">
        <w:rPr>
          <w:sz w:val="20"/>
        </w:rPr>
        <w:t>)</w:t>
      </w:r>
      <w:r w:rsidR="00252622">
        <w:rPr>
          <w:sz w:val="20"/>
        </w:rPr>
        <w:t>.</w:t>
      </w:r>
      <w:r w:rsidR="00E14145">
        <w:rPr>
          <w:sz w:val="20"/>
        </w:rPr>
        <w:t xml:space="preserve"> </w:t>
      </w:r>
      <w:r w:rsidR="009C2EE7">
        <w:rPr>
          <w:sz w:val="20"/>
        </w:rPr>
        <w:t xml:space="preserve"> </w:t>
      </w:r>
    </w:p>
  </w:footnote>
  <w:footnote w:id="41">
    <w:p w:rsidR="008500ED" w:rsidRPr="00D54B38" w:rsidP="008500ED">
      <w:pPr>
        <w:pStyle w:val="FootnoteText"/>
        <w:rPr>
          <w:sz w:val="20"/>
        </w:rPr>
      </w:pPr>
      <w:r>
        <w:rPr>
          <w:rStyle w:val="FootnoteReference"/>
        </w:rPr>
        <w:footnoteRef/>
      </w:r>
      <w:r>
        <w:t xml:space="preserve"> </w:t>
      </w:r>
      <w:r w:rsidRPr="00D54B38">
        <w:rPr>
          <w:i/>
          <w:iCs/>
          <w:sz w:val="20"/>
        </w:rPr>
        <w:t>Id</w:t>
      </w:r>
      <w:r w:rsidRPr="00D54B38">
        <w:rPr>
          <w:sz w:val="20"/>
        </w:rPr>
        <w:t>. at 9</w:t>
      </w:r>
      <w:r w:rsidRPr="00D54B38" w:rsidR="002F000F">
        <w:rPr>
          <w:sz w:val="20"/>
        </w:rPr>
        <w:t xml:space="preserve">, </w:t>
      </w:r>
      <w:r w:rsidRPr="00D54B38">
        <w:rPr>
          <w:sz w:val="20"/>
        </w:rPr>
        <w:t>18.</w:t>
      </w:r>
      <w:r w:rsidR="00D54B38">
        <w:rPr>
          <w:sz w:val="20"/>
        </w:rPr>
        <w:t xml:space="preserve">  Non-U.S. individuals holding interests</w:t>
      </w:r>
      <w:r w:rsidR="00D338CF">
        <w:rPr>
          <w:sz w:val="20"/>
        </w:rPr>
        <w:t xml:space="preserve"> in MIP V Member or MIP V would hold their interests indirectly through other insulated Macquarie managed vehicles, including</w:t>
      </w:r>
      <w:r w:rsidR="00013A06">
        <w:rPr>
          <w:sz w:val="20"/>
        </w:rPr>
        <w:t xml:space="preserve"> foreign-organized </w:t>
      </w:r>
      <w:r w:rsidR="00D338CF">
        <w:rPr>
          <w:sz w:val="20"/>
        </w:rPr>
        <w:t xml:space="preserve">feeder funds and/or tax blockers identified in the Petition for which Petitioner requests specific approval.  Restated Petition at </w:t>
      </w:r>
      <w:r w:rsidRPr="00A972B7" w:rsidR="00D338CF">
        <w:rPr>
          <w:sz w:val="20"/>
        </w:rPr>
        <w:t>10, Ex</w:t>
      </w:r>
      <w:r w:rsidR="00A972B7">
        <w:rPr>
          <w:sz w:val="20"/>
        </w:rPr>
        <w:t>h</w:t>
      </w:r>
      <w:r w:rsidRPr="00A972B7" w:rsidR="00D338CF">
        <w:rPr>
          <w:sz w:val="20"/>
        </w:rPr>
        <w:t>. A at 18</w:t>
      </w:r>
      <w:r w:rsidR="00D338CF">
        <w:rPr>
          <w:sz w:val="20"/>
        </w:rPr>
        <w:t xml:space="preserve">.  </w:t>
      </w:r>
      <w:r w:rsidRPr="00D54B38">
        <w:rPr>
          <w:sz w:val="20"/>
        </w:rPr>
        <w:t xml:space="preserve"> </w:t>
      </w:r>
    </w:p>
  </w:footnote>
  <w:footnote w:id="42">
    <w:p w:rsidR="00D54B38" w:rsidRPr="00D54B38">
      <w:pPr>
        <w:pStyle w:val="FootnoteText"/>
        <w:rPr>
          <w:sz w:val="20"/>
        </w:rPr>
      </w:pPr>
      <w:r w:rsidRPr="00D54B38">
        <w:rPr>
          <w:rStyle w:val="FootnoteReference"/>
          <w:sz w:val="20"/>
        </w:rPr>
        <w:footnoteRef/>
      </w:r>
      <w:r w:rsidRPr="00D54B38">
        <w:rPr>
          <w:sz w:val="20"/>
        </w:rPr>
        <w:t xml:space="preserve"> </w:t>
      </w:r>
      <w:r w:rsidRPr="002570DE" w:rsidR="00323193">
        <w:rPr>
          <w:sz w:val="20"/>
        </w:rPr>
        <w:t>Restated</w:t>
      </w:r>
      <w:r w:rsidR="00323193">
        <w:rPr>
          <w:sz w:val="20"/>
        </w:rPr>
        <w:t xml:space="preserve"> Petition,</w:t>
      </w:r>
      <w:r w:rsidRPr="00D54B38">
        <w:rPr>
          <w:sz w:val="20"/>
        </w:rPr>
        <w:t xml:space="preserve"> Ex</w:t>
      </w:r>
      <w:r w:rsidR="00A972B7">
        <w:rPr>
          <w:sz w:val="20"/>
        </w:rPr>
        <w:t>h</w:t>
      </w:r>
      <w:r w:rsidRPr="00D54B38">
        <w:rPr>
          <w:sz w:val="20"/>
        </w:rPr>
        <w:t xml:space="preserve">. A </w:t>
      </w:r>
      <w:r w:rsidR="00323193">
        <w:rPr>
          <w:sz w:val="20"/>
        </w:rPr>
        <w:t xml:space="preserve">at </w:t>
      </w:r>
      <w:r w:rsidRPr="002570DE">
        <w:rPr>
          <w:sz w:val="20"/>
        </w:rPr>
        <w:t>16</w:t>
      </w:r>
      <w:r w:rsidRPr="00D54B38">
        <w:rPr>
          <w:sz w:val="20"/>
        </w:rPr>
        <w:t xml:space="preserve">.  The insulated limited partners would individually hold indirect equity and voting interests in Cincinnati Bell of less than 10%.  </w:t>
      </w:r>
      <w:r w:rsidRPr="002570DE">
        <w:rPr>
          <w:i/>
          <w:sz w:val="20"/>
        </w:rPr>
        <w:t>Id</w:t>
      </w:r>
      <w:r w:rsidRPr="00D54B38">
        <w:rPr>
          <w:sz w:val="20"/>
        </w:rPr>
        <w:t>.</w:t>
      </w:r>
      <w:r w:rsidR="00323193">
        <w:rPr>
          <w:sz w:val="20"/>
        </w:rPr>
        <w:t>,</w:t>
      </w:r>
      <w:r w:rsidRPr="00D54B38">
        <w:rPr>
          <w:sz w:val="20"/>
        </w:rPr>
        <w:t xml:space="preserve"> Ex</w:t>
      </w:r>
      <w:r w:rsidR="00323193">
        <w:rPr>
          <w:sz w:val="20"/>
        </w:rPr>
        <w:t>h</w:t>
      </w:r>
      <w:r w:rsidRPr="00D54B38">
        <w:rPr>
          <w:sz w:val="20"/>
        </w:rPr>
        <w:t xml:space="preserve">. A </w:t>
      </w:r>
      <w:r w:rsidR="00013A06">
        <w:rPr>
          <w:sz w:val="20"/>
        </w:rPr>
        <w:t xml:space="preserve">at </w:t>
      </w:r>
      <w:r w:rsidRPr="002570DE">
        <w:rPr>
          <w:sz w:val="20"/>
        </w:rPr>
        <w:t>19</w:t>
      </w:r>
      <w:r w:rsidRPr="00D54B38">
        <w:rPr>
          <w:sz w:val="20"/>
        </w:rPr>
        <w:t>.</w:t>
      </w:r>
    </w:p>
  </w:footnote>
  <w:footnote w:id="43">
    <w:p w:rsidR="00497C2F" w:rsidRPr="00D54B38" w:rsidP="00497C2F">
      <w:pPr>
        <w:pStyle w:val="FootnoteText"/>
        <w:rPr>
          <w:sz w:val="20"/>
        </w:rPr>
      </w:pPr>
      <w:r w:rsidRPr="00D54B38">
        <w:rPr>
          <w:rStyle w:val="FootnoteReference"/>
          <w:sz w:val="20"/>
        </w:rPr>
        <w:footnoteRef/>
      </w:r>
      <w:r w:rsidRPr="00D54B38">
        <w:rPr>
          <w:sz w:val="20"/>
        </w:rPr>
        <w:t xml:space="preserve"> </w:t>
      </w:r>
      <w:r w:rsidR="00013A06">
        <w:rPr>
          <w:sz w:val="20"/>
        </w:rPr>
        <w:t>Restated Petition at</w:t>
      </w:r>
      <w:r w:rsidR="00D55894">
        <w:rPr>
          <w:sz w:val="20"/>
        </w:rPr>
        <w:t xml:space="preserve"> 3.</w:t>
      </w:r>
      <w:r w:rsidR="00013A06">
        <w:rPr>
          <w:sz w:val="20"/>
        </w:rPr>
        <w:t xml:space="preserve"> </w:t>
      </w:r>
    </w:p>
  </w:footnote>
  <w:footnote w:id="44">
    <w:p w:rsidR="00497C2F" w:rsidRPr="00D54B38" w:rsidP="00497C2F">
      <w:pPr>
        <w:pStyle w:val="FootnoteText"/>
        <w:rPr>
          <w:sz w:val="20"/>
        </w:rPr>
      </w:pPr>
      <w:r w:rsidRPr="00D54B38">
        <w:rPr>
          <w:rStyle w:val="FootnoteReference"/>
          <w:sz w:val="20"/>
        </w:rPr>
        <w:footnoteRef/>
      </w:r>
      <w:r w:rsidRPr="00D54B38">
        <w:rPr>
          <w:sz w:val="20"/>
        </w:rPr>
        <w:t xml:space="preserve"> </w:t>
      </w:r>
      <w:r w:rsidRPr="00B87B96" w:rsidR="00B87B96">
        <w:rPr>
          <w:i/>
          <w:iCs/>
          <w:sz w:val="20"/>
        </w:rPr>
        <w:t>Id</w:t>
      </w:r>
      <w:r w:rsidR="00B87B96">
        <w:rPr>
          <w:sz w:val="20"/>
        </w:rPr>
        <w:t>.</w:t>
      </w:r>
      <w:r w:rsidR="00013A06">
        <w:rPr>
          <w:sz w:val="20"/>
        </w:rPr>
        <w:t xml:space="preserve"> at 9.</w:t>
      </w:r>
    </w:p>
  </w:footnote>
  <w:footnote w:id="45">
    <w:p w:rsidR="002A7866" w:rsidP="002A7866">
      <w:pPr>
        <w:pStyle w:val="FootnoteText"/>
      </w:pPr>
      <w:r>
        <w:rPr>
          <w:rStyle w:val="FootnoteReference"/>
        </w:rPr>
        <w:footnoteRef/>
      </w:r>
      <w:r>
        <w:t xml:space="preserve"> </w:t>
      </w:r>
      <w:r w:rsidRPr="0090082D" w:rsidR="009C2EE7">
        <w:rPr>
          <w:bCs/>
          <w:i/>
          <w:iCs/>
          <w:sz w:val="20"/>
        </w:rPr>
        <w:t>Id</w:t>
      </w:r>
      <w:r w:rsidRPr="0090082D" w:rsidR="009C2EE7">
        <w:rPr>
          <w:bCs/>
          <w:sz w:val="20"/>
        </w:rPr>
        <w:t xml:space="preserve">. at 4. </w:t>
      </w:r>
    </w:p>
  </w:footnote>
  <w:footnote w:id="46">
    <w:p w:rsidR="002A7866" w:rsidP="002A7866">
      <w:pPr>
        <w:pStyle w:val="FootnoteText"/>
      </w:pPr>
      <w:r>
        <w:rPr>
          <w:rStyle w:val="FootnoteReference"/>
        </w:rPr>
        <w:footnoteRef/>
      </w:r>
      <w:r>
        <w:t xml:space="preserve"> </w:t>
      </w:r>
      <w:r w:rsidRPr="007A6DA2" w:rsidR="009C2EE7">
        <w:rPr>
          <w:i/>
          <w:iCs/>
          <w:sz w:val="20"/>
        </w:rPr>
        <w:t>Id</w:t>
      </w:r>
      <w:r w:rsidRPr="007A6DA2" w:rsidR="009C2EE7">
        <w:rPr>
          <w:sz w:val="20"/>
        </w:rPr>
        <w:t>.</w:t>
      </w:r>
    </w:p>
  </w:footnote>
  <w:footnote w:id="47">
    <w:p w:rsidR="00EE6669">
      <w:pPr>
        <w:pStyle w:val="FootnoteText"/>
      </w:pPr>
      <w:r>
        <w:rPr>
          <w:rStyle w:val="FootnoteReference"/>
        </w:rPr>
        <w:footnoteRef/>
      </w:r>
      <w:r>
        <w:t xml:space="preserve"> </w:t>
      </w:r>
      <w:r w:rsidRPr="007A6DA2" w:rsidR="009C2EE7">
        <w:rPr>
          <w:i/>
          <w:iCs/>
          <w:sz w:val="20"/>
        </w:rPr>
        <w:t>Id</w:t>
      </w:r>
      <w:r w:rsidRPr="007A6DA2" w:rsidR="009C2EE7">
        <w:rPr>
          <w:sz w:val="20"/>
        </w:rPr>
        <w:t>.</w:t>
      </w:r>
      <w:r w:rsidR="009C2EE7">
        <w:rPr>
          <w:sz w:val="20"/>
        </w:rPr>
        <w:t xml:space="preserve"> at 30-31. </w:t>
      </w:r>
    </w:p>
  </w:footnote>
  <w:footnote w:id="48">
    <w:p w:rsidR="00395FC7" w:rsidP="00CB7798">
      <w:pPr>
        <w:autoSpaceDE w:val="0"/>
        <w:autoSpaceDN w:val="0"/>
        <w:adjustRightInd w:val="0"/>
        <w:spacing w:after="120"/>
      </w:pPr>
      <w:r>
        <w:rPr>
          <w:rStyle w:val="FootnoteReference"/>
        </w:rPr>
        <w:footnoteRef/>
      </w:r>
      <w:r>
        <w:t xml:space="preserve"> </w:t>
      </w:r>
      <w:r>
        <w:rPr>
          <w:rFonts w:ascii="TimesNewRomanPS-ItalicMT" w:hAnsi="TimesNewRomanPS-ItalicMT" w:cs="TimesNewRomanPS-ItalicMT"/>
          <w:i/>
          <w:iCs/>
          <w:sz w:val="20"/>
        </w:rPr>
        <w:t>See Rules and Policies on Foreign Participation in the U.S. Telecommunications Market; Market Entry and Regulation of Foreign- Affiliated Entities</w:t>
      </w:r>
      <w:r>
        <w:rPr>
          <w:rFonts w:ascii="TimesNewRomanPSMT" w:hAnsi="TimesNewRomanPSMT" w:cs="TimesNewRomanPSMT"/>
          <w:sz w:val="20"/>
        </w:rPr>
        <w:t>, IB Docket Nos. 97-142 and 95-22, Report and Order and Order on Reconsideration, 12 FCC Rcd 23891, 23918-19, paras. 61-63 (1997) (</w:t>
      </w:r>
      <w:r>
        <w:rPr>
          <w:rFonts w:ascii="TimesNewRomanPS-ItalicMT" w:hAnsi="TimesNewRomanPS-ItalicMT" w:cs="TimesNewRomanPS-ItalicMT"/>
          <w:i/>
          <w:iCs/>
          <w:sz w:val="20"/>
        </w:rPr>
        <w:t>Foreign Participation Order</w:t>
      </w:r>
      <w:r>
        <w:rPr>
          <w:rFonts w:ascii="TimesNewRomanPSMT" w:hAnsi="TimesNewRomanPSMT" w:cs="TimesNewRomanPSMT"/>
          <w:sz w:val="20"/>
        </w:rPr>
        <w:t>), recon. denied, 15 FCC Rcd 18158 (2000).</w:t>
      </w:r>
    </w:p>
  </w:footnote>
  <w:footnote w:id="49">
    <w:p w:rsidR="003E01F5">
      <w:pPr>
        <w:pStyle w:val="FootnoteText"/>
      </w:pPr>
      <w:r>
        <w:rPr>
          <w:rStyle w:val="FootnoteReference"/>
        </w:rPr>
        <w:footnoteRef/>
      </w:r>
      <w:r>
        <w:t xml:space="preserve"> </w:t>
      </w:r>
      <w:r w:rsidRPr="00993C29">
        <w:rPr>
          <w:sz w:val="20"/>
        </w:rPr>
        <w:t>In response to the COVID-19 pandemic, the C</w:t>
      </w:r>
      <w:r>
        <w:rPr>
          <w:sz w:val="20"/>
        </w:rPr>
        <w:t>ommission</w:t>
      </w:r>
      <w:r w:rsidRPr="00993C29">
        <w:rPr>
          <w:sz w:val="20"/>
        </w:rPr>
        <w:t xml:space="preserve">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993C29">
        <w:rPr>
          <w:i/>
          <w:iCs/>
          <w:sz w:val="20"/>
        </w:rPr>
        <w:t xml:space="preserve">  FCC Announces Closure of FCC Headquarters Open Window and Change in Hand-Delivery Filing</w:t>
      </w:r>
      <w:r w:rsidRPr="00993C29">
        <w:rPr>
          <w:sz w:val="20"/>
        </w:rPr>
        <w:t>,</w:t>
      </w:r>
      <w:r w:rsidRPr="00993C29">
        <w:rPr>
          <w:i/>
          <w:iCs/>
          <w:sz w:val="20"/>
        </w:rPr>
        <w:t xml:space="preserve"> </w:t>
      </w:r>
      <w:r w:rsidRPr="00993C29">
        <w:rPr>
          <w:sz w:val="20"/>
        </w:rPr>
        <w:t>Public Notice, DA 20-304 (rel. Mar. 19, 2020)</w:t>
      </w:r>
      <w:r>
        <w:rPr>
          <w:sz w:val="20"/>
        </w:rPr>
        <w:t xml:space="preserve">, </w:t>
      </w:r>
      <w:hyperlink r:id="rId5" w:tgtFrame="_blank" w:history="1">
        <w:r w:rsidRPr="00993C29">
          <w:rPr>
            <w:color w:val="0563C1"/>
            <w:sz w:val="20"/>
            <w:u w:val="single"/>
            <w:bdr w:val="none" w:sz="0" w:space="0" w:color="auto" w:frame="1"/>
            <w:shd w:val="clear" w:color="auto" w:fill="FFFFFF"/>
          </w:rPr>
          <w:t>https://www.fcc.gov/document/fcc-closes-headquarters-open-window-and-changes-hand-delivery-policy</w:t>
        </w:r>
      </w:hyperlink>
      <w:r w:rsidRPr="00993C29">
        <w:rPr>
          <w:sz w:val="20"/>
        </w:rPr>
        <w:t>.</w:t>
      </w:r>
      <w:r w:rsidRPr="00993C29">
        <w:rPr>
          <w:color w:val="201F1E"/>
          <w:sz w:val="20"/>
          <w:shd w:val="clear" w:color="auto" w:fill="FFFFFF"/>
        </w:rPr>
        <w:t> </w:t>
      </w:r>
    </w:p>
  </w:footnote>
  <w:footnote w:id="50">
    <w:p w:rsidR="0009631D" w:rsidRPr="00634060" w:rsidP="0009631D">
      <w:pPr>
        <w:pStyle w:val="FootnoteText"/>
        <w:tabs>
          <w:tab w:val="clear" w:pos="720"/>
        </w:tabs>
        <w:spacing w:after="120"/>
        <w:rPr>
          <w:sz w:val="20"/>
        </w:rPr>
      </w:pPr>
      <w:r w:rsidRPr="00021F2D">
        <w:rPr>
          <w:rStyle w:val="FootnoteReference"/>
          <w:sz w:val="20"/>
        </w:rPr>
        <w:footnoteRef/>
      </w:r>
      <w:r w:rsidRPr="00021F2D">
        <w:rPr>
          <w:sz w:val="20"/>
        </w:rPr>
        <w:t xml:space="preserve"> </w:t>
      </w:r>
      <w:r w:rsidRPr="00634060">
        <w:rPr>
          <w:i/>
          <w:sz w:val="20"/>
        </w:rPr>
        <w:t>See</w:t>
      </w:r>
      <w:r w:rsidRPr="00634060">
        <w:rPr>
          <w:sz w:val="20"/>
        </w:rPr>
        <w:t xml:space="preserve"> 47 CFR § 1.45(c).</w:t>
      </w:r>
    </w:p>
  </w:footnote>
  <w:footnote w:id="51">
    <w:p w:rsidR="0038750A" w:rsidRPr="00021F2D" w:rsidP="0038750A">
      <w:pPr>
        <w:pStyle w:val="FootnoteText"/>
        <w:rPr>
          <w:color w:val="000000"/>
          <w:sz w:val="20"/>
        </w:rPr>
      </w:pPr>
      <w:r w:rsidRPr="00021F2D">
        <w:rPr>
          <w:rStyle w:val="FootnoteReference"/>
          <w:color w:val="000000"/>
          <w:sz w:val="20"/>
        </w:rPr>
        <w:footnoteRef/>
      </w:r>
      <w:r w:rsidRPr="00021F2D">
        <w:rPr>
          <w:color w:val="000000"/>
          <w:sz w:val="20"/>
        </w:rPr>
        <w:t xml:space="preserve">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803F8F">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5816"/>
    <w:rsid w:val="00012497"/>
    <w:rsid w:val="00013A06"/>
    <w:rsid w:val="0001669F"/>
    <w:rsid w:val="00020127"/>
    <w:rsid w:val="000209A3"/>
    <w:rsid w:val="00021394"/>
    <w:rsid w:val="00021A67"/>
    <w:rsid w:val="00021B30"/>
    <w:rsid w:val="00021F2D"/>
    <w:rsid w:val="000224EB"/>
    <w:rsid w:val="0002343B"/>
    <w:rsid w:val="00024F0E"/>
    <w:rsid w:val="000264C0"/>
    <w:rsid w:val="00026C02"/>
    <w:rsid w:val="00026C34"/>
    <w:rsid w:val="000275C0"/>
    <w:rsid w:val="000308A3"/>
    <w:rsid w:val="000333F5"/>
    <w:rsid w:val="00036507"/>
    <w:rsid w:val="00036643"/>
    <w:rsid w:val="00037B27"/>
    <w:rsid w:val="00037BA9"/>
    <w:rsid w:val="00040A35"/>
    <w:rsid w:val="00051153"/>
    <w:rsid w:val="00053AD6"/>
    <w:rsid w:val="00053C09"/>
    <w:rsid w:val="00056AB1"/>
    <w:rsid w:val="00056FBA"/>
    <w:rsid w:val="00057039"/>
    <w:rsid w:val="0006083A"/>
    <w:rsid w:val="000611A3"/>
    <w:rsid w:val="000622EA"/>
    <w:rsid w:val="000677AC"/>
    <w:rsid w:val="000708B5"/>
    <w:rsid w:val="0007105B"/>
    <w:rsid w:val="000715CE"/>
    <w:rsid w:val="00073655"/>
    <w:rsid w:val="00076872"/>
    <w:rsid w:val="00081F10"/>
    <w:rsid w:val="00082D70"/>
    <w:rsid w:val="000842DE"/>
    <w:rsid w:val="000843F4"/>
    <w:rsid w:val="00084FD2"/>
    <w:rsid w:val="000861FE"/>
    <w:rsid w:val="00086832"/>
    <w:rsid w:val="00095BE7"/>
    <w:rsid w:val="0009631D"/>
    <w:rsid w:val="00097A4D"/>
    <w:rsid w:val="000A1DF2"/>
    <w:rsid w:val="000A4F2D"/>
    <w:rsid w:val="000A6052"/>
    <w:rsid w:val="000B2409"/>
    <w:rsid w:val="000B3477"/>
    <w:rsid w:val="000B6195"/>
    <w:rsid w:val="000B69CA"/>
    <w:rsid w:val="000B7414"/>
    <w:rsid w:val="000C1734"/>
    <w:rsid w:val="000C29BF"/>
    <w:rsid w:val="000C3D4B"/>
    <w:rsid w:val="000C46BB"/>
    <w:rsid w:val="000D2F53"/>
    <w:rsid w:val="000D3FE6"/>
    <w:rsid w:val="000D557C"/>
    <w:rsid w:val="000D6E61"/>
    <w:rsid w:val="000E1FC6"/>
    <w:rsid w:val="000E240A"/>
    <w:rsid w:val="000E2D3F"/>
    <w:rsid w:val="000E30CA"/>
    <w:rsid w:val="000E501F"/>
    <w:rsid w:val="000E759F"/>
    <w:rsid w:val="000F0702"/>
    <w:rsid w:val="000F115A"/>
    <w:rsid w:val="000F2AF0"/>
    <w:rsid w:val="000F3C60"/>
    <w:rsid w:val="000F5F9A"/>
    <w:rsid w:val="000F7081"/>
    <w:rsid w:val="0010170C"/>
    <w:rsid w:val="00101E17"/>
    <w:rsid w:val="00102730"/>
    <w:rsid w:val="00102CB4"/>
    <w:rsid w:val="00105690"/>
    <w:rsid w:val="001065C4"/>
    <w:rsid w:val="00111189"/>
    <w:rsid w:val="0011491B"/>
    <w:rsid w:val="00115112"/>
    <w:rsid w:val="0011579B"/>
    <w:rsid w:val="00115EE2"/>
    <w:rsid w:val="00116230"/>
    <w:rsid w:val="0011660A"/>
    <w:rsid w:val="001212A4"/>
    <w:rsid w:val="00122C77"/>
    <w:rsid w:val="00130651"/>
    <w:rsid w:val="0013287A"/>
    <w:rsid w:val="00133246"/>
    <w:rsid w:val="001335D1"/>
    <w:rsid w:val="00134A22"/>
    <w:rsid w:val="00135256"/>
    <w:rsid w:val="001369D6"/>
    <w:rsid w:val="001404EC"/>
    <w:rsid w:val="001419AD"/>
    <w:rsid w:val="001447C3"/>
    <w:rsid w:val="001449D9"/>
    <w:rsid w:val="00145A03"/>
    <w:rsid w:val="00146426"/>
    <w:rsid w:val="00150DBD"/>
    <w:rsid w:val="00154422"/>
    <w:rsid w:val="00154BAA"/>
    <w:rsid w:val="0015641C"/>
    <w:rsid w:val="001607FA"/>
    <w:rsid w:val="00161D32"/>
    <w:rsid w:val="00163DCE"/>
    <w:rsid w:val="00164A7E"/>
    <w:rsid w:val="00164E4E"/>
    <w:rsid w:val="001654DB"/>
    <w:rsid w:val="00165A52"/>
    <w:rsid w:val="00167162"/>
    <w:rsid w:val="001746B2"/>
    <w:rsid w:val="00174884"/>
    <w:rsid w:val="001758DB"/>
    <w:rsid w:val="00175AF0"/>
    <w:rsid w:val="00176EAA"/>
    <w:rsid w:val="00177E40"/>
    <w:rsid w:val="00182A74"/>
    <w:rsid w:val="00183BC5"/>
    <w:rsid w:val="00183F96"/>
    <w:rsid w:val="0018574B"/>
    <w:rsid w:val="001865D6"/>
    <w:rsid w:val="00190AD1"/>
    <w:rsid w:val="001913A2"/>
    <w:rsid w:val="00192917"/>
    <w:rsid w:val="0019308E"/>
    <w:rsid w:val="0019360E"/>
    <w:rsid w:val="00194FDE"/>
    <w:rsid w:val="001960AD"/>
    <w:rsid w:val="00197863"/>
    <w:rsid w:val="00197FA0"/>
    <w:rsid w:val="001A1149"/>
    <w:rsid w:val="001A6E16"/>
    <w:rsid w:val="001B01AF"/>
    <w:rsid w:val="001B158F"/>
    <w:rsid w:val="001B2861"/>
    <w:rsid w:val="001B2C2C"/>
    <w:rsid w:val="001B2FFE"/>
    <w:rsid w:val="001B49A1"/>
    <w:rsid w:val="001B4E69"/>
    <w:rsid w:val="001B5A65"/>
    <w:rsid w:val="001B5E2E"/>
    <w:rsid w:val="001C0061"/>
    <w:rsid w:val="001C0940"/>
    <w:rsid w:val="001C1487"/>
    <w:rsid w:val="001C249F"/>
    <w:rsid w:val="001C2BAE"/>
    <w:rsid w:val="001D1752"/>
    <w:rsid w:val="001D3ABA"/>
    <w:rsid w:val="001D3C4A"/>
    <w:rsid w:val="001D5BAB"/>
    <w:rsid w:val="001D69DC"/>
    <w:rsid w:val="001D7171"/>
    <w:rsid w:val="001E0F42"/>
    <w:rsid w:val="001E16DF"/>
    <w:rsid w:val="001E1A49"/>
    <w:rsid w:val="001E215D"/>
    <w:rsid w:val="001E284D"/>
    <w:rsid w:val="001E28FC"/>
    <w:rsid w:val="001E4A3D"/>
    <w:rsid w:val="001E4A8D"/>
    <w:rsid w:val="001E50F1"/>
    <w:rsid w:val="001E580B"/>
    <w:rsid w:val="001E681F"/>
    <w:rsid w:val="001E744A"/>
    <w:rsid w:val="001F09B5"/>
    <w:rsid w:val="001F15D2"/>
    <w:rsid w:val="001F19CD"/>
    <w:rsid w:val="001F51CD"/>
    <w:rsid w:val="001F537A"/>
    <w:rsid w:val="001F5484"/>
    <w:rsid w:val="001F5B20"/>
    <w:rsid w:val="001F5C8B"/>
    <w:rsid w:val="001F5E78"/>
    <w:rsid w:val="001F6CEE"/>
    <w:rsid w:val="002009DB"/>
    <w:rsid w:val="00200A46"/>
    <w:rsid w:val="00200E0F"/>
    <w:rsid w:val="00201ECC"/>
    <w:rsid w:val="00202DA1"/>
    <w:rsid w:val="0020389B"/>
    <w:rsid w:val="00203A5A"/>
    <w:rsid w:val="0020514B"/>
    <w:rsid w:val="0020607D"/>
    <w:rsid w:val="00210870"/>
    <w:rsid w:val="00216AE5"/>
    <w:rsid w:val="002172C3"/>
    <w:rsid w:val="00221347"/>
    <w:rsid w:val="00222727"/>
    <w:rsid w:val="00223F4B"/>
    <w:rsid w:val="0022419C"/>
    <w:rsid w:val="00224FC0"/>
    <w:rsid w:val="0022541B"/>
    <w:rsid w:val="0022664E"/>
    <w:rsid w:val="00226F1C"/>
    <w:rsid w:val="00227167"/>
    <w:rsid w:val="002301AE"/>
    <w:rsid w:val="0023198E"/>
    <w:rsid w:val="002336DD"/>
    <w:rsid w:val="00234975"/>
    <w:rsid w:val="002356B5"/>
    <w:rsid w:val="00235E4B"/>
    <w:rsid w:val="002360A2"/>
    <w:rsid w:val="00236297"/>
    <w:rsid w:val="00237D89"/>
    <w:rsid w:val="00237D99"/>
    <w:rsid w:val="00241771"/>
    <w:rsid w:val="00241BE5"/>
    <w:rsid w:val="00242548"/>
    <w:rsid w:val="00245051"/>
    <w:rsid w:val="00247EAA"/>
    <w:rsid w:val="00251418"/>
    <w:rsid w:val="00252622"/>
    <w:rsid w:val="00252919"/>
    <w:rsid w:val="0025377B"/>
    <w:rsid w:val="00253E81"/>
    <w:rsid w:val="00254ECA"/>
    <w:rsid w:val="0025577D"/>
    <w:rsid w:val="00255C77"/>
    <w:rsid w:val="00256B4A"/>
    <w:rsid w:val="00256D3A"/>
    <w:rsid w:val="0025703D"/>
    <w:rsid w:val="002570DE"/>
    <w:rsid w:val="00260145"/>
    <w:rsid w:val="00260BC5"/>
    <w:rsid w:val="0026393B"/>
    <w:rsid w:val="00263DF9"/>
    <w:rsid w:val="00266E23"/>
    <w:rsid w:val="002676E5"/>
    <w:rsid w:val="002710BB"/>
    <w:rsid w:val="00271386"/>
    <w:rsid w:val="0027347D"/>
    <w:rsid w:val="0027368D"/>
    <w:rsid w:val="00277EC1"/>
    <w:rsid w:val="00277F1D"/>
    <w:rsid w:val="00280A19"/>
    <w:rsid w:val="00280D2A"/>
    <w:rsid w:val="00281C4B"/>
    <w:rsid w:val="00283F81"/>
    <w:rsid w:val="0028593D"/>
    <w:rsid w:val="0029186A"/>
    <w:rsid w:val="00293F50"/>
    <w:rsid w:val="002A013D"/>
    <w:rsid w:val="002A0611"/>
    <w:rsid w:val="002A0F17"/>
    <w:rsid w:val="002A1A50"/>
    <w:rsid w:val="002A1F0F"/>
    <w:rsid w:val="002A3D28"/>
    <w:rsid w:val="002A7866"/>
    <w:rsid w:val="002B1056"/>
    <w:rsid w:val="002B1162"/>
    <w:rsid w:val="002B211F"/>
    <w:rsid w:val="002B2167"/>
    <w:rsid w:val="002B416D"/>
    <w:rsid w:val="002B452F"/>
    <w:rsid w:val="002C0134"/>
    <w:rsid w:val="002C2632"/>
    <w:rsid w:val="002C54ED"/>
    <w:rsid w:val="002D10D9"/>
    <w:rsid w:val="002D3698"/>
    <w:rsid w:val="002D3C2C"/>
    <w:rsid w:val="002D3ED6"/>
    <w:rsid w:val="002D5526"/>
    <w:rsid w:val="002D58E3"/>
    <w:rsid w:val="002D5FEB"/>
    <w:rsid w:val="002D70E5"/>
    <w:rsid w:val="002D7D01"/>
    <w:rsid w:val="002E0A3E"/>
    <w:rsid w:val="002E148F"/>
    <w:rsid w:val="002E26BC"/>
    <w:rsid w:val="002E2BBB"/>
    <w:rsid w:val="002E4F92"/>
    <w:rsid w:val="002E64F4"/>
    <w:rsid w:val="002F000F"/>
    <w:rsid w:val="002F1F0C"/>
    <w:rsid w:val="002F21C4"/>
    <w:rsid w:val="002F5A0D"/>
    <w:rsid w:val="002F68BA"/>
    <w:rsid w:val="002F78B8"/>
    <w:rsid w:val="002F7BC6"/>
    <w:rsid w:val="00300258"/>
    <w:rsid w:val="00305ACD"/>
    <w:rsid w:val="00305B61"/>
    <w:rsid w:val="0030659D"/>
    <w:rsid w:val="00312F6E"/>
    <w:rsid w:val="00313AB4"/>
    <w:rsid w:val="0031507C"/>
    <w:rsid w:val="00316C41"/>
    <w:rsid w:val="0031751E"/>
    <w:rsid w:val="00321466"/>
    <w:rsid w:val="00321FD3"/>
    <w:rsid w:val="003220C0"/>
    <w:rsid w:val="00323193"/>
    <w:rsid w:val="00326C90"/>
    <w:rsid w:val="00326DAB"/>
    <w:rsid w:val="00330590"/>
    <w:rsid w:val="00330DD0"/>
    <w:rsid w:val="00332E1C"/>
    <w:rsid w:val="00333584"/>
    <w:rsid w:val="003348A2"/>
    <w:rsid w:val="00340A1E"/>
    <w:rsid w:val="00340CBB"/>
    <w:rsid w:val="0034414A"/>
    <w:rsid w:val="003452E3"/>
    <w:rsid w:val="003517EE"/>
    <w:rsid w:val="003519F3"/>
    <w:rsid w:val="00352202"/>
    <w:rsid w:val="00354BAE"/>
    <w:rsid w:val="00356A33"/>
    <w:rsid w:val="00356A8E"/>
    <w:rsid w:val="003602FC"/>
    <w:rsid w:val="00361CAE"/>
    <w:rsid w:val="00362735"/>
    <w:rsid w:val="003713FE"/>
    <w:rsid w:val="0037536F"/>
    <w:rsid w:val="00375720"/>
    <w:rsid w:val="00377A13"/>
    <w:rsid w:val="00377CC1"/>
    <w:rsid w:val="003805A7"/>
    <w:rsid w:val="00381027"/>
    <w:rsid w:val="003814E9"/>
    <w:rsid w:val="00382418"/>
    <w:rsid w:val="003826DE"/>
    <w:rsid w:val="0038594C"/>
    <w:rsid w:val="00385A21"/>
    <w:rsid w:val="00385D22"/>
    <w:rsid w:val="0038750A"/>
    <w:rsid w:val="00387CB5"/>
    <w:rsid w:val="00391A26"/>
    <w:rsid w:val="00392341"/>
    <w:rsid w:val="00394713"/>
    <w:rsid w:val="003958CC"/>
    <w:rsid w:val="00395FC7"/>
    <w:rsid w:val="003A0623"/>
    <w:rsid w:val="003A15D6"/>
    <w:rsid w:val="003A3C2F"/>
    <w:rsid w:val="003A3CB8"/>
    <w:rsid w:val="003A46D8"/>
    <w:rsid w:val="003B1C8B"/>
    <w:rsid w:val="003B2B00"/>
    <w:rsid w:val="003B3940"/>
    <w:rsid w:val="003B6314"/>
    <w:rsid w:val="003C5921"/>
    <w:rsid w:val="003C6D63"/>
    <w:rsid w:val="003C6F1A"/>
    <w:rsid w:val="003C7A78"/>
    <w:rsid w:val="003D0F5F"/>
    <w:rsid w:val="003D2CC0"/>
    <w:rsid w:val="003D3B9E"/>
    <w:rsid w:val="003D3C17"/>
    <w:rsid w:val="003D4F8F"/>
    <w:rsid w:val="003D53C3"/>
    <w:rsid w:val="003E01F5"/>
    <w:rsid w:val="003E227E"/>
    <w:rsid w:val="003E2D28"/>
    <w:rsid w:val="003E3315"/>
    <w:rsid w:val="003E79E3"/>
    <w:rsid w:val="003E7B36"/>
    <w:rsid w:val="003E7CC1"/>
    <w:rsid w:val="003F2F90"/>
    <w:rsid w:val="003F4124"/>
    <w:rsid w:val="003F5DCE"/>
    <w:rsid w:val="003F61C4"/>
    <w:rsid w:val="003F6A60"/>
    <w:rsid w:val="004021E8"/>
    <w:rsid w:val="004037B1"/>
    <w:rsid w:val="00405233"/>
    <w:rsid w:val="004119ED"/>
    <w:rsid w:val="00414987"/>
    <w:rsid w:val="004168DC"/>
    <w:rsid w:val="00420703"/>
    <w:rsid w:val="004220A8"/>
    <w:rsid w:val="00422753"/>
    <w:rsid w:val="004241B2"/>
    <w:rsid w:val="00424253"/>
    <w:rsid w:val="00424CB4"/>
    <w:rsid w:val="00425372"/>
    <w:rsid w:val="004304D6"/>
    <w:rsid w:val="00430743"/>
    <w:rsid w:val="00434E94"/>
    <w:rsid w:val="004368B8"/>
    <w:rsid w:val="00440A8E"/>
    <w:rsid w:val="00441BD3"/>
    <w:rsid w:val="004423CD"/>
    <w:rsid w:val="00443169"/>
    <w:rsid w:val="0044545B"/>
    <w:rsid w:val="004473B9"/>
    <w:rsid w:val="00447D27"/>
    <w:rsid w:val="00450B2A"/>
    <w:rsid w:val="00450CD3"/>
    <w:rsid w:val="0045340B"/>
    <w:rsid w:val="00453AC3"/>
    <w:rsid w:val="004558C2"/>
    <w:rsid w:val="00457DA2"/>
    <w:rsid w:val="004603BC"/>
    <w:rsid w:val="00461586"/>
    <w:rsid w:val="00461B7F"/>
    <w:rsid w:val="00464E15"/>
    <w:rsid w:val="0046789B"/>
    <w:rsid w:val="004712EA"/>
    <w:rsid w:val="00471B9E"/>
    <w:rsid w:val="00472B94"/>
    <w:rsid w:val="00473B72"/>
    <w:rsid w:val="0047434F"/>
    <w:rsid w:val="004767C7"/>
    <w:rsid w:val="004775F2"/>
    <w:rsid w:val="004778DF"/>
    <w:rsid w:val="00482FAA"/>
    <w:rsid w:val="00483A42"/>
    <w:rsid w:val="004846D4"/>
    <w:rsid w:val="00485B96"/>
    <w:rsid w:val="00486DC0"/>
    <w:rsid w:val="00487146"/>
    <w:rsid w:val="00493B38"/>
    <w:rsid w:val="0049507C"/>
    <w:rsid w:val="0049525D"/>
    <w:rsid w:val="00495966"/>
    <w:rsid w:val="00497857"/>
    <w:rsid w:val="00497B29"/>
    <w:rsid w:val="00497C2F"/>
    <w:rsid w:val="004A230E"/>
    <w:rsid w:val="004A348A"/>
    <w:rsid w:val="004A421B"/>
    <w:rsid w:val="004A46C9"/>
    <w:rsid w:val="004A60DC"/>
    <w:rsid w:val="004A6FFC"/>
    <w:rsid w:val="004A71CD"/>
    <w:rsid w:val="004A7791"/>
    <w:rsid w:val="004B04FC"/>
    <w:rsid w:val="004B18DF"/>
    <w:rsid w:val="004B3411"/>
    <w:rsid w:val="004B495B"/>
    <w:rsid w:val="004B6805"/>
    <w:rsid w:val="004B6973"/>
    <w:rsid w:val="004B7234"/>
    <w:rsid w:val="004C2281"/>
    <w:rsid w:val="004C23C5"/>
    <w:rsid w:val="004C27EA"/>
    <w:rsid w:val="004C324C"/>
    <w:rsid w:val="004C4740"/>
    <w:rsid w:val="004C49EF"/>
    <w:rsid w:val="004C58D8"/>
    <w:rsid w:val="004C5B2A"/>
    <w:rsid w:val="004C6285"/>
    <w:rsid w:val="004D082B"/>
    <w:rsid w:val="004D15D9"/>
    <w:rsid w:val="004D24DB"/>
    <w:rsid w:val="004D2F8C"/>
    <w:rsid w:val="004D31A3"/>
    <w:rsid w:val="004D36B9"/>
    <w:rsid w:val="004D54D0"/>
    <w:rsid w:val="004D6FE2"/>
    <w:rsid w:val="004E0968"/>
    <w:rsid w:val="004E18FD"/>
    <w:rsid w:val="004E1A72"/>
    <w:rsid w:val="004E1CCD"/>
    <w:rsid w:val="004E26B5"/>
    <w:rsid w:val="004E31B7"/>
    <w:rsid w:val="004E408D"/>
    <w:rsid w:val="004E4528"/>
    <w:rsid w:val="004E6121"/>
    <w:rsid w:val="004E75F5"/>
    <w:rsid w:val="004F0FDB"/>
    <w:rsid w:val="004F1086"/>
    <w:rsid w:val="004F3282"/>
    <w:rsid w:val="004F58C2"/>
    <w:rsid w:val="004F5B57"/>
    <w:rsid w:val="004F6517"/>
    <w:rsid w:val="004F7AE5"/>
    <w:rsid w:val="00502046"/>
    <w:rsid w:val="005048D7"/>
    <w:rsid w:val="005074E3"/>
    <w:rsid w:val="005100C2"/>
    <w:rsid w:val="005129CA"/>
    <w:rsid w:val="005133AF"/>
    <w:rsid w:val="005136DE"/>
    <w:rsid w:val="00517BB2"/>
    <w:rsid w:val="00520052"/>
    <w:rsid w:val="005200CE"/>
    <w:rsid w:val="00520C5B"/>
    <w:rsid w:val="00520CFE"/>
    <w:rsid w:val="00522012"/>
    <w:rsid w:val="00522391"/>
    <w:rsid w:val="00522514"/>
    <w:rsid w:val="00524684"/>
    <w:rsid w:val="005259AC"/>
    <w:rsid w:val="00526992"/>
    <w:rsid w:val="0053003F"/>
    <w:rsid w:val="0053077B"/>
    <w:rsid w:val="00535182"/>
    <w:rsid w:val="00537623"/>
    <w:rsid w:val="00540FCC"/>
    <w:rsid w:val="00541B00"/>
    <w:rsid w:val="00542823"/>
    <w:rsid w:val="0054376A"/>
    <w:rsid w:val="00546673"/>
    <w:rsid w:val="00547226"/>
    <w:rsid w:val="005508E4"/>
    <w:rsid w:val="00552C0F"/>
    <w:rsid w:val="00557A85"/>
    <w:rsid w:val="00560A35"/>
    <w:rsid w:val="00560DCA"/>
    <w:rsid w:val="00561463"/>
    <w:rsid w:val="00562113"/>
    <w:rsid w:val="005625D0"/>
    <w:rsid w:val="0056613C"/>
    <w:rsid w:val="00572EC5"/>
    <w:rsid w:val="005746C3"/>
    <w:rsid w:val="00575833"/>
    <w:rsid w:val="005758EC"/>
    <w:rsid w:val="00575E6B"/>
    <w:rsid w:val="005766C0"/>
    <w:rsid w:val="00577D34"/>
    <w:rsid w:val="00580295"/>
    <w:rsid w:val="005829A6"/>
    <w:rsid w:val="00583816"/>
    <w:rsid w:val="00583917"/>
    <w:rsid w:val="00585942"/>
    <w:rsid w:val="00590D65"/>
    <w:rsid w:val="0059120F"/>
    <w:rsid w:val="005912AC"/>
    <w:rsid w:val="005917A5"/>
    <w:rsid w:val="005937B2"/>
    <w:rsid w:val="005939BE"/>
    <w:rsid w:val="00593AB4"/>
    <w:rsid w:val="00595EBD"/>
    <w:rsid w:val="00596619"/>
    <w:rsid w:val="00597364"/>
    <w:rsid w:val="005A033D"/>
    <w:rsid w:val="005A2709"/>
    <w:rsid w:val="005A31E8"/>
    <w:rsid w:val="005A4408"/>
    <w:rsid w:val="005A4409"/>
    <w:rsid w:val="005A4B31"/>
    <w:rsid w:val="005A5CBB"/>
    <w:rsid w:val="005B1A37"/>
    <w:rsid w:val="005B25B5"/>
    <w:rsid w:val="005B4DEE"/>
    <w:rsid w:val="005B4EFF"/>
    <w:rsid w:val="005B54DE"/>
    <w:rsid w:val="005B643A"/>
    <w:rsid w:val="005C1C87"/>
    <w:rsid w:val="005C34C3"/>
    <w:rsid w:val="005C788B"/>
    <w:rsid w:val="005C7EDA"/>
    <w:rsid w:val="005D2008"/>
    <w:rsid w:val="005D252C"/>
    <w:rsid w:val="005D2C95"/>
    <w:rsid w:val="005D7414"/>
    <w:rsid w:val="005D7703"/>
    <w:rsid w:val="005D7F45"/>
    <w:rsid w:val="005E7171"/>
    <w:rsid w:val="005F0E8E"/>
    <w:rsid w:val="005F24AE"/>
    <w:rsid w:val="005F4D6E"/>
    <w:rsid w:val="005F7B41"/>
    <w:rsid w:val="00601632"/>
    <w:rsid w:val="00601FA1"/>
    <w:rsid w:val="0060549D"/>
    <w:rsid w:val="00610717"/>
    <w:rsid w:val="00612FE9"/>
    <w:rsid w:val="006152CF"/>
    <w:rsid w:val="0061693A"/>
    <w:rsid w:val="00616BD0"/>
    <w:rsid w:val="00617C86"/>
    <w:rsid w:val="00617F02"/>
    <w:rsid w:val="00620E39"/>
    <w:rsid w:val="006234DC"/>
    <w:rsid w:val="00623BD0"/>
    <w:rsid w:val="006253CB"/>
    <w:rsid w:val="00630BE2"/>
    <w:rsid w:val="00630CA6"/>
    <w:rsid w:val="006324B2"/>
    <w:rsid w:val="006326A3"/>
    <w:rsid w:val="0063296E"/>
    <w:rsid w:val="00633A19"/>
    <w:rsid w:val="00634060"/>
    <w:rsid w:val="006350EA"/>
    <w:rsid w:val="00635535"/>
    <w:rsid w:val="0063615D"/>
    <w:rsid w:val="0063708B"/>
    <w:rsid w:val="00641810"/>
    <w:rsid w:val="00641EEB"/>
    <w:rsid w:val="00645068"/>
    <w:rsid w:val="00645266"/>
    <w:rsid w:val="00645953"/>
    <w:rsid w:val="006461DD"/>
    <w:rsid w:val="00650851"/>
    <w:rsid w:val="00651297"/>
    <w:rsid w:val="006519AD"/>
    <w:rsid w:val="00652D35"/>
    <w:rsid w:val="00652F94"/>
    <w:rsid w:val="006538F7"/>
    <w:rsid w:val="00654BEB"/>
    <w:rsid w:val="006553B1"/>
    <w:rsid w:val="00655921"/>
    <w:rsid w:val="00661062"/>
    <w:rsid w:val="006611D8"/>
    <w:rsid w:val="00663E39"/>
    <w:rsid w:val="00664968"/>
    <w:rsid w:val="00665665"/>
    <w:rsid w:val="00666103"/>
    <w:rsid w:val="00670401"/>
    <w:rsid w:val="00673C29"/>
    <w:rsid w:val="00675C9D"/>
    <w:rsid w:val="00680A52"/>
    <w:rsid w:val="006819A7"/>
    <w:rsid w:val="00681E42"/>
    <w:rsid w:val="00681F18"/>
    <w:rsid w:val="0068351B"/>
    <w:rsid w:val="00685022"/>
    <w:rsid w:val="00685356"/>
    <w:rsid w:val="00687ED6"/>
    <w:rsid w:val="006917C9"/>
    <w:rsid w:val="00691FC2"/>
    <w:rsid w:val="006933D5"/>
    <w:rsid w:val="006938BC"/>
    <w:rsid w:val="006950EB"/>
    <w:rsid w:val="006956A7"/>
    <w:rsid w:val="00695882"/>
    <w:rsid w:val="006973F1"/>
    <w:rsid w:val="006A09B4"/>
    <w:rsid w:val="006A0E18"/>
    <w:rsid w:val="006A145A"/>
    <w:rsid w:val="006A1CCC"/>
    <w:rsid w:val="006A29F2"/>
    <w:rsid w:val="006A3841"/>
    <w:rsid w:val="006A53C9"/>
    <w:rsid w:val="006A733C"/>
    <w:rsid w:val="006B0162"/>
    <w:rsid w:val="006B188E"/>
    <w:rsid w:val="006B29E2"/>
    <w:rsid w:val="006B3AA7"/>
    <w:rsid w:val="006B3B24"/>
    <w:rsid w:val="006B4201"/>
    <w:rsid w:val="006B6D13"/>
    <w:rsid w:val="006B7F06"/>
    <w:rsid w:val="006C0744"/>
    <w:rsid w:val="006C1429"/>
    <w:rsid w:val="006C6048"/>
    <w:rsid w:val="006C6B0C"/>
    <w:rsid w:val="006D0715"/>
    <w:rsid w:val="006D1338"/>
    <w:rsid w:val="006D5004"/>
    <w:rsid w:val="006D71A2"/>
    <w:rsid w:val="006E00BC"/>
    <w:rsid w:val="006E356E"/>
    <w:rsid w:val="006E619A"/>
    <w:rsid w:val="006F0BE7"/>
    <w:rsid w:val="006F3BD7"/>
    <w:rsid w:val="007004CE"/>
    <w:rsid w:val="00702A0D"/>
    <w:rsid w:val="00703003"/>
    <w:rsid w:val="0070469B"/>
    <w:rsid w:val="00704B2F"/>
    <w:rsid w:val="007057D1"/>
    <w:rsid w:val="00705FEC"/>
    <w:rsid w:val="00707813"/>
    <w:rsid w:val="00715142"/>
    <w:rsid w:val="0071571A"/>
    <w:rsid w:val="00720946"/>
    <w:rsid w:val="00720CBA"/>
    <w:rsid w:val="007214CD"/>
    <w:rsid w:val="007218EB"/>
    <w:rsid w:val="00723050"/>
    <w:rsid w:val="00726940"/>
    <w:rsid w:val="00726A77"/>
    <w:rsid w:val="00726CCB"/>
    <w:rsid w:val="00730608"/>
    <w:rsid w:val="00731F2F"/>
    <w:rsid w:val="00731FA9"/>
    <w:rsid w:val="00732C04"/>
    <w:rsid w:val="00734092"/>
    <w:rsid w:val="00735492"/>
    <w:rsid w:val="00737632"/>
    <w:rsid w:val="00737F35"/>
    <w:rsid w:val="00740EE1"/>
    <w:rsid w:val="007427E8"/>
    <w:rsid w:val="00742E26"/>
    <w:rsid w:val="00743073"/>
    <w:rsid w:val="00743456"/>
    <w:rsid w:val="00747341"/>
    <w:rsid w:val="00750F08"/>
    <w:rsid w:val="007558D7"/>
    <w:rsid w:val="00760761"/>
    <w:rsid w:val="007644F1"/>
    <w:rsid w:val="00764D78"/>
    <w:rsid w:val="007656E1"/>
    <w:rsid w:val="00767EC4"/>
    <w:rsid w:val="007700DB"/>
    <w:rsid w:val="00771CF0"/>
    <w:rsid w:val="0077609C"/>
    <w:rsid w:val="00777358"/>
    <w:rsid w:val="00782554"/>
    <w:rsid w:val="00784137"/>
    <w:rsid w:val="00784D63"/>
    <w:rsid w:val="0078725E"/>
    <w:rsid w:val="00790945"/>
    <w:rsid w:val="00790991"/>
    <w:rsid w:val="00791C6D"/>
    <w:rsid w:val="00792642"/>
    <w:rsid w:val="00794A8B"/>
    <w:rsid w:val="00797C32"/>
    <w:rsid w:val="00797EF4"/>
    <w:rsid w:val="007A6B8F"/>
    <w:rsid w:val="007A6DA2"/>
    <w:rsid w:val="007A70E4"/>
    <w:rsid w:val="007A73AE"/>
    <w:rsid w:val="007A7806"/>
    <w:rsid w:val="007B07E8"/>
    <w:rsid w:val="007B1B03"/>
    <w:rsid w:val="007B32EB"/>
    <w:rsid w:val="007B6F44"/>
    <w:rsid w:val="007B72DB"/>
    <w:rsid w:val="007C1BBF"/>
    <w:rsid w:val="007C3463"/>
    <w:rsid w:val="007C50D7"/>
    <w:rsid w:val="007C5EDA"/>
    <w:rsid w:val="007C7DB9"/>
    <w:rsid w:val="007D352B"/>
    <w:rsid w:val="007D3E3E"/>
    <w:rsid w:val="007D5384"/>
    <w:rsid w:val="007D6CFA"/>
    <w:rsid w:val="007D7495"/>
    <w:rsid w:val="007D75A7"/>
    <w:rsid w:val="007E1866"/>
    <w:rsid w:val="007E6405"/>
    <w:rsid w:val="007E67FE"/>
    <w:rsid w:val="007E79F3"/>
    <w:rsid w:val="007F43F2"/>
    <w:rsid w:val="007F47DD"/>
    <w:rsid w:val="007F5383"/>
    <w:rsid w:val="007F69B5"/>
    <w:rsid w:val="007F74E3"/>
    <w:rsid w:val="00802B98"/>
    <w:rsid w:val="00803F8F"/>
    <w:rsid w:val="008045DD"/>
    <w:rsid w:val="00806A59"/>
    <w:rsid w:val="008074D3"/>
    <w:rsid w:val="00810359"/>
    <w:rsid w:val="008138F2"/>
    <w:rsid w:val="0081425C"/>
    <w:rsid w:val="0081705A"/>
    <w:rsid w:val="00820BAE"/>
    <w:rsid w:val="00827549"/>
    <w:rsid w:val="00830116"/>
    <w:rsid w:val="00830D81"/>
    <w:rsid w:val="00831A74"/>
    <w:rsid w:val="00831C83"/>
    <w:rsid w:val="008356D9"/>
    <w:rsid w:val="0083593B"/>
    <w:rsid w:val="00837255"/>
    <w:rsid w:val="00840107"/>
    <w:rsid w:val="00840583"/>
    <w:rsid w:val="00840AD0"/>
    <w:rsid w:val="00840E97"/>
    <w:rsid w:val="00841587"/>
    <w:rsid w:val="00841CEB"/>
    <w:rsid w:val="00844BF2"/>
    <w:rsid w:val="00844C0C"/>
    <w:rsid w:val="0084513E"/>
    <w:rsid w:val="00845964"/>
    <w:rsid w:val="008473F0"/>
    <w:rsid w:val="008500ED"/>
    <w:rsid w:val="0085065C"/>
    <w:rsid w:val="008546EB"/>
    <w:rsid w:val="008557B2"/>
    <w:rsid w:val="00855945"/>
    <w:rsid w:val="008602F7"/>
    <w:rsid w:val="0086071E"/>
    <w:rsid w:val="00863B9D"/>
    <w:rsid w:val="0086589F"/>
    <w:rsid w:val="00866DA2"/>
    <w:rsid w:val="008700D8"/>
    <w:rsid w:val="00870D0F"/>
    <w:rsid w:val="008763BF"/>
    <w:rsid w:val="00880448"/>
    <w:rsid w:val="00881112"/>
    <w:rsid w:val="00885EF8"/>
    <w:rsid w:val="00885F4A"/>
    <w:rsid w:val="00890122"/>
    <w:rsid w:val="008939D9"/>
    <w:rsid w:val="0089522B"/>
    <w:rsid w:val="00897029"/>
    <w:rsid w:val="008A1D00"/>
    <w:rsid w:val="008A1E75"/>
    <w:rsid w:val="008A53FB"/>
    <w:rsid w:val="008A753C"/>
    <w:rsid w:val="008B16AA"/>
    <w:rsid w:val="008B3949"/>
    <w:rsid w:val="008C3DEE"/>
    <w:rsid w:val="008C49B6"/>
    <w:rsid w:val="008C77CA"/>
    <w:rsid w:val="008D0A8D"/>
    <w:rsid w:val="008D0ACA"/>
    <w:rsid w:val="008D3514"/>
    <w:rsid w:val="008D584B"/>
    <w:rsid w:val="008D5AD8"/>
    <w:rsid w:val="008D7191"/>
    <w:rsid w:val="008D7345"/>
    <w:rsid w:val="008D7E11"/>
    <w:rsid w:val="008E012F"/>
    <w:rsid w:val="008E28E2"/>
    <w:rsid w:val="008E35F7"/>
    <w:rsid w:val="008E4710"/>
    <w:rsid w:val="008E546D"/>
    <w:rsid w:val="008E581F"/>
    <w:rsid w:val="008E6637"/>
    <w:rsid w:val="008F000C"/>
    <w:rsid w:val="008F0A6A"/>
    <w:rsid w:val="008F7528"/>
    <w:rsid w:val="008F7A5F"/>
    <w:rsid w:val="0090082D"/>
    <w:rsid w:val="00904094"/>
    <w:rsid w:val="00905E88"/>
    <w:rsid w:val="009106FA"/>
    <w:rsid w:val="00911EC0"/>
    <w:rsid w:val="00915AE3"/>
    <w:rsid w:val="009160E4"/>
    <w:rsid w:val="00917CD9"/>
    <w:rsid w:val="009226D0"/>
    <w:rsid w:val="00922FDB"/>
    <w:rsid w:val="009252EB"/>
    <w:rsid w:val="0092572F"/>
    <w:rsid w:val="00931101"/>
    <w:rsid w:val="0093176B"/>
    <w:rsid w:val="00932FAF"/>
    <w:rsid w:val="00936752"/>
    <w:rsid w:val="00936E8E"/>
    <w:rsid w:val="00940695"/>
    <w:rsid w:val="00940AAE"/>
    <w:rsid w:val="00943E51"/>
    <w:rsid w:val="00944B3A"/>
    <w:rsid w:val="00950931"/>
    <w:rsid w:val="00951C57"/>
    <w:rsid w:val="00951E8A"/>
    <w:rsid w:val="00953B0E"/>
    <w:rsid w:val="0095530B"/>
    <w:rsid w:val="0095557C"/>
    <w:rsid w:val="00956FCF"/>
    <w:rsid w:val="00957A08"/>
    <w:rsid w:val="00960AE0"/>
    <w:rsid w:val="00960CA4"/>
    <w:rsid w:val="009615A4"/>
    <w:rsid w:val="009628CB"/>
    <w:rsid w:val="0096507D"/>
    <w:rsid w:val="00966A46"/>
    <w:rsid w:val="00970500"/>
    <w:rsid w:val="00976497"/>
    <w:rsid w:val="009800DD"/>
    <w:rsid w:val="0098019A"/>
    <w:rsid w:val="00982B20"/>
    <w:rsid w:val="009831F8"/>
    <w:rsid w:val="009838CF"/>
    <w:rsid w:val="00991DB0"/>
    <w:rsid w:val="0099315B"/>
    <w:rsid w:val="00993C29"/>
    <w:rsid w:val="00994130"/>
    <w:rsid w:val="00994B23"/>
    <w:rsid w:val="00994FA7"/>
    <w:rsid w:val="00995BC1"/>
    <w:rsid w:val="00996184"/>
    <w:rsid w:val="00996844"/>
    <w:rsid w:val="009A1144"/>
    <w:rsid w:val="009A4D61"/>
    <w:rsid w:val="009A5295"/>
    <w:rsid w:val="009A532C"/>
    <w:rsid w:val="009A654F"/>
    <w:rsid w:val="009A75BB"/>
    <w:rsid w:val="009B0256"/>
    <w:rsid w:val="009B162C"/>
    <w:rsid w:val="009B310E"/>
    <w:rsid w:val="009B5143"/>
    <w:rsid w:val="009B56B1"/>
    <w:rsid w:val="009B64FB"/>
    <w:rsid w:val="009B6A22"/>
    <w:rsid w:val="009B705D"/>
    <w:rsid w:val="009C0F9D"/>
    <w:rsid w:val="009C172E"/>
    <w:rsid w:val="009C243B"/>
    <w:rsid w:val="009C2EE7"/>
    <w:rsid w:val="009C3364"/>
    <w:rsid w:val="009C6AFA"/>
    <w:rsid w:val="009D0445"/>
    <w:rsid w:val="009D0DB9"/>
    <w:rsid w:val="009D229F"/>
    <w:rsid w:val="009D24EA"/>
    <w:rsid w:val="009D4AAA"/>
    <w:rsid w:val="009E18FC"/>
    <w:rsid w:val="009E3322"/>
    <w:rsid w:val="009E360F"/>
    <w:rsid w:val="009E70A5"/>
    <w:rsid w:val="009F0D74"/>
    <w:rsid w:val="009F1CF9"/>
    <w:rsid w:val="009F1D82"/>
    <w:rsid w:val="009F3EBD"/>
    <w:rsid w:val="00A01EF0"/>
    <w:rsid w:val="00A02F23"/>
    <w:rsid w:val="00A05155"/>
    <w:rsid w:val="00A068C5"/>
    <w:rsid w:val="00A07085"/>
    <w:rsid w:val="00A121C3"/>
    <w:rsid w:val="00A136D0"/>
    <w:rsid w:val="00A13FA0"/>
    <w:rsid w:val="00A1492F"/>
    <w:rsid w:val="00A2001F"/>
    <w:rsid w:val="00A233DD"/>
    <w:rsid w:val="00A23947"/>
    <w:rsid w:val="00A25827"/>
    <w:rsid w:val="00A26B04"/>
    <w:rsid w:val="00A27542"/>
    <w:rsid w:val="00A27BF4"/>
    <w:rsid w:val="00A27DE7"/>
    <w:rsid w:val="00A321C5"/>
    <w:rsid w:val="00A33A19"/>
    <w:rsid w:val="00A3606F"/>
    <w:rsid w:val="00A36EAE"/>
    <w:rsid w:val="00A37DBC"/>
    <w:rsid w:val="00A416EE"/>
    <w:rsid w:val="00A41F59"/>
    <w:rsid w:val="00A42459"/>
    <w:rsid w:val="00A43B16"/>
    <w:rsid w:val="00A447BC"/>
    <w:rsid w:val="00A47334"/>
    <w:rsid w:val="00A519A7"/>
    <w:rsid w:val="00A55737"/>
    <w:rsid w:val="00A56C55"/>
    <w:rsid w:val="00A60588"/>
    <w:rsid w:val="00A6163F"/>
    <w:rsid w:val="00A65835"/>
    <w:rsid w:val="00A66469"/>
    <w:rsid w:val="00A66F66"/>
    <w:rsid w:val="00A67047"/>
    <w:rsid w:val="00A6784F"/>
    <w:rsid w:val="00A67A2C"/>
    <w:rsid w:val="00A71A74"/>
    <w:rsid w:val="00A71EE1"/>
    <w:rsid w:val="00A736C6"/>
    <w:rsid w:val="00A77513"/>
    <w:rsid w:val="00A80CC8"/>
    <w:rsid w:val="00A81900"/>
    <w:rsid w:val="00A84571"/>
    <w:rsid w:val="00A86F9C"/>
    <w:rsid w:val="00A87DB7"/>
    <w:rsid w:val="00A91022"/>
    <w:rsid w:val="00A91D5A"/>
    <w:rsid w:val="00A95AC8"/>
    <w:rsid w:val="00A95CC6"/>
    <w:rsid w:val="00A96247"/>
    <w:rsid w:val="00A96512"/>
    <w:rsid w:val="00A972B7"/>
    <w:rsid w:val="00AA0722"/>
    <w:rsid w:val="00AA2B1D"/>
    <w:rsid w:val="00AA5716"/>
    <w:rsid w:val="00AA7D57"/>
    <w:rsid w:val="00AB1083"/>
    <w:rsid w:val="00AB33F9"/>
    <w:rsid w:val="00AB530F"/>
    <w:rsid w:val="00AC28AC"/>
    <w:rsid w:val="00AC3097"/>
    <w:rsid w:val="00AC34AD"/>
    <w:rsid w:val="00AC6748"/>
    <w:rsid w:val="00AD1D5E"/>
    <w:rsid w:val="00AD2D8A"/>
    <w:rsid w:val="00AD2E80"/>
    <w:rsid w:val="00AD3CAE"/>
    <w:rsid w:val="00AE0645"/>
    <w:rsid w:val="00AE108B"/>
    <w:rsid w:val="00AE20E0"/>
    <w:rsid w:val="00AE5CC6"/>
    <w:rsid w:val="00AF0165"/>
    <w:rsid w:val="00AF1348"/>
    <w:rsid w:val="00AF7384"/>
    <w:rsid w:val="00AF7E1C"/>
    <w:rsid w:val="00AF7E3A"/>
    <w:rsid w:val="00B040DD"/>
    <w:rsid w:val="00B07D18"/>
    <w:rsid w:val="00B1249D"/>
    <w:rsid w:val="00B12756"/>
    <w:rsid w:val="00B13303"/>
    <w:rsid w:val="00B1379E"/>
    <w:rsid w:val="00B13C3F"/>
    <w:rsid w:val="00B15470"/>
    <w:rsid w:val="00B21EC8"/>
    <w:rsid w:val="00B2279C"/>
    <w:rsid w:val="00B25760"/>
    <w:rsid w:val="00B25BBF"/>
    <w:rsid w:val="00B32D4F"/>
    <w:rsid w:val="00B33B65"/>
    <w:rsid w:val="00B34C39"/>
    <w:rsid w:val="00B36718"/>
    <w:rsid w:val="00B36F96"/>
    <w:rsid w:val="00B41621"/>
    <w:rsid w:val="00B4425B"/>
    <w:rsid w:val="00B444DB"/>
    <w:rsid w:val="00B44D3E"/>
    <w:rsid w:val="00B4521B"/>
    <w:rsid w:val="00B45C1E"/>
    <w:rsid w:val="00B47F9F"/>
    <w:rsid w:val="00B50071"/>
    <w:rsid w:val="00B509D6"/>
    <w:rsid w:val="00B575BF"/>
    <w:rsid w:val="00B60358"/>
    <w:rsid w:val="00B60DB5"/>
    <w:rsid w:val="00B624C7"/>
    <w:rsid w:val="00B62EDB"/>
    <w:rsid w:val="00B65A6B"/>
    <w:rsid w:val="00B66683"/>
    <w:rsid w:val="00B66F80"/>
    <w:rsid w:val="00B7011A"/>
    <w:rsid w:val="00B702A7"/>
    <w:rsid w:val="00B73F61"/>
    <w:rsid w:val="00B75B3E"/>
    <w:rsid w:val="00B75F31"/>
    <w:rsid w:val="00B77B57"/>
    <w:rsid w:val="00B84416"/>
    <w:rsid w:val="00B8723A"/>
    <w:rsid w:val="00B873C2"/>
    <w:rsid w:val="00B874EC"/>
    <w:rsid w:val="00B87B12"/>
    <w:rsid w:val="00B87B24"/>
    <w:rsid w:val="00B87B96"/>
    <w:rsid w:val="00B90846"/>
    <w:rsid w:val="00B92614"/>
    <w:rsid w:val="00B93990"/>
    <w:rsid w:val="00BA06A9"/>
    <w:rsid w:val="00BA0BB1"/>
    <w:rsid w:val="00BA2B1A"/>
    <w:rsid w:val="00BA4F2C"/>
    <w:rsid w:val="00BB0FE6"/>
    <w:rsid w:val="00BB2151"/>
    <w:rsid w:val="00BB5C18"/>
    <w:rsid w:val="00BB71D6"/>
    <w:rsid w:val="00BC1A8F"/>
    <w:rsid w:val="00BC5A76"/>
    <w:rsid w:val="00BC77B9"/>
    <w:rsid w:val="00BD1557"/>
    <w:rsid w:val="00BD19F7"/>
    <w:rsid w:val="00BD1E3C"/>
    <w:rsid w:val="00BD366E"/>
    <w:rsid w:val="00BE1003"/>
    <w:rsid w:val="00BE11F6"/>
    <w:rsid w:val="00BE1693"/>
    <w:rsid w:val="00BE5548"/>
    <w:rsid w:val="00BE66B7"/>
    <w:rsid w:val="00BF01BA"/>
    <w:rsid w:val="00BF176B"/>
    <w:rsid w:val="00BF1FF9"/>
    <w:rsid w:val="00BF38EB"/>
    <w:rsid w:val="00BF533B"/>
    <w:rsid w:val="00BF5C4F"/>
    <w:rsid w:val="00BF5D06"/>
    <w:rsid w:val="00C00EF3"/>
    <w:rsid w:val="00C01164"/>
    <w:rsid w:val="00C029AB"/>
    <w:rsid w:val="00C04314"/>
    <w:rsid w:val="00C04DC2"/>
    <w:rsid w:val="00C05032"/>
    <w:rsid w:val="00C052FB"/>
    <w:rsid w:val="00C062BB"/>
    <w:rsid w:val="00C06CF8"/>
    <w:rsid w:val="00C101C9"/>
    <w:rsid w:val="00C10C58"/>
    <w:rsid w:val="00C10EA2"/>
    <w:rsid w:val="00C11A2B"/>
    <w:rsid w:val="00C12571"/>
    <w:rsid w:val="00C12DD7"/>
    <w:rsid w:val="00C1330B"/>
    <w:rsid w:val="00C17514"/>
    <w:rsid w:val="00C22389"/>
    <w:rsid w:val="00C243BF"/>
    <w:rsid w:val="00C244AC"/>
    <w:rsid w:val="00C25C13"/>
    <w:rsid w:val="00C279E5"/>
    <w:rsid w:val="00C30886"/>
    <w:rsid w:val="00C30C53"/>
    <w:rsid w:val="00C32A79"/>
    <w:rsid w:val="00C33568"/>
    <w:rsid w:val="00C34A2D"/>
    <w:rsid w:val="00C34FB1"/>
    <w:rsid w:val="00C350D5"/>
    <w:rsid w:val="00C370A7"/>
    <w:rsid w:val="00C47839"/>
    <w:rsid w:val="00C5081A"/>
    <w:rsid w:val="00C5268E"/>
    <w:rsid w:val="00C52B80"/>
    <w:rsid w:val="00C54E73"/>
    <w:rsid w:val="00C5569D"/>
    <w:rsid w:val="00C55AC6"/>
    <w:rsid w:val="00C5659F"/>
    <w:rsid w:val="00C57718"/>
    <w:rsid w:val="00C60C16"/>
    <w:rsid w:val="00C62F11"/>
    <w:rsid w:val="00C65277"/>
    <w:rsid w:val="00C70090"/>
    <w:rsid w:val="00C70279"/>
    <w:rsid w:val="00C7118D"/>
    <w:rsid w:val="00C74A34"/>
    <w:rsid w:val="00C76572"/>
    <w:rsid w:val="00C765BC"/>
    <w:rsid w:val="00C86B1E"/>
    <w:rsid w:val="00C87A92"/>
    <w:rsid w:val="00C920D5"/>
    <w:rsid w:val="00C929F8"/>
    <w:rsid w:val="00C92CA8"/>
    <w:rsid w:val="00C940C6"/>
    <w:rsid w:val="00C96682"/>
    <w:rsid w:val="00CA09A3"/>
    <w:rsid w:val="00CA0D2C"/>
    <w:rsid w:val="00CA29F2"/>
    <w:rsid w:val="00CA353D"/>
    <w:rsid w:val="00CA3C71"/>
    <w:rsid w:val="00CA4566"/>
    <w:rsid w:val="00CA536F"/>
    <w:rsid w:val="00CA675B"/>
    <w:rsid w:val="00CA78D0"/>
    <w:rsid w:val="00CB14FF"/>
    <w:rsid w:val="00CB2D67"/>
    <w:rsid w:val="00CB4813"/>
    <w:rsid w:val="00CB7798"/>
    <w:rsid w:val="00CB79EF"/>
    <w:rsid w:val="00CC1EDE"/>
    <w:rsid w:val="00CC317A"/>
    <w:rsid w:val="00CC3F33"/>
    <w:rsid w:val="00CC45F8"/>
    <w:rsid w:val="00CC4A75"/>
    <w:rsid w:val="00CC5510"/>
    <w:rsid w:val="00CC5F32"/>
    <w:rsid w:val="00CC7532"/>
    <w:rsid w:val="00CD0CC1"/>
    <w:rsid w:val="00CD125D"/>
    <w:rsid w:val="00CD1B34"/>
    <w:rsid w:val="00CD5D18"/>
    <w:rsid w:val="00CD7D4C"/>
    <w:rsid w:val="00CE3E5D"/>
    <w:rsid w:val="00CE5525"/>
    <w:rsid w:val="00CE6605"/>
    <w:rsid w:val="00CF2859"/>
    <w:rsid w:val="00CF3755"/>
    <w:rsid w:val="00CF5B5F"/>
    <w:rsid w:val="00CF72F6"/>
    <w:rsid w:val="00CF77E2"/>
    <w:rsid w:val="00CF7B0C"/>
    <w:rsid w:val="00D006BE"/>
    <w:rsid w:val="00D0078B"/>
    <w:rsid w:val="00D018B5"/>
    <w:rsid w:val="00D01D2C"/>
    <w:rsid w:val="00D02977"/>
    <w:rsid w:val="00D04654"/>
    <w:rsid w:val="00D05431"/>
    <w:rsid w:val="00D058EE"/>
    <w:rsid w:val="00D05F64"/>
    <w:rsid w:val="00D06F9C"/>
    <w:rsid w:val="00D076BF"/>
    <w:rsid w:val="00D07E66"/>
    <w:rsid w:val="00D10D32"/>
    <w:rsid w:val="00D151BC"/>
    <w:rsid w:val="00D160FC"/>
    <w:rsid w:val="00D165AD"/>
    <w:rsid w:val="00D16CA0"/>
    <w:rsid w:val="00D17F76"/>
    <w:rsid w:val="00D208CD"/>
    <w:rsid w:val="00D20E28"/>
    <w:rsid w:val="00D20E80"/>
    <w:rsid w:val="00D233E8"/>
    <w:rsid w:val="00D238CC"/>
    <w:rsid w:val="00D24A77"/>
    <w:rsid w:val="00D24EA9"/>
    <w:rsid w:val="00D25AD5"/>
    <w:rsid w:val="00D338CF"/>
    <w:rsid w:val="00D36758"/>
    <w:rsid w:val="00D43780"/>
    <w:rsid w:val="00D43D8B"/>
    <w:rsid w:val="00D453DB"/>
    <w:rsid w:val="00D463D2"/>
    <w:rsid w:val="00D50981"/>
    <w:rsid w:val="00D52F09"/>
    <w:rsid w:val="00D54B38"/>
    <w:rsid w:val="00D55044"/>
    <w:rsid w:val="00D55894"/>
    <w:rsid w:val="00D57C6D"/>
    <w:rsid w:val="00D639F9"/>
    <w:rsid w:val="00D64860"/>
    <w:rsid w:val="00D70FFB"/>
    <w:rsid w:val="00D720B1"/>
    <w:rsid w:val="00D7212F"/>
    <w:rsid w:val="00D74AFE"/>
    <w:rsid w:val="00D74D23"/>
    <w:rsid w:val="00D81DE9"/>
    <w:rsid w:val="00D86BB8"/>
    <w:rsid w:val="00D86E33"/>
    <w:rsid w:val="00D900F4"/>
    <w:rsid w:val="00D92BE8"/>
    <w:rsid w:val="00D93363"/>
    <w:rsid w:val="00D9432D"/>
    <w:rsid w:val="00D9473B"/>
    <w:rsid w:val="00D95E5B"/>
    <w:rsid w:val="00DA1975"/>
    <w:rsid w:val="00DA2B23"/>
    <w:rsid w:val="00DA2CC2"/>
    <w:rsid w:val="00DA39CC"/>
    <w:rsid w:val="00DA7CB7"/>
    <w:rsid w:val="00DB0D77"/>
    <w:rsid w:val="00DB18B4"/>
    <w:rsid w:val="00DB22EE"/>
    <w:rsid w:val="00DB2792"/>
    <w:rsid w:val="00DB4A56"/>
    <w:rsid w:val="00DC7CE9"/>
    <w:rsid w:val="00DD1807"/>
    <w:rsid w:val="00DD4C2C"/>
    <w:rsid w:val="00DD56BF"/>
    <w:rsid w:val="00DD6FA8"/>
    <w:rsid w:val="00DD71CC"/>
    <w:rsid w:val="00DE0494"/>
    <w:rsid w:val="00DE163F"/>
    <w:rsid w:val="00DE2829"/>
    <w:rsid w:val="00DE3D45"/>
    <w:rsid w:val="00DE3DEA"/>
    <w:rsid w:val="00DE5CD2"/>
    <w:rsid w:val="00DF1C7A"/>
    <w:rsid w:val="00DF240A"/>
    <w:rsid w:val="00DF3B52"/>
    <w:rsid w:val="00DF671B"/>
    <w:rsid w:val="00DF6B35"/>
    <w:rsid w:val="00DF6E5E"/>
    <w:rsid w:val="00E055EC"/>
    <w:rsid w:val="00E101B3"/>
    <w:rsid w:val="00E103DA"/>
    <w:rsid w:val="00E10C91"/>
    <w:rsid w:val="00E11DD7"/>
    <w:rsid w:val="00E14145"/>
    <w:rsid w:val="00E14DA7"/>
    <w:rsid w:val="00E1712B"/>
    <w:rsid w:val="00E17818"/>
    <w:rsid w:val="00E2037B"/>
    <w:rsid w:val="00E20623"/>
    <w:rsid w:val="00E20A06"/>
    <w:rsid w:val="00E2221B"/>
    <w:rsid w:val="00E23C72"/>
    <w:rsid w:val="00E261C6"/>
    <w:rsid w:val="00E30201"/>
    <w:rsid w:val="00E308A4"/>
    <w:rsid w:val="00E317EE"/>
    <w:rsid w:val="00E330DB"/>
    <w:rsid w:val="00E33739"/>
    <w:rsid w:val="00E337DA"/>
    <w:rsid w:val="00E341E1"/>
    <w:rsid w:val="00E36283"/>
    <w:rsid w:val="00E40AFA"/>
    <w:rsid w:val="00E40B8D"/>
    <w:rsid w:val="00E42CE8"/>
    <w:rsid w:val="00E42CF5"/>
    <w:rsid w:val="00E44776"/>
    <w:rsid w:val="00E4619A"/>
    <w:rsid w:val="00E465EF"/>
    <w:rsid w:val="00E477C8"/>
    <w:rsid w:val="00E51245"/>
    <w:rsid w:val="00E52982"/>
    <w:rsid w:val="00E53381"/>
    <w:rsid w:val="00E53CB9"/>
    <w:rsid w:val="00E56DE7"/>
    <w:rsid w:val="00E651B7"/>
    <w:rsid w:val="00E651E5"/>
    <w:rsid w:val="00E66559"/>
    <w:rsid w:val="00E70C97"/>
    <w:rsid w:val="00E7288D"/>
    <w:rsid w:val="00E736BA"/>
    <w:rsid w:val="00E745AD"/>
    <w:rsid w:val="00E777A6"/>
    <w:rsid w:val="00E83D4A"/>
    <w:rsid w:val="00E84397"/>
    <w:rsid w:val="00E847FE"/>
    <w:rsid w:val="00E8515F"/>
    <w:rsid w:val="00E85877"/>
    <w:rsid w:val="00E85E4C"/>
    <w:rsid w:val="00E9648F"/>
    <w:rsid w:val="00EA3499"/>
    <w:rsid w:val="00EA65D6"/>
    <w:rsid w:val="00EB005C"/>
    <w:rsid w:val="00EB0C6F"/>
    <w:rsid w:val="00EB733B"/>
    <w:rsid w:val="00EC0E5B"/>
    <w:rsid w:val="00EC2C2B"/>
    <w:rsid w:val="00EC3E9E"/>
    <w:rsid w:val="00EC452C"/>
    <w:rsid w:val="00EC6A48"/>
    <w:rsid w:val="00ED5460"/>
    <w:rsid w:val="00ED5A5B"/>
    <w:rsid w:val="00EE3222"/>
    <w:rsid w:val="00EE6669"/>
    <w:rsid w:val="00EE708C"/>
    <w:rsid w:val="00EE75DA"/>
    <w:rsid w:val="00EF024C"/>
    <w:rsid w:val="00EF0CA0"/>
    <w:rsid w:val="00EF113F"/>
    <w:rsid w:val="00EF18E6"/>
    <w:rsid w:val="00EF41AB"/>
    <w:rsid w:val="00EF6BD4"/>
    <w:rsid w:val="00EF6D04"/>
    <w:rsid w:val="00EF7985"/>
    <w:rsid w:val="00F01D0B"/>
    <w:rsid w:val="00F026EC"/>
    <w:rsid w:val="00F04C2C"/>
    <w:rsid w:val="00F10081"/>
    <w:rsid w:val="00F11F5E"/>
    <w:rsid w:val="00F13875"/>
    <w:rsid w:val="00F162A3"/>
    <w:rsid w:val="00F1649D"/>
    <w:rsid w:val="00F165A6"/>
    <w:rsid w:val="00F2011C"/>
    <w:rsid w:val="00F20D8E"/>
    <w:rsid w:val="00F2190A"/>
    <w:rsid w:val="00F22BC1"/>
    <w:rsid w:val="00F24916"/>
    <w:rsid w:val="00F24C03"/>
    <w:rsid w:val="00F25481"/>
    <w:rsid w:val="00F27619"/>
    <w:rsid w:val="00F300FB"/>
    <w:rsid w:val="00F33002"/>
    <w:rsid w:val="00F352D6"/>
    <w:rsid w:val="00F36BBE"/>
    <w:rsid w:val="00F40FFC"/>
    <w:rsid w:val="00F4126D"/>
    <w:rsid w:val="00F41833"/>
    <w:rsid w:val="00F43706"/>
    <w:rsid w:val="00F4539D"/>
    <w:rsid w:val="00F476D1"/>
    <w:rsid w:val="00F50085"/>
    <w:rsid w:val="00F51098"/>
    <w:rsid w:val="00F51458"/>
    <w:rsid w:val="00F51715"/>
    <w:rsid w:val="00F52F66"/>
    <w:rsid w:val="00F54506"/>
    <w:rsid w:val="00F55292"/>
    <w:rsid w:val="00F55FA7"/>
    <w:rsid w:val="00F57C5C"/>
    <w:rsid w:val="00F57D5C"/>
    <w:rsid w:val="00F607F4"/>
    <w:rsid w:val="00F61A0A"/>
    <w:rsid w:val="00F6230C"/>
    <w:rsid w:val="00F625D8"/>
    <w:rsid w:val="00F63A08"/>
    <w:rsid w:val="00F63A43"/>
    <w:rsid w:val="00F64938"/>
    <w:rsid w:val="00F67A48"/>
    <w:rsid w:val="00F7611F"/>
    <w:rsid w:val="00F76E33"/>
    <w:rsid w:val="00F7738F"/>
    <w:rsid w:val="00F80039"/>
    <w:rsid w:val="00F81920"/>
    <w:rsid w:val="00F85573"/>
    <w:rsid w:val="00F93A7E"/>
    <w:rsid w:val="00F94C14"/>
    <w:rsid w:val="00FA22DF"/>
    <w:rsid w:val="00FA27FB"/>
    <w:rsid w:val="00FA2B12"/>
    <w:rsid w:val="00FA2F0C"/>
    <w:rsid w:val="00FA5C02"/>
    <w:rsid w:val="00FA5EA9"/>
    <w:rsid w:val="00FA6093"/>
    <w:rsid w:val="00FB2556"/>
    <w:rsid w:val="00FB381A"/>
    <w:rsid w:val="00FB3EDD"/>
    <w:rsid w:val="00FB51FC"/>
    <w:rsid w:val="00FB5C45"/>
    <w:rsid w:val="00FB61D8"/>
    <w:rsid w:val="00FB734E"/>
    <w:rsid w:val="00FC1D9F"/>
    <w:rsid w:val="00FC272C"/>
    <w:rsid w:val="00FC3E64"/>
    <w:rsid w:val="00FC5E62"/>
    <w:rsid w:val="00FC6449"/>
    <w:rsid w:val="00FC6731"/>
    <w:rsid w:val="00FD1AC5"/>
    <w:rsid w:val="00FD1D1F"/>
    <w:rsid w:val="00FD3EDA"/>
    <w:rsid w:val="00FD4B37"/>
    <w:rsid w:val="00FD7BB0"/>
    <w:rsid w:val="00FD7F34"/>
    <w:rsid w:val="00FE2A23"/>
    <w:rsid w:val="00FE3F67"/>
    <w:rsid w:val="00FE5724"/>
    <w:rsid w:val="00FE61D5"/>
    <w:rsid w:val="00FE66C9"/>
    <w:rsid w:val="00FF0286"/>
    <w:rsid w:val="00FF192A"/>
    <w:rsid w:val="00FF1E77"/>
    <w:rsid w:val="00FF6D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3C706DB0-35A6-4D06-B173-C194D19F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
    <w:name w:val="Unresolved Mention"/>
    <w:rsid w:val="00C052FB"/>
    <w:rPr>
      <w:color w:val="605E5C"/>
      <w:shd w:val="clear" w:color="auto" w:fill="E1DFDD"/>
    </w:rPr>
  </w:style>
  <w:style w:type="paragraph" w:styleId="Revision">
    <w:name w:val="Revision"/>
    <w:hidden/>
    <w:uiPriority w:val="99"/>
    <w:semiHidden/>
    <w:rsid w:val="0052468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linda.ray@fcc.gov" TargetMode="External" /><Relationship Id="rId11" Type="http://schemas.openxmlformats.org/officeDocument/2006/relationships/hyperlink" Target="mailto:jim.bird@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westlaw.com/Link/Document/FullText?findType=L&amp;pubNum=1000546&amp;cite=47USCAS34&amp;originatingDoc=I2978955ac90b11e6bfb79a463a4b3bc7&amp;refType=LQ&amp;originationContext=document&amp;vr=3.0&amp;rs=cblt1.0&amp;transitionType=DocumentItem&amp;contextData=(sc.Search)" TargetMode="External" /><Relationship Id="rId2" Type="http://schemas.openxmlformats.org/officeDocument/2006/relationships/hyperlink" Target="http://www.westlaw.com/Link/Document/FullText?findType=L&amp;pubNum=1000546&amp;cite=47USCAS39&amp;originatingDoc=I2978955ac90b11e6bfb79a463a4b3bc7&amp;refType=LQ&amp;originationContext=document&amp;vr=3.0&amp;rs=cblt1.0&amp;transitionType=DocumentItem&amp;contextData=(sc.Search)" TargetMode="External" /><Relationship Id="rId3" Type="http://schemas.openxmlformats.org/officeDocument/2006/relationships/hyperlink" Target="http://www.westlaw.com/Link/Document/FullText?findType=Y&amp;serNum=1954047056&amp;pubNum=0001043&amp;originatingDoc=I2978955ac90b11e6bfb79a463a4b3bc7&amp;refType=CA&amp;originationContext=document&amp;vr=3.0&amp;rs=cblt1.0&amp;transitionType=DocumentItem&amp;contextData=(sc.Search)" TargetMode="External" /><Relationship Id="rId4" Type="http://schemas.openxmlformats.org/officeDocument/2006/relationships/hyperlink" Target="http://www.westlaw.com/Link/Document/FullText?findType=L&amp;pubNum=1000546&amp;cite=3USCAS301&amp;originatingDoc=I2978955ac90b11e6bfb79a463a4b3bc7&amp;refType=LQ&amp;originationContext=document&amp;vr=3.0&amp;rs=cblt1.0&amp;transitionType=DocumentItem&amp;contextData=(sc.Search)" TargetMode="External" /><Relationship Id="rId5"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