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F1D79" w:rsidRPr="00DD369E" w:rsidP="00AF1D79" w14:paraId="3C2910A1" w14:textId="0BDCE462">
      <w:pPr>
        <w:jc w:val="right"/>
        <w:rPr>
          <w:b/>
          <w:szCs w:val="22"/>
        </w:rPr>
      </w:pPr>
      <w:bookmarkStart w:id="0" w:name="TOChere"/>
      <w:r w:rsidRPr="00DD369E">
        <w:rPr>
          <w:b/>
          <w:szCs w:val="22"/>
        </w:rPr>
        <w:t xml:space="preserve">DA </w:t>
      </w:r>
      <w:r w:rsidR="00C9427E">
        <w:rPr>
          <w:b/>
          <w:szCs w:val="22"/>
        </w:rPr>
        <w:t>20-118</w:t>
      </w:r>
    </w:p>
    <w:p w:rsidR="00AF1D79" w:rsidRPr="00DD369E" w:rsidP="00AF1D79" w14:paraId="0E6FC563" w14:textId="4D93E0CC">
      <w:pPr>
        <w:spacing w:before="60"/>
        <w:jc w:val="right"/>
        <w:rPr>
          <w:b/>
          <w:szCs w:val="22"/>
        </w:rPr>
      </w:pPr>
      <w:r w:rsidRPr="00DD369E">
        <w:rPr>
          <w:b/>
          <w:szCs w:val="22"/>
        </w:rPr>
        <w:t xml:space="preserve">Released:  </w:t>
      </w:r>
      <w:r w:rsidR="00027D68">
        <w:rPr>
          <w:b/>
          <w:szCs w:val="22"/>
        </w:rPr>
        <w:t>February</w:t>
      </w:r>
      <w:r w:rsidRPr="00DD369E">
        <w:rPr>
          <w:b/>
          <w:szCs w:val="22"/>
        </w:rPr>
        <w:t xml:space="preserve"> </w:t>
      </w:r>
      <w:r w:rsidR="00C9427E">
        <w:rPr>
          <w:b/>
          <w:szCs w:val="22"/>
        </w:rPr>
        <w:t>3</w:t>
      </w:r>
      <w:r w:rsidRPr="00DD369E">
        <w:rPr>
          <w:b/>
          <w:szCs w:val="22"/>
        </w:rPr>
        <w:t xml:space="preserve">, </w:t>
      </w:r>
      <w:r w:rsidR="007F258F">
        <w:rPr>
          <w:b/>
          <w:szCs w:val="22"/>
        </w:rPr>
        <w:t>2020</w:t>
      </w:r>
    </w:p>
    <w:p w:rsidR="00254CFB" w:rsidRPr="00254CFB" w:rsidP="00AF1D79" w14:paraId="4DFD21EF" w14:textId="77777777">
      <w:pPr>
        <w:jc w:val="right"/>
        <w:rPr>
          <w:szCs w:val="22"/>
        </w:rPr>
      </w:pPr>
    </w:p>
    <w:p w:rsidR="000317BC" w:rsidP="00AF1D79" w14:paraId="030BA2CC" w14:textId="6E735CAE">
      <w:pPr>
        <w:spacing w:after="240"/>
        <w:jc w:val="center"/>
        <w:rPr>
          <w:b/>
          <w:caps/>
          <w:szCs w:val="22"/>
        </w:rPr>
      </w:pPr>
      <w:r>
        <w:rPr>
          <w:b/>
          <w:caps/>
          <w:szCs w:val="22"/>
        </w:rPr>
        <w:t>WIRELESS TELECOMMUNICATIONS BUREAU SEEKS COMMENT ON</w:t>
      </w:r>
      <w:r w:rsidR="00D55CC3">
        <w:rPr>
          <w:b/>
          <w:caps/>
          <w:szCs w:val="22"/>
        </w:rPr>
        <w:t xml:space="preserve"> </w:t>
      </w:r>
      <w:r w:rsidR="00A2435D">
        <w:rPr>
          <w:b/>
          <w:caps/>
          <w:szCs w:val="22"/>
        </w:rPr>
        <w:t>LOWER COLORADO RIVER AUTHORITY</w:t>
      </w:r>
      <w:r w:rsidR="00D55CC3">
        <w:rPr>
          <w:b/>
          <w:caps/>
          <w:szCs w:val="22"/>
        </w:rPr>
        <w:t xml:space="preserve"> </w:t>
      </w:r>
      <w:r>
        <w:rPr>
          <w:b/>
          <w:caps/>
          <w:szCs w:val="22"/>
        </w:rPr>
        <w:t xml:space="preserve">REQUEST FOR </w:t>
      </w:r>
      <w:r w:rsidR="00A2435D">
        <w:rPr>
          <w:b/>
          <w:caps/>
          <w:szCs w:val="22"/>
        </w:rPr>
        <w:t>EXTENSION OF CONSTRUCTION DEADLINE</w:t>
      </w:r>
    </w:p>
    <w:p w:rsidR="00930ECF" w:rsidP="000317BC" w14:paraId="70711ED5" w14:textId="2A8E1683">
      <w:pPr>
        <w:jc w:val="center"/>
        <w:rPr>
          <w:b/>
          <w:szCs w:val="22"/>
        </w:rPr>
      </w:pPr>
      <w:r>
        <w:rPr>
          <w:b/>
          <w:szCs w:val="22"/>
        </w:rPr>
        <w:t>WT</w:t>
      </w:r>
      <w:r w:rsidRPr="00DD369E" w:rsidR="008E0277">
        <w:rPr>
          <w:b/>
          <w:szCs w:val="22"/>
        </w:rPr>
        <w:t xml:space="preserve"> Docket No</w:t>
      </w:r>
      <w:r>
        <w:rPr>
          <w:b/>
          <w:szCs w:val="22"/>
        </w:rPr>
        <w:t>.</w:t>
      </w:r>
      <w:r w:rsidRPr="00DD369E" w:rsidR="008E0277">
        <w:rPr>
          <w:b/>
          <w:szCs w:val="22"/>
        </w:rPr>
        <w:t xml:space="preserve"> </w:t>
      </w:r>
      <w:bookmarkEnd w:id="0"/>
      <w:r w:rsidR="00530C96">
        <w:rPr>
          <w:b/>
          <w:szCs w:val="22"/>
        </w:rPr>
        <w:t>17-200</w:t>
      </w:r>
    </w:p>
    <w:p w:rsidR="000317BC" w:rsidP="000317BC" w14:paraId="3EB8D076" w14:textId="77777777">
      <w:pPr>
        <w:rPr>
          <w:b/>
          <w:szCs w:val="22"/>
        </w:rPr>
      </w:pPr>
    </w:p>
    <w:p w:rsidR="000317BC" w:rsidRPr="00037FB3" w:rsidP="00B32518" w14:paraId="53220BD1" w14:textId="4F04E5FB">
      <w:pPr>
        <w:snapToGrid w:val="0"/>
        <w:rPr>
          <w:b/>
          <w:szCs w:val="22"/>
        </w:rPr>
      </w:pPr>
      <w:r w:rsidRPr="00037FB3">
        <w:rPr>
          <w:b/>
          <w:szCs w:val="22"/>
        </w:rPr>
        <w:t xml:space="preserve">Comment Date:  </w:t>
      </w:r>
      <w:r w:rsidR="00213538">
        <w:rPr>
          <w:b/>
          <w:szCs w:val="22"/>
        </w:rPr>
        <w:t>March 4, 2020</w:t>
      </w:r>
    </w:p>
    <w:p w:rsidR="0092152B" w:rsidP="00B32518" w14:paraId="5C2C3FAB" w14:textId="57A50086">
      <w:pPr>
        <w:snapToGrid w:val="0"/>
        <w:spacing w:after="120"/>
        <w:rPr>
          <w:b/>
          <w:szCs w:val="22"/>
        </w:rPr>
      </w:pPr>
      <w:r w:rsidRPr="00037FB3">
        <w:rPr>
          <w:b/>
          <w:szCs w:val="22"/>
        </w:rPr>
        <w:t xml:space="preserve">Reply Comment Date:  </w:t>
      </w:r>
      <w:r w:rsidR="00213538">
        <w:rPr>
          <w:b/>
          <w:szCs w:val="22"/>
        </w:rPr>
        <w:t>March 19, 2020</w:t>
      </w:r>
    </w:p>
    <w:p w:rsidR="008673C3" w:rsidP="002362B6" w14:paraId="71522914" w14:textId="6F5D9919">
      <w:pPr>
        <w:spacing w:after="120"/>
        <w:ind w:firstLine="720"/>
        <w:rPr>
          <w:szCs w:val="22"/>
        </w:rPr>
      </w:pPr>
      <w:r>
        <w:rPr>
          <w:szCs w:val="22"/>
        </w:rPr>
        <w:t xml:space="preserve">By this </w:t>
      </w:r>
      <w:r w:rsidR="009A3E40">
        <w:rPr>
          <w:szCs w:val="22"/>
        </w:rPr>
        <w:t>Public Notice</w:t>
      </w:r>
      <w:r>
        <w:rPr>
          <w:szCs w:val="22"/>
        </w:rPr>
        <w:t xml:space="preserve">, the Wireless Telecommunications Bureau (Bureau) seeks comment on </w:t>
      </w:r>
      <w:r w:rsidR="009A3E40">
        <w:rPr>
          <w:szCs w:val="22"/>
        </w:rPr>
        <w:t>a</w:t>
      </w:r>
      <w:r>
        <w:rPr>
          <w:szCs w:val="22"/>
        </w:rPr>
        <w:t xml:space="preserve"> request </w:t>
      </w:r>
      <w:r w:rsidR="009A3E40">
        <w:rPr>
          <w:szCs w:val="22"/>
        </w:rPr>
        <w:t xml:space="preserve">filed by Lower Colorado River Authority (LCRA) </w:t>
      </w:r>
      <w:r>
        <w:rPr>
          <w:szCs w:val="22"/>
        </w:rPr>
        <w:t xml:space="preserve">for </w:t>
      </w:r>
      <w:r w:rsidR="009A3E40">
        <w:rPr>
          <w:szCs w:val="22"/>
        </w:rPr>
        <w:t xml:space="preserve">an </w:t>
      </w:r>
      <w:r w:rsidR="00306E67">
        <w:rPr>
          <w:szCs w:val="22"/>
        </w:rPr>
        <w:t xml:space="preserve">extension of </w:t>
      </w:r>
      <w:r w:rsidR="009A3E40">
        <w:rPr>
          <w:szCs w:val="22"/>
        </w:rPr>
        <w:t xml:space="preserve">time on </w:t>
      </w:r>
      <w:r w:rsidR="00EE3DC2">
        <w:rPr>
          <w:szCs w:val="22"/>
        </w:rPr>
        <w:t>the</w:t>
      </w:r>
      <w:r w:rsidR="00306E67">
        <w:rPr>
          <w:szCs w:val="22"/>
        </w:rPr>
        <w:t xml:space="preserve"> construction deadline</w:t>
      </w:r>
      <w:r w:rsidR="00187095">
        <w:rPr>
          <w:szCs w:val="22"/>
        </w:rPr>
        <w:t xml:space="preserve"> for </w:t>
      </w:r>
      <w:r w:rsidR="00EE3DC2">
        <w:rPr>
          <w:szCs w:val="22"/>
        </w:rPr>
        <w:t>its 900 MHz frequencies</w:t>
      </w:r>
      <w:r w:rsidR="009A3E40">
        <w:rPr>
          <w:szCs w:val="22"/>
        </w:rPr>
        <w:t>.</w:t>
      </w:r>
      <w:r>
        <w:rPr>
          <w:rStyle w:val="FootnoteReference"/>
          <w:szCs w:val="22"/>
        </w:rPr>
        <w:footnoteReference w:id="3"/>
      </w:r>
      <w:r w:rsidR="00254CFB">
        <w:rPr>
          <w:szCs w:val="22"/>
        </w:rPr>
        <w:t xml:space="preserve">  </w:t>
      </w:r>
      <w:r w:rsidR="00306E67">
        <w:rPr>
          <w:szCs w:val="22"/>
        </w:rPr>
        <w:t xml:space="preserve">LCRA </w:t>
      </w:r>
      <w:r w:rsidR="009A3E40">
        <w:rPr>
          <w:szCs w:val="22"/>
        </w:rPr>
        <w:t>requests a waiver of sectio</w:t>
      </w:r>
      <w:r w:rsidR="0088108F">
        <w:rPr>
          <w:szCs w:val="22"/>
        </w:rPr>
        <w:t>n 90.629 of the Commission’s rules</w:t>
      </w:r>
      <w:r>
        <w:rPr>
          <w:rStyle w:val="FootnoteReference"/>
          <w:szCs w:val="22"/>
        </w:rPr>
        <w:footnoteReference w:id="4"/>
      </w:r>
      <w:r w:rsidR="0088108F">
        <w:rPr>
          <w:szCs w:val="22"/>
        </w:rPr>
        <w:t xml:space="preserve"> </w:t>
      </w:r>
      <w:r w:rsidR="002362B6">
        <w:rPr>
          <w:szCs w:val="22"/>
        </w:rPr>
        <w:t xml:space="preserve">to extend the </w:t>
      </w:r>
      <w:r w:rsidR="0088108F">
        <w:rPr>
          <w:szCs w:val="22"/>
        </w:rPr>
        <w:t xml:space="preserve">construction deadline </w:t>
      </w:r>
      <w:r w:rsidR="00E76B09">
        <w:rPr>
          <w:szCs w:val="22"/>
        </w:rPr>
        <w:t xml:space="preserve">on its licenses </w:t>
      </w:r>
      <w:r w:rsidR="002362B6">
        <w:rPr>
          <w:szCs w:val="22"/>
        </w:rPr>
        <w:t>until December 31, 2024</w:t>
      </w:r>
      <w:r w:rsidR="007B4D87">
        <w:rPr>
          <w:szCs w:val="22"/>
        </w:rPr>
        <w:t>,</w:t>
      </w:r>
      <w:r w:rsidR="00B6398A">
        <w:rPr>
          <w:szCs w:val="22"/>
        </w:rPr>
        <w:t xml:space="preserve"> in order</w:t>
      </w:r>
      <w:r w:rsidR="002362B6">
        <w:rPr>
          <w:szCs w:val="22"/>
        </w:rPr>
        <w:t xml:space="preserve"> to replace its current system, which relies on equipment </w:t>
      </w:r>
      <w:r w:rsidR="006D2AFE">
        <w:rPr>
          <w:szCs w:val="22"/>
        </w:rPr>
        <w:t>t</w:t>
      </w:r>
      <w:bookmarkStart w:id="1" w:name="_GoBack"/>
      <w:bookmarkEnd w:id="1"/>
      <w:r w:rsidR="006D2AFE">
        <w:rPr>
          <w:szCs w:val="22"/>
        </w:rPr>
        <w:t>hat has been discontinued</w:t>
      </w:r>
      <w:r w:rsidR="002362B6">
        <w:rPr>
          <w:szCs w:val="22"/>
        </w:rPr>
        <w:t>.</w:t>
      </w:r>
      <w:r>
        <w:rPr>
          <w:rStyle w:val="FootnoteReference"/>
          <w:szCs w:val="22"/>
        </w:rPr>
        <w:footnoteReference w:id="5"/>
      </w:r>
    </w:p>
    <w:p w:rsidR="00341949" w:rsidP="002350E5" w14:paraId="0934000E" w14:textId="3CF4B2A2">
      <w:pPr>
        <w:spacing w:after="120"/>
        <w:ind w:firstLine="720"/>
        <w:rPr>
          <w:szCs w:val="22"/>
        </w:rPr>
      </w:pPr>
      <w:r>
        <w:rPr>
          <w:szCs w:val="22"/>
        </w:rPr>
        <w:t>LCR</w:t>
      </w:r>
      <w:r w:rsidR="002350E5">
        <w:rPr>
          <w:szCs w:val="22"/>
        </w:rPr>
        <w:t xml:space="preserve">A </w:t>
      </w:r>
      <w:r w:rsidR="0098234E">
        <w:rPr>
          <w:szCs w:val="22"/>
        </w:rPr>
        <w:t>supplies wholesale electricity to 34 retail utilities, which</w:t>
      </w:r>
      <w:r w:rsidR="00F93769">
        <w:rPr>
          <w:szCs w:val="22"/>
        </w:rPr>
        <w:t xml:space="preserve"> </w:t>
      </w:r>
      <w:r w:rsidR="0098234E">
        <w:rPr>
          <w:szCs w:val="22"/>
        </w:rPr>
        <w:t>serve more than one million customers, and provides water to more than one million customers in the lower Colorado River basin region.</w:t>
      </w:r>
      <w:r>
        <w:rPr>
          <w:rStyle w:val="FootnoteReference"/>
          <w:szCs w:val="22"/>
        </w:rPr>
        <w:footnoteReference w:id="6"/>
      </w:r>
      <w:r w:rsidR="0098234E">
        <w:rPr>
          <w:szCs w:val="22"/>
        </w:rPr>
        <w:t xml:space="preserve">  In 2011, LCRA requested an extension to complete construction of its 900 MHz slow growth system</w:t>
      </w:r>
      <w:r>
        <w:rPr>
          <w:szCs w:val="22"/>
        </w:rPr>
        <w:t xml:space="preserve"> after the site infrastructure and terminal radio equipment that supported its original system</w:t>
      </w:r>
      <w:r w:rsidR="001735FA">
        <w:rPr>
          <w:szCs w:val="22"/>
        </w:rPr>
        <w:t xml:space="preserve"> was discontinued</w:t>
      </w:r>
      <w:r>
        <w:rPr>
          <w:szCs w:val="22"/>
        </w:rPr>
        <w:t>.</w:t>
      </w:r>
      <w:r>
        <w:rPr>
          <w:rStyle w:val="FootnoteReference"/>
          <w:szCs w:val="22"/>
        </w:rPr>
        <w:footnoteReference w:id="7"/>
      </w:r>
      <w:r>
        <w:rPr>
          <w:szCs w:val="22"/>
        </w:rPr>
        <w:t xml:space="preserve">  </w:t>
      </w:r>
      <w:r w:rsidR="00F93769">
        <w:rPr>
          <w:szCs w:val="22"/>
        </w:rPr>
        <w:t>In 2015, LCRA requested a further extension until December 31, 2019</w:t>
      </w:r>
      <w:r w:rsidR="003146FB">
        <w:rPr>
          <w:szCs w:val="22"/>
        </w:rPr>
        <w:t>,</w:t>
      </w:r>
      <w:r w:rsidR="001735FA">
        <w:rPr>
          <w:szCs w:val="22"/>
        </w:rPr>
        <w:t xml:space="preserve"> explaining</w:t>
      </w:r>
      <w:r w:rsidR="00F93769">
        <w:rPr>
          <w:szCs w:val="22"/>
        </w:rPr>
        <w:t xml:space="preserve"> </w:t>
      </w:r>
      <w:r w:rsidR="001735FA">
        <w:rPr>
          <w:szCs w:val="22"/>
        </w:rPr>
        <w:t xml:space="preserve">that </w:t>
      </w:r>
      <w:r w:rsidR="007350B9">
        <w:rPr>
          <w:szCs w:val="22"/>
        </w:rPr>
        <w:t>unforeseen issues involving</w:t>
      </w:r>
      <w:r w:rsidR="001735FA">
        <w:rPr>
          <w:szCs w:val="22"/>
        </w:rPr>
        <w:t xml:space="preserve"> incompatible equipment and interference</w:t>
      </w:r>
      <w:r w:rsidR="007350B9">
        <w:rPr>
          <w:szCs w:val="22"/>
        </w:rPr>
        <w:t xml:space="preserve"> </w:t>
      </w:r>
      <w:r w:rsidR="00F93769">
        <w:rPr>
          <w:szCs w:val="22"/>
        </w:rPr>
        <w:t>had delayed its migration of the remaining user</w:t>
      </w:r>
      <w:r w:rsidR="001735FA">
        <w:rPr>
          <w:szCs w:val="22"/>
        </w:rPr>
        <w:t>s of its original system.</w:t>
      </w:r>
      <w:r>
        <w:rPr>
          <w:rStyle w:val="FootnoteReference"/>
          <w:szCs w:val="22"/>
        </w:rPr>
        <w:footnoteReference w:id="8"/>
      </w:r>
      <w:r w:rsidR="001735FA">
        <w:rPr>
          <w:szCs w:val="22"/>
        </w:rPr>
        <w:t xml:space="preserve">  The Commission grante</w:t>
      </w:r>
      <w:r w:rsidR="004A4941">
        <w:rPr>
          <w:szCs w:val="22"/>
        </w:rPr>
        <w:t>d both requests</w:t>
      </w:r>
      <w:r w:rsidR="001735FA">
        <w:rPr>
          <w:szCs w:val="22"/>
        </w:rPr>
        <w:t xml:space="preserve"> to allow LCRA to transition to the new </w:t>
      </w:r>
      <w:r w:rsidR="001735FA">
        <w:rPr>
          <w:szCs w:val="22"/>
        </w:rPr>
        <w:t>technology and to operate both systems during the migration period.</w:t>
      </w:r>
      <w:r>
        <w:rPr>
          <w:rStyle w:val="FootnoteReference"/>
          <w:szCs w:val="22"/>
        </w:rPr>
        <w:footnoteReference w:id="9"/>
      </w:r>
    </w:p>
    <w:p w:rsidR="00E87EE4" w:rsidP="00233690" w14:paraId="28CED125" w14:textId="1EDB3317">
      <w:pPr>
        <w:spacing w:after="120"/>
        <w:ind w:firstLine="720"/>
        <w:rPr>
          <w:szCs w:val="22"/>
        </w:rPr>
      </w:pPr>
      <w:r>
        <w:rPr>
          <w:szCs w:val="22"/>
        </w:rPr>
        <w:t xml:space="preserve">In December 2019, LCRA filed a request for </w:t>
      </w:r>
      <w:r w:rsidR="00402FEE">
        <w:rPr>
          <w:szCs w:val="22"/>
        </w:rPr>
        <w:t xml:space="preserve">an </w:t>
      </w:r>
      <w:r>
        <w:rPr>
          <w:szCs w:val="22"/>
        </w:rPr>
        <w:t>extension of its construction deadline until December 31, 2024.</w:t>
      </w:r>
      <w:r>
        <w:rPr>
          <w:rStyle w:val="FootnoteReference"/>
          <w:szCs w:val="22"/>
        </w:rPr>
        <w:footnoteReference w:id="10"/>
      </w:r>
      <w:r>
        <w:rPr>
          <w:szCs w:val="22"/>
        </w:rPr>
        <w:t xml:space="preserve">  LCRA argues that an extension of time to construct is required because </w:t>
      </w:r>
      <w:r>
        <w:rPr>
          <w:szCs w:val="22"/>
        </w:rPr>
        <w:t xml:space="preserve">the </w:t>
      </w:r>
      <w:r w:rsidR="00AF6DC2">
        <w:rPr>
          <w:szCs w:val="22"/>
        </w:rPr>
        <w:t>equipment</w:t>
      </w:r>
      <w:r>
        <w:rPr>
          <w:szCs w:val="22"/>
        </w:rPr>
        <w:t xml:space="preserve"> to which it had been transitioning its new system is being discontinued and its system is at risk </w:t>
      </w:r>
      <w:r>
        <w:rPr>
          <w:szCs w:val="22"/>
        </w:rPr>
        <w:t>of</w:t>
      </w:r>
      <w:r>
        <w:rPr>
          <w:szCs w:val="22"/>
        </w:rPr>
        <w:t xml:space="preserve"> interrupted operations unless it is granted additional time to transition its operations to </w:t>
      </w:r>
      <w:r w:rsidR="00027D68">
        <w:rPr>
          <w:szCs w:val="22"/>
        </w:rPr>
        <w:t>a</w:t>
      </w:r>
      <w:r>
        <w:rPr>
          <w:szCs w:val="22"/>
        </w:rPr>
        <w:t xml:space="preserve"> replacement system.</w:t>
      </w:r>
      <w:r>
        <w:rPr>
          <w:rStyle w:val="FootnoteReference"/>
          <w:szCs w:val="22"/>
        </w:rPr>
        <w:footnoteReference w:id="11"/>
      </w:r>
      <w:r>
        <w:rPr>
          <w:szCs w:val="22"/>
        </w:rPr>
        <w:t xml:space="preserve">  LCRA explains that it </w:t>
      </w:r>
      <w:r w:rsidR="009757A0">
        <w:rPr>
          <w:szCs w:val="22"/>
        </w:rPr>
        <w:t>must migrate its existing operations to a new system before it can continue to complete construction of the remaining frequencies.</w:t>
      </w:r>
      <w:r>
        <w:rPr>
          <w:rStyle w:val="FootnoteReference"/>
          <w:szCs w:val="22"/>
        </w:rPr>
        <w:footnoteReference w:id="12"/>
      </w:r>
      <w:r>
        <w:rPr>
          <w:szCs w:val="22"/>
        </w:rPr>
        <w:t xml:space="preserve">  Generally, LCRA argues that a waiver and extension of its construction requirements would allow it to replace its 900 MHz </w:t>
      </w:r>
      <w:r w:rsidR="00027D68">
        <w:rPr>
          <w:szCs w:val="22"/>
        </w:rPr>
        <w:t>system</w:t>
      </w:r>
      <w:r>
        <w:rPr>
          <w:szCs w:val="22"/>
        </w:rPr>
        <w:t xml:space="preserve"> </w:t>
      </w:r>
      <w:r w:rsidR="00E663D6">
        <w:rPr>
          <w:szCs w:val="22"/>
        </w:rPr>
        <w:t>with</w:t>
      </w:r>
      <w:r>
        <w:rPr>
          <w:szCs w:val="22"/>
        </w:rPr>
        <w:t xml:space="preserve"> manufacturer-supported equipment and to transition to the new system without disruption </w:t>
      </w:r>
      <w:r w:rsidR="00F93CB3">
        <w:rPr>
          <w:szCs w:val="22"/>
        </w:rPr>
        <w:t>to</w:t>
      </w:r>
      <w:r>
        <w:rPr>
          <w:szCs w:val="22"/>
        </w:rPr>
        <w:t xml:space="preserve"> its utility operations and public safety users.</w:t>
      </w:r>
      <w:r>
        <w:rPr>
          <w:rStyle w:val="FootnoteReference"/>
          <w:szCs w:val="22"/>
        </w:rPr>
        <w:footnoteReference w:id="13"/>
      </w:r>
      <w:r w:rsidR="00561D89">
        <w:rPr>
          <w:szCs w:val="22"/>
        </w:rPr>
        <w:t xml:space="preserve">  LCRA </w:t>
      </w:r>
      <w:r w:rsidR="00E32EDD">
        <w:rPr>
          <w:szCs w:val="22"/>
        </w:rPr>
        <w:t xml:space="preserve">also </w:t>
      </w:r>
      <w:r w:rsidR="00561D89">
        <w:rPr>
          <w:szCs w:val="22"/>
        </w:rPr>
        <w:t xml:space="preserve">argues that grant of its extension request </w:t>
      </w:r>
      <w:r w:rsidR="00F93CB3">
        <w:rPr>
          <w:szCs w:val="22"/>
        </w:rPr>
        <w:t>would maintain the current landscape of authorized operations in the 900 MHz band.</w:t>
      </w:r>
      <w:r>
        <w:rPr>
          <w:rStyle w:val="FootnoteReference"/>
          <w:szCs w:val="22"/>
        </w:rPr>
        <w:footnoteReference w:id="14"/>
      </w:r>
    </w:p>
    <w:p w:rsidR="007D4117" w:rsidRPr="007D4117" w:rsidP="007D4117" w14:paraId="3B0E3C43" w14:textId="371D1C44">
      <w:pPr>
        <w:spacing w:after="120"/>
        <w:ind w:firstLine="720"/>
        <w:rPr>
          <w:szCs w:val="22"/>
        </w:rPr>
      </w:pPr>
      <w:r>
        <w:rPr>
          <w:szCs w:val="22"/>
        </w:rPr>
        <w:t xml:space="preserve">We seek comment on </w:t>
      </w:r>
      <w:r w:rsidR="00680E60">
        <w:rPr>
          <w:szCs w:val="22"/>
        </w:rPr>
        <w:t>this</w:t>
      </w:r>
      <w:r>
        <w:rPr>
          <w:szCs w:val="22"/>
        </w:rPr>
        <w:t xml:space="preserve"> request.</w:t>
      </w:r>
    </w:p>
    <w:p w:rsidR="000A381F" w:rsidRPr="000A381F" w:rsidP="000A381F" w14:paraId="2C2A9A00" w14:textId="77777777">
      <w:pPr>
        <w:spacing w:after="120"/>
        <w:rPr>
          <w:b/>
          <w:szCs w:val="22"/>
        </w:rPr>
      </w:pPr>
      <w:r>
        <w:rPr>
          <w:b/>
          <w:szCs w:val="22"/>
        </w:rPr>
        <w:t>Procedural Matters</w:t>
      </w:r>
    </w:p>
    <w:p w:rsidR="0092152B" w:rsidP="00254CFB" w14:paraId="7962CCA9" w14:textId="7764109A">
      <w:pPr>
        <w:tabs>
          <w:tab w:val="left" w:pos="720"/>
        </w:tabs>
        <w:spacing w:after="120"/>
        <w:ind w:firstLine="720"/>
        <w:rPr>
          <w:szCs w:val="22"/>
        </w:rPr>
      </w:pPr>
      <w:r>
        <w:rPr>
          <w:szCs w:val="22"/>
        </w:rPr>
        <w:t xml:space="preserve">The </w:t>
      </w:r>
      <w:r w:rsidR="00B9009B">
        <w:rPr>
          <w:szCs w:val="22"/>
        </w:rPr>
        <w:t>Lower Colorado River Authority</w:t>
      </w:r>
      <w:r>
        <w:rPr>
          <w:szCs w:val="22"/>
        </w:rPr>
        <w:t xml:space="preserve"> Request, comments, and reply comments can be accessed electronically via the Commission’s Electronic Comment Filing System, </w:t>
      </w:r>
      <w:hyperlink r:id="rId5" w:history="1">
        <w:r w:rsidRPr="000D4923">
          <w:rPr>
            <w:rStyle w:val="Hyperlink"/>
            <w:szCs w:val="22"/>
          </w:rPr>
          <w:t>https://www.fcc.gov/ecfs</w:t>
        </w:r>
      </w:hyperlink>
      <w:r>
        <w:rPr>
          <w:szCs w:val="22"/>
        </w:rPr>
        <w:t>.  Search for filings using the docket number shown on the first page of this Public Notice.  The full text of the Petition, comments</w:t>
      </w:r>
      <w:r w:rsidR="00204C72">
        <w:rPr>
          <w:szCs w:val="22"/>
        </w:rPr>
        <w:t>,</w:t>
      </w:r>
      <w:r>
        <w:rPr>
          <w:szCs w:val="22"/>
        </w:rPr>
        <w:t xml:space="preserve"> and reply comments will be available for inspection and duplication during regular business hours in the FCC Reference Information Center (RIC) of the Consumer and Governmental Affairs Bureau, Federal Communications Commission, 445 12th Street, S.W., Room CY-A257, Washington, DC 20554.</w:t>
      </w:r>
    </w:p>
    <w:p w:rsidR="0092152B" w:rsidP="0092152B" w14:paraId="5E52675A" w14:textId="77777777">
      <w:pPr>
        <w:spacing w:after="120"/>
        <w:rPr>
          <w:szCs w:val="22"/>
          <w:u w:val="single"/>
        </w:rPr>
      </w:pPr>
      <w:r>
        <w:rPr>
          <w:szCs w:val="22"/>
          <w:u w:val="single"/>
        </w:rPr>
        <w:t>Comment Filing Procedures</w:t>
      </w:r>
    </w:p>
    <w:p w:rsidR="006E31B8" w:rsidRPr="006E31B8" w:rsidP="0092152B" w14:paraId="1A53E08F" w14:textId="77777777">
      <w:pPr>
        <w:spacing w:after="120"/>
        <w:ind w:firstLine="720"/>
        <w:rPr>
          <w:szCs w:val="22"/>
        </w:rPr>
      </w:pPr>
      <w:r>
        <w:rPr>
          <w:szCs w:val="22"/>
        </w:rPr>
        <w:t>Interested parties may file comments and reply comments on or before the dates indicated on the first page of this document.  Comments may be filed using the Commission’s Electronic Comment Filing System (ECFS) or by filing paper copies</w:t>
      </w:r>
      <w:r>
        <w:rPr>
          <w:szCs w:val="22"/>
        </w:rPr>
        <w:t>.</w:t>
      </w:r>
      <w:r>
        <w:rPr>
          <w:rStyle w:val="FootnoteReference"/>
          <w:szCs w:val="22"/>
        </w:rPr>
        <w:footnoteReference w:id="15"/>
      </w:r>
    </w:p>
    <w:p w:rsidR="008A5275" w:rsidRPr="000D7702" w:rsidP="008A5275" w14:paraId="1EDA80E7" w14:textId="77777777">
      <w:pPr>
        <w:numPr>
          <w:ilvl w:val="0"/>
          <w:numId w:val="7"/>
        </w:numPr>
        <w:spacing w:after="120"/>
        <w:rPr>
          <w:szCs w:val="22"/>
        </w:rPr>
      </w:pPr>
      <w:r w:rsidRPr="006E31B8">
        <w:rPr>
          <w:szCs w:val="22"/>
          <w:u w:val="single"/>
        </w:rPr>
        <w:t>Electronic Filers</w:t>
      </w:r>
      <w:r w:rsidRPr="000D7702">
        <w:rPr>
          <w:szCs w:val="22"/>
        </w:rPr>
        <w:t xml:space="preserve">:  Comments may be filed electronically using the Internet by accessing ECFS:  </w:t>
      </w:r>
      <w:hyperlink r:id="rId6" w:history="1">
        <w:r w:rsidRPr="000D7702">
          <w:rPr>
            <w:color w:val="0000FF"/>
            <w:szCs w:val="22"/>
            <w:u w:val="single"/>
          </w:rPr>
          <w:t>https://www.fcc.gov/ecfs/</w:t>
        </w:r>
      </w:hyperlink>
      <w:r w:rsidR="006E31B8">
        <w:rPr>
          <w:szCs w:val="22"/>
        </w:rPr>
        <w:t xml:space="preserve">.  Filers should </w:t>
      </w:r>
      <w:r w:rsidR="006E31B8">
        <w:rPr>
          <w:szCs w:val="22"/>
        </w:rPr>
        <w:t>follow the instructions provided on the website for submitting comments.  In completing the transmittal screen, filers should include their full name, U.S. Postal Service mailing address, and the applicable docket number shown on the first page of this Public Notice.</w:t>
      </w:r>
    </w:p>
    <w:p w:rsidR="008A5275" w:rsidP="008A5275" w14:paraId="3F8FE52D" w14:textId="77777777">
      <w:pPr>
        <w:numPr>
          <w:ilvl w:val="0"/>
          <w:numId w:val="7"/>
        </w:numPr>
        <w:spacing w:after="120"/>
        <w:rPr>
          <w:szCs w:val="22"/>
        </w:rPr>
      </w:pPr>
      <w:r w:rsidRPr="006E31B8">
        <w:rPr>
          <w:szCs w:val="22"/>
          <w:u w:val="single"/>
        </w:rPr>
        <w:t>Paper Filers</w:t>
      </w:r>
      <w:r w:rsidRPr="000D7702">
        <w:rPr>
          <w:szCs w:val="22"/>
        </w:rPr>
        <w:t>:  Parties who choose to file by paper must file an original and one copy of each filing.</w:t>
      </w:r>
      <w:r w:rsidR="006E31B8">
        <w:rPr>
          <w:szCs w:val="22"/>
        </w:rPr>
        <w:t xml:space="preserve">  If more than one docket or rulemaking number appears in the caption of this proceeding, filers must submit two additional copies for each additional docket or rulemaking number.</w:t>
      </w:r>
    </w:p>
    <w:p w:rsidR="006E31B8" w:rsidRPr="000D7702" w:rsidP="006E31B8" w14:paraId="0E57BF39" w14:textId="77777777">
      <w:pPr>
        <w:spacing w:after="120"/>
        <w:ind w:left="720"/>
        <w:rPr>
          <w:szCs w:val="22"/>
        </w:rPr>
      </w:pPr>
      <w:r>
        <w:rPr>
          <w:szCs w:val="22"/>
        </w:rPr>
        <w:t>Filings in response to this Public Notice may be sent by hand or messenger delivery, by commercial overnight courier, or by first-class or overnight U.S. Postal Service mail.  All filings must be addressed to the Commission’s Secretary, Office of the Secretary, Federal Communications Commission.</w:t>
      </w:r>
    </w:p>
    <w:p w:rsidR="008A5275" w:rsidRPr="000D7702" w:rsidP="008A5275" w14:paraId="574FB94F" w14:textId="77777777">
      <w:pPr>
        <w:numPr>
          <w:ilvl w:val="1"/>
          <w:numId w:val="7"/>
        </w:numPr>
        <w:spacing w:after="120"/>
        <w:rPr>
          <w:szCs w:val="22"/>
        </w:rPr>
      </w:pPr>
      <w:r w:rsidRPr="000D7702">
        <w:rPr>
          <w:szCs w:val="22"/>
        </w:rPr>
        <w:t>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before entering the building.</w:t>
      </w:r>
    </w:p>
    <w:p w:rsidR="008A5275" w:rsidRPr="000D7702" w:rsidP="008A5275" w14:paraId="2884F01B" w14:textId="77777777">
      <w:pPr>
        <w:numPr>
          <w:ilvl w:val="1"/>
          <w:numId w:val="7"/>
        </w:numPr>
        <w:spacing w:after="120"/>
        <w:rPr>
          <w:szCs w:val="22"/>
        </w:rPr>
      </w:pPr>
      <w:r w:rsidRPr="000D7702">
        <w:rPr>
          <w:szCs w:val="22"/>
        </w:rPr>
        <w:t>Commercial overnight mail (other than U.S. Postal Service Express Mail and Priority Mail) must be sent to 9050 Junction Drive, Annapolis Junction, MD 20701.</w:t>
      </w:r>
    </w:p>
    <w:p w:rsidR="008A5275" w:rsidRPr="008A5275" w:rsidP="008A5275" w14:paraId="0EFBFE93" w14:textId="77777777">
      <w:pPr>
        <w:numPr>
          <w:ilvl w:val="1"/>
          <w:numId w:val="7"/>
        </w:numPr>
        <w:spacing w:after="120"/>
        <w:rPr>
          <w:szCs w:val="22"/>
        </w:rPr>
      </w:pPr>
      <w:r w:rsidRPr="000D7702">
        <w:rPr>
          <w:szCs w:val="22"/>
        </w:rPr>
        <w:t>U.S. Postal Service first-class, Express, and Priority mail must be addressed to 445 12th Street, SW, Washington DC  20554.</w:t>
      </w:r>
    </w:p>
    <w:p w:rsidR="00C06F6B" w:rsidP="000A381F" w14:paraId="7461FACE" w14:textId="77777777">
      <w:pPr>
        <w:spacing w:after="120"/>
        <w:ind w:firstLine="720"/>
        <w:rPr>
          <w:szCs w:val="22"/>
        </w:rPr>
      </w:pPr>
      <w:r w:rsidRPr="0092152B">
        <w:rPr>
          <w:szCs w:val="22"/>
          <w:u w:val="single"/>
        </w:rPr>
        <w:t>People with Disabilities</w:t>
      </w:r>
      <w:r w:rsidR="008A5275">
        <w:rPr>
          <w:szCs w:val="22"/>
        </w:rPr>
        <w:t>:</w:t>
      </w:r>
      <w:r w:rsidRPr="008A5275">
        <w:rPr>
          <w:szCs w:val="22"/>
        </w:rPr>
        <w:t xml:space="preserve">  </w:t>
      </w:r>
      <w:r w:rsidRPr="000D7702">
        <w:rPr>
          <w:szCs w:val="22"/>
        </w:rPr>
        <w:t>To request materials in accessible formats for people with disabilities (</w:t>
      </w:r>
      <w:r w:rsidR="000A381F">
        <w:rPr>
          <w:szCs w:val="22"/>
        </w:rPr>
        <w:t>b</w:t>
      </w:r>
      <w:r w:rsidRPr="000D7702">
        <w:rPr>
          <w:szCs w:val="22"/>
        </w:rPr>
        <w:t xml:space="preserve">raille, large print, electronic files, audio format), send an e-mail to </w:t>
      </w:r>
      <w:r>
        <w:rPr>
          <w:szCs w:val="22"/>
        </w:rPr>
        <w:t>fcc504@fcc.gov or</w:t>
      </w:r>
      <w:r w:rsidRPr="000D7702">
        <w:rPr>
          <w:szCs w:val="22"/>
        </w:rPr>
        <w:t xml:space="preserve"> call the </w:t>
      </w:r>
      <w:r w:rsidR="000A381F">
        <w:rPr>
          <w:szCs w:val="22"/>
        </w:rPr>
        <w:t>Consumer &amp; Governmental Affairs Bureau at 202-418-0530 (voice), 888-835-5322 (</w:t>
      </w:r>
      <w:r w:rsidR="000A381F">
        <w:rPr>
          <w:szCs w:val="22"/>
        </w:rPr>
        <w:t>tty</w:t>
      </w:r>
      <w:r w:rsidR="000A381F">
        <w:rPr>
          <w:szCs w:val="22"/>
        </w:rPr>
        <w:t>).</w:t>
      </w:r>
    </w:p>
    <w:p w:rsidR="000A381F" w:rsidRPr="000A381F" w:rsidP="000A381F" w14:paraId="6DDFB3E2" w14:textId="77777777">
      <w:pPr>
        <w:spacing w:after="120"/>
        <w:ind w:firstLine="720"/>
        <w:rPr>
          <w:szCs w:val="22"/>
        </w:rPr>
      </w:pPr>
      <w:r w:rsidRPr="00740BCB">
        <w:rPr>
          <w:i/>
          <w:szCs w:val="22"/>
          <w:u w:val="single"/>
        </w:rPr>
        <w:t>Ex Parte</w:t>
      </w:r>
      <w:r w:rsidRPr="0092152B">
        <w:rPr>
          <w:szCs w:val="22"/>
          <w:u w:val="single"/>
        </w:rPr>
        <w:t xml:space="preserve"> Rules</w:t>
      </w:r>
      <w:r w:rsidR="00204C72">
        <w:rPr>
          <w:szCs w:val="22"/>
          <w:u w:val="single"/>
        </w:rPr>
        <w:t>—</w:t>
      </w:r>
      <w:r w:rsidRPr="0092152B">
        <w:rPr>
          <w:szCs w:val="22"/>
          <w:u w:val="single"/>
        </w:rPr>
        <w:t>Permit-But-Disclose</w:t>
      </w:r>
      <w:r>
        <w:rPr>
          <w:szCs w:val="22"/>
        </w:rPr>
        <w:t xml:space="preserve">:  Pursuant to </w:t>
      </w:r>
      <w:r w:rsidR="00204C72">
        <w:rPr>
          <w:szCs w:val="22"/>
        </w:rPr>
        <w:t>section</w:t>
      </w:r>
      <w:r>
        <w:rPr>
          <w:szCs w:val="22"/>
        </w:rPr>
        <w:t xml:space="preserve"> 1.1200(a) of the Commission’s rules,</w:t>
      </w:r>
      <w:r>
        <w:rPr>
          <w:rStyle w:val="FootnoteReference"/>
          <w:szCs w:val="22"/>
        </w:rPr>
        <w:footnoteReference w:id="16"/>
      </w:r>
      <w:r>
        <w:rPr>
          <w:szCs w:val="22"/>
        </w:rPr>
        <w:t xml:space="preserve"> this Petition shall be treated as a “permit-but-disclose” proceeding in accordance with the Commission’s </w:t>
      </w:r>
      <w:r w:rsidRPr="000A381F">
        <w:rPr>
          <w:i/>
          <w:szCs w:val="22"/>
        </w:rPr>
        <w:t xml:space="preserve">ex parte </w:t>
      </w:r>
      <w:r>
        <w:rPr>
          <w:szCs w:val="22"/>
        </w:rPr>
        <w:t xml:space="preserve">rules.  Persons making </w:t>
      </w:r>
      <w:r>
        <w:rPr>
          <w:i/>
          <w:szCs w:val="22"/>
        </w:rPr>
        <w:t>ex parte</w:t>
      </w:r>
      <w:r>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szCs w:val="22"/>
        </w:rPr>
        <w:t>ex parte</w:t>
      </w:r>
      <w:r>
        <w:rPr>
          <w:szCs w:val="22"/>
        </w:rPr>
        <w:t xml:space="preserve"> presentations are reminded that memoranda summarizing the presentation must (1) list all persons attending or otherwise participating in the meeting at which the </w:t>
      </w:r>
      <w:r>
        <w:rPr>
          <w:i/>
          <w:szCs w:val="22"/>
        </w:rPr>
        <w:t>ex parte</w:t>
      </w:r>
      <w:r>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w:t>
      </w:r>
      <w:r w:rsidR="00204C72">
        <w:rPr>
          <w:szCs w:val="22"/>
        </w:rPr>
        <w:t>,</w:t>
      </w:r>
      <w:r>
        <w:rPr>
          <w:szCs w:val="22"/>
        </w:rPr>
        <w:t xml:space="preserve">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szCs w:val="22"/>
        </w:rPr>
        <w:t>ex parte</w:t>
      </w:r>
      <w:r>
        <w:rPr>
          <w:szCs w:val="22"/>
        </w:rPr>
        <w:t xml:space="preserve"> meetings are deemed to be written </w:t>
      </w:r>
      <w:r>
        <w:rPr>
          <w:i/>
          <w:szCs w:val="22"/>
        </w:rPr>
        <w:t>ex parte</w:t>
      </w:r>
      <w:r>
        <w:rPr>
          <w:szCs w:val="22"/>
        </w:rPr>
        <w:t xml:space="preserve"> presentations and must be filed consistent with </w:t>
      </w:r>
      <w:r w:rsidR="00204C72">
        <w:rPr>
          <w:szCs w:val="22"/>
        </w:rPr>
        <w:t>s</w:t>
      </w:r>
      <w:r>
        <w:rPr>
          <w:szCs w:val="22"/>
        </w:rPr>
        <w:t>ection 1.1206(b) of the Commission’s rules.</w:t>
      </w:r>
      <w:r>
        <w:rPr>
          <w:rStyle w:val="FootnoteReference"/>
          <w:szCs w:val="22"/>
        </w:rPr>
        <w:footnoteReference w:id="17"/>
      </w:r>
      <w:r>
        <w:rPr>
          <w:szCs w:val="22"/>
        </w:rPr>
        <w:t xml:space="preserve">  In </w:t>
      </w:r>
      <w:r>
        <w:rPr>
          <w:szCs w:val="22"/>
        </w:rPr>
        <w:t xml:space="preserve">proceedings governed by </w:t>
      </w:r>
      <w:r w:rsidR="00204C72">
        <w:rPr>
          <w:szCs w:val="22"/>
        </w:rPr>
        <w:t>s</w:t>
      </w:r>
      <w:r>
        <w:rPr>
          <w:szCs w:val="22"/>
        </w:rPr>
        <w:t>ection 1.49(f) of the Commission’s rules</w:t>
      </w:r>
      <w:r>
        <w:rPr>
          <w:rStyle w:val="FootnoteReference"/>
          <w:szCs w:val="22"/>
        </w:rPr>
        <w:footnoteReference w:id="18"/>
      </w:r>
      <w:r>
        <w:rPr>
          <w:szCs w:val="22"/>
        </w:rPr>
        <w:t xml:space="preserve"> or for which the Commission has made available a method of electronic filing, written </w:t>
      </w:r>
      <w:r>
        <w:rPr>
          <w:i/>
          <w:szCs w:val="22"/>
        </w:rPr>
        <w:t>ex parte</w:t>
      </w:r>
      <w:r>
        <w:rPr>
          <w:szCs w:val="22"/>
        </w:rPr>
        <w:t xml:space="preserve"> presentations and memoranda summarizing oral </w:t>
      </w:r>
      <w:r>
        <w:rPr>
          <w:i/>
          <w:szCs w:val="22"/>
        </w:rPr>
        <w:t xml:space="preserve">ex parte </w:t>
      </w:r>
      <w:r>
        <w:rPr>
          <w:szCs w:val="22"/>
        </w:rPr>
        <w:t xml:space="preserve">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Pr>
          <w:i/>
          <w:szCs w:val="22"/>
        </w:rPr>
        <w:t>ex parte</w:t>
      </w:r>
      <w:r>
        <w:rPr>
          <w:szCs w:val="22"/>
        </w:rPr>
        <w:t xml:space="preserve"> rules.</w:t>
      </w:r>
    </w:p>
    <w:p w:rsidR="000A381F" w:rsidRPr="00C06F6B" w:rsidP="000A381F" w14:paraId="3A04D977" w14:textId="7CF7C8D5">
      <w:pPr>
        <w:spacing w:after="120"/>
        <w:ind w:firstLine="720"/>
        <w:rPr>
          <w:szCs w:val="22"/>
        </w:rPr>
      </w:pPr>
      <w:r>
        <w:rPr>
          <w:szCs w:val="22"/>
        </w:rPr>
        <w:t xml:space="preserve">For further information, contact </w:t>
      </w:r>
      <w:r w:rsidR="00BA4165">
        <w:rPr>
          <w:szCs w:val="22"/>
        </w:rPr>
        <w:t>Jaclyn Rosen</w:t>
      </w:r>
      <w:r>
        <w:rPr>
          <w:szCs w:val="22"/>
        </w:rPr>
        <w:t>, Mobility Division, Wireless Telecommunications Bureau, at (202) 418-</w:t>
      </w:r>
      <w:r w:rsidR="00BA4165">
        <w:rPr>
          <w:szCs w:val="22"/>
        </w:rPr>
        <w:t>0154</w:t>
      </w:r>
      <w:r>
        <w:rPr>
          <w:szCs w:val="22"/>
        </w:rPr>
        <w:t xml:space="preserve"> or </w:t>
      </w:r>
      <w:hyperlink r:id="rId7" w:history="1">
        <w:r w:rsidRPr="00DE2493" w:rsidR="00BA4165">
          <w:rPr>
            <w:rStyle w:val="Hyperlink"/>
            <w:szCs w:val="22"/>
          </w:rPr>
          <w:t>jaclyn.rosen@fcc.gov</w:t>
        </w:r>
      </w:hyperlink>
      <w:r w:rsidR="008E1E1B">
        <w:rPr>
          <w:szCs w:val="22"/>
        </w:rPr>
        <w:t>.</w:t>
      </w:r>
    </w:p>
    <w:p w:rsidR="000A381F" w:rsidRPr="00C06F6B" w:rsidP="000A381F" w14:paraId="67178784" w14:textId="77777777">
      <w:pPr>
        <w:spacing w:after="120"/>
        <w:ind w:firstLine="720"/>
        <w:rPr>
          <w:szCs w:val="22"/>
        </w:rPr>
      </w:pPr>
      <w:r>
        <w:rPr>
          <w:szCs w:val="22"/>
        </w:rPr>
        <w:t>By the Chief, Mobility Division, Wireless Telecommunications Bureau.</w:t>
      </w: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C06F6B" w14:paraId="11673700" w14:textId="77777777">
    <w:pPr>
      <w:pStyle w:val="Footer"/>
      <w:framePr w:wrap="none" w:vAnchor="text" w:hAnchor="margin" w:xAlign="center" w:y="1"/>
    </w:pPr>
    <w:r>
      <w:fldChar w:fldCharType="begin"/>
    </w:r>
    <w:r>
      <w:instrText xml:space="preserve">PAGE  </w:instrText>
    </w:r>
    <w:r>
      <w:fldChar w:fldCharType="separate"/>
    </w:r>
    <w:r>
      <w:fldChar w:fldCharType="end"/>
    </w:r>
  </w:p>
  <w:p w:rsidR="006F7393" w14:paraId="3FB5B64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2978912" w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F7607B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86638" w14:paraId="4375EA38" w14:textId="77777777">
      <w:r>
        <w:separator/>
      </w:r>
    </w:p>
  </w:footnote>
  <w:footnote w:type="continuationSeparator" w:id="1">
    <w:p w:rsidR="00086638" w14:paraId="34A3B941" w14:textId="77777777">
      <w:pPr>
        <w:rPr>
          <w:sz w:val="20"/>
        </w:rPr>
      </w:pPr>
      <w:r>
        <w:rPr>
          <w:sz w:val="20"/>
        </w:rPr>
        <w:t xml:space="preserve">(Continued from previous page)  </w:t>
      </w:r>
      <w:r>
        <w:rPr>
          <w:sz w:val="20"/>
        </w:rPr>
        <w:separator/>
      </w:r>
    </w:p>
  </w:footnote>
  <w:footnote w:type="continuationNotice" w:id="2">
    <w:p w:rsidR="00086638" w:rsidP="00910F12" w14:paraId="085FA9FF" w14:textId="77777777">
      <w:pPr>
        <w:jc w:val="right"/>
        <w:rPr>
          <w:sz w:val="20"/>
        </w:rPr>
      </w:pPr>
      <w:r>
        <w:rPr>
          <w:sz w:val="20"/>
        </w:rPr>
        <w:t>(</w:t>
      </w:r>
      <w:r>
        <w:rPr>
          <w:sz w:val="20"/>
        </w:rPr>
        <w:t>continued</w:t>
      </w:r>
      <w:r>
        <w:rPr>
          <w:sz w:val="20"/>
        </w:rPr>
        <w:t>….)</w:t>
      </w:r>
    </w:p>
  </w:footnote>
  <w:footnote w:id="3">
    <w:p w:rsidR="009A3E40" w:rsidRPr="007D4117" w:rsidP="009A3E40" w14:paraId="00865288" w14:textId="6B091580">
      <w:pPr>
        <w:pStyle w:val="FootnoteText"/>
      </w:pPr>
      <w:r w:rsidRPr="007D4117">
        <w:rPr>
          <w:rStyle w:val="FootnoteReference"/>
          <w:sz w:val="20"/>
        </w:rPr>
        <w:footnoteRef/>
      </w:r>
      <w:r w:rsidRPr="007D4117">
        <w:t xml:space="preserve"> </w:t>
      </w:r>
      <w:r>
        <w:t xml:space="preserve">Lower Colorado River Authority 2019 Extended Implementation Annual Certification and Request for Extension of Construction Deadline, FRN 0005802079 (filed December 23, 2019) (2019 Waiver Request).  Specifically, LCRA requests extensions on the construction deadlines for the following Call Signs:  WPXU562, WPMI700, WPYF305, WPMZ642, WPWC615, WPQA513, WPLZ929, WPQE347, WPNS694, WPLZ933, WPLZ918, WPLZ920, WPYM794, WPRJ768, WPJX852, </w:t>
      </w:r>
      <w:r>
        <w:t>WPYH768</w:t>
      </w:r>
      <w:r>
        <w:t>.</w:t>
      </w:r>
    </w:p>
  </w:footnote>
  <w:footnote w:id="4">
    <w:p w:rsidR="00E76B09" w14:paraId="616B066B" w14:textId="53C4FF3C">
      <w:pPr>
        <w:pStyle w:val="FootnoteText"/>
      </w:pPr>
      <w:r>
        <w:rPr>
          <w:rStyle w:val="FootnoteReference"/>
        </w:rPr>
        <w:footnoteRef/>
      </w:r>
      <w:r>
        <w:t xml:space="preserve"> 47 CFR § 90.629.</w:t>
      </w:r>
    </w:p>
  </w:footnote>
  <w:footnote w:id="5">
    <w:p w:rsidR="002362B6" w:rsidRPr="009403E8" w:rsidP="002362B6" w14:paraId="4393F587" w14:textId="561075F2">
      <w:pPr>
        <w:pStyle w:val="FootnoteText"/>
      </w:pPr>
      <w:r>
        <w:rPr>
          <w:rStyle w:val="FootnoteReference"/>
        </w:rPr>
        <w:footnoteRef/>
      </w:r>
      <w:r>
        <w:t xml:space="preserve"> 2019 Waiver Request at </w:t>
      </w:r>
      <w:r w:rsidR="00455902">
        <w:t>3.</w:t>
      </w:r>
    </w:p>
  </w:footnote>
  <w:footnote w:id="6">
    <w:p w:rsidR="0098234E" w14:paraId="6EFA0019" w14:textId="77CFE4E0">
      <w:pPr>
        <w:pStyle w:val="FootnoteText"/>
      </w:pPr>
      <w:r>
        <w:rPr>
          <w:rStyle w:val="FootnoteReference"/>
        </w:rPr>
        <w:footnoteRef/>
      </w:r>
      <w:r>
        <w:t xml:space="preserve"> </w:t>
      </w:r>
      <w:r w:rsidR="00BF753D">
        <w:rPr>
          <w:i/>
          <w:iCs/>
        </w:rPr>
        <w:t>Id.</w:t>
      </w:r>
      <w:r>
        <w:t xml:space="preserve"> </w:t>
      </w:r>
      <w:r w:rsidR="00BF753D">
        <w:t xml:space="preserve">at </w:t>
      </w:r>
      <w:r>
        <w:t>1.</w:t>
      </w:r>
    </w:p>
  </w:footnote>
  <w:footnote w:id="7">
    <w:p w:rsidR="00341949" w14:paraId="4FD015AB" w14:textId="62868C5B">
      <w:pPr>
        <w:pStyle w:val="FootnoteText"/>
      </w:pPr>
      <w:r>
        <w:rPr>
          <w:rStyle w:val="FootnoteReference"/>
        </w:rPr>
        <w:footnoteRef/>
      </w:r>
      <w:r>
        <w:t xml:space="preserve"> </w:t>
      </w:r>
      <w:r w:rsidR="00BF753D">
        <w:rPr>
          <w:i/>
          <w:iCs/>
        </w:rPr>
        <w:t>Id.</w:t>
      </w:r>
      <w:r w:rsidR="00BF753D">
        <w:t xml:space="preserve"> at </w:t>
      </w:r>
      <w:r>
        <w:t>2.</w:t>
      </w:r>
    </w:p>
  </w:footnote>
  <w:footnote w:id="8">
    <w:p w:rsidR="001735FA" w14:paraId="0957068C" w14:textId="4486096C">
      <w:pPr>
        <w:pStyle w:val="FootnoteText"/>
      </w:pPr>
      <w:r>
        <w:rPr>
          <w:rStyle w:val="FootnoteReference"/>
        </w:rPr>
        <w:footnoteRef/>
      </w:r>
      <w:r>
        <w:t xml:space="preserve"> </w:t>
      </w:r>
      <w:r w:rsidR="00BF753D">
        <w:rPr>
          <w:i/>
          <w:iCs/>
        </w:rPr>
        <w:t>Id.</w:t>
      </w:r>
      <w:r>
        <w:t xml:space="preserve"> at 2.</w:t>
      </w:r>
    </w:p>
  </w:footnote>
  <w:footnote w:id="9">
    <w:p w:rsidR="001735FA" w:rsidP="001735FA" w14:paraId="79E4A8BC" w14:textId="3B6F909C">
      <w:pPr>
        <w:pStyle w:val="FootnoteText"/>
      </w:pPr>
      <w:r>
        <w:rPr>
          <w:rStyle w:val="FootnoteReference"/>
        </w:rPr>
        <w:footnoteRef/>
      </w:r>
      <w:r>
        <w:t xml:space="preserve"> </w:t>
      </w:r>
      <w:r w:rsidR="00BF753D">
        <w:rPr>
          <w:i/>
          <w:iCs/>
        </w:rPr>
        <w:t>Id.</w:t>
      </w:r>
      <w:r w:rsidR="00BF753D">
        <w:t xml:space="preserve"> at </w:t>
      </w:r>
      <w:r>
        <w:t>2.</w:t>
      </w:r>
    </w:p>
  </w:footnote>
  <w:footnote w:id="10">
    <w:p w:rsidR="00BC306D" w14:paraId="0118DF2F" w14:textId="505E7750">
      <w:pPr>
        <w:pStyle w:val="FootnoteText"/>
      </w:pPr>
      <w:r>
        <w:rPr>
          <w:rStyle w:val="FootnoteReference"/>
        </w:rPr>
        <w:footnoteRef/>
      </w:r>
      <w:r>
        <w:t xml:space="preserve"> </w:t>
      </w:r>
      <w:r>
        <w:rPr>
          <w:i/>
        </w:rPr>
        <w:t xml:space="preserve">See </w:t>
      </w:r>
      <w:r w:rsidR="00BF753D">
        <w:rPr>
          <w:i/>
          <w:iCs/>
        </w:rPr>
        <w:t>Id</w:t>
      </w:r>
      <w:r>
        <w:t>.</w:t>
      </w:r>
    </w:p>
  </w:footnote>
  <w:footnote w:id="11">
    <w:p w:rsidR="00E87EE4" w:rsidP="00E87EE4" w14:paraId="48F8A931" w14:textId="172C7A3A">
      <w:pPr>
        <w:pStyle w:val="FootnoteText"/>
      </w:pPr>
      <w:r>
        <w:rPr>
          <w:rStyle w:val="FootnoteReference"/>
        </w:rPr>
        <w:footnoteRef/>
      </w:r>
      <w:r>
        <w:t xml:space="preserve"> </w:t>
      </w:r>
      <w:r w:rsidR="00BF753D">
        <w:rPr>
          <w:i/>
          <w:iCs/>
        </w:rPr>
        <w:t>Id.</w:t>
      </w:r>
      <w:r w:rsidR="00BF753D">
        <w:t xml:space="preserve"> at</w:t>
      </w:r>
      <w:r>
        <w:t xml:space="preserve"> 3.</w:t>
      </w:r>
    </w:p>
  </w:footnote>
  <w:footnote w:id="12">
    <w:p w:rsidR="009757A0" w14:paraId="2AAF7914" w14:textId="2C5B2EEE">
      <w:pPr>
        <w:pStyle w:val="FootnoteText"/>
      </w:pPr>
      <w:r>
        <w:rPr>
          <w:rStyle w:val="FootnoteReference"/>
        </w:rPr>
        <w:footnoteRef/>
      </w:r>
      <w:r>
        <w:t xml:space="preserve"> </w:t>
      </w:r>
      <w:r w:rsidR="00BF753D">
        <w:rPr>
          <w:i/>
          <w:iCs/>
        </w:rPr>
        <w:t>Id.</w:t>
      </w:r>
      <w:r w:rsidR="00BF753D">
        <w:t xml:space="preserve"> at </w:t>
      </w:r>
      <w:r>
        <w:t>4.</w:t>
      </w:r>
    </w:p>
  </w:footnote>
  <w:footnote w:id="13">
    <w:p w:rsidR="00E87EE4" w14:paraId="3E3274EF" w14:textId="23CC8571">
      <w:pPr>
        <w:pStyle w:val="FootnoteText"/>
      </w:pPr>
      <w:r>
        <w:rPr>
          <w:rStyle w:val="FootnoteReference"/>
        </w:rPr>
        <w:footnoteRef/>
      </w:r>
      <w:r>
        <w:t xml:space="preserve"> </w:t>
      </w:r>
      <w:r w:rsidR="00BF753D">
        <w:rPr>
          <w:i/>
          <w:iCs/>
        </w:rPr>
        <w:t>Id.</w:t>
      </w:r>
      <w:r w:rsidR="00BF753D">
        <w:t xml:space="preserve"> at </w:t>
      </w:r>
      <w:r>
        <w:t>6.</w:t>
      </w:r>
    </w:p>
  </w:footnote>
  <w:footnote w:id="14">
    <w:p w:rsidR="00F93CB3" w14:paraId="2A53C4DF" w14:textId="73A65249">
      <w:pPr>
        <w:pStyle w:val="FootnoteText"/>
      </w:pPr>
      <w:r>
        <w:rPr>
          <w:rStyle w:val="FootnoteReference"/>
        </w:rPr>
        <w:footnoteRef/>
      </w:r>
      <w:r>
        <w:t xml:space="preserve"> </w:t>
      </w:r>
      <w:r w:rsidR="00BF753D">
        <w:rPr>
          <w:i/>
          <w:iCs/>
        </w:rPr>
        <w:t>Id.</w:t>
      </w:r>
      <w:r w:rsidR="00BF753D">
        <w:t xml:space="preserve"> at </w:t>
      </w:r>
      <w:r>
        <w:t>6.  “LCRA does not seek any new 900 MHz channels or any change in frequencies, locations or other technical parameters.”</w:t>
      </w:r>
    </w:p>
  </w:footnote>
  <w:footnote w:id="15">
    <w:p w:rsidR="006E31B8" w:rsidRPr="006E31B8" w14:paraId="509FE9AC" w14:textId="77777777">
      <w:pPr>
        <w:pStyle w:val="FootnoteText"/>
      </w:pPr>
      <w:r w:rsidRPr="006E31B8">
        <w:rPr>
          <w:rStyle w:val="FootnoteReference"/>
          <w:sz w:val="20"/>
        </w:rPr>
        <w:footnoteRef/>
      </w:r>
      <w:r w:rsidRPr="006E31B8">
        <w:t xml:space="preserve"> </w:t>
      </w:r>
      <w:r w:rsidRPr="006E31B8">
        <w:rPr>
          <w:i/>
        </w:rPr>
        <w:t>See Electroni</w:t>
      </w:r>
      <w:r>
        <w:rPr>
          <w:i/>
        </w:rPr>
        <w:t>c Filing of Documents in Rulemaking Proceedings</w:t>
      </w:r>
      <w:r>
        <w:t>, 63 FR 24121 (1998).</w:t>
      </w:r>
    </w:p>
  </w:footnote>
  <w:footnote w:id="16">
    <w:p w:rsidR="00204C72" w14:paraId="21D458BB" w14:textId="77777777">
      <w:pPr>
        <w:pStyle w:val="FootnoteText"/>
      </w:pPr>
      <w:r w:rsidRPr="004B75E9">
        <w:rPr>
          <w:rStyle w:val="FootnoteReference"/>
          <w:sz w:val="20"/>
        </w:rPr>
        <w:footnoteRef/>
      </w:r>
      <w:r>
        <w:t xml:space="preserve"> 47 CFR § 1.1200(a).</w:t>
      </w:r>
    </w:p>
  </w:footnote>
  <w:footnote w:id="17">
    <w:p w:rsidR="000A381F" w:rsidRPr="000A381F" w14:paraId="6A5CD154" w14:textId="449BEA02">
      <w:pPr>
        <w:pStyle w:val="FootnoteText"/>
      </w:pPr>
      <w:r w:rsidRPr="000A381F">
        <w:rPr>
          <w:rStyle w:val="FootnoteReference"/>
          <w:sz w:val="20"/>
        </w:rPr>
        <w:footnoteRef/>
      </w:r>
      <w:r w:rsidRPr="000A381F">
        <w:t xml:space="preserve"> </w:t>
      </w:r>
      <w:r w:rsidR="00BF753D">
        <w:rPr>
          <w:i/>
          <w:iCs/>
        </w:rPr>
        <w:t>Id.</w:t>
      </w:r>
      <w:r w:rsidRPr="000A381F">
        <w:t xml:space="preserve"> § 1.1206(b).</w:t>
      </w:r>
    </w:p>
  </w:footnote>
  <w:footnote w:id="18">
    <w:p w:rsidR="000A381F" w14:paraId="05D763BA" w14:textId="64D8AF3F">
      <w:pPr>
        <w:pStyle w:val="FootnoteText"/>
      </w:pPr>
      <w:r w:rsidRPr="000A381F">
        <w:rPr>
          <w:rStyle w:val="FootnoteReference"/>
          <w:sz w:val="20"/>
        </w:rPr>
        <w:footnoteRef/>
      </w:r>
      <w:r w:rsidRPr="000A381F">
        <w:t xml:space="preserve"> </w:t>
      </w:r>
      <w:r w:rsidR="00BF753D">
        <w:rPr>
          <w:i/>
          <w:iCs/>
        </w:rPr>
        <w:t>Id.</w:t>
      </w:r>
      <w:r w:rsidRPr="000A381F" w:rsidR="00BF753D">
        <w:t xml:space="preserve"> </w:t>
      </w:r>
      <w:r w:rsidRPr="000A381F">
        <w:t>§ 1.49(f).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214E1E0" w14:textId="5270AA81">
    <w:pPr>
      <w:tabs>
        <w:tab w:val="center" w:pos="4680"/>
        <w:tab w:val="right" w:pos="9360"/>
      </w:tabs>
    </w:pPr>
    <w:r w:rsidRPr="009838BC">
      <w:rPr>
        <w:b/>
      </w:rPr>
      <w:tab/>
      <w:t>Federal Communications Commission</w:t>
    </w:r>
    <w:r w:rsidRPr="009838BC">
      <w:rPr>
        <w:b/>
      </w:rPr>
      <w:tab/>
    </w:r>
    <w:r w:rsidRPr="00A920FC" w:rsidR="00AF1D79">
      <w:rPr>
        <w:b/>
      </w:rPr>
      <w:t xml:space="preserve">DA </w:t>
    </w:r>
    <w:r w:rsidR="00C9427E">
      <w:rPr>
        <w:b/>
      </w:rPr>
      <w:t>20-118</w:t>
    </w:r>
  </w:p>
  <w:p w:rsidR="009838BC" w:rsidRPr="009838BC" w:rsidP="009838BC" w14:paraId="162A261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v:path arrowok="t"/>
              <w10:wrap anchorx="margin"/>
            </v:rect>
          </w:pict>
        </mc:Fallback>
      </mc:AlternateContent>
    </w:r>
  </w:p>
  <w:p w:rsidR="009838BC" w:rsidRPr="009838BC" w:rsidP="009838BC" w14:paraId="6A051B4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F274238"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path arrowok="t" textboxrect="0,0,21600,21600"/>
              <v:textbox>
                <w:txbxContent>
                  <w:p w:rsidR="009838BC" w:rsidP="009838BC" w14:paraId="771F3107" w14:textId="77777777">
                    <w:pPr>
                      <w:rPr>
                        <w:rFonts w:ascii="Arial" w:hAnsi="Arial"/>
                        <w:b/>
                      </w:rPr>
                    </w:pPr>
                    <w:r>
                      <w:rPr>
                        <w:rFonts w:ascii="Arial" w:hAnsi="Arial"/>
                        <w:b/>
                      </w:rPr>
                      <w:t>Federal Communications Commission</w:t>
                    </w:r>
                  </w:p>
                  <w:p w:rsidR="009838BC" w:rsidP="009838BC" w14:paraId="02A8C79E"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1FFEA56F"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5" name="Picture 11" descr="fcc_logo"/>
          <wp:cNvGraphicFramePr/>
          <a:graphic xmlns:a="http://schemas.openxmlformats.org/drawingml/2006/main">
            <a:graphicData uri="http://schemas.openxmlformats.org/drawingml/2006/picture">
              <pic:pic xmlns:pic="http://schemas.openxmlformats.org/drawingml/2006/picture">
                <pic:nvPicPr>
                  <pic:cNvPr id="362483065" name="Picture 11" descr="fcc_logo"/>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8E0277">
      <w:rPr>
        <w:rFonts w:ascii="Arial" w:hAnsi="Arial" w:cs="Arial"/>
        <w:b/>
        <w:sz w:val="96"/>
      </w:rPr>
      <w:t>PUBLIC NOTICE</w:t>
    </w:r>
  </w:p>
  <w:p w:rsidR="009838BC" w:rsidRPr="00357D50" w:rsidP="009838BC" w14:paraId="60244239"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0" t="0" r="0" b="0"/>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path arrowok="t" textboxrect="0,0,21600,21600"/>
              <v:textbox inset=",0,,0">
                <w:txbxContent>
                  <w:p w:rsidR="009838BC" w:rsidP="009838BC" w14:paraId="0A266429" w14:textId="77777777">
                    <w:pPr>
                      <w:spacing w:before="40"/>
                      <w:jc w:val="right"/>
                      <w:rPr>
                        <w:rFonts w:ascii="Arial" w:hAnsi="Arial"/>
                        <w:b/>
                        <w:sz w:val="16"/>
                      </w:rPr>
                    </w:pPr>
                    <w:r>
                      <w:rPr>
                        <w:rFonts w:ascii="Arial" w:hAnsi="Arial"/>
                        <w:b/>
                        <w:sz w:val="16"/>
                      </w:rPr>
                      <w:t>News Media Information 202 / 418-0500</w:t>
                    </w:r>
                  </w:p>
                  <w:p w:rsidR="009838BC" w:rsidP="009838BC" w14:paraId="7DDD1DD5"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26CE6346" w14:textId="77777777">
                    <w:pPr>
                      <w:jc w:val="right"/>
                    </w:pPr>
                    <w:r>
                      <w:rPr>
                        <w:rFonts w:ascii="Arial" w:hAnsi="Arial"/>
                        <w:b/>
                        <w:sz w:val="16"/>
                      </w:rPr>
                      <w:t>TTY: 1-888-835-5322</w:t>
                    </w:r>
                  </w:p>
                </w:txbxContent>
              </v:textbox>
            </v:shape>
          </w:pict>
        </mc:Fallback>
      </mc:AlternateContent>
    </w:r>
  </w:p>
  <w:p w:rsidR="006F7393" w:rsidRPr="009838BC" w:rsidP="009838BC" w14:paraId="6A0D636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79114800"/>
    <w:multiLevelType w:val="hybridMultilevel"/>
    <w:tmpl w:val="CD1097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D79"/>
    <w:rsid w:val="000072CE"/>
    <w:rsid w:val="00013A8B"/>
    <w:rsid w:val="00021445"/>
    <w:rsid w:val="00027D68"/>
    <w:rsid w:val="000317BC"/>
    <w:rsid w:val="00036039"/>
    <w:rsid w:val="00037F90"/>
    <w:rsid w:val="00037FB3"/>
    <w:rsid w:val="00067FC3"/>
    <w:rsid w:val="000852E3"/>
    <w:rsid w:val="00086638"/>
    <w:rsid w:val="000875BF"/>
    <w:rsid w:val="00096D8C"/>
    <w:rsid w:val="000A381F"/>
    <w:rsid w:val="000A7CB7"/>
    <w:rsid w:val="000C0B65"/>
    <w:rsid w:val="000D4923"/>
    <w:rsid w:val="000D7702"/>
    <w:rsid w:val="000E0DB0"/>
    <w:rsid w:val="000E3D42"/>
    <w:rsid w:val="000E5884"/>
    <w:rsid w:val="00122BD5"/>
    <w:rsid w:val="00144264"/>
    <w:rsid w:val="001547F4"/>
    <w:rsid w:val="001613C0"/>
    <w:rsid w:val="0016379C"/>
    <w:rsid w:val="001735FA"/>
    <w:rsid w:val="00187095"/>
    <w:rsid w:val="00196822"/>
    <w:rsid w:val="001979D9"/>
    <w:rsid w:val="001B3FEA"/>
    <w:rsid w:val="001D6BCF"/>
    <w:rsid w:val="001E01CA"/>
    <w:rsid w:val="001E7C01"/>
    <w:rsid w:val="00204C72"/>
    <w:rsid w:val="002060D9"/>
    <w:rsid w:val="00213538"/>
    <w:rsid w:val="0021784C"/>
    <w:rsid w:val="00226822"/>
    <w:rsid w:val="00227A17"/>
    <w:rsid w:val="00233690"/>
    <w:rsid w:val="002350E5"/>
    <w:rsid w:val="002362B6"/>
    <w:rsid w:val="00254CFB"/>
    <w:rsid w:val="00260594"/>
    <w:rsid w:val="00270112"/>
    <w:rsid w:val="00285017"/>
    <w:rsid w:val="002A2D2E"/>
    <w:rsid w:val="002B5302"/>
    <w:rsid w:val="002C2E63"/>
    <w:rsid w:val="002F23B2"/>
    <w:rsid w:val="00306E67"/>
    <w:rsid w:val="003146FB"/>
    <w:rsid w:val="0033400D"/>
    <w:rsid w:val="00341949"/>
    <w:rsid w:val="00343749"/>
    <w:rsid w:val="003578A8"/>
    <w:rsid w:val="00357D50"/>
    <w:rsid w:val="003818E9"/>
    <w:rsid w:val="003858AD"/>
    <w:rsid w:val="003925DC"/>
    <w:rsid w:val="00394060"/>
    <w:rsid w:val="003B0550"/>
    <w:rsid w:val="003B694F"/>
    <w:rsid w:val="003B706D"/>
    <w:rsid w:val="003F171C"/>
    <w:rsid w:val="003F217F"/>
    <w:rsid w:val="003F27E0"/>
    <w:rsid w:val="00402FEE"/>
    <w:rsid w:val="00412FC5"/>
    <w:rsid w:val="00422276"/>
    <w:rsid w:val="00423E29"/>
    <w:rsid w:val="004242F1"/>
    <w:rsid w:val="00445A00"/>
    <w:rsid w:val="00451B0F"/>
    <w:rsid w:val="0045334D"/>
    <w:rsid w:val="00455902"/>
    <w:rsid w:val="0046125F"/>
    <w:rsid w:val="00483EEE"/>
    <w:rsid w:val="00487524"/>
    <w:rsid w:val="00496106"/>
    <w:rsid w:val="004A4941"/>
    <w:rsid w:val="004B2EA8"/>
    <w:rsid w:val="004B75E9"/>
    <w:rsid w:val="004C12D0"/>
    <w:rsid w:val="004C2EE3"/>
    <w:rsid w:val="004D6B84"/>
    <w:rsid w:val="004E4A22"/>
    <w:rsid w:val="004F2482"/>
    <w:rsid w:val="004F6D22"/>
    <w:rsid w:val="00511968"/>
    <w:rsid w:val="00530C96"/>
    <w:rsid w:val="00537F03"/>
    <w:rsid w:val="00541F78"/>
    <w:rsid w:val="00542EE4"/>
    <w:rsid w:val="0055614C"/>
    <w:rsid w:val="005607C2"/>
    <w:rsid w:val="00561D89"/>
    <w:rsid w:val="00566796"/>
    <w:rsid w:val="00571776"/>
    <w:rsid w:val="00583F9C"/>
    <w:rsid w:val="005D089F"/>
    <w:rsid w:val="00603462"/>
    <w:rsid w:val="00607BA5"/>
    <w:rsid w:val="00626EB6"/>
    <w:rsid w:val="006353A3"/>
    <w:rsid w:val="00655D03"/>
    <w:rsid w:val="00657B77"/>
    <w:rsid w:val="00680E60"/>
    <w:rsid w:val="00682A75"/>
    <w:rsid w:val="00683F84"/>
    <w:rsid w:val="006A6A81"/>
    <w:rsid w:val="006D2AFE"/>
    <w:rsid w:val="006D460F"/>
    <w:rsid w:val="006E26AF"/>
    <w:rsid w:val="006E31B8"/>
    <w:rsid w:val="006E4C71"/>
    <w:rsid w:val="006F7393"/>
    <w:rsid w:val="0070224F"/>
    <w:rsid w:val="007115F7"/>
    <w:rsid w:val="0071463D"/>
    <w:rsid w:val="0071762D"/>
    <w:rsid w:val="007205B6"/>
    <w:rsid w:val="00722B45"/>
    <w:rsid w:val="007350B9"/>
    <w:rsid w:val="00740BCB"/>
    <w:rsid w:val="00756A72"/>
    <w:rsid w:val="0076074F"/>
    <w:rsid w:val="00765BA5"/>
    <w:rsid w:val="00785689"/>
    <w:rsid w:val="0079754B"/>
    <w:rsid w:val="007A1E6D"/>
    <w:rsid w:val="007B4D87"/>
    <w:rsid w:val="007D4117"/>
    <w:rsid w:val="007F258F"/>
    <w:rsid w:val="00801F23"/>
    <w:rsid w:val="008169EA"/>
    <w:rsid w:val="00822CE0"/>
    <w:rsid w:val="00825EC8"/>
    <w:rsid w:val="008266FA"/>
    <w:rsid w:val="0083708C"/>
    <w:rsid w:val="00837C62"/>
    <w:rsid w:val="00841AB1"/>
    <w:rsid w:val="008509CC"/>
    <w:rsid w:val="008673C3"/>
    <w:rsid w:val="0088108F"/>
    <w:rsid w:val="008A5275"/>
    <w:rsid w:val="008C0BD2"/>
    <w:rsid w:val="008C22FD"/>
    <w:rsid w:val="008E0277"/>
    <w:rsid w:val="008E1E1B"/>
    <w:rsid w:val="00910F12"/>
    <w:rsid w:val="0091343E"/>
    <w:rsid w:val="0092152B"/>
    <w:rsid w:val="00926503"/>
    <w:rsid w:val="00930ECF"/>
    <w:rsid w:val="009403E8"/>
    <w:rsid w:val="00973FB8"/>
    <w:rsid w:val="009757A0"/>
    <w:rsid w:val="0098234E"/>
    <w:rsid w:val="009838BC"/>
    <w:rsid w:val="009A3E40"/>
    <w:rsid w:val="009B17F9"/>
    <w:rsid w:val="009B56EC"/>
    <w:rsid w:val="009D7835"/>
    <w:rsid w:val="009E18E2"/>
    <w:rsid w:val="00A2435D"/>
    <w:rsid w:val="00A45F4F"/>
    <w:rsid w:val="00A46530"/>
    <w:rsid w:val="00A600A9"/>
    <w:rsid w:val="00A866AC"/>
    <w:rsid w:val="00A920FC"/>
    <w:rsid w:val="00AA55B7"/>
    <w:rsid w:val="00AA5B9E"/>
    <w:rsid w:val="00AA647E"/>
    <w:rsid w:val="00AB2407"/>
    <w:rsid w:val="00AB53DF"/>
    <w:rsid w:val="00AC5326"/>
    <w:rsid w:val="00AD6A6B"/>
    <w:rsid w:val="00AF1D79"/>
    <w:rsid w:val="00AF6DC2"/>
    <w:rsid w:val="00AF793F"/>
    <w:rsid w:val="00B07E5C"/>
    <w:rsid w:val="00B32518"/>
    <w:rsid w:val="00B326E3"/>
    <w:rsid w:val="00B37CD9"/>
    <w:rsid w:val="00B461A9"/>
    <w:rsid w:val="00B6398A"/>
    <w:rsid w:val="00B811F7"/>
    <w:rsid w:val="00B82E84"/>
    <w:rsid w:val="00B9009B"/>
    <w:rsid w:val="00BA4165"/>
    <w:rsid w:val="00BA5DC6"/>
    <w:rsid w:val="00BA6196"/>
    <w:rsid w:val="00BC306D"/>
    <w:rsid w:val="00BC6D8C"/>
    <w:rsid w:val="00BE0577"/>
    <w:rsid w:val="00BF753D"/>
    <w:rsid w:val="00C06F6B"/>
    <w:rsid w:val="00C16AF2"/>
    <w:rsid w:val="00C34006"/>
    <w:rsid w:val="00C35618"/>
    <w:rsid w:val="00C426B1"/>
    <w:rsid w:val="00C82B6B"/>
    <w:rsid w:val="00C835F5"/>
    <w:rsid w:val="00C90D6A"/>
    <w:rsid w:val="00C93391"/>
    <w:rsid w:val="00C9427E"/>
    <w:rsid w:val="00CC72B6"/>
    <w:rsid w:val="00D0218D"/>
    <w:rsid w:val="00D216CD"/>
    <w:rsid w:val="00D55CC3"/>
    <w:rsid w:val="00DA2529"/>
    <w:rsid w:val="00DA682D"/>
    <w:rsid w:val="00DB130A"/>
    <w:rsid w:val="00DC10A1"/>
    <w:rsid w:val="00DC39E2"/>
    <w:rsid w:val="00DC655F"/>
    <w:rsid w:val="00DD369E"/>
    <w:rsid w:val="00DD7EBD"/>
    <w:rsid w:val="00DD7F17"/>
    <w:rsid w:val="00DE2493"/>
    <w:rsid w:val="00DF62B6"/>
    <w:rsid w:val="00E02C5C"/>
    <w:rsid w:val="00E07225"/>
    <w:rsid w:val="00E10074"/>
    <w:rsid w:val="00E155B7"/>
    <w:rsid w:val="00E32EDD"/>
    <w:rsid w:val="00E5409F"/>
    <w:rsid w:val="00E54AE3"/>
    <w:rsid w:val="00E663D6"/>
    <w:rsid w:val="00E76B09"/>
    <w:rsid w:val="00E87EE4"/>
    <w:rsid w:val="00EC0185"/>
    <w:rsid w:val="00EE3DC2"/>
    <w:rsid w:val="00EF7E18"/>
    <w:rsid w:val="00F021FA"/>
    <w:rsid w:val="00F1315E"/>
    <w:rsid w:val="00F21286"/>
    <w:rsid w:val="00F40DF5"/>
    <w:rsid w:val="00F57ACA"/>
    <w:rsid w:val="00F62E97"/>
    <w:rsid w:val="00F64209"/>
    <w:rsid w:val="00F8058E"/>
    <w:rsid w:val="00F81DC7"/>
    <w:rsid w:val="00F93769"/>
    <w:rsid w:val="00F93BF5"/>
    <w:rsid w:val="00F93CB3"/>
    <w:rsid w:val="00F96F63"/>
    <w:rsid w:val="00FE43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95B1CEB-F7EC-438A-8106-D6C55083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D79"/>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0E3D42"/>
    <w:pPr>
      <w:spacing w:after="120"/>
    </w:pPr>
  </w:style>
  <w:style w:type="character" w:styleId="FootnoteReference">
    <w:name w:val="footnote reference"/>
    <w:aliases w:val="(NECG) Footnote Reference,A,Appel note de bas de p,FR,Footnote Reference/,Footnote Reference1,Style 12,Style 124,Style 13,Style 17,Style 3,Style 34,Style 4,Style 6,Style 7,Style 9,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AF1D79"/>
  </w:style>
  <w:style w:type="character" w:customStyle="1" w:styleId="UnresolvedMention">
    <w:name w:val="Unresolved Mention"/>
    <w:basedOn w:val="DefaultParagraphFont"/>
    <w:uiPriority w:val="99"/>
    <w:rsid w:val="00C06F6B"/>
    <w:rPr>
      <w:color w:val="605E5C"/>
      <w:shd w:val="clear" w:color="auto" w:fill="E1DFDD"/>
    </w:rPr>
  </w:style>
  <w:style w:type="character" w:styleId="CommentReference">
    <w:name w:val="annotation reference"/>
    <w:basedOn w:val="DefaultParagraphFont"/>
    <w:uiPriority w:val="99"/>
    <w:semiHidden/>
    <w:unhideWhenUsed/>
    <w:rsid w:val="00E54AE3"/>
    <w:rPr>
      <w:sz w:val="16"/>
      <w:szCs w:val="16"/>
    </w:rPr>
  </w:style>
  <w:style w:type="paragraph" w:styleId="CommentText">
    <w:name w:val="annotation text"/>
    <w:basedOn w:val="Normal"/>
    <w:link w:val="CommentTextChar"/>
    <w:uiPriority w:val="99"/>
    <w:semiHidden/>
    <w:unhideWhenUsed/>
    <w:rsid w:val="00E54AE3"/>
    <w:rPr>
      <w:sz w:val="20"/>
    </w:rPr>
  </w:style>
  <w:style w:type="character" w:customStyle="1" w:styleId="CommentTextChar">
    <w:name w:val="Comment Text Char"/>
    <w:basedOn w:val="DefaultParagraphFont"/>
    <w:link w:val="CommentText"/>
    <w:uiPriority w:val="99"/>
    <w:semiHidden/>
    <w:rsid w:val="00E54AE3"/>
    <w:rPr>
      <w:snapToGrid w:val="0"/>
      <w:kern w:val="28"/>
    </w:rPr>
  </w:style>
  <w:style w:type="paragraph" w:styleId="CommentSubject">
    <w:name w:val="annotation subject"/>
    <w:basedOn w:val="CommentText"/>
    <w:next w:val="CommentText"/>
    <w:link w:val="CommentSubjectChar"/>
    <w:uiPriority w:val="99"/>
    <w:semiHidden/>
    <w:unhideWhenUsed/>
    <w:rsid w:val="00E54AE3"/>
    <w:rPr>
      <w:b/>
      <w:bCs/>
    </w:rPr>
  </w:style>
  <w:style w:type="character" w:customStyle="1" w:styleId="CommentSubjectChar">
    <w:name w:val="Comment Subject Char"/>
    <w:basedOn w:val="CommentTextChar"/>
    <w:link w:val="CommentSubject"/>
    <w:uiPriority w:val="99"/>
    <w:semiHidden/>
    <w:rsid w:val="00E54AE3"/>
    <w:rPr>
      <w:b/>
      <w:bCs/>
      <w:snapToGrid w:val="0"/>
      <w:kern w:val="28"/>
    </w:rPr>
  </w:style>
  <w:style w:type="paragraph" w:styleId="BalloonText">
    <w:name w:val="Balloon Text"/>
    <w:basedOn w:val="Normal"/>
    <w:link w:val="BalloonTextChar"/>
    <w:uiPriority w:val="99"/>
    <w:semiHidden/>
    <w:unhideWhenUsed/>
    <w:rsid w:val="00E54A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AE3"/>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https://www.fcc.gov/ecfs/" TargetMode="External" /><Relationship Id="rId7" Type="http://schemas.openxmlformats.org/officeDocument/2006/relationships/hyperlink" Target="mailto:jaclyn.rosen@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