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02091" w:rsidP="00802091" w14:paraId="19346157" w14:textId="77777777">
      <w:pPr>
        <w:jc w:val="center"/>
        <w:rPr>
          <w:b/>
        </w:rPr>
      </w:pPr>
      <w:bookmarkStart w:id="0" w:name="_GoBack"/>
      <w:bookmarkEnd w:id="0"/>
      <w:r>
        <w:rPr>
          <w:b/>
        </w:rPr>
        <w:t>Before the</w:t>
      </w:r>
    </w:p>
    <w:p w:rsidR="00802091" w:rsidP="00802091" w14:paraId="098717D5" w14:textId="77777777">
      <w:pPr>
        <w:jc w:val="center"/>
        <w:rPr>
          <w:b/>
        </w:rPr>
      </w:pPr>
      <w:r>
        <w:rPr>
          <w:b/>
        </w:rPr>
        <w:t>Federal Communications Commission</w:t>
      </w:r>
    </w:p>
    <w:p w:rsidR="00802091" w:rsidP="00802091" w14:paraId="1EA9F5F6" w14:textId="77777777">
      <w:pPr>
        <w:jc w:val="center"/>
        <w:rPr>
          <w:b/>
        </w:rPr>
      </w:pPr>
      <w:r>
        <w:rPr>
          <w:b/>
        </w:rPr>
        <w:t>Washington, D.C. 20554</w:t>
      </w:r>
    </w:p>
    <w:p w:rsidR="00802091" w:rsidP="00802091" w14:paraId="794D9EF4" w14:textId="77777777">
      <w:pPr>
        <w:jc w:val="center"/>
      </w:pPr>
    </w:p>
    <w:p w:rsidR="00802091" w:rsidP="00802091" w14:paraId="31D7E682" w14:textId="77777777"/>
    <w:tbl>
      <w:tblPr>
        <w:tblW w:w="9648" w:type="dxa"/>
        <w:tblLayout w:type="fixed"/>
        <w:tblLook w:val="0000"/>
      </w:tblPr>
      <w:tblGrid>
        <w:gridCol w:w="4698"/>
        <w:gridCol w:w="720"/>
        <w:gridCol w:w="4230"/>
      </w:tblGrid>
      <w:tr w14:paraId="78170BE8" w14:textId="77777777" w:rsidTr="005E2002">
        <w:tblPrEx>
          <w:tblW w:w="9648" w:type="dxa"/>
          <w:tblLayout w:type="fixed"/>
          <w:tblLook w:val="0000"/>
        </w:tblPrEx>
        <w:tc>
          <w:tcPr>
            <w:tcW w:w="4698" w:type="dxa"/>
          </w:tcPr>
          <w:p w:rsidR="005E2002" w:rsidRPr="00850CEF" w:rsidP="005E2002" w14:paraId="42B2EA69" w14:textId="77777777">
            <w:pPr>
              <w:tabs>
                <w:tab w:val="center" w:pos="4680"/>
              </w:tabs>
              <w:suppressAutoHyphens/>
              <w:rPr>
                <w:spacing w:val="-2"/>
              </w:rPr>
            </w:pPr>
            <w:r w:rsidRPr="00850CEF">
              <w:rPr>
                <w:spacing w:val="-2"/>
              </w:rPr>
              <w:t>In the Matter of</w:t>
            </w:r>
          </w:p>
          <w:p w:rsidR="005E2002" w:rsidRPr="00850CEF" w:rsidP="005E2002" w14:paraId="64D7882C" w14:textId="77777777">
            <w:pPr>
              <w:tabs>
                <w:tab w:val="center" w:pos="4680"/>
              </w:tabs>
              <w:suppressAutoHyphens/>
              <w:rPr>
                <w:spacing w:val="-2"/>
              </w:rPr>
            </w:pPr>
          </w:p>
          <w:p w:rsidR="005E2002" w:rsidP="005E2002" w14:paraId="3B8FEB82" w14:textId="77777777">
            <w:pPr>
              <w:tabs>
                <w:tab w:val="center" w:pos="4680"/>
              </w:tabs>
              <w:suppressAutoHyphens/>
              <w:rPr>
                <w:spacing w:val="-2"/>
              </w:rPr>
            </w:pPr>
            <w:r>
              <w:rPr>
                <w:spacing w:val="-2"/>
              </w:rPr>
              <w:t xml:space="preserve">The Rural Digital Opportunity Fund </w:t>
            </w:r>
          </w:p>
          <w:p w:rsidR="005E2002" w:rsidP="005E2002" w14:paraId="1B4AA6CE" w14:textId="77777777">
            <w:pPr>
              <w:tabs>
                <w:tab w:val="center" w:pos="4680"/>
              </w:tabs>
              <w:suppressAutoHyphens/>
              <w:rPr>
                <w:spacing w:val="-2"/>
              </w:rPr>
            </w:pPr>
            <w:r>
              <w:rPr>
                <w:spacing w:val="-2"/>
              </w:rPr>
              <w:t>Auction (Auction 904)</w:t>
            </w:r>
          </w:p>
          <w:p w:rsidR="005E2002" w:rsidP="005E2002" w14:paraId="19EDF8BE" w14:textId="77777777">
            <w:pPr>
              <w:tabs>
                <w:tab w:val="center" w:pos="4680"/>
              </w:tabs>
              <w:suppressAutoHyphens/>
              <w:rPr>
                <w:spacing w:val="-2"/>
              </w:rPr>
            </w:pPr>
          </w:p>
          <w:p w:rsidR="005E2002" w:rsidRPr="00850CEF" w:rsidP="005E2002" w14:paraId="596C4493" w14:textId="77777777">
            <w:pPr>
              <w:tabs>
                <w:tab w:val="center" w:pos="4680"/>
              </w:tabs>
              <w:suppressAutoHyphens/>
              <w:rPr>
                <w:spacing w:val="-2"/>
              </w:rPr>
            </w:pPr>
            <w:r w:rsidRPr="00850CEF">
              <w:rPr>
                <w:spacing w:val="-2"/>
              </w:rPr>
              <w:t>Rural Digital Opportunity Fund</w:t>
            </w:r>
          </w:p>
          <w:p w:rsidR="005E2002" w:rsidRPr="00850CEF" w:rsidP="005E2002" w14:paraId="298F940B" w14:textId="77777777">
            <w:pPr>
              <w:tabs>
                <w:tab w:val="center" w:pos="4680"/>
              </w:tabs>
              <w:suppressAutoHyphens/>
              <w:rPr>
                <w:spacing w:val="-2"/>
              </w:rPr>
            </w:pPr>
          </w:p>
        </w:tc>
        <w:tc>
          <w:tcPr>
            <w:tcW w:w="720" w:type="dxa"/>
          </w:tcPr>
          <w:p w:rsidR="005E2002" w:rsidRPr="00850CEF" w:rsidP="005E2002" w14:paraId="042F3F45" w14:textId="77777777">
            <w:pPr>
              <w:tabs>
                <w:tab w:val="center" w:pos="4680"/>
              </w:tabs>
              <w:suppressAutoHyphens/>
              <w:rPr>
                <w:b/>
                <w:spacing w:val="-2"/>
              </w:rPr>
            </w:pPr>
            <w:r w:rsidRPr="00850CEF">
              <w:rPr>
                <w:b/>
                <w:spacing w:val="-2"/>
              </w:rPr>
              <w:t>)</w:t>
            </w:r>
          </w:p>
          <w:p w:rsidR="005E2002" w:rsidRPr="00850CEF" w:rsidP="005E2002" w14:paraId="239AE24E" w14:textId="77777777">
            <w:pPr>
              <w:tabs>
                <w:tab w:val="center" w:pos="4680"/>
              </w:tabs>
              <w:suppressAutoHyphens/>
              <w:rPr>
                <w:b/>
                <w:spacing w:val="-2"/>
              </w:rPr>
            </w:pPr>
            <w:r w:rsidRPr="00850CEF">
              <w:rPr>
                <w:b/>
                <w:spacing w:val="-2"/>
              </w:rPr>
              <w:t>)</w:t>
            </w:r>
          </w:p>
          <w:p w:rsidR="005E2002" w:rsidRPr="00850CEF" w:rsidP="005E2002" w14:paraId="07E89292" w14:textId="77777777">
            <w:pPr>
              <w:tabs>
                <w:tab w:val="center" w:pos="4680"/>
              </w:tabs>
              <w:suppressAutoHyphens/>
              <w:rPr>
                <w:b/>
                <w:spacing w:val="-2"/>
              </w:rPr>
            </w:pPr>
            <w:r w:rsidRPr="00850CEF">
              <w:rPr>
                <w:b/>
                <w:spacing w:val="-2"/>
              </w:rPr>
              <w:t>)</w:t>
            </w:r>
          </w:p>
          <w:p w:rsidR="005E2002" w:rsidRPr="00850CEF" w:rsidP="005E2002" w14:paraId="004BA26A" w14:textId="77777777">
            <w:pPr>
              <w:tabs>
                <w:tab w:val="center" w:pos="4680"/>
              </w:tabs>
              <w:suppressAutoHyphens/>
              <w:rPr>
                <w:b/>
                <w:spacing w:val="-2"/>
              </w:rPr>
            </w:pPr>
            <w:r w:rsidRPr="00850CEF">
              <w:rPr>
                <w:b/>
                <w:spacing w:val="-2"/>
              </w:rPr>
              <w:t>)</w:t>
            </w:r>
          </w:p>
          <w:p w:rsidR="005E2002" w:rsidRPr="00850CEF" w:rsidP="005E2002" w14:paraId="70A278E6" w14:textId="77777777">
            <w:pPr>
              <w:tabs>
                <w:tab w:val="center" w:pos="4680"/>
              </w:tabs>
              <w:suppressAutoHyphens/>
              <w:rPr>
                <w:b/>
                <w:spacing w:val="-2"/>
              </w:rPr>
            </w:pPr>
            <w:r w:rsidRPr="00850CEF">
              <w:rPr>
                <w:b/>
                <w:spacing w:val="-2"/>
              </w:rPr>
              <w:t>)</w:t>
            </w:r>
          </w:p>
          <w:p w:rsidR="005E2002" w:rsidRPr="00850CEF" w:rsidP="005E2002" w14:paraId="6DCACD2E" w14:textId="77777777">
            <w:pPr>
              <w:tabs>
                <w:tab w:val="center" w:pos="4680"/>
              </w:tabs>
              <w:suppressAutoHyphens/>
              <w:rPr>
                <w:b/>
                <w:spacing w:val="-2"/>
              </w:rPr>
            </w:pPr>
            <w:r>
              <w:rPr>
                <w:b/>
                <w:spacing w:val="-2"/>
              </w:rPr>
              <w:t>)</w:t>
            </w:r>
          </w:p>
        </w:tc>
        <w:tc>
          <w:tcPr>
            <w:tcW w:w="4230" w:type="dxa"/>
          </w:tcPr>
          <w:p w:rsidR="005E2002" w:rsidRPr="00850CEF" w:rsidP="005E2002" w14:paraId="182E5AB2" w14:textId="77777777">
            <w:pPr>
              <w:tabs>
                <w:tab w:val="center" w:pos="4680"/>
              </w:tabs>
              <w:suppressAutoHyphens/>
              <w:rPr>
                <w:spacing w:val="-2"/>
              </w:rPr>
            </w:pPr>
          </w:p>
          <w:p w:rsidR="005E2002" w:rsidRPr="00850CEF" w:rsidP="005E2002" w14:paraId="455A113E" w14:textId="77777777">
            <w:pPr>
              <w:tabs>
                <w:tab w:val="center" w:pos="4680"/>
              </w:tabs>
              <w:suppressAutoHyphens/>
              <w:rPr>
                <w:spacing w:val="-2"/>
              </w:rPr>
            </w:pPr>
          </w:p>
          <w:p w:rsidR="005E2002" w:rsidP="005E2002" w14:paraId="2B54424E" w14:textId="77777777">
            <w:pPr>
              <w:tabs>
                <w:tab w:val="center" w:pos="4680"/>
              </w:tabs>
              <w:suppressAutoHyphens/>
              <w:rPr>
                <w:spacing w:val="-2"/>
              </w:rPr>
            </w:pPr>
          </w:p>
          <w:p w:rsidR="005E2002" w:rsidP="005E2002" w14:paraId="5A806873" w14:textId="77777777">
            <w:pPr>
              <w:tabs>
                <w:tab w:val="center" w:pos="4680"/>
              </w:tabs>
              <w:suppressAutoHyphens/>
              <w:rPr>
                <w:spacing w:val="-2"/>
              </w:rPr>
            </w:pPr>
            <w:r>
              <w:rPr>
                <w:spacing w:val="-2"/>
              </w:rPr>
              <w:t>AU Docket No. 20-34</w:t>
            </w:r>
          </w:p>
          <w:p w:rsidR="005E2002" w:rsidP="005E2002" w14:paraId="0B33F3E0" w14:textId="77777777">
            <w:pPr>
              <w:tabs>
                <w:tab w:val="center" w:pos="4680"/>
              </w:tabs>
              <w:suppressAutoHyphens/>
              <w:rPr>
                <w:spacing w:val="-2"/>
              </w:rPr>
            </w:pPr>
          </w:p>
          <w:p w:rsidR="005E2002" w:rsidRPr="00850CEF" w:rsidP="005E2002" w14:paraId="631F81A9" w14:textId="77777777">
            <w:pPr>
              <w:tabs>
                <w:tab w:val="center" w:pos="4680"/>
              </w:tabs>
              <w:suppressAutoHyphens/>
              <w:rPr>
                <w:spacing w:val="-2"/>
              </w:rPr>
            </w:pPr>
            <w:r w:rsidRPr="00850CEF">
              <w:rPr>
                <w:spacing w:val="-2"/>
              </w:rPr>
              <w:t>WC Docket No. 19-126</w:t>
            </w:r>
          </w:p>
          <w:p w:rsidR="005E2002" w:rsidRPr="00850CEF" w:rsidP="005E2002" w14:paraId="4ABE0D75" w14:textId="77777777">
            <w:pPr>
              <w:tabs>
                <w:tab w:val="center" w:pos="4680"/>
              </w:tabs>
              <w:suppressAutoHyphens/>
              <w:rPr>
                <w:spacing w:val="-2"/>
              </w:rPr>
            </w:pPr>
          </w:p>
        </w:tc>
      </w:tr>
    </w:tbl>
    <w:p w:rsidR="00802091" w:rsidP="00802091" w14:paraId="2730AB49" w14:textId="77777777">
      <w:pPr>
        <w:rPr>
          <w:b/>
        </w:rPr>
      </w:pPr>
    </w:p>
    <w:p w:rsidR="00802091" w:rsidP="00802091" w14:paraId="1127C77F" w14:textId="77777777">
      <w:pPr>
        <w:pStyle w:val="Heading1"/>
        <w:numPr>
          <w:ilvl w:val="0"/>
          <w:numId w:val="0"/>
        </w:numPr>
        <w:jc w:val="center"/>
      </w:pPr>
      <w:r>
        <w:t>ORDER</w:t>
      </w:r>
    </w:p>
    <w:p w:rsidR="00802091" w:rsidP="00802091" w14:paraId="3E1CFA8D" w14:textId="58D3CEA0">
      <w:pPr>
        <w:rPr>
          <w:b/>
        </w:rPr>
      </w:pPr>
      <w:r>
        <w:rPr>
          <w:b/>
        </w:rPr>
        <w:t xml:space="preserve">Adopted:  </w:t>
      </w:r>
      <w:r w:rsidR="00215F07">
        <w:rPr>
          <w:b/>
          <w:spacing w:val="-2"/>
        </w:rPr>
        <w:t xml:space="preserve">October </w:t>
      </w:r>
      <w:r w:rsidR="004B12BE">
        <w:rPr>
          <w:b/>
          <w:spacing w:val="-2"/>
        </w:rPr>
        <w:t>13</w:t>
      </w:r>
      <w:r>
        <w:rPr>
          <w:b/>
          <w:spacing w:val="-2"/>
        </w:rPr>
        <w:t>, 20</w:t>
      </w:r>
      <w:r w:rsidR="00215F07">
        <w:rPr>
          <w:b/>
          <w:spacing w:val="-2"/>
        </w:rPr>
        <w:t>20</w:t>
      </w:r>
      <w:r>
        <w:rPr>
          <w:b/>
        </w:rPr>
        <w:tab/>
      </w:r>
      <w:r>
        <w:rPr>
          <w:b/>
        </w:rPr>
        <w:tab/>
      </w:r>
      <w:r>
        <w:rPr>
          <w:b/>
        </w:rPr>
        <w:tab/>
      </w:r>
      <w:r>
        <w:rPr>
          <w:b/>
        </w:rPr>
        <w:tab/>
      </w:r>
      <w:r>
        <w:rPr>
          <w:b/>
        </w:rPr>
        <w:tab/>
      </w:r>
      <w:r>
        <w:rPr>
          <w:b/>
        </w:rPr>
        <w:tab/>
        <w:t xml:space="preserve">Released:  </w:t>
      </w:r>
      <w:r w:rsidR="00215F07">
        <w:rPr>
          <w:b/>
          <w:spacing w:val="-2"/>
        </w:rPr>
        <w:t xml:space="preserve">October </w:t>
      </w:r>
      <w:r w:rsidR="004B12BE">
        <w:rPr>
          <w:b/>
          <w:spacing w:val="-2"/>
        </w:rPr>
        <w:t>13</w:t>
      </w:r>
      <w:r w:rsidR="00215F07">
        <w:rPr>
          <w:b/>
          <w:spacing w:val="-2"/>
        </w:rPr>
        <w:t>, 2020</w:t>
      </w:r>
    </w:p>
    <w:p w:rsidR="00802091" w:rsidP="00802091" w14:paraId="78C4BB86" w14:textId="77777777">
      <w:pPr>
        <w:tabs>
          <w:tab w:val="left" w:pos="5760"/>
        </w:tabs>
        <w:rPr>
          <w:b/>
        </w:rPr>
      </w:pPr>
    </w:p>
    <w:p w:rsidR="00802091" w:rsidRPr="00272AB3" w:rsidP="00802091" w14:paraId="2E5B0EBF" w14:textId="4FF62DCB">
      <w:pPr>
        <w:tabs>
          <w:tab w:val="left" w:pos="5760"/>
        </w:tabs>
      </w:pPr>
      <w:r>
        <w:t xml:space="preserve">By the Chiefs, Wireline Competition Bureau and </w:t>
      </w:r>
      <w:r w:rsidR="005E2002">
        <w:t>Office of Economic</w:t>
      </w:r>
      <w:r w:rsidR="00D3540D">
        <w:t>s</w:t>
      </w:r>
      <w:r w:rsidR="005E2002">
        <w:t xml:space="preserve"> and Analytics</w:t>
      </w:r>
      <w:r>
        <w:t xml:space="preserve">: </w:t>
      </w:r>
    </w:p>
    <w:p w:rsidR="00802091" w:rsidP="00802091" w14:paraId="76519405" w14:textId="77777777"/>
    <w:p w:rsidR="00802091" w:rsidRPr="0019242C" w:rsidP="00B36873" w14:paraId="32A86D77" w14:textId="34CC7A04">
      <w:pPr>
        <w:pStyle w:val="ParaNum"/>
      </w:pPr>
      <w:r w:rsidRPr="0019242C">
        <w:t xml:space="preserve">In this Order, </w:t>
      </w:r>
      <w:r>
        <w:t xml:space="preserve">the Wireline Competition Bureau and the </w:t>
      </w:r>
      <w:r w:rsidR="00215F07">
        <w:t>Office of Economic</w:t>
      </w:r>
      <w:r w:rsidR="00FB5281">
        <w:t>s</w:t>
      </w:r>
      <w:r w:rsidR="00215F07">
        <w:t xml:space="preserve"> and Analytics</w:t>
      </w:r>
      <w:r>
        <w:t xml:space="preserve">, in conjunction with the Rural Broadband Auctions Task Force, address petitions for waiver of the Commission’s </w:t>
      </w:r>
      <w:r w:rsidR="00215F07">
        <w:t>Rural Digital Opportunity Fund Phase I</w:t>
      </w:r>
      <w:r>
        <w:t xml:space="preserve"> auction (Auction 90</w:t>
      </w:r>
      <w:r w:rsidR="00215F07">
        <w:t>4</w:t>
      </w:r>
      <w:r>
        <w:t xml:space="preserve">) short-form application requirements.  </w:t>
      </w:r>
      <w:r w:rsidR="0078477C">
        <w:t>First</w:t>
      </w:r>
      <w:r>
        <w:t xml:space="preserve">, </w:t>
      </w:r>
      <w:r w:rsidR="00FC5061">
        <w:t>we</w:t>
      </w:r>
      <w:r>
        <w:t xml:space="preserve"> </w:t>
      </w:r>
      <w:r w:rsidR="00DB7416">
        <w:t xml:space="preserve">address </w:t>
      </w:r>
      <w:r w:rsidR="00026892">
        <w:t>certain</w:t>
      </w:r>
      <w:r>
        <w:t xml:space="preserve"> petitions requesting that the Commission accept late-filed FCC Form 477s as evidence of an applicant’s </w:t>
      </w:r>
      <w:r w:rsidR="00FD4204">
        <w:t xml:space="preserve">requisite </w:t>
      </w:r>
      <w:r w:rsidR="001F3A5C">
        <w:t xml:space="preserve">operational </w:t>
      </w:r>
      <w:r>
        <w:t>experience offering a voice and/or broadband service</w:t>
      </w:r>
      <w:r w:rsidR="00B36873">
        <w:t>.</w:t>
      </w:r>
      <w:r>
        <w:rPr>
          <w:rStyle w:val="FootnoteReference"/>
        </w:rPr>
        <w:footnoteReference w:id="3"/>
      </w:r>
      <w:r w:rsidR="00B36873">
        <w:t xml:space="preserve">  </w:t>
      </w:r>
      <w:r w:rsidR="00DB7416">
        <w:t>We deny those</w:t>
      </w:r>
      <w:r>
        <w:t xml:space="preserve"> from</w:t>
      </w:r>
      <w:r w:rsidR="00215F07">
        <w:t xml:space="preserve"> </w:t>
      </w:r>
      <w:r>
        <w:t>applicant</w:t>
      </w:r>
      <w:r w:rsidR="00215F07">
        <w:t>s</w:t>
      </w:r>
      <w:r>
        <w:t xml:space="preserve"> that</w:t>
      </w:r>
      <w:r w:rsidR="00FC5061">
        <w:t xml:space="preserve"> </w:t>
      </w:r>
      <w:r w:rsidR="00FD4204">
        <w:t xml:space="preserve">had not </w:t>
      </w:r>
      <w:r w:rsidR="00026892">
        <w:t>submit</w:t>
      </w:r>
      <w:r w:rsidR="00FD4204">
        <w:t>ted</w:t>
      </w:r>
      <w:r w:rsidR="00DB7416">
        <w:t xml:space="preserve"> even one of the three most recent</w:t>
      </w:r>
      <w:r>
        <w:t xml:space="preserve"> FCC Form 477</w:t>
      </w:r>
      <w:r w:rsidR="00026892">
        <w:t xml:space="preserve"> filing</w:t>
      </w:r>
      <w:r>
        <w:t>s</w:t>
      </w:r>
      <w:r w:rsidR="00DB7416">
        <w:t xml:space="preserve"> by the deadline laid out in the auction instructions and grant several waivers where the applicant showed good cause</w:t>
      </w:r>
      <w:r>
        <w:t>.</w:t>
      </w:r>
      <w:r>
        <w:rPr>
          <w:rStyle w:val="FootnoteReference"/>
        </w:rPr>
        <w:footnoteReference w:id="4"/>
      </w:r>
      <w:r>
        <w:t xml:space="preserve">  </w:t>
      </w:r>
      <w:r w:rsidR="0078477C">
        <w:t>Second</w:t>
      </w:r>
      <w:r w:rsidR="00733E8B">
        <w:t>, w</w:t>
      </w:r>
      <w:r w:rsidR="00FC5061">
        <w:t>e</w:t>
      </w:r>
      <w:r>
        <w:t xml:space="preserve"> </w:t>
      </w:r>
      <w:r w:rsidR="00B36873">
        <w:t>grant petitions filed by applicants that have operated only electric distribution or transmission network</w:t>
      </w:r>
      <w:r w:rsidR="00FD4204">
        <w:t>s</w:t>
      </w:r>
      <w:r w:rsidR="00B36873">
        <w:t xml:space="preserve"> and seek waiver of the requirement to </w:t>
      </w:r>
      <w:r w:rsidR="00FF3DC1">
        <w:t xml:space="preserve">provide certain documentation demonstrating </w:t>
      </w:r>
      <w:r w:rsidR="00C4665E">
        <w:t>their</w:t>
      </w:r>
      <w:r w:rsidR="00E1358A">
        <w:t xml:space="preserve"> ability to successfully operate </w:t>
      </w:r>
      <w:r w:rsidR="002A1673">
        <w:t>th</w:t>
      </w:r>
      <w:r w:rsidR="00FD4204">
        <w:t>ose</w:t>
      </w:r>
      <w:r w:rsidR="002A1673">
        <w:t xml:space="preserve"> </w:t>
      </w:r>
      <w:r w:rsidR="00E1358A">
        <w:t>network</w:t>
      </w:r>
      <w:r w:rsidR="00FD4204">
        <w:t>s</w:t>
      </w:r>
      <w:r w:rsidR="00E1358A">
        <w:t>.</w:t>
      </w:r>
      <w:r>
        <w:rPr>
          <w:rStyle w:val="FootnoteReference"/>
        </w:rPr>
        <w:footnoteReference w:id="5"/>
      </w:r>
      <w:r w:rsidR="00B36873">
        <w:t xml:space="preserve">  </w:t>
      </w:r>
      <w:r w:rsidR="0078477C">
        <w:t>Third, we</w:t>
      </w:r>
      <w:r w:rsidR="00733E8B">
        <w:t xml:space="preserve"> </w:t>
      </w:r>
      <w:r w:rsidR="00026892">
        <w:t xml:space="preserve">grant one petition and </w:t>
      </w:r>
      <w:r w:rsidR="00B36873">
        <w:t>deny a</w:t>
      </w:r>
      <w:r w:rsidR="00026892">
        <w:t xml:space="preserve"> second</w:t>
      </w:r>
      <w:r w:rsidR="00B36873">
        <w:t xml:space="preserve"> </w:t>
      </w:r>
      <w:r>
        <w:t xml:space="preserve">petition requesting that the Commission waive </w:t>
      </w:r>
      <w:r w:rsidR="00DE3787">
        <w:t>certain financial requirements to qualify to participate in Auction 904.</w:t>
      </w:r>
      <w:r>
        <w:rPr>
          <w:rStyle w:val="FootnoteReference"/>
        </w:rPr>
        <w:footnoteReference w:id="6"/>
      </w:r>
      <w:r w:rsidR="00733E8B">
        <w:t xml:space="preserve">  Finally, consistent with precedent</w:t>
      </w:r>
      <w:r w:rsidR="001F3A5C">
        <w:t xml:space="preserve"> and the policies adopted by the Commission for Auction 904</w:t>
      </w:r>
      <w:r w:rsidR="00733E8B">
        <w:t xml:space="preserve">, we deny petitions </w:t>
      </w:r>
      <w:r w:rsidR="00FD4204">
        <w:t xml:space="preserve">for waiver of the rule banning from participation in the Rural Digital Opportunity Fund those </w:t>
      </w:r>
      <w:r w:rsidR="00733E8B">
        <w:t xml:space="preserve">parties that were </w:t>
      </w:r>
      <w:r w:rsidR="00CD4DCA">
        <w:t xml:space="preserve">winning bidders in the </w:t>
      </w:r>
      <w:r w:rsidR="00733E8B">
        <w:t>Connect America Phase II auction</w:t>
      </w:r>
      <w:r w:rsidR="00FD4204">
        <w:t xml:space="preserve"> (Auction 903)</w:t>
      </w:r>
      <w:r w:rsidR="00733E8B">
        <w:t xml:space="preserve"> and subsequently defaulted on </w:t>
      </w:r>
      <w:r w:rsidR="0015789C">
        <w:t xml:space="preserve">all of </w:t>
      </w:r>
      <w:r w:rsidR="00733E8B">
        <w:t xml:space="preserve">their </w:t>
      </w:r>
      <w:r w:rsidR="0015789C">
        <w:t>winning bids</w:t>
      </w:r>
      <w:r w:rsidR="00733E8B">
        <w:t>.</w:t>
      </w:r>
      <w:r>
        <w:rPr>
          <w:rStyle w:val="FootnoteReference"/>
        </w:rPr>
        <w:footnoteReference w:id="7"/>
      </w:r>
      <w:r w:rsidR="00733E8B">
        <w:t xml:space="preserve">   </w:t>
      </w:r>
    </w:p>
    <w:p w:rsidR="00802091" w:rsidP="00802091" w14:paraId="027C4C92" w14:textId="77777777">
      <w:pPr>
        <w:pStyle w:val="Heading1"/>
      </w:pPr>
      <w:r w:rsidRPr="0019242C">
        <w:t>background</w:t>
      </w:r>
      <w:r>
        <w:t xml:space="preserve">    </w:t>
      </w:r>
    </w:p>
    <w:p w:rsidR="00802091" w:rsidRPr="009606CB" w:rsidP="00802091" w14:paraId="75922473" w14:textId="5AE1EF03">
      <w:pPr>
        <w:pStyle w:val="ParaNum"/>
        <w:rPr>
          <w:color w:val="000000"/>
          <w:szCs w:val="22"/>
        </w:rPr>
      </w:pPr>
      <w:r w:rsidRPr="005462EB">
        <w:rPr>
          <w:color w:val="000000"/>
          <w:szCs w:val="22"/>
        </w:rPr>
        <w:t xml:space="preserve">In the </w:t>
      </w:r>
      <w:r w:rsidR="005E2002">
        <w:rPr>
          <w:i/>
          <w:iCs/>
          <w:color w:val="000000"/>
          <w:szCs w:val="22"/>
        </w:rPr>
        <w:t>Rural Digital Opportunity Fund</w:t>
      </w:r>
      <w:r w:rsidRPr="005462EB">
        <w:rPr>
          <w:i/>
          <w:iCs/>
          <w:color w:val="000000"/>
          <w:szCs w:val="22"/>
        </w:rPr>
        <w:t xml:space="preserve"> Order</w:t>
      </w:r>
      <w:r w:rsidRPr="005462EB">
        <w:rPr>
          <w:color w:val="000000"/>
          <w:szCs w:val="22"/>
        </w:rPr>
        <w:t xml:space="preserve">, </w:t>
      </w:r>
      <w:r w:rsidRPr="00226964">
        <w:t xml:space="preserve">the Commission adopted </w:t>
      </w:r>
      <w:r>
        <w:t>short-form application requirements relating to an applicant’s technical and financial qualifications to participate in Auction 90</w:t>
      </w:r>
      <w:r w:rsidR="005E2002">
        <w:t>4</w:t>
      </w:r>
      <w:r>
        <w:t>.</w:t>
      </w:r>
      <w:r>
        <w:rPr>
          <w:rStyle w:val="FootnoteReference"/>
        </w:rPr>
        <w:footnoteReference w:id="8"/>
      </w:r>
      <w:r>
        <w:t xml:space="preserve">  </w:t>
      </w:r>
      <w:r w:rsidR="005E2002">
        <w:t>Specifically</w:t>
      </w:r>
      <w:r>
        <w:t>, the Commission require</w:t>
      </w:r>
      <w:r w:rsidR="005E2002">
        <w:t>d</w:t>
      </w:r>
      <w:r>
        <w:t xml:space="preserve"> an applicant that has certified that it has provided voice and/or broadband services for at least two years prior to the short-form application filing deadline, or that it is the wholly-owned subsidiary of such an entity, to also certify that it or its parent company has </w:t>
      </w:r>
      <w:r>
        <w:t>filed FCC Form 477 Local Telephone Competition and Broadband Reports (FCC Form 477) as required during that time period.</w:t>
      </w:r>
      <w:r>
        <w:rPr>
          <w:rStyle w:val="FootnoteReference"/>
        </w:rPr>
        <w:footnoteReference w:id="9"/>
      </w:r>
      <w:r>
        <w:t xml:space="preserve">  The applicant must identify the FCC Registration Number(s) it (or its parent company) used to file its FCC Form 477 for the relevant filing periods—data as of </w:t>
      </w:r>
      <w:r w:rsidR="005E2002">
        <w:t>December 31</w:t>
      </w:r>
      <w:r>
        <w:t>, 201</w:t>
      </w:r>
      <w:r w:rsidR="005E2002">
        <w:t>8</w:t>
      </w:r>
      <w:r>
        <w:t xml:space="preserve">; data as of </w:t>
      </w:r>
      <w:r w:rsidR="005E2002">
        <w:t>June 30</w:t>
      </w:r>
      <w:r>
        <w:t>, 201</w:t>
      </w:r>
      <w:r w:rsidR="005E2002">
        <w:t>9</w:t>
      </w:r>
      <w:r>
        <w:t xml:space="preserve">; and data as of </w:t>
      </w:r>
      <w:r w:rsidR="005E2002">
        <w:t>December 31</w:t>
      </w:r>
      <w:r>
        <w:t>, 201</w:t>
      </w:r>
      <w:r w:rsidR="005E2002">
        <w:t>9</w:t>
      </w:r>
      <w:r>
        <w:t>.</w:t>
      </w:r>
      <w:r>
        <w:rPr>
          <w:rStyle w:val="FootnoteReference"/>
        </w:rPr>
        <w:footnoteReference w:id="10"/>
      </w:r>
      <w:r>
        <w:t xml:space="preserve">  As set out in the</w:t>
      </w:r>
      <w:r w:rsidR="00C21E87">
        <w:t xml:space="preserve"> Instructions for Applying to Participate in Auction 904, </w:t>
      </w:r>
      <w:r>
        <w:t xml:space="preserve">FCC Form 477 data </w:t>
      </w:r>
      <w:r w:rsidR="001F3A5C">
        <w:t xml:space="preserve">that was submitted </w:t>
      </w:r>
      <w:r>
        <w:t>for these periods as of</w:t>
      </w:r>
      <w:r w:rsidR="00341D80">
        <w:t xml:space="preserve"> June </w:t>
      </w:r>
      <w:r w:rsidR="00C21E87">
        <w:t>17</w:t>
      </w:r>
      <w:r>
        <w:t>, 20</w:t>
      </w:r>
      <w:r w:rsidR="00341D80">
        <w:t>20</w:t>
      </w:r>
      <w:r w:rsidR="001F3A5C">
        <w:t>,</w:t>
      </w:r>
      <w:r>
        <w:t xml:space="preserve"> </w:t>
      </w:r>
      <w:r w:rsidR="009F4710">
        <w:t>we</w:t>
      </w:r>
      <w:r>
        <w:t>re used to corroborate each applicant’s certification that it has been providing voice and/or broadband service for at least two years.</w:t>
      </w:r>
      <w:r>
        <w:rPr>
          <w:rStyle w:val="FootnoteReference"/>
        </w:rPr>
        <w:footnoteReference w:id="11"/>
      </w:r>
    </w:p>
    <w:p w:rsidR="00802091" w:rsidP="00802091" w14:paraId="028D3E74" w14:textId="2AD361E8">
      <w:pPr>
        <w:pStyle w:val="ParaNum"/>
        <w:rPr>
          <w:color w:val="000000"/>
          <w:szCs w:val="22"/>
        </w:rPr>
      </w:pPr>
      <w:r>
        <w:rPr>
          <w:color w:val="000000"/>
          <w:szCs w:val="22"/>
        </w:rPr>
        <w:t>T</w:t>
      </w:r>
      <w:r w:rsidR="008C140C">
        <w:rPr>
          <w:color w:val="000000"/>
          <w:szCs w:val="22"/>
        </w:rPr>
        <w:t xml:space="preserve">he Commission also adopted an alternative </w:t>
      </w:r>
      <w:r>
        <w:rPr>
          <w:color w:val="000000"/>
          <w:szCs w:val="22"/>
        </w:rPr>
        <w:t xml:space="preserve">eligibility pathway </w:t>
      </w:r>
      <w:r w:rsidR="008C140C">
        <w:rPr>
          <w:color w:val="000000"/>
          <w:szCs w:val="22"/>
        </w:rPr>
        <w:t>for applicants that do not have at least two years of experience operating a voice, broadband, and/or electric distribution or transmission network to become qualified to participate in the auction.  Such</w:t>
      </w:r>
      <w:r w:rsidR="00FD4204">
        <w:rPr>
          <w:color w:val="000000"/>
          <w:szCs w:val="22"/>
        </w:rPr>
        <w:t xml:space="preserve"> an</w:t>
      </w:r>
      <w:r w:rsidR="008C140C">
        <w:rPr>
          <w:color w:val="000000"/>
          <w:szCs w:val="22"/>
        </w:rPr>
        <w:t xml:space="preserve"> applicant could instead submit (1) audited financial statements from the three most recent fiscal years and (2) a letter of interest from a qualified bank stating that the bank would provide a letter of credit to the applicant if the applicant becomes a winning bidder.</w:t>
      </w:r>
      <w:r>
        <w:rPr>
          <w:rStyle w:val="FootnoteReference"/>
          <w:color w:val="000000"/>
          <w:szCs w:val="22"/>
        </w:rPr>
        <w:footnoteReference w:id="12"/>
      </w:r>
    </w:p>
    <w:p w:rsidR="00375E5E" w:rsidRPr="00375E5E" w:rsidP="00375E5E" w14:paraId="7FA1971E" w14:textId="189574B6">
      <w:pPr>
        <w:pStyle w:val="ParaNum"/>
      </w:pPr>
      <w:r>
        <w:t>Additionally, all Auction 904 participants are required to submit financial statements that hav</w:t>
      </w:r>
      <w:r w:rsidR="008729D6">
        <w:t>e</w:t>
      </w:r>
      <w:r>
        <w:t xml:space="preserve"> been audited by an independent certified public accountant prior to being authorized to receive support.</w:t>
      </w:r>
      <w:r>
        <w:rPr>
          <w:rStyle w:val="FootnoteReference"/>
        </w:rPr>
        <w:footnoteReference w:id="13"/>
      </w:r>
      <w:r>
        <w:t xml:space="preserve">  As the Commission previously has explained, auditors “develop a detailed understanding of the internal controls environment and conduct more in-depth testing of individual transactions posted to the general ledger.”</w:t>
      </w:r>
      <w:r>
        <w:rPr>
          <w:rStyle w:val="FootnoteReference"/>
        </w:rPr>
        <w:footnoteReference w:id="14"/>
      </w:r>
      <w:r>
        <w:t xml:space="preserve">  The Commission gave experienced applicants that are not audited in the ordinary course of business the option of submitting one year of </w:t>
      </w:r>
      <w:r w:rsidRPr="0082667A">
        <w:rPr>
          <w:i/>
        </w:rPr>
        <w:t>unaudited</w:t>
      </w:r>
      <w:r>
        <w:t xml:space="preserve"> financial statements with their short-form applications if they certified they would provide </w:t>
      </w:r>
      <w:r w:rsidRPr="0082667A">
        <w:rPr>
          <w:i/>
        </w:rPr>
        <w:t xml:space="preserve">audited </w:t>
      </w:r>
      <w:r>
        <w:t>financial statements within 180 days of being announced as winning bidders.</w:t>
      </w:r>
      <w:r>
        <w:rPr>
          <w:rStyle w:val="FootnoteReference"/>
        </w:rPr>
        <w:footnoteReference w:id="15"/>
      </w:r>
      <w:r>
        <w:t xml:space="preserve">  However, the Commission specifically declined to extend this option to applicants with fewer than two years of experience due to their lack of operating history and</w:t>
      </w:r>
      <w:r w:rsidR="00004B9D">
        <w:t xml:space="preserve"> </w:t>
      </w:r>
      <w:r w:rsidR="00317807">
        <w:t>inst</w:t>
      </w:r>
      <w:r>
        <w:t>ead required that such applicants submit audited financial statements with the</w:t>
      </w:r>
      <w:r w:rsidR="00BB2B6A">
        <w:t>ir</w:t>
      </w:r>
      <w:r>
        <w:t xml:space="preserve"> short-form application</w:t>
      </w:r>
      <w:r w:rsidR="00FD4204">
        <w:t>s</w:t>
      </w:r>
      <w:r>
        <w:t>.</w:t>
      </w:r>
      <w:r>
        <w:rPr>
          <w:rStyle w:val="FootnoteReference"/>
        </w:rPr>
        <w:footnoteReference w:id="16"/>
      </w:r>
    </w:p>
    <w:p w:rsidR="00802091" w:rsidP="00802091" w14:paraId="752F55D4" w14:textId="7FB86C24">
      <w:pPr>
        <w:pStyle w:val="ParaNum"/>
        <w:rPr>
          <w:color w:val="000000"/>
          <w:szCs w:val="22"/>
        </w:rPr>
      </w:pPr>
      <w:r>
        <w:rPr>
          <w:color w:val="000000"/>
          <w:szCs w:val="22"/>
        </w:rPr>
        <w:t>Entities interested in participating in Auction 90</w:t>
      </w:r>
      <w:r w:rsidR="00215F07">
        <w:rPr>
          <w:color w:val="000000"/>
          <w:szCs w:val="22"/>
        </w:rPr>
        <w:t>4</w:t>
      </w:r>
      <w:r>
        <w:rPr>
          <w:color w:val="000000"/>
          <w:szCs w:val="22"/>
        </w:rPr>
        <w:t xml:space="preserve"> were invited to file short-form applications between </w:t>
      </w:r>
      <w:r w:rsidR="003857F6">
        <w:rPr>
          <w:color w:val="000000"/>
          <w:szCs w:val="22"/>
        </w:rPr>
        <w:t xml:space="preserve">12:00 noon EDT on </w:t>
      </w:r>
      <w:r w:rsidR="00215F07">
        <w:rPr>
          <w:color w:val="000000"/>
          <w:szCs w:val="22"/>
        </w:rPr>
        <w:t xml:space="preserve">July 1, 2020 </w:t>
      </w:r>
      <w:r>
        <w:rPr>
          <w:color w:val="000000"/>
          <w:szCs w:val="22"/>
        </w:rPr>
        <w:t>and</w:t>
      </w:r>
      <w:r w:rsidR="003857F6">
        <w:rPr>
          <w:color w:val="000000"/>
          <w:szCs w:val="22"/>
        </w:rPr>
        <w:t xml:space="preserve"> 6</w:t>
      </w:r>
      <w:r w:rsidR="001F3A5C">
        <w:rPr>
          <w:color w:val="000000"/>
          <w:szCs w:val="22"/>
        </w:rPr>
        <w:t>:00</w:t>
      </w:r>
      <w:r w:rsidR="003857F6">
        <w:rPr>
          <w:color w:val="000000"/>
          <w:szCs w:val="22"/>
        </w:rPr>
        <w:t xml:space="preserve"> p.m. EDT on</w:t>
      </w:r>
      <w:r>
        <w:rPr>
          <w:color w:val="000000"/>
          <w:szCs w:val="22"/>
        </w:rPr>
        <w:t xml:space="preserve"> </w:t>
      </w:r>
      <w:r w:rsidR="00215F07">
        <w:rPr>
          <w:color w:val="000000"/>
          <w:szCs w:val="22"/>
        </w:rPr>
        <w:t>July 15</w:t>
      </w:r>
      <w:r>
        <w:rPr>
          <w:color w:val="000000"/>
          <w:szCs w:val="22"/>
        </w:rPr>
        <w:t>, 20</w:t>
      </w:r>
      <w:r w:rsidR="00215F07">
        <w:rPr>
          <w:color w:val="000000"/>
          <w:szCs w:val="22"/>
        </w:rPr>
        <w:t>20</w:t>
      </w:r>
      <w:r>
        <w:rPr>
          <w:color w:val="000000"/>
          <w:szCs w:val="22"/>
        </w:rPr>
        <w:t>.</w:t>
      </w:r>
      <w:r>
        <w:rPr>
          <w:rStyle w:val="FootnoteReference"/>
          <w:color w:val="000000"/>
          <w:szCs w:val="22"/>
        </w:rPr>
        <w:footnoteReference w:id="17"/>
      </w:r>
      <w:r>
        <w:rPr>
          <w:color w:val="000000"/>
          <w:szCs w:val="22"/>
        </w:rPr>
        <w:t xml:space="preserve">  </w:t>
      </w:r>
      <w:r w:rsidR="00215F07">
        <w:rPr>
          <w:color w:val="000000"/>
          <w:szCs w:val="22"/>
        </w:rPr>
        <w:t>Five</w:t>
      </w:r>
      <w:r>
        <w:rPr>
          <w:color w:val="000000"/>
          <w:szCs w:val="22"/>
        </w:rPr>
        <w:t xml:space="preserve"> hundred and </w:t>
      </w:r>
      <w:r w:rsidR="00215F07">
        <w:rPr>
          <w:color w:val="000000"/>
          <w:szCs w:val="22"/>
        </w:rPr>
        <w:t>five</w:t>
      </w:r>
      <w:r>
        <w:rPr>
          <w:color w:val="000000"/>
          <w:szCs w:val="22"/>
        </w:rPr>
        <w:t xml:space="preserve"> applicants filed short-form applications.</w:t>
      </w:r>
      <w:r>
        <w:rPr>
          <w:rStyle w:val="FootnoteReference"/>
          <w:color w:val="000000"/>
          <w:szCs w:val="22"/>
        </w:rPr>
        <w:footnoteReference w:id="18"/>
      </w:r>
      <w:r>
        <w:rPr>
          <w:color w:val="000000"/>
          <w:szCs w:val="22"/>
        </w:rPr>
        <w:t xml:space="preserve">  A public notice announcing the status of the </w:t>
      </w:r>
      <w:r w:rsidR="00215F07">
        <w:rPr>
          <w:color w:val="000000"/>
          <w:szCs w:val="22"/>
        </w:rPr>
        <w:t>505</w:t>
      </w:r>
      <w:r>
        <w:rPr>
          <w:color w:val="000000"/>
          <w:szCs w:val="22"/>
        </w:rPr>
        <w:t xml:space="preserve"> short-form applications received for Auction 90</w:t>
      </w:r>
      <w:r w:rsidR="00215F07">
        <w:rPr>
          <w:color w:val="000000"/>
          <w:szCs w:val="22"/>
        </w:rPr>
        <w:t>4</w:t>
      </w:r>
      <w:r>
        <w:rPr>
          <w:color w:val="000000"/>
          <w:szCs w:val="22"/>
        </w:rPr>
        <w:t xml:space="preserve"> was released on </w:t>
      </w:r>
      <w:r w:rsidR="00215F07">
        <w:rPr>
          <w:color w:val="000000"/>
          <w:szCs w:val="22"/>
        </w:rPr>
        <w:t>September 1, 2020</w:t>
      </w:r>
      <w:r>
        <w:rPr>
          <w:color w:val="000000"/>
          <w:szCs w:val="22"/>
        </w:rPr>
        <w:t>.</w:t>
      </w:r>
      <w:r>
        <w:rPr>
          <w:rStyle w:val="FootnoteReference"/>
          <w:color w:val="000000"/>
          <w:szCs w:val="22"/>
        </w:rPr>
        <w:footnoteReference w:id="19"/>
      </w:r>
      <w:r>
        <w:rPr>
          <w:color w:val="000000"/>
          <w:szCs w:val="22"/>
        </w:rPr>
        <w:t xml:space="preserve">  </w:t>
      </w:r>
      <w:r w:rsidR="003857F6">
        <w:rPr>
          <w:color w:val="000000"/>
          <w:szCs w:val="22"/>
        </w:rPr>
        <w:t>A</w:t>
      </w:r>
      <w:r>
        <w:rPr>
          <w:color w:val="000000"/>
          <w:szCs w:val="22"/>
        </w:rPr>
        <w:t>pplicants</w:t>
      </w:r>
      <w:r w:rsidR="00004B9D">
        <w:rPr>
          <w:color w:val="000000"/>
          <w:szCs w:val="22"/>
        </w:rPr>
        <w:t xml:space="preserve"> whose short-form applications were deemed i</w:t>
      </w:r>
      <w:r>
        <w:rPr>
          <w:color w:val="000000"/>
          <w:szCs w:val="22"/>
        </w:rPr>
        <w:t>ncomplete</w:t>
      </w:r>
      <w:r w:rsidR="003857F6">
        <w:rPr>
          <w:color w:val="000000"/>
          <w:szCs w:val="22"/>
        </w:rPr>
        <w:t xml:space="preserve"> were permitted</w:t>
      </w:r>
      <w:r>
        <w:rPr>
          <w:color w:val="000000"/>
          <w:szCs w:val="22"/>
        </w:rPr>
        <w:t xml:space="preserve"> to address identified deficiencies in their applications between </w:t>
      </w:r>
      <w:r w:rsidR="00215F07">
        <w:rPr>
          <w:color w:val="000000"/>
          <w:szCs w:val="22"/>
        </w:rPr>
        <w:t>September 1</w:t>
      </w:r>
      <w:r>
        <w:rPr>
          <w:color w:val="000000"/>
          <w:szCs w:val="22"/>
        </w:rPr>
        <w:t>, 20</w:t>
      </w:r>
      <w:r w:rsidR="00215F07">
        <w:rPr>
          <w:color w:val="000000"/>
          <w:szCs w:val="22"/>
        </w:rPr>
        <w:t>20</w:t>
      </w:r>
      <w:r>
        <w:rPr>
          <w:color w:val="000000"/>
          <w:szCs w:val="22"/>
        </w:rPr>
        <w:t xml:space="preserve"> and </w:t>
      </w:r>
      <w:r w:rsidR="00215F07">
        <w:rPr>
          <w:color w:val="000000"/>
          <w:szCs w:val="22"/>
        </w:rPr>
        <w:t>September 23, 2020</w:t>
      </w:r>
      <w:r>
        <w:rPr>
          <w:color w:val="000000"/>
          <w:szCs w:val="22"/>
        </w:rPr>
        <w:t>.</w:t>
      </w:r>
      <w:r>
        <w:rPr>
          <w:rStyle w:val="FootnoteReference"/>
          <w:color w:val="000000"/>
          <w:szCs w:val="22"/>
        </w:rPr>
        <w:footnoteReference w:id="20"/>
      </w:r>
      <w:r>
        <w:rPr>
          <w:color w:val="000000"/>
          <w:szCs w:val="22"/>
        </w:rPr>
        <w:t xml:space="preserve">  </w:t>
      </w:r>
    </w:p>
    <w:p w:rsidR="00802091" w:rsidP="00802091" w14:paraId="33FCA791" w14:textId="4D2A7BCE">
      <w:pPr>
        <w:pStyle w:val="ParaNum"/>
        <w:rPr>
          <w:color w:val="000000"/>
          <w:szCs w:val="22"/>
        </w:rPr>
      </w:pPr>
      <w:r w:rsidRPr="00E116DE">
        <w:rPr>
          <w:i/>
          <w:color w:val="000000"/>
          <w:szCs w:val="22"/>
        </w:rPr>
        <w:t>Petitions for Waiver.</w:t>
      </w:r>
      <w:r>
        <w:rPr>
          <w:color w:val="000000"/>
          <w:szCs w:val="22"/>
        </w:rPr>
        <w:t xml:space="preserve">  </w:t>
      </w:r>
      <w:r w:rsidR="00CD2052">
        <w:rPr>
          <w:color w:val="000000"/>
          <w:szCs w:val="22"/>
        </w:rPr>
        <w:t>Thirty-</w:t>
      </w:r>
      <w:r w:rsidR="00825D13">
        <w:rPr>
          <w:color w:val="000000"/>
          <w:szCs w:val="22"/>
        </w:rPr>
        <w:t>eight</w:t>
      </w:r>
      <w:r>
        <w:rPr>
          <w:color w:val="000000"/>
          <w:szCs w:val="22"/>
        </w:rPr>
        <w:t xml:space="preserve"> applicants filed petitions for waiver of the Commission’s decision to use data </w:t>
      </w:r>
      <w:r w:rsidR="001F3A5C">
        <w:rPr>
          <w:color w:val="000000"/>
          <w:szCs w:val="22"/>
        </w:rPr>
        <w:t xml:space="preserve">submitted </w:t>
      </w:r>
      <w:r>
        <w:rPr>
          <w:color w:val="000000"/>
          <w:szCs w:val="22"/>
        </w:rPr>
        <w:t xml:space="preserve">as of </w:t>
      </w:r>
      <w:r w:rsidR="0005151D">
        <w:rPr>
          <w:color w:val="000000"/>
          <w:szCs w:val="22"/>
        </w:rPr>
        <w:t>June</w:t>
      </w:r>
      <w:r>
        <w:rPr>
          <w:color w:val="000000"/>
          <w:szCs w:val="22"/>
        </w:rPr>
        <w:t xml:space="preserve"> 20</w:t>
      </w:r>
      <w:r w:rsidR="009F4710">
        <w:rPr>
          <w:color w:val="000000"/>
          <w:szCs w:val="22"/>
        </w:rPr>
        <w:t>20</w:t>
      </w:r>
      <w:r>
        <w:rPr>
          <w:color w:val="000000"/>
          <w:szCs w:val="22"/>
        </w:rPr>
        <w:t xml:space="preserve"> (collectively, FCC Form 477 petitions) to validate applicants’ certification that they had been providing a voice and/or broadband service for at least two years.  </w:t>
      </w:r>
      <w:r w:rsidR="001F3A5C">
        <w:rPr>
          <w:color w:val="000000"/>
          <w:szCs w:val="22"/>
        </w:rPr>
        <w:t>In some cases, t</w:t>
      </w:r>
      <w:r>
        <w:rPr>
          <w:color w:val="000000"/>
          <w:szCs w:val="22"/>
        </w:rPr>
        <w:t xml:space="preserve">hese applicants discovered through the application process that they had not filed FCC Form 477s for one or more of the relevant filing periods </w:t>
      </w:r>
      <w:r w:rsidR="002A3870">
        <w:rPr>
          <w:color w:val="000000"/>
          <w:szCs w:val="22"/>
        </w:rPr>
        <w:t xml:space="preserve">as of </w:t>
      </w:r>
      <w:r w:rsidR="00C071BE">
        <w:rPr>
          <w:color w:val="000000"/>
          <w:szCs w:val="22"/>
        </w:rPr>
        <w:t xml:space="preserve">June </w:t>
      </w:r>
      <w:r w:rsidR="0090761B">
        <w:rPr>
          <w:color w:val="000000"/>
          <w:szCs w:val="22"/>
        </w:rPr>
        <w:t>17</w:t>
      </w:r>
      <w:r w:rsidR="005A0FCB">
        <w:rPr>
          <w:color w:val="000000"/>
          <w:szCs w:val="22"/>
        </w:rPr>
        <w:t xml:space="preserve"> </w:t>
      </w:r>
      <w:r w:rsidR="00F94813">
        <w:rPr>
          <w:color w:val="000000"/>
          <w:szCs w:val="22"/>
        </w:rPr>
        <w:t>date</w:t>
      </w:r>
      <w:r w:rsidR="00575952">
        <w:rPr>
          <w:color w:val="000000"/>
          <w:szCs w:val="22"/>
        </w:rPr>
        <w:t xml:space="preserve"> </w:t>
      </w:r>
      <w:r w:rsidR="001E7148">
        <w:rPr>
          <w:color w:val="000000"/>
          <w:szCs w:val="22"/>
        </w:rPr>
        <w:t xml:space="preserve">set out in the </w:t>
      </w:r>
      <w:r w:rsidR="0065188A">
        <w:rPr>
          <w:color w:val="000000"/>
          <w:szCs w:val="22"/>
        </w:rPr>
        <w:t xml:space="preserve">application instructions </w:t>
      </w:r>
      <w:r>
        <w:rPr>
          <w:color w:val="000000"/>
          <w:szCs w:val="22"/>
        </w:rPr>
        <w:t>and then</w:t>
      </w:r>
      <w:r w:rsidR="002A1673">
        <w:rPr>
          <w:color w:val="000000"/>
          <w:szCs w:val="22"/>
        </w:rPr>
        <w:t xml:space="preserve">, in </w:t>
      </w:r>
      <w:r w:rsidR="009F4710">
        <w:rPr>
          <w:color w:val="000000"/>
          <w:szCs w:val="22"/>
        </w:rPr>
        <w:t>many</w:t>
      </w:r>
      <w:r w:rsidR="002A1673">
        <w:rPr>
          <w:color w:val="000000"/>
          <w:szCs w:val="22"/>
        </w:rPr>
        <w:t xml:space="preserve"> cases,</w:t>
      </w:r>
      <w:r>
        <w:rPr>
          <w:color w:val="000000"/>
          <w:szCs w:val="22"/>
        </w:rPr>
        <w:t xml:space="preserve"> </w:t>
      </w:r>
      <w:r w:rsidR="00A828B6">
        <w:rPr>
          <w:color w:val="000000"/>
          <w:szCs w:val="22"/>
        </w:rPr>
        <w:t xml:space="preserve">after June 17 </w:t>
      </w:r>
      <w:r>
        <w:rPr>
          <w:color w:val="000000"/>
          <w:szCs w:val="22"/>
        </w:rPr>
        <w:t xml:space="preserve">submitted FCC Form 477s for the </w:t>
      </w:r>
      <w:r w:rsidR="0033490D">
        <w:rPr>
          <w:color w:val="000000"/>
          <w:szCs w:val="22"/>
        </w:rPr>
        <w:t xml:space="preserve">previously missing </w:t>
      </w:r>
      <w:r>
        <w:rPr>
          <w:color w:val="000000"/>
          <w:szCs w:val="22"/>
        </w:rPr>
        <w:t xml:space="preserve">relevant filing periods.  Accordingly, these applicants request that the Commission accept their late-filed FCC Form 477s as evidence of their </w:t>
      </w:r>
      <w:r w:rsidR="001F3A5C">
        <w:rPr>
          <w:color w:val="000000"/>
          <w:szCs w:val="22"/>
        </w:rPr>
        <w:t xml:space="preserve">operational </w:t>
      </w:r>
      <w:r>
        <w:rPr>
          <w:color w:val="000000"/>
          <w:szCs w:val="22"/>
        </w:rPr>
        <w:t xml:space="preserve">experience </w:t>
      </w:r>
      <w:r w:rsidR="00004B9D">
        <w:rPr>
          <w:color w:val="000000"/>
          <w:szCs w:val="22"/>
        </w:rPr>
        <w:t xml:space="preserve">in </w:t>
      </w:r>
      <w:r>
        <w:rPr>
          <w:color w:val="000000"/>
          <w:szCs w:val="22"/>
        </w:rPr>
        <w:t xml:space="preserve">providing voice and/or broadband services.  </w:t>
      </w:r>
    </w:p>
    <w:p w:rsidR="001E5580" w:rsidP="00802091" w14:paraId="7EB541C2" w14:textId="71CC95F8">
      <w:pPr>
        <w:pStyle w:val="ParaNum"/>
        <w:rPr>
          <w:color w:val="000000"/>
          <w:szCs w:val="22"/>
        </w:rPr>
      </w:pPr>
      <w:r>
        <w:rPr>
          <w:color w:val="000000"/>
          <w:szCs w:val="22"/>
        </w:rPr>
        <w:t>T</w:t>
      </w:r>
      <w:r w:rsidR="00FF3DC1">
        <w:rPr>
          <w:color w:val="000000"/>
          <w:szCs w:val="22"/>
        </w:rPr>
        <w:t>he City of Farmington (NM)</w:t>
      </w:r>
      <w:r w:rsidR="00931F19">
        <w:rPr>
          <w:color w:val="000000"/>
          <w:szCs w:val="22"/>
        </w:rPr>
        <w:t xml:space="preserve"> and Newport Utilities</w:t>
      </w:r>
      <w:r w:rsidR="00FF3DC1">
        <w:rPr>
          <w:color w:val="000000"/>
          <w:szCs w:val="22"/>
        </w:rPr>
        <w:t xml:space="preserve"> seek waiver</w:t>
      </w:r>
      <w:r w:rsidR="00F94813">
        <w:rPr>
          <w:color w:val="000000"/>
          <w:szCs w:val="22"/>
        </w:rPr>
        <w:t>s</w:t>
      </w:r>
      <w:r w:rsidR="00FF3DC1">
        <w:rPr>
          <w:color w:val="000000"/>
          <w:szCs w:val="22"/>
        </w:rPr>
        <w:t xml:space="preserve"> of the</w:t>
      </w:r>
      <w:r w:rsidR="00880DEC">
        <w:rPr>
          <w:color w:val="000000"/>
          <w:szCs w:val="22"/>
        </w:rPr>
        <w:t xml:space="preserve"> requirement</w:t>
      </w:r>
      <w:r>
        <w:rPr>
          <w:color w:val="000000"/>
          <w:szCs w:val="22"/>
        </w:rPr>
        <w:t xml:space="preserve"> </w:t>
      </w:r>
      <w:r w:rsidR="00880DEC">
        <w:rPr>
          <w:color w:val="000000"/>
          <w:szCs w:val="22"/>
        </w:rPr>
        <w:t xml:space="preserve">that </w:t>
      </w:r>
      <w:r w:rsidR="00BB2B6A">
        <w:rPr>
          <w:color w:val="000000"/>
          <w:szCs w:val="22"/>
        </w:rPr>
        <w:t>an applicant</w:t>
      </w:r>
      <w:r w:rsidR="00FF3DC1">
        <w:rPr>
          <w:color w:val="000000"/>
          <w:szCs w:val="22"/>
        </w:rPr>
        <w:t xml:space="preserve"> </w:t>
      </w:r>
      <w:r w:rsidR="00FF3DC1">
        <w:t xml:space="preserve">“submit qualified operating or financial reports </w:t>
      </w:r>
      <w:r w:rsidR="00BB2B6A">
        <w:t xml:space="preserve">that it has </w:t>
      </w:r>
      <w:r w:rsidR="00FF3DC1">
        <w:t>filed with the relevant financial institution</w:t>
      </w:r>
      <w:r w:rsidR="00BB2B6A">
        <w:t xml:space="preserve"> for the relevant time period</w:t>
      </w:r>
      <w:r w:rsidR="00FF3DC1">
        <w:t xml:space="preserve"> along with a certification that the submission is a true and accurate copy of the forms that were submitted to the relevant financial institution”</w:t>
      </w:r>
      <w:r>
        <w:t xml:space="preserve"> </w:t>
      </w:r>
      <w:r>
        <w:rPr>
          <w:color w:val="000000"/>
          <w:szCs w:val="22"/>
        </w:rPr>
        <w:t xml:space="preserve">in order to demonstrate that </w:t>
      </w:r>
      <w:r w:rsidR="00BB2B6A">
        <w:rPr>
          <w:color w:val="000000"/>
          <w:szCs w:val="22"/>
        </w:rPr>
        <w:t>it has</w:t>
      </w:r>
      <w:r>
        <w:rPr>
          <w:color w:val="000000"/>
          <w:szCs w:val="22"/>
        </w:rPr>
        <w:t xml:space="preserve"> operated</w:t>
      </w:r>
      <w:r>
        <w:rPr>
          <w:rFonts w:ascii="Arial" w:hAnsi="Arial" w:cs="Arial"/>
          <w:color w:val="000000"/>
          <w:sz w:val="21"/>
          <w:szCs w:val="21"/>
          <w:shd w:val="clear" w:color="auto" w:fill="FFFFFF"/>
        </w:rPr>
        <w:t xml:space="preserve"> </w:t>
      </w:r>
      <w:r>
        <w:rPr>
          <w:color w:val="000000"/>
          <w:szCs w:val="22"/>
        </w:rPr>
        <w:t xml:space="preserve">an electric transmission or distribution service for </w:t>
      </w:r>
      <w:r>
        <w:t>at least two years.</w:t>
      </w:r>
      <w:r>
        <w:rPr>
          <w:rStyle w:val="FootnoteReference"/>
        </w:rPr>
        <w:footnoteReference w:id="21"/>
      </w:r>
      <w:r w:rsidR="00FF3DC1">
        <w:t xml:space="preserve">  </w:t>
      </w:r>
      <w:r w:rsidR="00931F19">
        <w:t>These applicants</w:t>
      </w:r>
      <w:r w:rsidR="00741401">
        <w:t xml:space="preserve"> explain that, because they have not requested or used funds from the Rural Utilities Service (RUS), National Rural Utilities Cooperative Finance Corporation (CFC), or CoBank, they are not able to submit the specific </w:t>
      </w:r>
      <w:r w:rsidR="00484F06">
        <w:t>reports</w:t>
      </w:r>
      <w:r w:rsidR="00741401">
        <w:t xml:space="preserve"> </w:t>
      </w:r>
      <w:r w:rsidR="009D43AF">
        <w:t>identified</w:t>
      </w:r>
      <w:r w:rsidR="00741401">
        <w:t xml:space="preserve"> by the Commission.</w:t>
      </w:r>
      <w:r>
        <w:rPr>
          <w:rStyle w:val="FootnoteReference"/>
        </w:rPr>
        <w:footnoteReference w:id="22"/>
      </w:r>
      <w:r w:rsidR="00741401">
        <w:t xml:space="preserve">  Instead, they</w:t>
      </w:r>
      <w:r w:rsidR="00D47C49">
        <w:t xml:space="preserve"> offer</w:t>
      </w:r>
      <w:r w:rsidR="00741401">
        <w:t xml:space="preserve"> alternative documentation</w:t>
      </w:r>
      <w:r w:rsidR="00D47C49">
        <w:t xml:space="preserve"> that they claim</w:t>
      </w:r>
      <w:r w:rsidR="00741401">
        <w:t xml:space="preserve"> demonstrat</w:t>
      </w:r>
      <w:r w:rsidR="00D47C49">
        <w:t>es</w:t>
      </w:r>
      <w:r w:rsidR="00741401">
        <w:t xml:space="preserve"> their operating and financial capabilities.</w:t>
      </w:r>
      <w:r w:rsidRPr="00DD3128" w:rsidR="00DD3128">
        <w:rPr>
          <w:rStyle w:val="FootnoteReference"/>
        </w:rPr>
        <w:t xml:space="preserve"> </w:t>
      </w:r>
    </w:p>
    <w:p w:rsidR="00802091" w:rsidP="00802091" w14:paraId="0AA8B8C0" w14:textId="50A24334">
      <w:pPr>
        <w:pStyle w:val="ParaNum"/>
        <w:rPr>
          <w:color w:val="000000"/>
          <w:szCs w:val="22"/>
        </w:rPr>
      </w:pPr>
      <w:r>
        <w:rPr>
          <w:color w:val="000000"/>
          <w:szCs w:val="22"/>
        </w:rPr>
        <w:t xml:space="preserve">Centre WISP Venture Company (Centre WISP) and </w:t>
      </w:r>
      <w:r w:rsidR="00FF3DC1">
        <w:rPr>
          <w:color w:val="000000"/>
          <w:szCs w:val="22"/>
        </w:rPr>
        <w:t>Redbird Management Illinois LLC</w:t>
      </w:r>
      <w:r w:rsidR="008C140C">
        <w:rPr>
          <w:color w:val="000000"/>
          <w:szCs w:val="22"/>
        </w:rPr>
        <w:t xml:space="preserve"> (</w:t>
      </w:r>
      <w:r w:rsidR="00FF3DC1">
        <w:rPr>
          <w:color w:val="000000"/>
          <w:szCs w:val="22"/>
        </w:rPr>
        <w:t>Redbird</w:t>
      </w:r>
      <w:r w:rsidR="008C140C">
        <w:rPr>
          <w:color w:val="000000"/>
          <w:szCs w:val="22"/>
        </w:rPr>
        <w:t xml:space="preserve">) seek waiver of </w:t>
      </w:r>
      <w:r w:rsidR="00DE3787">
        <w:rPr>
          <w:color w:val="000000"/>
          <w:szCs w:val="22"/>
        </w:rPr>
        <w:t>certain</w:t>
      </w:r>
      <w:r w:rsidR="008C140C">
        <w:rPr>
          <w:color w:val="000000"/>
          <w:szCs w:val="22"/>
        </w:rPr>
        <w:t xml:space="preserve"> </w:t>
      </w:r>
      <w:r w:rsidR="001342E8">
        <w:rPr>
          <w:color w:val="000000"/>
          <w:szCs w:val="22"/>
        </w:rPr>
        <w:t>financial information requirements for Auction 904.</w:t>
      </w:r>
      <w:r>
        <w:rPr>
          <w:rStyle w:val="FootnoteReference"/>
          <w:color w:val="000000"/>
          <w:szCs w:val="22"/>
        </w:rPr>
        <w:footnoteReference w:id="23"/>
      </w:r>
      <w:r w:rsidR="001342E8">
        <w:rPr>
          <w:color w:val="000000"/>
          <w:szCs w:val="22"/>
        </w:rPr>
        <w:t xml:space="preserve">  </w:t>
      </w:r>
      <w:r>
        <w:rPr>
          <w:color w:val="000000"/>
          <w:szCs w:val="22"/>
        </w:rPr>
        <w:t>Centre WISP explains that</w:t>
      </w:r>
      <w:r w:rsidR="001342E8">
        <w:rPr>
          <w:color w:val="000000"/>
          <w:szCs w:val="22"/>
        </w:rPr>
        <w:t xml:space="preserve"> it is unable to meet the requirement that applicants with greater than two years of experience</w:t>
      </w:r>
      <w:r w:rsidR="00DE3787">
        <w:rPr>
          <w:color w:val="000000"/>
          <w:szCs w:val="22"/>
        </w:rPr>
        <w:t xml:space="preserve"> that are not audited in the normal course of business must </w:t>
      </w:r>
      <w:r w:rsidR="001342E8">
        <w:rPr>
          <w:color w:val="000000"/>
          <w:szCs w:val="22"/>
        </w:rPr>
        <w:t>provide</w:t>
      </w:r>
      <w:r w:rsidR="00DE3787">
        <w:rPr>
          <w:color w:val="000000"/>
          <w:szCs w:val="22"/>
        </w:rPr>
        <w:t xml:space="preserve"> year-end</w:t>
      </w:r>
      <w:r w:rsidR="001342E8">
        <w:rPr>
          <w:color w:val="000000"/>
          <w:szCs w:val="22"/>
        </w:rPr>
        <w:t xml:space="preserve"> </w:t>
      </w:r>
      <w:r w:rsidR="00DE3787">
        <w:rPr>
          <w:color w:val="000000"/>
          <w:szCs w:val="22"/>
        </w:rPr>
        <w:t xml:space="preserve">2018 </w:t>
      </w:r>
      <w:r w:rsidR="00691695">
        <w:rPr>
          <w:color w:val="000000"/>
          <w:szCs w:val="22"/>
        </w:rPr>
        <w:t xml:space="preserve">unaudited </w:t>
      </w:r>
      <w:r w:rsidR="00DE3787">
        <w:rPr>
          <w:color w:val="000000"/>
          <w:szCs w:val="22"/>
        </w:rPr>
        <w:t>financial</w:t>
      </w:r>
      <w:r w:rsidR="00691695">
        <w:rPr>
          <w:color w:val="000000"/>
          <w:szCs w:val="22"/>
        </w:rPr>
        <w:t xml:space="preserve"> </w:t>
      </w:r>
      <w:r w:rsidR="00DE3787">
        <w:rPr>
          <w:color w:val="000000"/>
          <w:szCs w:val="22"/>
        </w:rPr>
        <w:t>s</w:t>
      </w:r>
      <w:r w:rsidR="00691695">
        <w:rPr>
          <w:color w:val="000000"/>
          <w:szCs w:val="22"/>
        </w:rPr>
        <w:t>tatements</w:t>
      </w:r>
      <w:r w:rsidR="00DE3787">
        <w:rPr>
          <w:color w:val="000000"/>
          <w:szCs w:val="22"/>
        </w:rPr>
        <w:t xml:space="preserve"> </w:t>
      </w:r>
      <w:r w:rsidR="00691695">
        <w:rPr>
          <w:color w:val="000000"/>
          <w:szCs w:val="22"/>
        </w:rPr>
        <w:t>(</w:t>
      </w:r>
      <w:r w:rsidR="00DE3787">
        <w:rPr>
          <w:color w:val="000000"/>
          <w:szCs w:val="22"/>
        </w:rPr>
        <w:t xml:space="preserve">or </w:t>
      </w:r>
      <w:r w:rsidR="00691695">
        <w:rPr>
          <w:color w:val="000000"/>
          <w:szCs w:val="22"/>
        </w:rPr>
        <w:t xml:space="preserve">year-end </w:t>
      </w:r>
      <w:r w:rsidR="00DE3787">
        <w:rPr>
          <w:color w:val="000000"/>
          <w:szCs w:val="22"/>
        </w:rPr>
        <w:t>2019 if available</w:t>
      </w:r>
      <w:r w:rsidR="00691695">
        <w:rPr>
          <w:color w:val="000000"/>
          <w:szCs w:val="22"/>
        </w:rPr>
        <w:t>)</w:t>
      </w:r>
      <w:r w:rsidR="00DE3787">
        <w:rPr>
          <w:color w:val="000000"/>
          <w:szCs w:val="22"/>
        </w:rPr>
        <w:t xml:space="preserve"> </w:t>
      </w:r>
      <w:r w:rsidR="001342E8">
        <w:rPr>
          <w:color w:val="000000"/>
          <w:szCs w:val="22"/>
        </w:rPr>
        <w:t>to demonstrate</w:t>
      </w:r>
      <w:r w:rsidR="00DD3128">
        <w:rPr>
          <w:color w:val="000000"/>
          <w:szCs w:val="22"/>
        </w:rPr>
        <w:t xml:space="preserve"> their</w:t>
      </w:r>
      <w:r w:rsidR="001342E8">
        <w:rPr>
          <w:color w:val="000000"/>
          <w:szCs w:val="22"/>
        </w:rPr>
        <w:t xml:space="preserve"> financial status.</w:t>
      </w:r>
      <w:r>
        <w:rPr>
          <w:rStyle w:val="FootnoteReference"/>
          <w:color w:val="000000"/>
          <w:szCs w:val="22"/>
        </w:rPr>
        <w:footnoteReference w:id="24"/>
      </w:r>
      <w:r w:rsidR="00DE3787">
        <w:rPr>
          <w:color w:val="000000"/>
          <w:szCs w:val="22"/>
        </w:rPr>
        <w:t xml:space="preserve">  Centre WISP </w:t>
      </w:r>
      <w:r w:rsidR="001A1519">
        <w:rPr>
          <w:color w:val="000000"/>
          <w:szCs w:val="22"/>
        </w:rPr>
        <w:t>clarifies</w:t>
      </w:r>
      <w:r w:rsidR="00DE3787">
        <w:rPr>
          <w:color w:val="000000"/>
          <w:szCs w:val="22"/>
        </w:rPr>
        <w:t xml:space="preserve"> that, due to its acquisition in July 2019, it does not have access to the unaudited financials of the company for 2018 or the first half of 2019. </w:t>
      </w:r>
      <w:r w:rsidR="001342E8">
        <w:rPr>
          <w:color w:val="000000"/>
          <w:szCs w:val="22"/>
        </w:rPr>
        <w:t xml:space="preserve"> Redbird seeks waiver of the requirement that applicants with fewer than two years of experience providing a voice, broadband, and/or electric transmission or distribution service submit three years of audited financial statements.  </w:t>
      </w:r>
      <w:r w:rsidR="006A6DD1">
        <w:rPr>
          <w:color w:val="000000"/>
          <w:szCs w:val="22"/>
        </w:rPr>
        <w:t>Redbird</w:t>
      </w:r>
      <w:r>
        <w:rPr>
          <w:color w:val="000000"/>
          <w:szCs w:val="22"/>
        </w:rPr>
        <w:t xml:space="preserve"> </w:t>
      </w:r>
      <w:r w:rsidR="001A1519">
        <w:rPr>
          <w:color w:val="000000"/>
          <w:szCs w:val="22"/>
        </w:rPr>
        <w:t>explain</w:t>
      </w:r>
      <w:r w:rsidR="001342E8">
        <w:rPr>
          <w:color w:val="000000"/>
          <w:szCs w:val="22"/>
        </w:rPr>
        <w:t xml:space="preserve">s that it </w:t>
      </w:r>
      <w:r>
        <w:rPr>
          <w:color w:val="000000"/>
          <w:szCs w:val="22"/>
        </w:rPr>
        <w:t xml:space="preserve">is newly formed as of June 2020 and submitted certain bank statements that it claims </w:t>
      </w:r>
      <w:r w:rsidR="001342E8">
        <w:rPr>
          <w:color w:val="000000"/>
          <w:szCs w:val="22"/>
        </w:rPr>
        <w:t>indicate</w:t>
      </w:r>
      <w:r>
        <w:rPr>
          <w:color w:val="000000"/>
          <w:szCs w:val="22"/>
        </w:rPr>
        <w:t xml:space="preserve"> its financial fitness to participate in </w:t>
      </w:r>
      <w:r w:rsidR="001342E8">
        <w:rPr>
          <w:color w:val="000000"/>
          <w:szCs w:val="22"/>
        </w:rPr>
        <w:t>the auction</w:t>
      </w:r>
      <w:r>
        <w:rPr>
          <w:color w:val="000000"/>
          <w:szCs w:val="22"/>
        </w:rPr>
        <w:t xml:space="preserve">.  </w:t>
      </w:r>
    </w:p>
    <w:p w:rsidR="00495B96" w:rsidRPr="00495B96" w:rsidP="00802091" w14:paraId="401A4749" w14:textId="46107236">
      <w:pPr>
        <w:pStyle w:val="ParaNum"/>
        <w:rPr>
          <w:color w:val="000000"/>
          <w:szCs w:val="22"/>
        </w:rPr>
      </w:pPr>
      <w:r>
        <w:rPr>
          <w:color w:val="000000"/>
          <w:szCs w:val="22"/>
        </w:rPr>
        <w:t xml:space="preserve">Finally, </w:t>
      </w:r>
      <w:r w:rsidR="008F00D4">
        <w:rPr>
          <w:color w:val="000000"/>
          <w:szCs w:val="22"/>
        </w:rPr>
        <w:t>Crocker Communications Inc.</w:t>
      </w:r>
      <w:r>
        <w:rPr>
          <w:color w:val="000000"/>
          <w:szCs w:val="22"/>
        </w:rPr>
        <w:t xml:space="preserve"> and </w:t>
      </w:r>
      <w:r w:rsidR="008F00D4">
        <w:rPr>
          <w:color w:val="000000"/>
          <w:szCs w:val="22"/>
        </w:rPr>
        <w:t>MGW Networks, L.L.C.</w:t>
      </w:r>
      <w:r>
        <w:rPr>
          <w:color w:val="000000"/>
          <w:szCs w:val="22"/>
        </w:rPr>
        <w:t xml:space="preserve"> seek waiver of the Commission’s determination that </w:t>
      </w:r>
      <w:r w:rsidR="008F00D4">
        <w:t xml:space="preserve">CAF Phase II auction (Auction 903) </w:t>
      </w:r>
      <w:r w:rsidR="00BD3111">
        <w:t>winning bidders</w:t>
      </w:r>
      <w:r w:rsidR="008F00D4">
        <w:t xml:space="preserve"> that defaulted on </w:t>
      </w:r>
      <w:r w:rsidR="00161968">
        <w:t xml:space="preserve">all of </w:t>
      </w:r>
      <w:r w:rsidR="008F00D4">
        <w:t xml:space="preserve">their </w:t>
      </w:r>
      <w:r w:rsidR="00577B6D">
        <w:t>winning bids</w:t>
      </w:r>
      <w:r w:rsidR="008F00D4">
        <w:t xml:space="preserve"> would be barred from participating in the Rural Digital Opportunity Fund.</w:t>
      </w:r>
      <w:r>
        <w:rPr>
          <w:rStyle w:val="FootnoteReference"/>
        </w:rPr>
        <w:footnoteReference w:id="25"/>
      </w:r>
      <w:r w:rsidR="008F00D4">
        <w:t xml:space="preserve">  </w:t>
      </w:r>
      <w:r w:rsidR="001D61BD">
        <w:t>Crocker and MGW</w:t>
      </w:r>
      <w:r w:rsidR="008F00D4">
        <w:t xml:space="preserve"> </w:t>
      </w:r>
      <w:r w:rsidR="008B349D">
        <w:t>a</w:t>
      </w:r>
      <w:r w:rsidR="00606062">
        <w:t>llege</w:t>
      </w:r>
      <w:r w:rsidR="008B349D">
        <w:t xml:space="preserve"> </w:t>
      </w:r>
      <w:r w:rsidR="008F00D4">
        <w:t xml:space="preserve">that, after </w:t>
      </w:r>
      <w:r w:rsidR="00945455">
        <w:t xml:space="preserve">submitting winning bids for </w:t>
      </w:r>
      <w:r w:rsidR="00D27EED">
        <w:t xml:space="preserve">CAF Phase II </w:t>
      </w:r>
      <w:r w:rsidR="00491935">
        <w:t xml:space="preserve">support in </w:t>
      </w:r>
      <w:r w:rsidR="008F00D4">
        <w:t>Auc</w:t>
      </w:r>
      <w:r w:rsidR="00FF427D">
        <w:t xml:space="preserve">tion 903, circumstances </w:t>
      </w:r>
      <w:r w:rsidR="007E5E37">
        <w:t xml:space="preserve">beyond their control caused them to have to </w:t>
      </w:r>
      <w:r w:rsidR="001D61BD">
        <w:t xml:space="preserve">withdraw from their proposed projects, therefore requiring them to default on their </w:t>
      </w:r>
      <w:r w:rsidR="005051CE">
        <w:t>winning bids</w:t>
      </w:r>
      <w:r w:rsidR="001D61BD">
        <w:t>.</w:t>
      </w:r>
      <w:r w:rsidR="007E5E37">
        <w:t xml:space="preserve"> </w:t>
      </w:r>
      <w:r w:rsidR="001D61BD">
        <w:t xml:space="preserve"> </w:t>
      </w:r>
      <w:r w:rsidR="00711379">
        <w:t xml:space="preserve">Both applicants </w:t>
      </w:r>
      <w:r w:rsidR="00CD3D95">
        <w:t>claim</w:t>
      </w:r>
      <w:r w:rsidR="00711379">
        <w:t xml:space="preserve"> that </w:t>
      </w:r>
      <w:r>
        <w:t xml:space="preserve">they were </w:t>
      </w:r>
      <w:r w:rsidR="00CD3D95">
        <w:t>un</w:t>
      </w:r>
      <w:r>
        <w:t>aware that there could be additional penalties, beyond a forfeiture, imposed on them for defaulting on their entire</w:t>
      </w:r>
      <w:r w:rsidR="00CD3D95">
        <w:t xml:space="preserve"> Auction 903 awards</w:t>
      </w:r>
      <w:r>
        <w:t>.</w:t>
      </w:r>
      <w:r w:rsidR="00CD3D95">
        <w:t xml:space="preserve">  Further, they argue that barring them from participating in Auction 904 would reduce the number of participants in Auction 904 and disadvantage areas where there is little, if any, interest from other carriers to deploy robust broadband service. </w:t>
      </w:r>
    </w:p>
    <w:p w:rsidR="00802091" w:rsidP="00802091" w14:paraId="5613FF43" w14:textId="77777777">
      <w:pPr>
        <w:pStyle w:val="Heading1"/>
        <w:widowControl/>
      </w:pPr>
      <w:r w:rsidRPr="0019242C">
        <w:t>DISCUSSION</w:t>
      </w:r>
    </w:p>
    <w:p w:rsidR="00F4531F" w:rsidP="00BB75B9" w14:paraId="58348288" w14:textId="197FBE17">
      <w:pPr>
        <w:pStyle w:val="ParaNum"/>
      </w:pPr>
      <w:r>
        <w:t>Generally, the Commission’s rules may be waived for good cause shown.</w:t>
      </w:r>
      <w:r>
        <w:rPr>
          <w:rStyle w:val="FootnoteReference"/>
        </w:rPr>
        <w:footnoteReference w:id="26"/>
      </w:r>
      <w:r>
        <w:t xml:space="preserve">  </w:t>
      </w:r>
      <w:r w:rsidRPr="00BB3C3D">
        <w:t>W</w:t>
      </w:r>
      <w:r w:rsidRPr="00C47CA8">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7"/>
      </w:r>
      <w:r w:rsidRPr="00F6751B">
        <w:t xml:space="preserve">  </w:t>
      </w:r>
      <w:r w:rsidR="00004B9D">
        <w:t>W</w:t>
      </w:r>
      <w:r w:rsidR="00C47CA8">
        <w:t xml:space="preserve">e note </w:t>
      </w:r>
      <w:r w:rsidR="00BE4A2F">
        <w:t xml:space="preserve">that </w:t>
      </w:r>
      <w:r w:rsidR="00C47CA8">
        <w:t>granting an applicant’</w:t>
      </w:r>
      <w:r w:rsidR="00BE4A2F">
        <w:t>s</w:t>
      </w:r>
      <w:r w:rsidR="00C47CA8">
        <w:t xml:space="preserve"> petition for waiver does not necessarily mean that </w:t>
      </w:r>
      <w:r w:rsidR="00BE4A2F">
        <w:t>it is</w:t>
      </w:r>
      <w:r w:rsidR="00C47CA8">
        <w:t xml:space="preserve"> qualified to participate in Auction 904.</w:t>
      </w:r>
      <w:r>
        <w:rPr>
          <w:rStyle w:val="FootnoteReference"/>
        </w:rPr>
        <w:footnoteReference w:id="28"/>
      </w:r>
      <w:r w:rsidR="00C47CA8">
        <w:t xml:space="preserve">  Our final decision about whether an applicant is qualified to bid in the auction will be based on each applicant’s entire application and is announced in the </w:t>
      </w:r>
      <w:r w:rsidRPr="00C47CA8" w:rsidR="00C47CA8">
        <w:rPr>
          <w:i/>
        </w:rPr>
        <w:t>Qualified Bidders Public Notice</w:t>
      </w:r>
      <w:r w:rsidR="00C47CA8">
        <w:t xml:space="preserve"> </w:t>
      </w:r>
      <w:r w:rsidRPr="00242649" w:rsidR="00C47CA8">
        <w:t>released today.</w:t>
      </w:r>
      <w:r>
        <w:rPr>
          <w:rStyle w:val="FootnoteReference"/>
        </w:rPr>
        <w:footnoteReference w:id="29"/>
      </w:r>
      <w:r w:rsidR="00C47CA8">
        <w:t xml:space="preserve">  </w:t>
      </w:r>
    </w:p>
    <w:p w:rsidR="00DB7416" w:rsidP="00817536" w14:paraId="5FC70F37" w14:textId="0E5F8089">
      <w:pPr>
        <w:pStyle w:val="ParaNum"/>
      </w:pPr>
      <w:r w:rsidRPr="00102F60">
        <w:rPr>
          <w:i/>
        </w:rPr>
        <w:t>FCC Form 477 Petitions</w:t>
      </w:r>
      <w:r>
        <w:t xml:space="preserve">.  </w:t>
      </w:r>
      <w:r w:rsidR="00D22AF7">
        <w:t xml:space="preserve">We </w:t>
      </w:r>
      <w:r>
        <w:t>deny</w:t>
      </w:r>
      <w:r w:rsidR="00D22AF7">
        <w:t xml:space="preserve"> 1</w:t>
      </w:r>
      <w:r w:rsidR="009162F4">
        <w:t>5</w:t>
      </w:r>
      <w:r w:rsidR="00D22AF7">
        <w:t xml:space="preserve"> of the 38 FCC Form 477 petitions we received for waiving the Commission’s requirements for Auction 904</w:t>
      </w:r>
      <w:r>
        <w:t xml:space="preserve"> because</w:t>
      </w:r>
      <w:r w:rsidR="00D22AF7">
        <w:t xml:space="preserve"> these applicants failed to submit FCC Form 477 filings for </w:t>
      </w:r>
      <w:r w:rsidRPr="00D22AF7" w:rsidR="00D22AF7">
        <w:rPr>
          <w:i/>
          <w:iCs/>
        </w:rPr>
        <w:t xml:space="preserve">any </w:t>
      </w:r>
      <w:r w:rsidR="00D22AF7">
        <w:t>of the three required periods by the June 17 submission date established for Auction 904.</w:t>
      </w:r>
      <w:r>
        <w:rPr>
          <w:rStyle w:val="FootnoteReference"/>
        </w:rPr>
        <w:footnoteReference w:id="30"/>
      </w:r>
      <w:r w:rsidR="00D22AF7">
        <w:t xml:space="preserve">  </w:t>
      </w:r>
      <w:r w:rsidR="00817536">
        <w:t xml:space="preserve">Applicants have been on notice since the Commission released the </w:t>
      </w:r>
      <w:r w:rsidRPr="00817536" w:rsidR="00817536">
        <w:rPr>
          <w:i/>
          <w:iCs/>
        </w:rPr>
        <w:t>Rural Digital Opportunity Fund Order</w:t>
      </w:r>
      <w:r w:rsidR="00817536">
        <w:t xml:space="preserve"> in January</w:t>
      </w:r>
      <w:r w:rsidRPr="00817536" w:rsidR="00817536">
        <w:t xml:space="preserve"> </w:t>
      </w:r>
      <w:r w:rsidR="00817536">
        <w:t>that FCC Form 477 filings would be used to provide evidence of an applicant’s</w:t>
      </w:r>
      <w:r w:rsidR="00943F9C">
        <w:t xml:space="preserve"> operational</w:t>
      </w:r>
      <w:r w:rsidR="00817536">
        <w:t xml:space="preserve"> experience.</w:t>
      </w:r>
      <w:r>
        <w:rPr>
          <w:rStyle w:val="FootnoteReference"/>
        </w:rPr>
        <w:footnoteReference w:id="31"/>
      </w:r>
      <w:r w:rsidR="00817536">
        <w:t xml:space="preserve">  Applicants therefore had approximately five months to rectify the total failure to make any of the required FCC Form 477 filings.  </w:t>
      </w:r>
      <w:r w:rsidR="00943F9C">
        <w:t>T</w:t>
      </w:r>
      <w:r w:rsidR="000C3231">
        <w:t xml:space="preserve">he Commission adopted this submission date for Auction 904 applications so that the Commission’s application review system would be able to verify that the FCC Registration Numbers provided by the applicant were in fact used to file FCC Form 477 data for the relevant filing periods. </w:t>
      </w:r>
      <w:r w:rsidR="00943F9C">
        <w:t xml:space="preserve"> Thus, failure to provide any of the required FCC Form 477 filings </w:t>
      </w:r>
      <w:r>
        <w:t xml:space="preserve">(initially due on </w:t>
      </w:r>
      <w:r w:rsidR="003009D8">
        <w:t>March 8, 2019</w:t>
      </w:r>
      <w:r>
        <w:t xml:space="preserve">, </w:t>
      </w:r>
      <w:r w:rsidR="003009D8">
        <w:t>September 3, 2019</w:t>
      </w:r>
      <w:r>
        <w:t xml:space="preserve">, and </w:t>
      </w:r>
      <w:r w:rsidR="003009D8">
        <w:t>March 2, 2020</w:t>
      </w:r>
      <w:r>
        <w:t xml:space="preserve">) </w:t>
      </w:r>
      <w:r w:rsidR="00943F9C">
        <w:t xml:space="preserve">by the </w:t>
      </w:r>
      <w:r w:rsidR="00036DF6">
        <w:t xml:space="preserve">June 17 </w:t>
      </w:r>
      <w:r>
        <w:t>deadline</w:t>
      </w:r>
      <w:r w:rsidR="00943F9C">
        <w:t xml:space="preserve"> </w:t>
      </w:r>
      <w:r w:rsidR="00036DF6">
        <w:t xml:space="preserve">established for Auction 904 </w:t>
      </w:r>
      <w:r w:rsidR="00943F9C">
        <w:t>rendered these applications incomplete on their face.</w:t>
      </w:r>
      <w:r>
        <w:rPr>
          <w:rStyle w:val="FootnoteReference"/>
        </w:rPr>
        <w:footnoteReference w:id="32"/>
      </w:r>
      <w:r w:rsidR="000C3231">
        <w:t xml:space="preserve"> </w:t>
      </w:r>
      <w:r w:rsidR="00943F9C">
        <w:t xml:space="preserve"> </w:t>
      </w:r>
    </w:p>
    <w:p w:rsidR="00D22AF7" w:rsidRPr="007274B4" w:rsidP="00817536" w14:paraId="659649C5" w14:textId="333AE9A6">
      <w:pPr>
        <w:pStyle w:val="ParaNum"/>
      </w:pPr>
      <w:r>
        <w:t>What is more, we find that none of these applicants show good cause for their failure.  C</w:t>
      </w:r>
      <w:r w:rsidR="00817536">
        <w:t xml:space="preserve">ontrary to arguments of some of these applicants, </w:t>
      </w:r>
      <w:r>
        <w:t>the requirement that companies file FCC Form 477 has been in effect since 2005 and applies to all of those seeking waiver of this requirement.</w:t>
      </w:r>
      <w:r>
        <w:rPr>
          <w:rStyle w:val="FootnoteReference"/>
        </w:rPr>
        <w:footnoteReference w:id="33"/>
      </w:r>
      <w:r>
        <w:t xml:space="preserve">  Since 2005, the Commission has taken numerous actions related to the FCC Form 477 filing requirement, including adopting FCC Form 477 filing rules and associated orders, issuing filing instructions and public notices pertaining to filing due dates, releasing enforcement advisories, and taking enforcement action for failure to make FCC Form 477 filings.</w:t>
      </w:r>
      <w:r>
        <w:rPr>
          <w:rStyle w:val="FootnoteReference"/>
        </w:rPr>
        <w:footnoteReference w:id="34"/>
      </w:r>
      <w:r>
        <w:t xml:space="preserve">  Thus, there can be no reasonable question concerning the existence or the application of the obligation</w:t>
      </w:r>
      <w:r w:rsidR="000C3231">
        <w:t>.  W</w:t>
      </w:r>
      <w:r>
        <w:t xml:space="preserve">e conclude that </w:t>
      </w:r>
      <w:r w:rsidRPr="007274B4">
        <w:t xml:space="preserve">the inability of these applicants to demonstrate even minimum compliance with the Commission’s </w:t>
      </w:r>
      <w:r>
        <w:t>Form 477 deadline</w:t>
      </w:r>
      <w:r w:rsidR="000C3231">
        <w:t xml:space="preserve"> for Auction 904</w:t>
      </w:r>
      <w:r w:rsidRPr="007274B4">
        <w:t xml:space="preserve"> indicates a lack of fitness to be qualified as bidders in </w:t>
      </w:r>
      <w:r w:rsidR="000C3231">
        <w:t>the auction</w:t>
      </w:r>
      <w:r w:rsidRPr="007274B4">
        <w:t xml:space="preserve">.  </w:t>
      </w:r>
    </w:p>
    <w:p w:rsidR="00802091" w:rsidP="00106D0F" w14:paraId="6B2400C5" w14:textId="78B40BE9">
      <w:pPr>
        <w:pStyle w:val="ParaNum"/>
      </w:pPr>
      <w:r>
        <w:t xml:space="preserve">For the remaining </w:t>
      </w:r>
      <w:r w:rsidR="000C3231">
        <w:t>2</w:t>
      </w:r>
      <w:r w:rsidR="009162F4">
        <w:t>3</w:t>
      </w:r>
      <w:r w:rsidR="000C3231">
        <w:t xml:space="preserve"> </w:t>
      </w:r>
      <w:r>
        <w:t xml:space="preserve">petitions, we </w:t>
      </w:r>
      <w:r w:rsidR="00DB7416">
        <w:t>review each</w:t>
      </w:r>
      <w:r>
        <w:t xml:space="preserve"> to determine whether</w:t>
      </w:r>
      <w:r w:rsidR="00AE3CDE">
        <w:t xml:space="preserve"> s</w:t>
      </w:r>
      <w:r w:rsidR="008C140C">
        <w:t xml:space="preserve">pecial circumstances warrant deviating from the requirement that FCC Form 477 data </w:t>
      </w:r>
      <w:r w:rsidR="009C6017">
        <w:t>for all three</w:t>
      </w:r>
      <w:r w:rsidR="00A53D6D">
        <w:t xml:space="preserve"> of the required</w:t>
      </w:r>
      <w:r w:rsidR="009C6017">
        <w:t xml:space="preserve"> periods </w:t>
      </w:r>
      <w:r w:rsidR="008C140C">
        <w:t xml:space="preserve">be </w:t>
      </w:r>
      <w:r w:rsidR="00DB7416">
        <w:t>timely filed</w:t>
      </w:r>
      <w:r w:rsidR="008C140C">
        <w:t xml:space="preserve"> with the Commission.  </w:t>
      </w:r>
      <w:r w:rsidR="00106D0F">
        <w:t xml:space="preserve">Each </w:t>
      </w:r>
      <w:r w:rsidR="009C6017">
        <w:t xml:space="preserve">of these applicants </w:t>
      </w:r>
      <w:r w:rsidR="009B06EC">
        <w:t>submitted</w:t>
      </w:r>
      <w:r w:rsidR="009C6017">
        <w:t xml:space="preserve"> at least one </w:t>
      </w:r>
      <w:r w:rsidR="009B06EC">
        <w:t xml:space="preserve">of the </w:t>
      </w:r>
      <w:r w:rsidR="009C6017">
        <w:t xml:space="preserve">FCC Form 477 </w:t>
      </w:r>
      <w:r w:rsidR="009B06EC">
        <w:t xml:space="preserve">filings </w:t>
      </w:r>
      <w:r w:rsidR="009C6017">
        <w:t xml:space="preserve">required to participate </w:t>
      </w:r>
      <w:r w:rsidR="000C3231">
        <w:t>in Auction 904</w:t>
      </w:r>
      <w:r w:rsidRPr="00106D0F" w:rsidR="00106D0F">
        <w:t xml:space="preserve"> </w:t>
      </w:r>
      <w:r w:rsidR="00106D0F">
        <w:t xml:space="preserve">prior to the June 17 submission date and </w:t>
      </w:r>
      <w:r w:rsidR="00CC0F01">
        <w:t xml:space="preserve">all but one </w:t>
      </w:r>
      <w:r w:rsidR="00106D0F">
        <w:t xml:space="preserve">has since filed, and certified to the accuracy of, the required FCC Form 477 data demonstrating that the applicant has been providing a broadband service for at least two years. </w:t>
      </w:r>
      <w:r w:rsidR="000C3231">
        <w:t xml:space="preserve"> </w:t>
      </w:r>
      <w:r w:rsidR="00106D0F">
        <w:t xml:space="preserve">After reviewing these filings, we find </w:t>
      </w:r>
      <w:r w:rsidR="000C3231">
        <w:t xml:space="preserve">that </w:t>
      </w:r>
      <w:r w:rsidR="00BB75B9">
        <w:t xml:space="preserve">the FCC Form 477 </w:t>
      </w:r>
      <w:r w:rsidR="00106D0F">
        <w:t xml:space="preserve">submissions made by all but </w:t>
      </w:r>
      <w:r w:rsidR="00CC0F01">
        <w:t>two</w:t>
      </w:r>
      <w:r w:rsidR="00106D0F">
        <w:t xml:space="preserve"> of</w:t>
      </w:r>
      <w:r w:rsidR="00BB75B9">
        <w:t xml:space="preserve"> these applicants prior to the June 17 deadline </w:t>
      </w:r>
      <w:r w:rsidR="00341358">
        <w:t xml:space="preserve">were </w:t>
      </w:r>
      <w:r w:rsidR="00341358">
        <w:t>sufficient</w:t>
      </w:r>
      <w:r w:rsidR="00341358">
        <w:t xml:space="preserve"> </w:t>
      </w:r>
      <w:r w:rsidR="009B06EC">
        <w:t>to establish the applicants’ experience to participate in Auction 904</w:t>
      </w:r>
      <w:r w:rsidR="00BB75B9">
        <w:t xml:space="preserve">.  </w:t>
      </w:r>
      <w:r w:rsidR="00341358">
        <w:t xml:space="preserve">In these special </w:t>
      </w:r>
      <w:r w:rsidR="00341358">
        <w:t>circumstances, and</w:t>
      </w:r>
      <w:r w:rsidR="00341358">
        <w:t xml:space="preserve"> given the unique purpose of the filings used to verify the required operational experience, </w:t>
      </w:r>
      <w:r w:rsidR="00004B9D">
        <w:t xml:space="preserve">we conclude that </w:t>
      </w:r>
      <w:r w:rsidR="00A61C44">
        <w:t xml:space="preserve">waiver of </w:t>
      </w:r>
      <w:r w:rsidR="008C140C">
        <w:t xml:space="preserve">the </w:t>
      </w:r>
      <w:r w:rsidR="00F146D4">
        <w:t xml:space="preserve">deadline </w:t>
      </w:r>
      <w:r w:rsidR="00341358">
        <w:t>for these 2</w:t>
      </w:r>
      <w:r w:rsidR="00AE0E4F">
        <w:t>1</w:t>
      </w:r>
      <w:r w:rsidR="00341358">
        <w:t xml:space="preserve"> applicants </w:t>
      </w:r>
      <w:r w:rsidR="00A61C44">
        <w:t>is appropriate</w:t>
      </w:r>
      <w:r w:rsidR="008C140C">
        <w:t>.</w:t>
      </w:r>
      <w:r>
        <w:rPr>
          <w:rStyle w:val="FootnoteReference"/>
        </w:rPr>
        <w:footnoteReference w:id="35"/>
      </w:r>
      <w:r w:rsidR="008C140C">
        <w:t xml:space="preserve"> </w:t>
      </w:r>
    </w:p>
    <w:p w:rsidR="00711CC8" w:rsidP="001A1519" w14:paraId="5F3E6300" w14:textId="6611B453">
      <w:pPr>
        <w:pStyle w:val="ParaNum"/>
      </w:pPr>
      <w:r>
        <w:t>W</w:t>
      </w:r>
      <w:r w:rsidR="008C140C">
        <w:t>e</w:t>
      </w:r>
      <w:r>
        <w:t xml:space="preserve"> also</w:t>
      </w:r>
      <w:r w:rsidR="008C140C">
        <w:t xml:space="preserve"> conclude that it will serve the public interest to </w:t>
      </w:r>
      <w:r w:rsidR="000C3231">
        <w:t xml:space="preserve">grant the petitions filed by </w:t>
      </w:r>
      <w:r w:rsidR="00525269">
        <w:t xml:space="preserve">these </w:t>
      </w:r>
      <w:r>
        <w:t>2</w:t>
      </w:r>
      <w:r w:rsidR="00AE0E4F">
        <w:t>1</w:t>
      </w:r>
      <w:r>
        <w:t xml:space="preserve"> </w:t>
      </w:r>
      <w:r w:rsidR="00525269">
        <w:t>applicants</w:t>
      </w:r>
      <w:r w:rsidR="008C140C">
        <w:t>.</w:t>
      </w:r>
      <w:r>
        <w:rPr>
          <w:rStyle w:val="FootnoteReference"/>
        </w:rPr>
        <w:footnoteReference w:id="36"/>
      </w:r>
      <w:r w:rsidR="008C140C">
        <w:t xml:space="preserve">  The Commission noted when adopting the short-form application requirements that</w:t>
      </w:r>
      <w:r w:rsidR="00F73071">
        <w:t xml:space="preserve"> </w:t>
      </w:r>
      <w:r w:rsidR="00B73391">
        <w:t>requiring</w:t>
      </w:r>
      <w:r w:rsidR="009B06EC">
        <w:t xml:space="preserve"> applicants to provide evidence of </w:t>
      </w:r>
      <w:r w:rsidR="00B73391">
        <w:t>FCC Form 477</w:t>
      </w:r>
      <w:r w:rsidR="009B06EC">
        <w:t xml:space="preserve"> filings</w:t>
      </w:r>
      <w:r w:rsidR="00B73391">
        <w:t xml:space="preserve"> </w:t>
      </w:r>
      <w:r w:rsidR="00F73071">
        <w:t>was “an appropriate screening process to ensure serious participation, without being overly burdensome to applicants and recipients.”</w:t>
      </w:r>
      <w:r>
        <w:rPr>
          <w:rStyle w:val="FootnoteReference"/>
        </w:rPr>
        <w:footnoteReference w:id="37"/>
      </w:r>
      <w:r w:rsidR="008C140C">
        <w:t xml:space="preserve">  Because these applicants have demonstrated that they have at least two years of </w:t>
      </w:r>
      <w:r w:rsidR="00993BA9">
        <w:t xml:space="preserve">operational </w:t>
      </w:r>
      <w:r w:rsidR="008C140C">
        <w:t>experience</w:t>
      </w:r>
      <w:r w:rsidR="00F146D4">
        <w:t>,</w:t>
      </w:r>
      <w:r w:rsidR="008C140C">
        <w:t xml:space="preserve"> granting th</w:t>
      </w:r>
      <w:r w:rsidR="00F146D4">
        <w:t>ese</w:t>
      </w:r>
      <w:r w:rsidR="008C140C">
        <w:t xml:space="preserve"> waiver</w:t>
      </w:r>
      <w:r w:rsidR="00F146D4">
        <w:t>s in the circumstances presented by each applicant</w:t>
      </w:r>
      <w:r w:rsidR="008C140C">
        <w:t xml:space="preserve"> will increase the likelihood of greater participation by verified</w:t>
      </w:r>
      <w:r w:rsidR="00E937A9">
        <w:t>,</w:t>
      </w:r>
      <w:r w:rsidR="008C140C">
        <w:t xml:space="preserve"> experienced applicants in the auction, thereby enhancing competition for our finite </w:t>
      </w:r>
      <w:r w:rsidR="00002E36">
        <w:t>Rural Digital Opportunity Fund</w:t>
      </w:r>
      <w:r w:rsidR="008C140C">
        <w:t xml:space="preserve"> budget.</w:t>
      </w:r>
      <w:r>
        <w:rPr>
          <w:rStyle w:val="FootnoteReference"/>
        </w:rPr>
        <w:footnoteReference w:id="38"/>
      </w:r>
    </w:p>
    <w:p w:rsidR="00AF06C4" w:rsidP="00F852DF" w14:paraId="1E76BA28" w14:textId="2E39EDF8">
      <w:pPr>
        <w:pStyle w:val="ParaNum"/>
      </w:pPr>
      <w:r>
        <w:t>Finally</w:t>
      </w:r>
      <w:r w:rsidRPr="007274B4" w:rsidR="000D522B">
        <w:t>, we</w:t>
      </w:r>
      <w:r w:rsidRPr="007274B4" w:rsidR="008C140C">
        <w:t xml:space="preserve"> deny petition</w:t>
      </w:r>
      <w:r w:rsidR="00CC0F01">
        <w:t>s</w:t>
      </w:r>
      <w:r w:rsidRPr="007274B4" w:rsidR="008C140C">
        <w:t xml:space="preserve"> filed by </w:t>
      </w:r>
      <w:r w:rsidR="00CC0F01">
        <w:t xml:space="preserve">Hosted Backbone, LLC and </w:t>
      </w:r>
      <w:r w:rsidRPr="007274B4" w:rsidR="00284148">
        <w:t>Satview Broadband Ltd.</w:t>
      </w:r>
      <w:r w:rsidRPr="007274B4" w:rsidR="007274B4">
        <w:t xml:space="preserve"> (Satview).</w:t>
      </w:r>
      <w:r w:rsidRPr="007274B4" w:rsidR="00284148">
        <w:t xml:space="preserve"> </w:t>
      </w:r>
      <w:r w:rsidRPr="007274B4" w:rsidR="008C140C">
        <w:t xml:space="preserve"> </w:t>
      </w:r>
      <w:r w:rsidR="00CC0F01">
        <w:t xml:space="preserve">Hosted Backbone seeks waiver of the requirement to provide the requisite FCC Form 477 filings, noting that it has only been operational since July 2019.  Though Hosted Backbone did have its December 2019 FCC </w:t>
      </w:r>
      <w:r w:rsidR="009162F4">
        <w:t>F</w:t>
      </w:r>
      <w:r w:rsidR="00CC0F01">
        <w:t>orm 477 on file by the June 17 deadline, it is unable to pro</w:t>
      </w:r>
      <w:r>
        <w:t>d</w:t>
      </w:r>
      <w:r w:rsidR="00CC0F01">
        <w:t>uce the remaining two filings due to its lack of operational experience.</w:t>
      </w:r>
      <w:r>
        <w:t xml:space="preserve">  As the Commission explained when adopting the requirements for Auction 904, “requiring that an entity to have operated a network for at least two years will give us sufficient assurance that an entity has the qualifications to maintain a network.”</w:t>
      </w:r>
      <w:r>
        <w:rPr>
          <w:rStyle w:val="FootnoteReference"/>
        </w:rPr>
        <w:footnoteReference w:id="39"/>
      </w:r>
      <w:r>
        <w:t xml:space="preserve">  Moreover, the Commission provided an alternative eligibility pathway for entities that could not meet this requirement;</w:t>
      </w:r>
      <w:r>
        <w:rPr>
          <w:rStyle w:val="FootnoteReference"/>
        </w:rPr>
        <w:footnoteReference w:id="40"/>
      </w:r>
      <w:r>
        <w:t xml:space="preserve"> however, Hosted Backbone chose not to avail itself of this </w:t>
      </w:r>
      <w:r w:rsidR="009162F4">
        <w:t>eligibility pathway and instead seeks waiver of the FCC Form 477 requirement</w:t>
      </w:r>
      <w:r>
        <w:t>.  Thus</w:t>
      </w:r>
      <w:r w:rsidR="009162F4">
        <w:t>,</w:t>
      </w:r>
      <w:r>
        <w:t xml:space="preserve"> we conclude that</w:t>
      </w:r>
      <w:r w:rsidR="009162F4">
        <w:t xml:space="preserve"> Hosted Backbone has failed to demonstrate special circumstances that would justify granting its FCC Form 477 waiver. </w:t>
      </w:r>
      <w:r>
        <w:t xml:space="preserve">  </w:t>
      </w:r>
    </w:p>
    <w:p w:rsidR="00802091" w:rsidRPr="007274B4" w:rsidP="00F852DF" w14:paraId="7C3BCC67" w14:textId="489579B6">
      <w:pPr>
        <w:pStyle w:val="ParaNum"/>
      </w:pPr>
      <w:r>
        <w:t xml:space="preserve">Staff review of </w:t>
      </w:r>
      <w:r w:rsidRPr="007274B4" w:rsidR="007274B4">
        <w:t>Satview</w:t>
      </w:r>
      <w:r>
        <w:t>’s</w:t>
      </w:r>
      <w:r>
        <w:t xml:space="preserve"> </w:t>
      </w:r>
      <w:r w:rsidRPr="007274B4" w:rsidR="007274B4">
        <w:t>December 2019 FCC Form 477 filing</w:t>
      </w:r>
      <w:r>
        <w:t>—</w:t>
      </w:r>
      <w:r w:rsidR="000D2A6A">
        <w:t>the</w:t>
      </w:r>
      <w:r>
        <w:t xml:space="preserve"> only</w:t>
      </w:r>
      <w:r w:rsidR="000D2A6A">
        <w:t xml:space="preserve"> on</w:t>
      </w:r>
      <w:r w:rsidR="00F801DD">
        <w:t>e</w:t>
      </w:r>
      <w:r w:rsidR="000D2A6A">
        <w:t xml:space="preserve"> of the three</w:t>
      </w:r>
      <w:r>
        <w:t xml:space="preserve"> required filing</w:t>
      </w:r>
      <w:r w:rsidR="000D2A6A">
        <w:t>s it</w:t>
      </w:r>
      <w:r>
        <w:t xml:space="preserve"> made</w:t>
      </w:r>
      <w:r w:rsidRPr="007274B4" w:rsidR="007274B4">
        <w:t xml:space="preserve"> prior to the June 17 deadline</w:t>
      </w:r>
      <w:r>
        <w:t>—</w:t>
      </w:r>
      <w:r w:rsidRPr="007274B4" w:rsidR="007274B4">
        <w:t xml:space="preserve">indicated serious deficiencies and inconsistencies.  For example, Satview reported serving only one census block in </w:t>
      </w:r>
      <w:r w:rsidR="00BB75B9">
        <w:t>i</w:t>
      </w:r>
      <w:r w:rsidRPr="007274B4" w:rsidR="007274B4">
        <w:t>t</w:t>
      </w:r>
      <w:r w:rsidR="00BB75B9">
        <w:t xml:space="preserve">s </w:t>
      </w:r>
      <w:r w:rsidRPr="007274B4" w:rsidR="00BB75B9">
        <w:t xml:space="preserve">December 2019 </w:t>
      </w:r>
      <w:r w:rsidRPr="007274B4" w:rsidR="007274B4">
        <w:t xml:space="preserve">filing, </w:t>
      </w:r>
      <w:r w:rsidR="000D2A6A">
        <w:t>even though</w:t>
      </w:r>
      <w:r w:rsidRPr="007274B4" w:rsidR="007274B4">
        <w:t xml:space="preserve"> </w:t>
      </w:r>
      <w:r w:rsidR="008A2094">
        <w:t xml:space="preserve">other submissions to the Commission </w:t>
      </w:r>
      <w:r w:rsidRPr="00F852DF" w:rsidR="007274B4">
        <w:t xml:space="preserve">indicated that </w:t>
      </w:r>
      <w:r w:rsidR="000D2A6A">
        <w:t>it s</w:t>
      </w:r>
      <w:r w:rsidRPr="00F852DF" w:rsidR="007274B4">
        <w:t>erved close to 200 census blocks</w:t>
      </w:r>
      <w:r w:rsidR="008A2094">
        <w:t xml:space="preserve">, and Satview never explained the discrepancy.  </w:t>
      </w:r>
      <w:r w:rsidRPr="00F852DF">
        <w:t xml:space="preserve">Additionally, </w:t>
      </w:r>
      <w:r w:rsidRPr="00F852DF">
        <w:t>Satview’s</w:t>
      </w:r>
      <w:r w:rsidRPr="00F852DF">
        <w:t xml:space="preserve"> reported subscri</w:t>
      </w:r>
      <w:r w:rsidR="000D2A6A">
        <w:t>ption</w:t>
      </w:r>
      <w:r w:rsidRPr="00F852DF">
        <w:t xml:space="preserve"> </w:t>
      </w:r>
      <w:r w:rsidRPr="00F852DF" w:rsidR="000D2A6A">
        <w:rPr>
          <w:rStyle w:val="normaltextrun"/>
          <w:color w:val="000000"/>
          <w:szCs w:val="22"/>
          <w:shd w:val="clear" w:color="auto" w:fill="FFFFFF"/>
        </w:rPr>
        <w:t xml:space="preserve">trend line </w:t>
      </w:r>
      <w:r w:rsidRPr="00F852DF">
        <w:t xml:space="preserve">was inconsistent with </w:t>
      </w:r>
      <w:r w:rsidR="000D2A6A">
        <w:t xml:space="preserve">that of an established company. </w:t>
      </w:r>
      <w:r w:rsidRPr="00F852DF">
        <w:t xml:space="preserve"> </w:t>
      </w:r>
      <w:r w:rsidR="00004B9D">
        <w:rPr>
          <w:rStyle w:val="normaltextrun"/>
          <w:color w:val="000000"/>
          <w:szCs w:val="22"/>
          <w:shd w:val="clear" w:color="auto" w:fill="FFFFFF"/>
        </w:rPr>
        <w:t>Moreover,</w:t>
      </w:r>
      <w:r w:rsidRPr="00F852DF">
        <w:rPr>
          <w:rStyle w:val="normaltextrun"/>
          <w:color w:val="000000"/>
          <w:szCs w:val="22"/>
          <w:shd w:val="clear" w:color="auto" w:fill="FFFFFF"/>
        </w:rPr>
        <w:t xml:space="preserve"> </w:t>
      </w:r>
      <w:r>
        <w:rPr>
          <w:rStyle w:val="normaltextrun"/>
          <w:color w:val="000000"/>
          <w:szCs w:val="22"/>
          <w:shd w:val="clear" w:color="auto" w:fill="FFFFFF"/>
        </w:rPr>
        <w:t>Satview</w:t>
      </w:r>
      <w:r w:rsidRPr="00F852DF">
        <w:rPr>
          <w:rStyle w:val="normaltextrun"/>
          <w:color w:val="000000"/>
          <w:szCs w:val="22"/>
          <w:shd w:val="clear" w:color="auto" w:fill="FFFFFF"/>
        </w:rPr>
        <w:t xml:space="preserve"> only initiated </w:t>
      </w:r>
      <w:r w:rsidR="00DD3D11">
        <w:rPr>
          <w:rStyle w:val="normaltextrun"/>
          <w:color w:val="000000"/>
          <w:szCs w:val="22"/>
          <w:shd w:val="clear" w:color="auto" w:fill="FFFFFF"/>
        </w:rPr>
        <w:t>its</w:t>
      </w:r>
      <w:r w:rsidRPr="00F852DF">
        <w:rPr>
          <w:rStyle w:val="normaltextrun"/>
          <w:color w:val="000000"/>
          <w:szCs w:val="22"/>
          <w:shd w:val="clear" w:color="auto" w:fill="FFFFFF"/>
        </w:rPr>
        <w:t xml:space="preserve"> </w:t>
      </w:r>
      <w:r>
        <w:rPr>
          <w:rStyle w:val="normaltextrun"/>
          <w:color w:val="000000"/>
          <w:szCs w:val="22"/>
          <w:shd w:val="clear" w:color="auto" w:fill="FFFFFF"/>
        </w:rPr>
        <w:t xml:space="preserve">FCC Form </w:t>
      </w:r>
      <w:r w:rsidRPr="00F852DF">
        <w:rPr>
          <w:rStyle w:val="normaltextrun"/>
          <w:color w:val="000000"/>
          <w:szCs w:val="22"/>
          <w:shd w:val="clear" w:color="auto" w:fill="FFFFFF"/>
        </w:rPr>
        <w:t>477 filings in the run</w:t>
      </w:r>
      <w:r w:rsidR="008E377B">
        <w:rPr>
          <w:rStyle w:val="normaltextrun"/>
          <w:color w:val="000000"/>
          <w:szCs w:val="22"/>
          <w:shd w:val="clear" w:color="auto" w:fill="FFFFFF"/>
        </w:rPr>
        <w:t>-</w:t>
      </w:r>
      <w:r w:rsidRPr="00F852DF">
        <w:rPr>
          <w:rStyle w:val="normaltextrun"/>
          <w:color w:val="000000"/>
          <w:szCs w:val="22"/>
          <w:shd w:val="clear" w:color="auto" w:fill="FFFFFF"/>
        </w:rPr>
        <w:t>up to Auction 904, never having logged into the</w:t>
      </w:r>
      <w:r w:rsidR="000D2A6A">
        <w:rPr>
          <w:rStyle w:val="normaltextrun"/>
          <w:color w:val="000000"/>
          <w:szCs w:val="22"/>
          <w:shd w:val="clear" w:color="auto" w:fill="FFFFFF"/>
        </w:rPr>
        <w:t xml:space="preserve"> FCC </w:t>
      </w:r>
      <w:r w:rsidRPr="00F852DF">
        <w:rPr>
          <w:rStyle w:val="normaltextrun"/>
          <w:color w:val="000000"/>
          <w:szCs w:val="22"/>
          <w:shd w:val="clear" w:color="auto" w:fill="FFFFFF"/>
        </w:rPr>
        <w:t xml:space="preserve">Form 477 application </w:t>
      </w:r>
      <w:r w:rsidR="00E57175">
        <w:rPr>
          <w:rStyle w:val="normaltextrun"/>
          <w:color w:val="000000"/>
          <w:szCs w:val="22"/>
          <w:shd w:val="clear" w:color="auto" w:fill="FFFFFF"/>
        </w:rPr>
        <w:t xml:space="preserve">system </w:t>
      </w:r>
      <w:r w:rsidRPr="00F852DF">
        <w:rPr>
          <w:rStyle w:val="normaltextrun"/>
          <w:color w:val="000000"/>
          <w:szCs w:val="22"/>
          <w:shd w:val="clear" w:color="auto" w:fill="FFFFFF"/>
        </w:rPr>
        <w:t>until June 2020</w:t>
      </w:r>
      <w:r w:rsidR="00004B9D">
        <w:rPr>
          <w:rStyle w:val="normaltextrun"/>
          <w:color w:val="000000"/>
          <w:szCs w:val="22"/>
          <w:shd w:val="clear" w:color="auto" w:fill="FFFFFF"/>
        </w:rPr>
        <w:t>, further exacerbating our concerns</w:t>
      </w:r>
      <w:r w:rsidRPr="00F852DF">
        <w:rPr>
          <w:rStyle w:val="normaltextrun"/>
          <w:color w:val="000000"/>
          <w:szCs w:val="22"/>
          <w:shd w:val="clear" w:color="auto" w:fill="FFFFFF"/>
        </w:rPr>
        <w:t>.  </w:t>
      </w:r>
      <w:r w:rsidR="00BB75B9">
        <w:t xml:space="preserve">We conclude, therefore, that </w:t>
      </w:r>
      <w:r w:rsidR="000D2A6A">
        <w:t xml:space="preserve">the deficiencies </w:t>
      </w:r>
      <w:r w:rsidR="00B023E3">
        <w:t>in</w:t>
      </w:r>
      <w:r w:rsidR="000D2A6A">
        <w:t xml:space="preserve"> </w:t>
      </w:r>
      <w:r w:rsidR="00BB75B9">
        <w:t>Satview’s</w:t>
      </w:r>
      <w:r w:rsidR="00BB75B9">
        <w:t xml:space="preserve"> </w:t>
      </w:r>
      <w:r w:rsidR="000D2A6A">
        <w:t xml:space="preserve">December 2019 </w:t>
      </w:r>
      <w:r w:rsidR="000D2A6A">
        <w:rPr>
          <w:rStyle w:val="normaltextrun"/>
          <w:color w:val="000000"/>
          <w:szCs w:val="22"/>
          <w:shd w:val="clear" w:color="auto" w:fill="FFFFFF"/>
        </w:rPr>
        <w:t xml:space="preserve">FCC </w:t>
      </w:r>
      <w:r w:rsidRPr="00F852DF" w:rsidR="000D2A6A">
        <w:rPr>
          <w:rStyle w:val="normaltextrun"/>
          <w:color w:val="000000"/>
          <w:szCs w:val="22"/>
          <w:shd w:val="clear" w:color="auto" w:fill="FFFFFF"/>
        </w:rPr>
        <w:t xml:space="preserve">Form 477 </w:t>
      </w:r>
      <w:r w:rsidR="000D2A6A">
        <w:rPr>
          <w:rStyle w:val="normaltextrun"/>
          <w:color w:val="000000"/>
          <w:szCs w:val="22"/>
          <w:shd w:val="clear" w:color="auto" w:fill="FFFFFF"/>
        </w:rPr>
        <w:t xml:space="preserve">filing </w:t>
      </w:r>
      <w:r w:rsidR="001901BC">
        <w:rPr>
          <w:rStyle w:val="normaltextrun"/>
          <w:color w:val="000000"/>
          <w:szCs w:val="22"/>
          <w:shd w:val="clear" w:color="auto" w:fill="FFFFFF"/>
        </w:rPr>
        <w:t xml:space="preserve">and other information provided to the staff by Satview make it impossible to </w:t>
      </w:r>
      <w:r w:rsidRPr="007274B4" w:rsidR="00BB75B9">
        <w:t xml:space="preserve">verify </w:t>
      </w:r>
      <w:r w:rsidR="00993BA9">
        <w:t xml:space="preserve">during the resubmission period </w:t>
      </w:r>
      <w:r w:rsidR="001901BC">
        <w:t xml:space="preserve">that Satview </w:t>
      </w:r>
      <w:r w:rsidRPr="007274B4" w:rsidR="00BB75B9">
        <w:t xml:space="preserve">has at least two years of </w:t>
      </w:r>
      <w:r w:rsidR="00993BA9">
        <w:t>sufficient</w:t>
      </w:r>
      <w:r w:rsidR="00993BA9">
        <w:t xml:space="preserve"> operating </w:t>
      </w:r>
      <w:r w:rsidRPr="007274B4" w:rsidR="00BB75B9">
        <w:t xml:space="preserve">experience.  </w:t>
      </w:r>
      <w:r w:rsidR="00BB75B9">
        <w:t xml:space="preserve">Moreover, </w:t>
      </w:r>
      <w:r w:rsidR="00BB75B9">
        <w:t>Satview</w:t>
      </w:r>
      <w:r w:rsidR="00993BA9">
        <w:t>’s</w:t>
      </w:r>
      <w:r w:rsidR="00993BA9">
        <w:t xml:space="preserve"> waiver request</w:t>
      </w:r>
      <w:r w:rsidR="00BB75B9">
        <w:t xml:space="preserve"> </w:t>
      </w:r>
      <w:r w:rsidRPr="007274B4" w:rsidR="00BB75B9">
        <w:t>did not provide any</w:t>
      </w:r>
      <w:r w:rsidR="000D2A6A">
        <w:t xml:space="preserve"> </w:t>
      </w:r>
      <w:r w:rsidRPr="007274B4" w:rsidR="00BB75B9">
        <w:t xml:space="preserve">justification that would enable us to find good cause for granting its waiver.  </w:t>
      </w:r>
    </w:p>
    <w:p w:rsidR="006A6DD1" w:rsidP="00925B84" w14:paraId="1D1D7C43" w14:textId="59C61938">
      <w:pPr>
        <w:pStyle w:val="ParaNum"/>
      </w:pPr>
      <w:r>
        <w:rPr>
          <w:i/>
          <w:iCs/>
        </w:rPr>
        <w:t xml:space="preserve">Electric </w:t>
      </w:r>
      <w:r w:rsidR="008F4FA8">
        <w:rPr>
          <w:i/>
          <w:iCs/>
        </w:rPr>
        <w:t xml:space="preserve">Distribution </w:t>
      </w:r>
      <w:r w:rsidR="00E40AF0">
        <w:rPr>
          <w:i/>
          <w:iCs/>
        </w:rPr>
        <w:t>Network Operator</w:t>
      </w:r>
      <w:r>
        <w:rPr>
          <w:i/>
          <w:iCs/>
        </w:rPr>
        <w:t xml:space="preserve"> Petitions</w:t>
      </w:r>
      <w:r w:rsidR="00F8757F">
        <w:rPr>
          <w:i/>
          <w:iCs/>
        </w:rPr>
        <w:t xml:space="preserve">. </w:t>
      </w:r>
      <w:r w:rsidR="00F801DD">
        <w:rPr>
          <w:i/>
          <w:iCs/>
        </w:rPr>
        <w:t xml:space="preserve"> </w:t>
      </w:r>
      <w:r w:rsidR="00F8757F">
        <w:t xml:space="preserve">We </w:t>
      </w:r>
      <w:r w:rsidR="00E57175">
        <w:t xml:space="preserve">next </w:t>
      </w:r>
      <w:r w:rsidR="00F8757F">
        <w:t xml:space="preserve">grant petitions filed by </w:t>
      </w:r>
      <w:r w:rsidR="00F8757F">
        <w:rPr>
          <w:color w:val="000000"/>
          <w:szCs w:val="22"/>
        </w:rPr>
        <w:t>the City of Farmington</w:t>
      </w:r>
      <w:r w:rsidR="00CE654B">
        <w:rPr>
          <w:color w:val="000000"/>
          <w:szCs w:val="22"/>
        </w:rPr>
        <w:t xml:space="preserve"> and Newport Utilities </w:t>
      </w:r>
      <w:r w:rsidR="006A18B6">
        <w:t>for waiver of the requirement that applicants</w:t>
      </w:r>
      <w:r w:rsidR="00925B84">
        <w:t xml:space="preserve"> that have </w:t>
      </w:r>
      <w:r w:rsidR="006A18B6">
        <w:t>operat</w:t>
      </w:r>
      <w:r w:rsidR="00925B84">
        <w:t xml:space="preserve">ed </w:t>
      </w:r>
      <w:r w:rsidR="006A18B6">
        <w:t xml:space="preserve">only an </w:t>
      </w:r>
      <w:r w:rsidR="006A18B6">
        <w:rPr>
          <w:color w:val="000000"/>
          <w:szCs w:val="22"/>
        </w:rPr>
        <w:t>electric transmission or distribution network</w:t>
      </w:r>
      <w:r w:rsidR="00925B84">
        <w:rPr>
          <w:color w:val="000000"/>
          <w:szCs w:val="22"/>
        </w:rPr>
        <w:t xml:space="preserve"> submit qualified operating or financial reports</w:t>
      </w:r>
      <w:r w:rsidR="006A18B6">
        <w:t xml:space="preserve">. In the </w:t>
      </w:r>
      <w:r w:rsidRPr="006A18B6" w:rsidR="006A18B6">
        <w:rPr>
          <w:i/>
          <w:iCs/>
        </w:rPr>
        <w:t>Rural Digital Opportunity Fund Order</w:t>
      </w:r>
      <w:r w:rsidR="006A18B6">
        <w:t xml:space="preserve">, </w:t>
      </w:r>
      <w:r w:rsidR="006A18B6">
        <w:rPr>
          <w:color w:val="000000"/>
          <w:szCs w:val="22"/>
        </w:rPr>
        <w:t xml:space="preserve">the Commission </w:t>
      </w:r>
      <w:r w:rsidR="00E57175">
        <w:rPr>
          <w:color w:val="000000"/>
          <w:szCs w:val="22"/>
        </w:rPr>
        <w:t xml:space="preserve">listed </w:t>
      </w:r>
      <w:r w:rsidR="00925B84">
        <w:rPr>
          <w:color w:val="000000"/>
          <w:szCs w:val="22"/>
        </w:rPr>
        <w:t xml:space="preserve">several </w:t>
      </w:r>
      <w:r w:rsidR="006A18B6">
        <w:rPr>
          <w:color w:val="000000"/>
          <w:szCs w:val="22"/>
        </w:rPr>
        <w:t xml:space="preserve">specific reports that it would deem acceptable for </w:t>
      </w:r>
      <w:r w:rsidR="00484204">
        <w:rPr>
          <w:color w:val="000000"/>
          <w:szCs w:val="22"/>
        </w:rPr>
        <w:t>these types of</w:t>
      </w:r>
      <w:r w:rsidR="006A18B6">
        <w:rPr>
          <w:color w:val="000000"/>
          <w:szCs w:val="22"/>
        </w:rPr>
        <w:t xml:space="preserve"> </w:t>
      </w:r>
      <w:r w:rsidR="00925B84">
        <w:rPr>
          <w:color w:val="000000"/>
          <w:szCs w:val="22"/>
        </w:rPr>
        <w:t>applicant</w:t>
      </w:r>
      <w:r w:rsidR="00484204">
        <w:rPr>
          <w:color w:val="000000"/>
          <w:szCs w:val="22"/>
        </w:rPr>
        <w:t>s</w:t>
      </w:r>
      <w:r w:rsidR="00925B84">
        <w:rPr>
          <w:color w:val="000000"/>
          <w:szCs w:val="22"/>
        </w:rPr>
        <w:t xml:space="preserve"> to demonstrate the appropriate</w:t>
      </w:r>
      <w:r w:rsidR="006A18B6">
        <w:rPr>
          <w:color w:val="000000"/>
          <w:szCs w:val="22"/>
        </w:rPr>
        <w:t xml:space="preserve"> operational and financial capabilities. </w:t>
      </w:r>
      <w:r w:rsidR="00484204">
        <w:rPr>
          <w:color w:val="000000"/>
          <w:szCs w:val="22"/>
        </w:rPr>
        <w:t xml:space="preserve"> </w:t>
      </w:r>
      <w:r w:rsidR="00080E87">
        <w:rPr>
          <w:color w:val="000000"/>
          <w:szCs w:val="22"/>
        </w:rPr>
        <w:t>T</w:t>
      </w:r>
      <w:r w:rsidR="006A18B6">
        <w:rPr>
          <w:color w:val="000000"/>
          <w:szCs w:val="22"/>
        </w:rPr>
        <w:t xml:space="preserve">he Commission also </w:t>
      </w:r>
      <w:r w:rsidR="00E57175">
        <w:rPr>
          <w:color w:val="000000"/>
          <w:szCs w:val="22"/>
        </w:rPr>
        <w:t xml:space="preserve">made clear </w:t>
      </w:r>
      <w:r w:rsidR="006A18B6">
        <w:rPr>
          <w:color w:val="000000"/>
          <w:szCs w:val="22"/>
        </w:rPr>
        <w:t xml:space="preserve">that it </w:t>
      </w:r>
      <w:r w:rsidR="00925B84">
        <w:rPr>
          <w:color w:val="000000"/>
          <w:szCs w:val="22"/>
        </w:rPr>
        <w:t xml:space="preserve">also </w:t>
      </w:r>
      <w:r w:rsidR="006A18B6">
        <w:rPr>
          <w:color w:val="000000"/>
          <w:szCs w:val="22"/>
        </w:rPr>
        <w:t>would accept “</w:t>
      </w:r>
      <w:r w:rsidR="006A18B6">
        <w:t>the functional replacement of one of these reports.”</w:t>
      </w:r>
      <w:r>
        <w:rPr>
          <w:rStyle w:val="FootnoteReference"/>
        </w:rPr>
        <w:footnoteReference w:id="41"/>
      </w:r>
      <w:r w:rsidR="006A18B6">
        <w:t xml:space="preserve">  </w:t>
      </w:r>
    </w:p>
    <w:p w:rsidR="00F20107" w:rsidRPr="004571A6" w:rsidP="004571A6" w14:paraId="0F34DF19" w14:textId="2465548F">
      <w:pPr>
        <w:pStyle w:val="ParaNum"/>
        <w:rPr>
          <w:color w:val="000000"/>
          <w:szCs w:val="22"/>
        </w:rPr>
      </w:pPr>
      <w:r>
        <w:t>Both the City of Farmington and Newport Utilities</w:t>
      </w:r>
      <w:r>
        <w:t xml:space="preserve"> </w:t>
      </w:r>
      <w:r w:rsidR="009855FB">
        <w:t>offer</w:t>
      </w:r>
      <w:r>
        <w:t xml:space="preserve"> </w:t>
      </w:r>
      <w:r w:rsidR="00886097">
        <w:t>alternative</w:t>
      </w:r>
      <w:r>
        <w:t xml:space="preserve"> documentation</w:t>
      </w:r>
      <w:r w:rsidR="009855FB">
        <w:t xml:space="preserve"> to demonstrate their operational history and financial qualifications, including </w:t>
      </w:r>
      <w:r w:rsidR="004571A6">
        <w:t xml:space="preserve">a </w:t>
      </w:r>
      <w:r w:rsidR="004571A6">
        <w:t>transmission operator capabilities</w:t>
      </w:r>
      <w:r w:rsidR="004571A6">
        <w:t xml:space="preserve"> review from the North American Electric Reliability Corporation</w:t>
      </w:r>
      <w:r w:rsidR="00A67707">
        <w:t xml:space="preserve"> </w:t>
      </w:r>
      <w:r w:rsidR="004571A6">
        <w:t>and three years of audited financial statements.  After reviewing the</w:t>
      </w:r>
      <w:r w:rsidR="009855FB">
        <w:t>se</w:t>
      </w:r>
      <w:r w:rsidR="004571A6">
        <w:t xml:space="preserve"> alternative documents</w:t>
      </w:r>
      <w:r w:rsidR="009855FB">
        <w:t>,</w:t>
      </w:r>
      <w:r w:rsidR="004571A6">
        <w:rPr>
          <w:color w:val="000000"/>
          <w:szCs w:val="22"/>
        </w:rPr>
        <w:t xml:space="preserve"> we conclude that they</w:t>
      </w:r>
      <w:r w:rsidR="00A67707">
        <w:rPr>
          <w:color w:val="000000"/>
          <w:szCs w:val="22"/>
        </w:rPr>
        <w:t xml:space="preserve"> sufficiently</w:t>
      </w:r>
      <w:r w:rsidR="004571A6">
        <w:rPr>
          <w:color w:val="000000"/>
          <w:szCs w:val="22"/>
        </w:rPr>
        <w:t xml:space="preserve"> </w:t>
      </w:r>
      <w:r w:rsidR="00BC6DE9">
        <w:rPr>
          <w:color w:val="000000"/>
          <w:szCs w:val="22"/>
        </w:rPr>
        <w:t>demonstrate that these applicants</w:t>
      </w:r>
      <w:r w:rsidR="00FE7948">
        <w:rPr>
          <w:color w:val="000000"/>
          <w:szCs w:val="22"/>
        </w:rPr>
        <w:t xml:space="preserve"> have the necessary</w:t>
      </w:r>
      <w:r w:rsidR="00BC6DE9">
        <w:rPr>
          <w:color w:val="000000"/>
          <w:szCs w:val="22"/>
        </w:rPr>
        <w:t xml:space="preserve"> operational and financial capabilities</w:t>
      </w:r>
      <w:r w:rsidR="00080E87">
        <w:rPr>
          <w:color w:val="000000"/>
          <w:szCs w:val="22"/>
        </w:rPr>
        <w:t xml:space="preserve"> to participate in Auction 904</w:t>
      </w:r>
      <w:r w:rsidR="00BC6DE9">
        <w:rPr>
          <w:color w:val="000000"/>
          <w:szCs w:val="22"/>
        </w:rPr>
        <w:t>.</w:t>
      </w:r>
      <w:r w:rsidR="00080E87">
        <w:rPr>
          <w:color w:val="000000"/>
          <w:szCs w:val="22"/>
        </w:rPr>
        <w:t xml:space="preserve">  Because these applicants </w:t>
      </w:r>
      <w:r w:rsidR="00080E87">
        <w:t>have not requested or used funds from the RUS, CFC, or CoBank and thus are not able to submit the specific reports highlighted by the Commission,</w:t>
      </w:r>
      <w:r w:rsidR="00FE7948">
        <w:t xml:space="preserve"> </w:t>
      </w:r>
      <w:r w:rsidR="00080E87">
        <w:t>special circumstances exist to g</w:t>
      </w:r>
      <w:r w:rsidR="004571A6">
        <w:rPr>
          <w:color w:val="000000"/>
          <w:szCs w:val="22"/>
        </w:rPr>
        <w:t>rant</w:t>
      </w:r>
      <w:r w:rsidR="00080E87">
        <w:rPr>
          <w:color w:val="000000"/>
          <w:szCs w:val="22"/>
        </w:rPr>
        <w:t xml:space="preserve"> </w:t>
      </w:r>
      <w:r w:rsidR="004571A6">
        <w:rPr>
          <w:color w:val="000000"/>
          <w:szCs w:val="22"/>
        </w:rPr>
        <w:t>waiver</w:t>
      </w:r>
      <w:r w:rsidR="00080E87">
        <w:rPr>
          <w:color w:val="000000"/>
          <w:szCs w:val="22"/>
        </w:rPr>
        <w:t xml:space="preserve">s </w:t>
      </w:r>
      <w:r w:rsidR="007601B2">
        <w:rPr>
          <w:color w:val="000000"/>
          <w:szCs w:val="22"/>
        </w:rPr>
        <w:t>of</w:t>
      </w:r>
      <w:r w:rsidR="004571A6">
        <w:rPr>
          <w:color w:val="000000"/>
          <w:szCs w:val="22"/>
        </w:rPr>
        <w:t xml:space="preserve"> the</w:t>
      </w:r>
      <w:r w:rsidR="00080E87">
        <w:rPr>
          <w:color w:val="000000"/>
          <w:szCs w:val="22"/>
        </w:rPr>
        <w:t xml:space="preserve"> requirement that</w:t>
      </w:r>
      <w:r w:rsidR="004571A6">
        <w:rPr>
          <w:color w:val="000000"/>
          <w:szCs w:val="22"/>
        </w:rPr>
        <w:t xml:space="preserve"> </w:t>
      </w:r>
      <w:r w:rsidR="00080E87">
        <w:t xml:space="preserve">applicants that have operated only an electric distribution or transmission network submit certain </w:t>
      </w:r>
      <w:r w:rsidR="004571A6">
        <w:t xml:space="preserve">qualified operating or financial reports. </w:t>
      </w:r>
    </w:p>
    <w:p w:rsidR="00802091" w:rsidP="00C020E6" w14:paraId="746F0483" w14:textId="5118B8C4">
      <w:pPr>
        <w:pStyle w:val="ParaNum"/>
      </w:pPr>
      <w:r w:rsidRPr="00554B62">
        <w:rPr>
          <w:i/>
        </w:rPr>
        <w:t>Financial Statement</w:t>
      </w:r>
      <w:r w:rsidRPr="00554B62" w:rsidR="00925B84">
        <w:rPr>
          <w:i/>
        </w:rPr>
        <w:t xml:space="preserve"> Petitions</w:t>
      </w:r>
      <w:r w:rsidRPr="00554B62">
        <w:rPr>
          <w:i/>
        </w:rPr>
        <w:t>.</w:t>
      </w:r>
      <w:r>
        <w:t xml:space="preserve">  </w:t>
      </w:r>
      <w:r>
        <w:t xml:space="preserve">We </w:t>
      </w:r>
      <w:r w:rsidR="00E57175">
        <w:t xml:space="preserve">also </w:t>
      </w:r>
      <w:r>
        <w:t xml:space="preserve">conclude that Centre WISP has demonstrated special circumstances that </w:t>
      </w:r>
      <w:r w:rsidR="00F17181">
        <w:t>warrant</w:t>
      </w:r>
      <w:r>
        <w:t xml:space="preserve"> deviating from </w:t>
      </w:r>
      <w:r w:rsidR="005819F3">
        <w:t xml:space="preserve">the </w:t>
      </w:r>
      <w:r>
        <w:t xml:space="preserve">requirement that </w:t>
      </w:r>
      <w:r w:rsidR="005819F3">
        <w:t xml:space="preserve">applicants with greater than two years of experience who are not audited in the ordinary course of business </w:t>
      </w:r>
      <w:r w:rsidR="004B6D38">
        <w:t xml:space="preserve">must </w:t>
      </w:r>
      <w:r w:rsidR="005819F3">
        <w:t>submit fiscal year-end 2018</w:t>
      </w:r>
      <w:r w:rsidR="004B6D38">
        <w:t xml:space="preserve"> or 2019 (if available)</w:t>
      </w:r>
      <w:r w:rsidR="005819F3">
        <w:t xml:space="preserve"> unaudited financial statement</w:t>
      </w:r>
      <w:r w:rsidR="004B6D38">
        <w:t>s.</w:t>
      </w:r>
      <w:r w:rsidR="005819F3">
        <w:t xml:space="preserve">  Centre WISP has a five-year history of providing broadband service and has submitted FCC Form 477 filings demonstrating its deployment data since June 2015.  However, </w:t>
      </w:r>
      <w:r w:rsidR="004B6D38">
        <w:t>Centre WISP’s original owner sold the</w:t>
      </w:r>
      <w:r w:rsidR="005819F3">
        <w:t xml:space="preserve"> business to a third-party in 2017</w:t>
      </w:r>
      <w:r w:rsidR="004B6D38">
        <w:t xml:space="preserve"> and</w:t>
      </w:r>
      <w:r w:rsidR="005819F3">
        <w:t xml:space="preserve"> then re</w:t>
      </w:r>
      <w:r w:rsidR="004B6D38">
        <w:t>acquired it in July 2019 after the third-party experienced financial difficulties.</w:t>
      </w:r>
      <w:r w:rsidR="005819F3">
        <w:t xml:space="preserve"> </w:t>
      </w:r>
      <w:r w:rsidR="004B6D38">
        <w:t xml:space="preserve"> </w:t>
      </w:r>
      <w:r w:rsidR="005819F3">
        <w:t>Due to th</w:t>
      </w:r>
      <w:r w:rsidR="004B6D38">
        <w:t>ese</w:t>
      </w:r>
      <w:r w:rsidR="005819F3">
        <w:t xml:space="preserve"> transfer</w:t>
      </w:r>
      <w:r w:rsidR="004B6D38">
        <w:t>s</w:t>
      </w:r>
      <w:r w:rsidR="005819F3">
        <w:t xml:space="preserve"> of control, Centre WISP does not currently have access to the </w:t>
      </w:r>
      <w:r w:rsidR="004B6D38">
        <w:t xml:space="preserve">year-end 2018 </w:t>
      </w:r>
      <w:r w:rsidR="005819F3">
        <w:t>unaudited financial</w:t>
      </w:r>
      <w:r w:rsidR="004B6D38">
        <w:t xml:space="preserve"> </w:t>
      </w:r>
      <w:r w:rsidR="005819F3">
        <w:t>s</w:t>
      </w:r>
      <w:r w:rsidR="004B6D38">
        <w:t>tatements</w:t>
      </w:r>
      <w:r w:rsidR="005819F3">
        <w:t xml:space="preserve"> for the company or</w:t>
      </w:r>
      <w:r w:rsidR="004B6D38">
        <w:t xml:space="preserve"> any financials for</w:t>
      </w:r>
      <w:r w:rsidR="005819F3">
        <w:t xml:space="preserve"> the first half of 2019.  </w:t>
      </w:r>
      <w:r w:rsidR="004B6D38">
        <w:t>Instead, it</w:t>
      </w:r>
      <w:r w:rsidR="005819F3">
        <w:t xml:space="preserve"> </w:t>
      </w:r>
      <w:r w:rsidR="004B6D38">
        <w:t>provided</w:t>
      </w:r>
      <w:r w:rsidR="005819F3">
        <w:t xml:space="preserve"> unaudited financials for its operations from July 2019 through June 2020 and has committed to submitting audited f</w:t>
      </w:r>
      <w:r w:rsidR="004B6D38">
        <w:t>i</w:t>
      </w:r>
      <w:r w:rsidR="005819F3">
        <w:t>nancial</w:t>
      </w:r>
      <w:r w:rsidR="004B6D38">
        <w:t xml:space="preserve"> </w:t>
      </w:r>
      <w:r w:rsidR="005819F3">
        <w:t>s</w:t>
      </w:r>
      <w:r w:rsidR="004B6D38">
        <w:t>tatements</w:t>
      </w:r>
      <w:r w:rsidR="005819F3">
        <w:t xml:space="preserve"> if it becomes a winning bidder in Auction 904.  </w:t>
      </w:r>
      <w:r w:rsidR="005D4BEB">
        <w:t xml:space="preserve">After an extensive review of the </w:t>
      </w:r>
      <w:r w:rsidR="00F17181">
        <w:t xml:space="preserve">more </w:t>
      </w:r>
      <w:r w:rsidR="005D4BEB">
        <w:t xml:space="preserve">recent financial statements provided by Centre WISP, </w:t>
      </w:r>
      <w:r w:rsidR="00F17181">
        <w:t xml:space="preserve">and considering </w:t>
      </w:r>
      <w:r w:rsidR="005D4BEB">
        <w:t>its demonstrated history of successfully deploying broadband service and adherence to the Commission’s FCC Form 477 rules,</w:t>
      </w:r>
      <w:r w:rsidR="00825D13">
        <w:t xml:space="preserve"> we</w:t>
      </w:r>
      <w:r w:rsidR="005D4BEB">
        <w:t xml:space="preserve"> determine that deviating from strict adherence to our Auction 904 requirements is appropriate in</w:t>
      </w:r>
      <w:r w:rsidR="00F17181">
        <w:t xml:space="preserve"> these special circumstances regarding Centre WISP’s recent transactions</w:t>
      </w:r>
      <w:r w:rsidR="005D4BEB">
        <w:t>.</w:t>
      </w:r>
      <w:r w:rsidR="00484204">
        <w:t xml:space="preserve">  </w:t>
      </w:r>
      <w:r w:rsidR="0028167D">
        <w:t xml:space="preserve">We also determine that </w:t>
      </w:r>
      <w:r w:rsidR="00E57175">
        <w:t xml:space="preserve">grant of this waiver </w:t>
      </w:r>
      <w:r w:rsidR="0028167D">
        <w:t xml:space="preserve">is in the public interest </w:t>
      </w:r>
      <w:r w:rsidR="00554B62">
        <w:t>as it will increase participation in the auction</w:t>
      </w:r>
      <w:r w:rsidR="00F17181">
        <w:t xml:space="preserve"> by an experience</w:t>
      </w:r>
      <w:r w:rsidR="00610559">
        <w:t>d</w:t>
      </w:r>
      <w:r w:rsidR="00F17181">
        <w:t xml:space="preserve"> and otherwise qualified provider</w:t>
      </w:r>
      <w:r w:rsidR="00554B62">
        <w:t xml:space="preserve"> and potentially allow our limited universal service dollars to stretch even further.  </w:t>
      </w:r>
      <w:r w:rsidR="00484204">
        <w:t xml:space="preserve">However, if </w:t>
      </w:r>
      <w:r w:rsidR="00554B62">
        <w:t>Centre WISP</w:t>
      </w:r>
      <w:r w:rsidR="00484204">
        <w:t xml:space="preserve"> is a winning bidder in Auction 904, we </w:t>
      </w:r>
      <w:r w:rsidR="00514E84">
        <w:t xml:space="preserve">require it to </w:t>
      </w:r>
      <w:r w:rsidR="00484204">
        <w:t>provide the appropriate audited financial statements, per its certification</w:t>
      </w:r>
      <w:r w:rsidR="00514E84">
        <w:t xml:space="preserve"> and Commission rules; otherwise, it will be </w:t>
      </w:r>
      <w:r w:rsidR="00926F5C">
        <w:t>considered in</w:t>
      </w:r>
      <w:r w:rsidR="00514E84">
        <w:t xml:space="preserve"> default</w:t>
      </w:r>
      <w:r w:rsidR="00926F5C">
        <w:t xml:space="preserve"> and subject to forfeiture</w:t>
      </w:r>
      <w:r w:rsidR="00484204">
        <w:t>.</w:t>
      </w:r>
      <w:r>
        <w:rPr>
          <w:rStyle w:val="FootnoteReference"/>
        </w:rPr>
        <w:footnoteReference w:id="42"/>
      </w:r>
      <w:r w:rsidR="00484204">
        <w:t xml:space="preserve">  </w:t>
      </w:r>
    </w:p>
    <w:p w:rsidR="00802091" w:rsidP="004B6D38" w14:paraId="2BCC6E58" w14:textId="1524B743">
      <w:pPr>
        <w:pStyle w:val="ParaNum"/>
      </w:pPr>
      <w:r>
        <w:t>Conversely, w</w:t>
      </w:r>
      <w:r w:rsidR="00C147C2">
        <w:t xml:space="preserve">e </w:t>
      </w:r>
      <w:r>
        <w:t>determine</w:t>
      </w:r>
      <w:r w:rsidR="00C147C2">
        <w:t xml:space="preserve"> that Redbird has not demonstrated special circumstances </w:t>
      </w:r>
      <w:r w:rsidR="00610559">
        <w:t xml:space="preserve">justifying </w:t>
      </w:r>
      <w:r w:rsidR="009855FB">
        <w:t>grant</w:t>
      </w:r>
      <w:r w:rsidR="00610559">
        <w:t xml:space="preserve"> of</w:t>
      </w:r>
      <w:r w:rsidR="009855FB">
        <w:t xml:space="preserve"> its petition</w:t>
      </w:r>
      <w:r w:rsidR="00610559">
        <w:t>,</w:t>
      </w:r>
      <w:r w:rsidR="009855FB">
        <w:t xml:space="preserve"> </w:t>
      </w:r>
      <w:r w:rsidR="00C147C2">
        <w:t>and</w:t>
      </w:r>
      <w:r w:rsidR="00610559">
        <w:t xml:space="preserve"> we</w:t>
      </w:r>
      <w:r w:rsidR="00C147C2">
        <w:t xml:space="preserve"> </w:t>
      </w:r>
      <w:r w:rsidR="008C140C">
        <w:t>decline to waive the requirement that an applicant with fewer than two years of experience submit three years of audited financial statements with its application.</w:t>
      </w:r>
      <w:r w:rsidR="00C874FF">
        <w:t xml:space="preserve">  As the Commission explained, this requirement provides “a level of insight into the financial health of a potential Rural Digital Opportunity Fund auction bidder over a longer period of time [that] is a necessary prequalification to bid.”</w:t>
      </w:r>
      <w:r>
        <w:rPr>
          <w:rStyle w:val="FootnoteReference"/>
        </w:rPr>
        <w:footnoteReference w:id="43"/>
      </w:r>
      <w:r w:rsidR="00C874FF">
        <w:t xml:space="preserve"> </w:t>
      </w:r>
      <w:r w:rsidR="008C140C">
        <w:t xml:space="preserve"> </w:t>
      </w:r>
      <w:r w:rsidR="00196797">
        <w:t xml:space="preserve">The purpose of requiring such a showing from applicants was to “provide </w:t>
      </w:r>
      <w:r w:rsidR="0028167D">
        <w:t xml:space="preserve">additional </w:t>
      </w:r>
      <w:r w:rsidR="00196797">
        <w:t>assurances to the Commission that the entities that intend to bid in the auction have experience operating networks.”</w:t>
      </w:r>
      <w:r>
        <w:rPr>
          <w:rStyle w:val="FootnoteReference"/>
        </w:rPr>
        <w:footnoteReference w:id="44"/>
      </w:r>
      <w:r w:rsidR="00196797">
        <w:t xml:space="preserve">  Redbird was founded only a few months ago and failed to </w:t>
      </w:r>
      <w:r w:rsidR="00520589">
        <w:t xml:space="preserve">provide any </w:t>
      </w:r>
      <w:r w:rsidR="00E57175">
        <w:t xml:space="preserve">factual </w:t>
      </w:r>
      <w:r w:rsidR="00520589">
        <w:t>circumstances that</w:t>
      </w:r>
      <w:r w:rsidR="00196797">
        <w:t xml:space="preserve"> warrant deviating from this requirement.  Moreover, </w:t>
      </w:r>
      <w:r w:rsidR="002F5E48">
        <w:t xml:space="preserve">we determine that </w:t>
      </w:r>
      <w:r w:rsidR="00196797">
        <w:t xml:space="preserve">the alternative documentation </w:t>
      </w:r>
      <w:r w:rsidR="002F5E48">
        <w:t xml:space="preserve">provided by </w:t>
      </w:r>
      <w:r w:rsidR="00196797">
        <w:t xml:space="preserve">Redbird—a line of credit held by one of its shareholders and </w:t>
      </w:r>
      <w:r w:rsidR="002F5E48">
        <w:t>a letter from a financial institution—i</w:t>
      </w:r>
      <w:r w:rsidR="00196797">
        <w:t>s insufficient to demonstrate that the company is financially qualified to participate in Auc</w:t>
      </w:r>
      <w:r w:rsidR="002F5E48">
        <w:t>ti</w:t>
      </w:r>
      <w:r w:rsidR="00196797">
        <w:t>on 904</w:t>
      </w:r>
      <w:r w:rsidR="002F5E48">
        <w:t xml:space="preserve">.  </w:t>
      </w:r>
    </w:p>
    <w:p w:rsidR="0091343B" w:rsidRPr="0091343B" w:rsidP="00802091" w14:paraId="05E91CBE" w14:textId="7ACAF19C">
      <w:pPr>
        <w:pStyle w:val="ParaNum"/>
        <w:rPr>
          <w:i/>
          <w:iCs/>
        </w:rPr>
      </w:pPr>
      <w:r w:rsidRPr="00E40AF0">
        <w:rPr>
          <w:i/>
          <w:iCs/>
        </w:rPr>
        <w:t>Auction 903 Defaulter Petitions.</w:t>
      </w:r>
      <w:r w:rsidR="00F836B6">
        <w:rPr>
          <w:i/>
          <w:iCs/>
        </w:rPr>
        <w:t xml:space="preserve">  </w:t>
      </w:r>
      <w:r w:rsidR="00D24248">
        <w:t xml:space="preserve">Finally, </w:t>
      </w:r>
      <w:r w:rsidR="00803664">
        <w:t>consistent with precedent</w:t>
      </w:r>
      <w:r w:rsidR="00993BA9">
        <w:t xml:space="preserve"> and the policies adopted by the Commission for Auction 904</w:t>
      </w:r>
      <w:r w:rsidR="00803664">
        <w:t xml:space="preserve">, </w:t>
      </w:r>
      <w:r w:rsidR="00D24248">
        <w:t>w</w:t>
      </w:r>
      <w:r w:rsidR="00F836B6">
        <w:t xml:space="preserve">e decline to grant petitions filed by Crocker Communications and MGW Networks for waiver of the rule that prohibits entities that defaulted on all of their Auction 903 </w:t>
      </w:r>
      <w:r w:rsidR="00610559">
        <w:t>obligation</w:t>
      </w:r>
      <w:r w:rsidR="00F836B6">
        <w:t xml:space="preserve">s from participating in Auction 904.  </w:t>
      </w:r>
      <w:r w:rsidR="00803664">
        <w:t>B</w:t>
      </w:r>
      <w:r w:rsidR="00F836B6">
        <w:t>oth applicants have failed to establish special circumstances that would warrant waiver of the Commission’s eligibility rules.</w:t>
      </w:r>
      <w:r>
        <w:rPr>
          <w:rStyle w:val="FootnoteReference"/>
        </w:rPr>
        <w:footnoteReference w:id="45"/>
      </w:r>
      <w:r w:rsidR="00F836B6">
        <w:t xml:space="preserve">  </w:t>
      </w:r>
    </w:p>
    <w:p w:rsidR="0091343B" w:rsidRPr="00610559" w:rsidP="00610559" w14:paraId="3179EECC" w14:textId="3EC5418A">
      <w:pPr>
        <w:pStyle w:val="ParaNum"/>
        <w:rPr>
          <w:i/>
          <w:iCs/>
        </w:rPr>
      </w:pPr>
      <w:r>
        <w:t>The</w:t>
      </w:r>
      <w:r w:rsidR="00F836B6">
        <w:t xml:space="preserve"> </w:t>
      </w:r>
      <w:r>
        <w:t xml:space="preserve">Commission’s rules generally governing competitive bidding for universal service support clearly state that “a winning bidder that defaults, in addition to being liable for a default payment, shall be subject to such measures as the Commission may provide, including but not limited to disqualification from future competitive bidding . . . .” </w:t>
      </w:r>
      <w:r>
        <w:rPr>
          <w:rStyle w:val="FootnoteReference"/>
        </w:rPr>
        <w:footnoteReference w:id="46"/>
      </w:r>
      <w:r>
        <w:t xml:space="preserve">  </w:t>
      </w:r>
      <w:r w:rsidR="00610559">
        <w:t xml:space="preserve">Consistent with this, in the </w:t>
      </w:r>
      <w:r w:rsidRPr="00610559" w:rsidR="00610559">
        <w:rPr>
          <w:i/>
          <w:iCs/>
        </w:rPr>
        <w:t>Rural Digital Opportunity Fund Order</w:t>
      </w:r>
      <w:r w:rsidR="00610559">
        <w:t>, the Commission adopted a rule prohibiting Auction 903 participants that defaulted on their entire award from participating in the Rural Digital Opportunity Fund.</w:t>
      </w:r>
      <w:r>
        <w:rPr>
          <w:rStyle w:val="FootnoteReference"/>
        </w:rPr>
        <w:footnoteReference w:id="47"/>
      </w:r>
      <w:r w:rsidR="00610559">
        <w:t xml:space="preserve">  </w:t>
      </w:r>
      <w:r w:rsidRPr="00610559">
        <w:t>The</w:t>
      </w:r>
      <w:r>
        <w:t xml:space="preserve"> Commission adopted its Auction 904 eligibility requirements so that the disbursement of funds would not be hindered by applicants with a known </w:t>
      </w:r>
      <w:r w:rsidRPr="00610559">
        <w:rPr>
          <w:i/>
          <w:iCs/>
        </w:rPr>
        <w:t>complete</w:t>
      </w:r>
      <w:r>
        <w:t xml:space="preserve"> </w:t>
      </w:r>
      <w:r w:rsidR="003B1091">
        <w:t>auction</w:t>
      </w:r>
      <w:r w:rsidR="00A74CDB">
        <w:t xml:space="preserve"> </w:t>
      </w:r>
      <w:r>
        <w:t>default history that “could have otherwise been productively used to increase broadband access to unserved or underserved areas.”</w:t>
      </w:r>
      <w:r>
        <w:rPr>
          <w:rStyle w:val="FootnoteReference"/>
        </w:rPr>
        <w:footnoteReference w:id="48"/>
      </w:r>
      <w:r>
        <w:t xml:space="preserve"> These eligibility rules for Auction 904 enforce the </w:t>
      </w:r>
      <w:r w:rsidR="000D5872">
        <w:t xml:space="preserve">standard imported </w:t>
      </w:r>
      <w:r>
        <w:t>from Auction 903 that “failure to adhere to the established auction procedures [</w:t>
      </w:r>
      <w:r>
        <w:t>i</w:t>
      </w:r>
      <w:r>
        <w:t>]s disruptive to the integrity and efficiency of the auctions process.”</w:t>
      </w:r>
      <w:r>
        <w:rPr>
          <w:rStyle w:val="FootnoteReference"/>
        </w:rPr>
        <w:footnoteReference w:id="49"/>
      </w:r>
      <w:r>
        <w:t xml:space="preserve"> The Commission “expects all bidders to act in good faith and [takes] voluntary defaults very seriously.”</w:t>
      </w:r>
      <w:r>
        <w:rPr>
          <w:rStyle w:val="FootnoteReference"/>
        </w:rPr>
        <w:footnoteReference w:id="50"/>
      </w:r>
      <w:r>
        <w:t xml:space="preserve">  </w:t>
      </w:r>
    </w:p>
    <w:p w:rsidR="0091343B" w:rsidRPr="0091343B" w:rsidP="00802091" w14:paraId="7C264AB2" w14:textId="37CF76F1">
      <w:pPr>
        <w:pStyle w:val="ParaNum"/>
        <w:rPr>
          <w:i/>
          <w:iCs/>
        </w:rPr>
      </w:pPr>
      <w:r>
        <w:t>Moreover, the</w:t>
      </w:r>
      <w:r w:rsidR="00004E8C">
        <w:t xml:space="preserve"> waivers here do not serve the purposes of the rule or the public interest in ensuring against the disruptive potential of defaulting bidders.  </w:t>
      </w:r>
      <w:r w:rsidR="00F57E7D">
        <w:t>Indeed, t</w:t>
      </w:r>
      <w:r>
        <w:t>he Commission knew that Crocker and MGW had fully defaulted on all of their bids when it adopted Auction 904 eligibility rules in January 2020.</w:t>
      </w:r>
      <w:r>
        <w:rPr>
          <w:rStyle w:val="FootnoteReference"/>
        </w:rPr>
        <w:footnoteReference w:id="51"/>
      </w:r>
      <w:r>
        <w:t xml:space="preserve">  The Commission concluded that barring </w:t>
      </w:r>
      <w:r w:rsidR="00F57E7D">
        <w:t xml:space="preserve">such </w:t>
      </w:r>
      <w:r>
        <w:t xml:space="preserve">participants </w:t>
      </w:r>
      <w:r w:rsidR="000D5872">
        <w:t>w</w:t>
      </w:r>
      <w:r w:rsidR="00F57E7D">
        <w:t>ould</w:t>
      </w:r>
      <w:r w:rsidR="000D5872">
        <w:t xml:space="preserve"> reduce the risk of </w:t>
      </w:r>
      <w:r>
        <w:t>delaying the advancement of broadband offerings to locations that lack broadband service.</w:t>
      </w:r>
      <w:r>
        <w:rPr>
          <w:rStyle w:val="FootnoteReference"/>
        </w:rPr>
        <w:footnoteReference w:id="52"/>
      </w:r>
      <w:r>
        <w:t xml:space="preserve"> </w:t>
      </w:r>
      <w:r w:rsidR="00C47CA8">
        <w:t xml:space="preserve"> </w:t>
      </w:r>
      <w:r w:rsidR="00F57E7D">
        <w:t>Crocker and MGW have failed to demonstrate that a waiver of this requirement would nevertheless by consistent with the purpose of this requirement or with the public interest.</w:t>
      </w:r>
    </w:p>
    <w:p w:rsidR="00802091" w:rsidRPr="0019242C" w:rsidP="00802091" w14:paraId="7FDB09B9" w14:textId="77777777">
      <w:pPr>
        <w:pStyle w:val="Heading1"/>
        <w:widowControl/>
      </w:pPr>
      <w:r w:rsidRPr="0019242C">
        <w:t>ORDERING CLAUSES</w:t>
      </w:r>
    </w:p>
    <w:p w:rsidR="00802091" w:rsidRPr="0019242C" w:rsidP="00802091" w14:paraId="1110E815" w14:textId="2894F040">
      <w:pPr>
        <w:pStyle w:val="ParaNum"/>
        <w:tabs>
          <w:tab w:val="clear" w:pos="1080"/>
        </w:tabs>
      </w:pPr>
      <w:r w:rsidRPr="0019242C">
        <w:t>Accordingly, IT IS ORDERED, pursuant to sections 1, 4(</w:t>
      </w:r>
      <w:r w:rsidRPr="0019242C">
        <w:t>i</w:t>
      </w:r>
      <w:r w:rsidRPr="0019242C">
        <w:t>), 5(c), and 254 of the Communications Act of 1934, as amended, 47 U.S.C. §§ 151, 154(</w:t>
      </w:r>
      <w:r w:rsidRPr="0019242C">
        <w:t>i</w:t>
      </w:r>
      <w:r w:rsidRPr="0019242C">
        <w:t xml:space="preserve">), 155(c), 254, and sections 0.91, </w:t>
      </w:r>
      <w:r>
        <w:t xml:space="preserve">0.131, </w:t>
      </w:r>
      <w:r w:rsidR="00DD3128">
        <w:t>0.271,</w:t>
      </w:r>
      <w:r w:rsidRPr="0019242C" w:rsidR="00DD3128">
        <w:t xml:space="preserve"> </w:t>
      </w:r>
      <w:r w:rsidRPr="0019242C">
        <w:t>0.291,</w:t>
      </w:r>
      <w:r>
        <w:t xml:space="preserve"> </w:t>
      </w:r>
      <w:r w:rsidRPr="0019242C">
        <w:t xml:space="preserve">and 1.3 of the Commission’s rules, 47 CFR §§ 0.91, </w:t>
      </w:r>
      <w:r>
        <w:t xml:space="preserve">0.131, </w:t>
      </w:r>
      <w:r w:rsidR="00DD3128">
        <w:t xml:space="preserve">0.271, </w:t>
      </w:r>
      <w:r w:rsidRPr="0019242C">
        <w:t>0.291,</w:t>
      </w:r>
      <w:r>
        <w:t xml:space="preserve"> </w:t>
      </w:r>
      <w:r w:rsidRPr="0019242C">
        <w:t>1.3, that this Order IS ADOPTED.</w:t>
      </w:r>
    </w:p>
    <w:p w:rsidR="00802091" w:rsidRPr="00E20700" w:rsidP="00802091" w14:paraId="50A43A6E" w14:textId="32E8B3E1">
      <w:pPr>
        <w:pStyle w:val="ParaNum"/>
      </w:pPr>
      <w:r w:rsidRPr="00E20700">
        <w:t>IT IS FURTHER ORDERED that the petitions for waiver</w:t>
      </w:r>
      <w:r w:rsidR="00E20700">
        <w:t xml:space="preserve"> of the FCC Form 477 requirements for Auction 904</w:t>
      </w:r>
      <w:r w:rsidRPr="00E20700">
        <w:t xml:space="preserve"> </w:t>
      </w:r>
      <w:r w:rsidRPr="00E20700" w:rsidR="00E20700">
        <w:t xml:space="preserve">filed by </w:t>
      </w:r>
      <w:r w:rsidRPr="00E20700" w:rsidR="00E20700">
        <w:t>BerryCom</w:t>
      </w:r>
      <w:r w:rsidRPr="00E20700" w:rsidR="00E20700">
        <w:t xml:space="preserve"> LLC; Country Wireless, LLC; Flat Wireless, LLC; FSI, LLC; </w:t>
      </w:r>
      <w:r w:rsidRPr="00E20700" w:rsidR="00E20700">
        <w:t>Futurum</w:t>
      </w:r>
      <w:r w:rsidRPr="00E20700" w:rsidR="00E20700">
        <w:t xml:space="preserve"> Communications Corp.; </w:t>
      </w:r>
      <w:r w:rsidRPr="00E20700" w:rsidR="00E20700">
        <w:t>Fybercom</w:t>
      </w:r>
      <w:r w:rsidRPr="00E20700" w:rsidR="00E20700">
        <w:t xml:space="preserve">; Kalona Cooperative Telephone Company; LTD Broadband LLC; </w:t>
      </w:r>
      <w:r w:rsidRPr="00E20700" w:rsidR="00CC2D8E">
        <w:t>Midstates</w:t>
      </w:r>
      <w:r w:rsidRPr="00E20700" w:rsidR="00CC2D8E">
        <w:t xml:space="preserve"> Data Transport; </w:t>
      </w:r>
      <w:r w:rsidRPr="00E20700" w:rsidR="00E20700">
        <w:t xml:space="preserve">Montana Internet Corporation; Net Ops Communications, LLC; </w:t>
      </w:r>
      <w:r w:rsidRPr="00E20700" w:rsidR="00E20700">
        <w:t>Netafy</w:t>
      </w:r>
      <w:r w:rsidRPr="00E20700" w:rsidR="00E20700">
        <w:t xml:space="preserve"> Inc.; Northwoods Communication Technologies, LLC; Rowe Wireless Networks LLC; </w:t>
      </w:r>
      <w:r w:rsidR="00886BD6">
        <w:t xml:space="preserve">San Bruno </w:t>
      </w:r>
      <w:r w:rsidR="00886BD6">
        <w:t>CityNet</w:t>
      </w:r>
      <w:r w:rsidR="00886BD6">
        <w:t xml:space="preserve"> Services; </w:t>
      </w:r>
      <w:r w:rsidRPr="00E20700" w:rsidR="00E20700">
        <w:t>SandyNet</w:t>
      </w:r>
      <w:r w:rsidRPr="00E20700" w:rsidR="00E20700">
        <w:t xml:space="preserve"> Rural Broadband; </w:t>
      </w:r>
      <w:r w:rsidRPr="00E20700" w:rsidR="00E20700">
        <w:t>SkyNet</w:t>
      </w:r>
      <w:r w:rsidRPr="00E20700" w:rsidR="00E20700">
        <w:t xml:space="preserve"> Broadband, Inc.; </w:t>
      </w:r>
      <w:r w:rsidRPr="00E20700" w:rsidR="00E20700">
        <w:t>ThinkBig</w:t>
      </w:r>
      <w:r w:rsidRPr="00E20700" w:rsidR="00E20700">
        <w:t xml:space="preserve"> Networks, LLC; Western Iowa Wireless; Worldwide Technologies, Inc.; and Zinnia Networks Inc. </w:t>
      </w:r>
      <w:r w:rsidRPr="00E20700">
        <w:t>ARE GRANTED as described herein.</w:t>
      </w:r>
    </w:p>
    <w:p w:rsidR="006A6DD1" w:rsidRPr="00E20700" w:rsidP="006A6DD1" w14:paraId="47626EC5" w14:textId="24499342">
      <w:pPr>
        <w:pStyle w:val="ParaNum"/>
      </w:pPr>
      <w:r w:rsidRPr="00E20700">
        <w:t>IT IS FURTHER ORDERED that the petitions for waiver</w:t>
      </w:r>
      <w:r w:rsidR="00E20700">
        <w:t xml:space="preserve"> of the FCC Form 477 requirements for Auction 904</w:t>
      </w:r>
      <w:r w:rsidRPr="00E20700">
        <w:t xml:space="preserve"> filed by </w:t>
      </w:r>
      <w:r w:rsidRPr="00E20700" w:rsidR="00E20700">
        <w:t xml:space="preserve">Atherton Fiber; Clarksville Connected Utilities; </w:t>
      </w:r>
      <w:r w:rsidRPr="00E20700" w:rsidR="00E20700">
        <w:t>GoGig</w:t>
      </w:r>
      <w:r w:rsidRPr="00E20700" w:rsidR="00E20700">
        <w:t xml:space="preserve">, Inc.; </w:t>
      </w:r>
      <w:r w:rsidRPr="00E20700" w:rsidR="00AE0E4F">
        <w:t>Hosted Backbone, LLC;</w:t>
      </w:r>
      <w:r w:rsidR="00AE0E4F">
        <w:t xml:space="preserve"> </w:t>
      </w:r>
      <w:r w:rsidRPr="00E20700" w:rsidR="00E20700">
        <w:t xml:space="preserve">Integrated Path Communications, LLC; Inyo Networks, Inc.; Mansfield Community Fiber; New Visions Communications Inc.; Personal Network Computing Inc.; PCM Industries, LLC; Planet Networks, Inc.; Rio Broadband, LLC; </w:t>
      </w:r>
      <w:r w:rsidRPr="00E20700" w:rsidR="00284148">
        <w:t>Satview</w:t>
      </w:r>
      <w:r w:rsidRPr="00E20700" w:rsidR="00284148">
        <w:t xml:space="preserve"> Broadband Ltd</w:t>
      </w:r>
      <w:r w:rsidR="00284148">
        <w:t>;</w:t>
      </w:r>
      <w:r w:rsidRPr="00E20700" w:rsidR="00284148">
        <w:t xml:space="preserve"> </w:t>
      </w:r>
      <w:r w:rsidRPr="00E20700" w:rsidR="00E20700">
        <w:t>SkyRider</w:t>
      </w:r>
      <w:r w:rsidRPr="00E20700" w:rsidR="00E20700">
        <w:t xml:space="preserve"> Communications LLC; Southern Fiber Worx, LLC; Treasure State Internet &amp; Telegraph; and World Network International Services Inc</w:t>
      </w:r>
      <w:r w:rsidR="00473549">
        <w:t>.</w:t>
      </w:r>
      <w:r w:rsidR="00E20700">
        <w:t xml:space="preserve"> </w:t>
      </w:r>
      <w:r w:rsidRPr="00E20700">
        <w:t>ARE DENIED as described herein.</w:t>
      </w:r>
    </w:p>
    <w:p w:rsidR="00802091" w:rsidP="00802091" w14:paraId="2640491E" w14:textId="4C5B2A86">
      <w:pPr>
        <w:pStyle w:val="ParaNum"/>
      </w:pPr>
      <w:r w:rsidRPr="00E20700">
        <w:t>IT IS FURTHER ORDERED that the petitions for waiver</w:t>
      </w:r>
      <w:r w:rsidRPr="00E20700" w:rsidR="00E20700">
        <w:t xml:space="preserve"> of the </w:t>
      </w:r>
      <w:r w:rsidR="00E20700">
        <w:t>electric company documentation</w:t>
      </w:r>
      <w:r w:rsidRPr="00E20700" w:rsidR="00E20700">
        <w:t xml:space="preserve"> requirements for Auction 904</w:t>
      </w:r>
      <w:r w:rsidRPr="00E20700">
        <w:t xml:space="preserve"> filed by </w:t>
      </w:r>
      <w:r w:rsidRPr="00E20700" w:rsidR="006A6DD1">
        <w:t>the City of Farmington</w:t>
      </w:r>
      <w:r w:rsidRPr="00E20700">
        <w:t xml:space="preserve"> </w:t>
      </w:r>
      <w:r w:rsidRPr="00E20700" w:rsidR="00E20700">
        <w:t>and Newport Utilities</w:t>
      </w:r>
      <w:r w:rsidRPr="00E20700">
        <w:t xml:space="preserve"> ARE </w:t>
      </w:r>
      <w:r w:rsidRPr="00E20700" w:rsidR="006A6DD1">
        <w:t>GRANTED</w:t>
      </w:r>
      <w:r w:rsidRPr="00E20700">
        <w:t xml:space="preserve"> as described herein.</w:t>
      </w:r>
    </w:p>
    <w:p w:rsidR="00DD3128" w:rsidRPr="00E20700" w:rsidP="00DD3128" w14:paraId="43B6A72B" w14:textId="0E4679BB">
      <w:pPr>
        <w:pStyle w:val="ParaNum"/>
      </w:pPr>
      <w:r w:rsidRPr="00E20700">
        <w:t xml:space="preserve">IT IS FURTHER ORDERED that the petition for waiver of the </w:t>
      </w:r>
      <w:r>
        <w:t>electric company documentation</w:t>
      </w:r>
      <w:r w:rsidRPr="00E20700">
        <w:t xml:space="preserve"> requirements for Auction 904 filed by Clarksville Connected Utilities</w:t>
      </w:r>
      <w:r>
        <w:t>, IS DISMISSED</w:t>
      </w:r>
      <w:r w:rsidRPr="00E20700">
        <w:t xml:space="preserve"> as described herein.</w:t>
      </w:r>
    </w:p>
    <w:p w:rsidR="00E20700" w:rsidRPr="00E20700" w:rsidP="00E20700" w14:paraId="10C380EC" w14:textId="07AACAAB">
      <w:pPr>
        <w:pStyle w:val="ParaNum"/>
      </w:pPr>
      <w:r w:rsidRPr="00E20700">
        <w:t>IT IS FURTHER ORDERED that the petition for waiver</w:t>
      </w:r>
      <w:r>
        <w:t xml:space="preserve"> of the financial information requirements for Auction 904</w:t>
      </w:r>
      <w:r w:rsidRPr="00E20700">
        <w:t xml:space="preserve"> filed by </w:t>
      </w:r>
      <w:r>
        <w:t>Centre WISP Venture Company, LLC</w:t>
      </w:r>
      <w:r w:rsidRPr="00E20700">
        <w:t xml:space="preserve">, IS </w:t>
      </w:r>
      <w:r>
        <w:t>GRANTED</w:t>
      </w:r>
      <w:r w:rsidRPr="00E20700">
        <w:t xml:space="preserve"> as described herein.</w:t>
      </w:r>
    </w:p>
    <w:p w:rsidR="006A6DD1" w:rsidP="006A6DD1" w14:paraId="0B41DDAB" w14:textId="18FD2C6B">
      <w:pPr>
        <w:pStyle w:val="ParaNum"/>
      </w:pPr>
      <w:r w:rsidRPr="00E20700">
        <w:t xml:space="preserve">IT IS FURTHER ORDERED that the petition for waiver </w:t>
      </w:r>
      <w:r w:rsidR="00E20700">
        <w:t xml:space="preserve">of the financial information requirements for Auction 904 </w:t>
      </w:r>
      <w:r w:rsidRPr="00E20700">
        <w:t>filed by Redbird</w:t>
      </w:r>
      <w:r w:rsidRPr="00E20700">
        <w:rPr>
          <w:color w:val="000000"/>
          <w:szCs w:val="22"/>
        </w:rPr>
        <w:t xml:space="preserve"> Management Illinois LLC</w:t>
      </w:r>
      <w:r w:rsidRPr="00E20700">
        <w:t>, IS DENIED as described herein.</w:t>
      </w:r>
    </w:p>
    <w:p w:rsidR="00C020E6" w:rsidP="00C020E6" w14:paraId="24497340" w14:textId="70170606">
      <w:pPr>
        <w:pStyle w:val="ParaNum"/>
      </w:pPr>
      <w:r w:rsidRPr="00E20700">
        <w:t xml:space="preserve">IT IS FURTHER ORDERED that the petition for waiver </w:t>
      </w:r>
      <w:r>
        <w:t xml:space="preserve">of the financial information requirements for Auction 904 </w:t>
      </w:r>
      <w:r w:rsidRPr="00E20700">
        <w:t xml:space="preserve">filed by </w:t>
      </w:r>
      <w:r>
        <w:t>Brown Dog Networks,</w:t>
      </w:r>
      <w:r w:rsidRPr="00E20700">
        <w:rPr>
          <w:color w:val="000000"/>
          <w:szCs w:val="22"/>
        </w:rPr>
        <w:t xml:space="preserve"> LLC</w:t>
      </w:r>
      <w:r w:rsidRPr="00E20700">
        <w:t>, IS D</w:t>
      </w:r>
      <w:r>
        <w:t xml:space="preserve">ISMISSED </w:t>
      </w:r>
      <w:r w:rsidRPr="00E20700">
        <w:t>as described herein.</w:t>
      </w:r>
    </w:p>
    <w:p w:rsidR="00BB7398" w:rsidP="00BB7398" w14:paraId="3E4F070C" w14:textId="752649C5">
      <w:pPr>
        <w:pStyle w:val="ParaNum"/>
      </w:pPr>
      <w:r w:rsidRPr="00E20700">
        <w:t xml:space="preserve">IT IS FURTHER ORDERED that the petition for waiver </w:t>
      </w:r>
      <w:r>
        <w:t xml:space="preserve">of the financial information requirements for Auction 904 </w:t>
      </w:r>
      <w:r w:rsidRPr="00E20700">
        <w:t>filed by Worldwide Technologies, Inc</w:t>
      </w:r>
      <w:r>
        <w:t>.</w:t>
      </w:r>
      <w:r w:rsidRPr="00E20700">
        <w:t>, IS D</w:t>
      </w:r>
      <w:r>
        <w:t xml:space="preserve">ISMISSED </w:t>
      </w:r>
      <w:r w:rsidRPr="00E20700">
        <w:t>as described herein.</w:t>
      </w:r>
    </w:p>
    <w:p w:rsidR="00473549" w:rsidP="00473549" w14:paraId="20A0DDCD" w14:textId="2AA97D9E">
      <w:pPr>
        <w:pStyle w:val="ParaNum"/>
      </w:pPr>
      <w:r w:rsidRPr="00E20700">
        <w:t>IT IS FURTHER ORDERED that the petition</w:t>
      </w:r>
      <w:r>
        <w:t>s</w:t>
      </w:r>
      <w:r w:rsidRPr="00E20700">
        <w:t xml:space="preserve"> for waiver </w:t>
      </w:r>
      <w:r>
        <w:t xml:space="preserve">of the financial information requirements and network </w:t>
      </w:r>
      <w:r w:rsidR="00A07987">
        <w:t xml:space="preserve">documentation </w:t>
      </w:r>
      <w:r>
        <w:t xml:space="preserve">requirements for Auction 904 </w:t>
      </w:r>
      <w:r w:rsidRPr="00E20700">
        <w:t>filed by World Network International Services Inc</w:t>
      </w:r>
      <w:r>
        <w:t xml:space="preserve">., </w:t>
      </w:r>
      <w:r w:rsidRPr="00E20700">
        <w:t>ARE D</w:t>
      </w:r>
      <w:r>
        <w:t xml:space="preserve">ISMISSED </w:t>
      </w:r>
      <w:r w:rsidRPr="00E20700">
        <w:t>as described herein.</w:t>
      </w:r>
    </w:p>
    <w:p w:rsidR="00E20700" w:rsidRPr="00E20700" w:rsidP="00A4603D" w14:paraId="720B64C1" w14:textId="1CC142DC">
      <w:pPr>
        <w:pStyle w:val="ParaNum"/>
      </w:pPr>
      <w:r w:rsidRPr="00E20700">
        <w:t>IT IS FURTHER ORDERED that the petitions for waiver of the CAF Phase II defaulter requirements filed by Crocker Communications Inc. and MGW Networks, L.L.C., ARE DENIED as described herein.</w:t>
      </w:r>
      <w:r w:rsidR="00A4603D">
        <w:br w:type="page"/>
      </w:r>
    </w:p>
    <w:p w:rsidR="00802091" w:rsidRPr="0019242C" w:rsidP="00802091" w14:paraId="78E18D75" w14:textId="77777777">
      <w:pPr>
        <w:pStyle w:val="ParaNum"/>
      </w:pPr>
      <w:r w:rsidRPr="0019242C">
        <w:t>IT IS FURTHER ORDERED that, pursuant to section 1.102(b)(1) of the Commission’s rules, 47 CFR § 1.102(b)(1), this Order SHALL BE EFFECTIVE upon release.</w:t>
      </w:r>
    </w:p>
    <w:p w:rsidR="00802091" w:rsidRPr="0019242C" w:rsidP="00802091" w14:paraId="7FFCC560" w14:textId="77777777">
      <w:pPr>
        <w:pStyle w:val="ParaNum"/>
        <w:numPr>
          <w:ilvl w:val="0"/>
          <w:numId w:val="0"/>
        </w:numPr>
      </w:pPr>
    </w:p>
    <w:p w:rsidR="00802091" w:rsidRPr="0019242C" w:rsidP="00802091" w14:paraId="1F2CE817" w14:textId="77777777">
      <w:pPr>
        <w:pStyle w:val="Header"/>
        <w:tabs>
          <w:tab w:val="clear" w:pos="4320"/>
          <w:tab w:val="clear" w:pos="8640"/>
        </w:tabs>
        <w:ind w:left="4320"/>
        <w:rPr>
          <w:szCs w:val="22"/>
        </w:rPr>
      </w:pPr>
      <w:r w:rsidRPr="0019242C">
        <w:rPr>
          <w:szCs w:val="22"/>
        </w:rPr>
        <w:t>FEDERAL COMMUNICATIONS COMMISSION</w:t>
      </w:r>
    </w:p>
    <w:p w:rsidR="00802091" w:rsidRPr="0019242C" w:rsidP="00802091" w14:paraId="18D089B5" w14:textId="77777777">
      <w:pPr>
        <w:pStyle w:val="Header"/>
        <w:tabs>
          <w:tab w:val="clear" w:pos="4320"/>
          <w:tab w:val="clear" w:pos="8640"/>
        </w:tabs>
        <w:rPr>
          <w:szCs w:val="22"/>
        </w:rPr>
      </w:pPr>
    </w:p>
    <w:p w:rsidR="00802091" w:rsidRPr="0019242C" w:rsidP="00802091" w14:paraId="133FA5F2" w14:textId="77777777">
      <w:pPr>
        <w:pStyle w:val="Header"/>
        <w:tabs>
          <w:tab w:val="clear" w:pos="4320"/>
          <w:tab w:val="clear" w:pos="8640"/>
        </w:tabs>
        <w:rPr>
          <w:szCs w:val="22"/>
        </w:rPr>
      </w:pPr>
    </w:p>
    <w:p w:rsidR="00802091" w:rsidRPr="0019242C" w:rsidP="00802091" w14:paraId="0BCDE971" w14:textId="77777777">
      <w:pPr>
        <w:pStyle w:val="Header"/>
        <w:tabs>
          <w:tab w:val="clear" w:pos="4320"/>
          <w:tab w:val="clear" w:pos="8640"/>
        </w:tabs>
        <w:rPr>
          <w:szCs w:val="22"/>
        </w:rPr>
      </w:pPr>
    </w:p>
    <w:p w:rsidR="00802091" w:rsidRPr="0019242C" w:rsidP="00802091" w14:paraId="75815430" w14:textId="77777777">
      <w:pPr>
        <w:pStyle w:val="Header"/>
        <w:tabs>
          <w:tab w:val="clear" w:pos="4320"/>
          <w:tab w:val="clear" w:pos="8640"/>
        </w:tabs>
        <w:rPr>
          <w:szCs w:val="22"/>
        </w:rPr>
      </w:pPr>
    </w:p>
    <w:p w:rsidR="00802091" w:rsidRPr="0019242C" w:rsidP="00802091" w14:paraId="7D87A1DB"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Kris A. Monteith</w:t>
      </w:r>
      <w:r w:rsidRPr="0019242C">
        <w:rPr>
          <w:szCs w:val="22"/>
        </w:rPr>
        <w:tab/>
      </w:r>
      <w:r w:rsidRPr="0019242C">
        <w:rPr>
          <w:szCs w:val="22"/>
        </w:rPr>
        <w:tab/>
      </w:r>
      <w:r w:rsidRPr="0019242C">
        <w:rPr>
          <w:szCs w:val="22"/>
        </w:rPr>
        <w:tab/>
      </w:r>
    </w:p>
    <w:p w:rsidR="00802091" w:rsidRPr="0019242C" w:rsidP="00802091" w14:paraId="57594877"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802091" w:rsidP="00802091" w14:paraId="173DEB74" w14:textId="77777777">
      <w:pPr>
        <w:pStyle w:val="ParaNum"/>
        <w:numPr>
          <w:ilvl w:val="0"/>
          <w:numId w:val="0"/>
        </w:numPr>
        <w:ind w:left="720"/>
      </w:pPr>
      <w:r w:rsidRPr="0019242C">
        <w:tab/>
      </w:r>
      <w:r w:rsidRPr="0019242C">
        <w:tab/>
      </w:r>
      <w:r w:rsidRPr="0019242C">
        <w:tab/>
      </w:r>
      <w:r w:rsidRPr="0019242C">
        <w:tab/>
      </w:r>
      <w:r w:rsidRPr="0019242C">
        <w:tab/>
        <w:t>Wireline Competition Bureau</w:t>
      </w:r>
    </w:p>
    <w:p w:rsidR="00802091" w:rsidP="00802091" w14:paraId="3D7E7C09" w14:textId="00CD2F78">
      <w:pPr>
        <w:pStyle w:val="ParaNum"/>
        <w:numPr>
          <w:ilvl w:val="0"/>
          <w:numId w:val="0"/>
        </w:numPr>
        <w:ind w:left="720"/>
      </w:pPr>
    </w:p>
    <w:p w:rsidR="00886BD6" w:rsidP="00802091" w14:paraId="5AA2C823" w14:textId="31E4D3BD">
      <w:pPr>
        <w:pStyle w:val="ParaNum"/>
        <w:numPr>
          <w:ilvl w:val="0"/>
          <w:numId w:val="0"/>
        </w:numPr>
        <w:ind w:left="720"/>
      </w:pPr>
    </w:p>
    <w:p w:rsidR="00886BD6" w:rsidP="00802091" w14:paraId="329BC39E" w14:textId="77777777">
      <w:pPr>
        <w:pStyle w:val="ParaNum"/>
        <w:numPr>
          <w:ilvl w:val="0"/>
          <w:numId w:val="0"/>
        </w:numPr>
        <w:ind w:left="720"/>
      </w:pPr>
    </w:p>
    <w:p w:rsidR="00802091" w:rsidP="00802091" w14:paraId="38693645" w14:textId="77777777">
      <w:pPr>
        <w:pStyle w:val="ParaNum"/>
        <w:numPr>
          <w:ilvl w:val="0"/>
          <w:numId w:val="0"/>
        </w:numPr>
        <w:spacing w:after="0"/>
        <w:ind w:left="720"/>
      </w:pPr>
      <w:r>
        <w:tab/>
      </w:r>
      <w:r>
        <w:tab/>
      </w:r>
      <w:r>
        <w:tab/>
      </w:r>
      <w:r>
        <w:tab/>
      </w:r>
      <w:r>
        <w:tab/>
      </w:r>
      <w:r w:rsidR="006A6DD1">
        <w:t>Giulia McHenry</w:t>
      </w:r>
    </w:p>
    <w:p w:rsidR="00802091" w:rsidP="00802091" w14:paraId="3753B61B" w14:textId="77777777">
      <w:pPr>
        <w:pStyle w:val="ParaNum"/>
        <w:numPr>
          <w:ilvl w:val="0"/>
          <w:numId w:val="0"/>
        </w:numPr>
        <w:spacing w:after="0"/>
        <w:ind w:left="720"/>
      </w:pPr>
      <w:r>
        <w:tab/>
      </w:r>
      <w:r>
        <w:tab/>
      </w:r>
      <w:r>
        <w:tab/>
      </w:r>
      <w:r>
        <w:tab/>
      </w:r>
      <w:r>
        <w:tab/>
        <w:t>Chief</w:t>
      </w:r>
    </w:p>
    <w:p w:rsidR="00A622EC" w:rsidP="00802091" w14:paraId="1A67EBC7" w14:textId="77777777">
      <w:pPr>
        <w:pStyle w:val="ParaNum"/>
        <w:numPr>
          <w:ilvl w:val="0"/>
          <w:numId w:val="0"/>
        </w:numPr>
        <w:spacing w:after="0"/>
        <w:ind w:left="720"/>
        <w:sectPr>
          <w:headerReference w:type="default" r:id="rId5"/>
          <w:footerReference w:type="default" r:id="rId6"/>
          <w:headerReference w:type="first" r:id="rId7"/>
          <w:pgSz w:w="12240" w:h="15840"/>
          <w:pgMar w:top="1440" w:right="1440" w:bottom="720" w:left="1440" w:header="720" w:footer="720" w:gutter="0"/>
          <w:pgNumType w:start="1"/>
          <w:cols w:space="720"/>
          <w:titlePg/>
        </w:sectPr>
      </w:pPr>
      <w:r>
        <w:tab/>
      </w:r>
      <w:r>
        <w:tab/>
      </w:r>
      <w:r>
        <w:tab/>
      </w:r>
      <w:r>
        <w:tab/>
      </w:r>
      <w:r>
        <w:tab/>
      </w:r>
      <w:r w:rsidR="006A6DD1">
        <w:t>Office of Economics and Analytics</w:t>
      </w:r>
    </w:p>
    <w:p w:rsidR="00802091" w:rsidRPr="007F70C4" w:rsidP="00A622EC" w14:paraId="217DF6C3" w14:textId="5A603B97">
      <w:pPr>
        <w:pStyle w:val="ParaNum"/>
        <w:numPr>
          <w:ilvl w:val="0"/>
          <w:numId w:val="0"/>
        </w:numPr>
        <w:spacing w:after="0"/>
        <w:ind w:left="720"/>
        <w:jc w:val="center"/>
        <w:rPr>
          <w:b/>
          <w:bCs/>
          <w:szCs w:val="22"/>
        </w:rPr>
      </w:pPr>
      <w:r w:rsidRPr="007F70C4">
        <w:rPr>
          <w:b/>
          <w:bCs/>
          <w:szCs w:val="22"/>
        </w:rPr>
        <w:t>Appendix A</w:t>
      </w:r>
    </w:p>
    <w:p w:rsidR="00A622EC" w:rsidRPr="007F70C4" w:rsidP="00A622EC" w14:paraId="38DB0199" w14:textId="13DA7EA5">
      <w:pPr>
        <w:pStyle w:val="ParaNum"/>
        <w:numPr>
          <w:ilvl w:val="0"/>
          <w:numId w:val="0"/>
        </w:numPr>
        <w:spacing w:after="0"/>
        <w:ind w:left="720"/>
        <w:jc w:val="center"/>
        <w:rPr>
          <w:b/>
          <w:bCs/>
          <w:szCs w:val="22"/>
        </w:rPr>
      </w:pPr>
      <w:r w:rsidRPr="007F70C4">
        <w:rPr>
          <w:b/>
          <w:bCs/>
          <w:szCs w:val="22"/>
        </w:rPr>
        <w:t>Petitions for Waiver of Auction 904 Short-Form Requirements</w:t>
      </w:r>
    </w:p>
    <w:p w:rsidR="00FB29EE" w:rsidRPr="007F70C4" w:rsidP="00A622EC" w14:paraId="40392B53" w14:textId="6C3FEF82">
      <w:pPr>
        <w:pStyle w:val="ParaNum"/>
        <w:numPr>
          <w:ilvl w:val="0"/>
          <w:numId w:val="0"/>
        </w:numPr>
        <w:spacing w:after="0"/>
        <w:ind w:left="720"/>
        <w:jc w:val="center"/>
        <w:rPr>
          <w:szCs w:val="22"/>
        </w:rPr>
      </w:pPr>
    </w:p>
    <w:tbl>
      <w:tblPr>
        <w:tblStyle w:val="TableGrid"/>
        <w:tblW w:w="9450" w:type="dxa"/>
        <w:tblInd w:w="85" w:type="dxa"/>
        <w:tblLayout w:type="fixed"/>
        <w:tblLook w:val="04A0"/>
      </w:tblPr>
      <w:tblGrid>
        <w:gridCol w:w="3960"/>
        <w:gridCol w:w="1350"/>
        <w:gridCol w:w="2790"/>
        <w:gridCol w:w="1350"/>
      </w:tblGrid>
      <w:tr w14:paraId="57987213" w14:textId="77777777" w:rsidTr="00473549">
        <w:tblPrEx>
          <w:tblW w:w="9450" w:type="dxa"/>
          <w:tblInd w:w="85" w:type="dxa"/>
          <w:tblLayout w:type="fixed"/>
          <w:tblLook w:val="04A0"/>
        </w:tblPrEx>
        <w:tc>
          <w:tcPr>
            <w:tcW w:w="3960" w:type="dxa"/>
            <w:shd w:val="clear" w:color="auto" w:fill="BFBFBF" w:themeFill="background1" w:themeFillShade="BF"/>
          </w:tcPr>
          <w:p w:rsidR="00FB29EE" w:rsidRPr="007F70C4" w:rsidP="00A622EC" w14:paraId="41D1A62A" w14:textId="5EA1F53C">
            <w:pPr>
              <w:pStyle w:val="ParaNum"/>
              <w:numPr>
                <w:ilvl w:val="0"/>
                <w:numId w:val="0"/>
              </w:numPr>
              <w:spacing w:after="0"/>
              <w:jc w:val="center"/>
              <w:rPr>
                <w:b/>
                <w:bCs/>
                <w:szCs w:val="22"/>
              </w:rPr>
            </w:pPr>
            <w:r w:rsidRPr="007F70C4">
              <w:rPr>
                <w:b/>
                <w:bCs/>
                <w:szCs w:val="22"/>
              </w:rPr>
              <w:t>Applicant</w:t>
            </w:r>
          </w:p>
        </w:tc>
        <w:tc>
          <w:tcPr>
            <w:tcW w:w="1350" w:type="dxa"/>
            <w:shd w:val="clear" w:color="auto" w:fill="BFBFBF" w:themeFill="background1" w:themeFillShade="BF"/>
          </w:tcPr>
          <w:p w:rsidR="00FB29EE" w:rsidRPr="007F70C4" w:rsidP="00A622EC" w14:paraId="22E072B9" w14:textId="6C231FEE">
            <w:pPr>
              <w:pStyle w:val="ParaNum"/>
              <w:numPr>
                <w:ilvl w:val="0"/>
                <w:numId w:val="0"/>
              </w:numPr>
              <w:spacing w:after="0"/>
              <w:jc w:val="center"/>
              <w:rPr>
                <w:b/>
                <w:bCs/>
                <w:szCs w:val="22"/>
              </w:rPr>
            </w:pPr>
            <w:r w:rsidRPr="007F70C4">
              <w:rPr>
                <w:b/>
                <w:bCs/>
                <w:szCs w:val="22"/>
              </w:rPr>
              <w:t>FRN</w:t>
            </w:r>
          </w:p>
        </w:tc>
        <w:tc>
          <w:tcPr>
            <w:tcW w:w="2790" w:type="dxa"/>
            <w:shd w:val="clear" w:color="auto" w:fill="BFBFBF" w:themeFill="background1" w:themeFillShade="BF"/>
          </w:tcPr>
          <w:p w:rsidR="00FB29EE" w:rsidRPr="007F70C4" w:rsidP="00A622EC" w14:paraId="179DF867" w14:textId="7CE69AED">
            <w:pPr>
              <w:pStyle w:val="ParaNum"/>
              <w:numPr>
                <w:ilvl w:val="0"/>
                <w:numId w:val="0"/>
              </w:numPr>
              <w:spacing w:after="0"/>
              <w:jc w:val="center"/>
              <w:rPr>
                <w:b/>
                <w:bCs/>
                <w:szCs w:val="22"/>
              </w:rPr>
            </w:pPr>
            <w:r w:rsidRPr="007F70C4">
              <w:rPr>
                <w:b/>
                <w:bCs/>
                <w:szCs w:val="22"/>
              </w:rPr>
              <w:t>Waiver Request Type</w:t>
            </w:r>
          </w:p>
        </w:tc>
        <w:tc>
          <w:tcPr>
            <w:tcW w:w="1350" w:type="dxa"/>
            <w:shd w:val="clear" w:color="auto" w:fill="BFBFBF" w:themeFill="background1" w:themeFillShade="BF"/>
          </w:tcPr>
          <w:p w:rsidR="00FB29EE" w:rsidRPr="007F70C4" w:rsidP="00A622EC" w14:paraId="224F4F0D" w14:textId="352E7760">
            <w:pPr>
              <w:pStyle w:val="ParaNum"/>
              <w:numPr>
                <w:ilvl w:val="0"/>
                <w:numId w:val="0"/>
              </w:numPr>
              <w:spacing w:after="0"/>
              <w:jc w:val="center"/>
              <w:rPr>
                <w:b/>
                <w:bCs/>
                <w:szCs w:val="22"/>
              </w:rPr>
            </w:pPr>
            <w:r w:rsidRPr="007F70C4">
              <w:rPr>
                <w:b/>
                <w:bCs/>
                <w:szCs w:val="22"/>
              </w:rPr>
              <w:t>Disposition</w:t>
            </w:r>
          </w:p>
        </w:tc>
      </w:tr>
      <w:tr w14:paraId="7204E599" w14:textId="77777777" w:rsidTr="00473549">
        <w:tblPrEx>
          <w:tblW w:w="9450" w:type="dxa"/>
          <w:tblInd w:w="85" w:type="dxa"/>
          <w:tblLayout w:type="fixed"/>
          <w:tblLook w:val="04A0"/>
        </w:tblPrEx>
        <w:tc>
          <w:tcPr>
            <w:tcW w:w="3960" w:type="dxa"/>
          </w:tcPr>
          <w:p w:rsidR="007F70C4" w:rsidRPr="007F70C4" w:rsidP="00994BE0" w14:paraId="09C89219" w14:textId="42AFBAF4">
            <w:pPr>
              <w:pStyle w:val="ParaNum"/>
              <w:numPr>
                <w:ilvl w:val="0"/>
                <w:numId w:val="0"/>
              </w:numPr>
              <w:spacing w:after="0"/>
              <w:jc w:val="center"/>
              <w:rPr>
                <w:szCs w:val="22"/>
              </w:rPr>
            </w:pPr>
            <w:r>
              <w:rPr>
                <w:szCs w:val="22"/>
              </w:rPr>
              <w:t>Atherton Fiber</w:t>
            </w:r>
          </w:p>
        </w:tc>
        <w:tc>
          <w:tcPr>
            <w:tcW w:w="1350" w:type="dxa"/>
          </w:tcPr>
          <w:p w:rsidR="007F70C4" w:rsidRPr="007F70C4" w:rsidP="00A622EC" w14:paraId="6E9971EA" w14:textId="3D619C80">
            <w:pPr>
              <w:pStyle w:val="ParaNum"/>
              <w:numPr>
                <w:ilvl w:val="0"/>
                <w:numId w:val="0"/>
              </w:numPr>
              <w:spacing w:after="0"/>
              <w:jc w:val="center"/>
              <w:rPr>
                <w:szCs w:val="22"/>
              </w:rPr>
            </w:pPr>
            <w:r>
              <w:rPr>
                <w:szCs w:val="22"/>
              </w:rPr>
              <w:t>0029707056</w:t>
            </w:r>
          </w:p>
        </w:tc>
        <w:tc>
          <w:tcPr>
            <w:tcW w:w="2790" w:type="dxa"/>
          </w:tcPr>
          <w:p w:rsidR="007F70C4" w:rsidRPr="007F70C4" w:rsidP="00A622EC" w14:paraId="0FB41DFD" w14:textId="56FDAB72">
            <w:pPr>
              <w:pStyle w:val="ParaNum"/>
              <w:numPr>
                <w:ilvl w:val="0"/>
                <w:numId w:val="0"/>
              </w:numPr>
              <w:spacing w:after="0"/>
              <w:jc w:val="center"/>
              <w:rPr>
                <w:szCs w:val="22"/>
              </w:rPr>
            </w:pPr>
            <w:r w:rsidRPr="007F70C4">
              <w:rPr>
                <w:szCs w:val="22"/>
              </w:rPr>
              <w:t>Form 477 filing requirement</w:t>
            </w:r>
          </w:p>
        </w:tc>
        <w:tc>
          <w:tcPr>
            <w:tcW w:w="1350" w:type="dxa"/>
          </w:tcPr>
          <w:p w:rsidR="007F70C4" w:rsidRPr="007F70C4" w:rsidP="00A622EC" w14:paraId="0BEF2FAE" w14:textId="1F4CC71C">
            <w:pPr>
              <w:pStyle w:val="ParaNum"/>
              <w:numPr>
                <w:ilvl w:val="0"/>
                <w:numId w:val="0"/>
              </w:numPr>
              <w:spacing w:after="0"/>
              <w:jc w:val="center"/>
              <w:rPr>
                <w:szCs w:val="22"/>
              </w:rPr>
            </w:pPr>
            <w:r>
              <w:rPr>
                <w:szCs w:val="22"/>
              </w:rPr>
              <w:t>Deny</w:t>
            </w:r>
          </w:p>
        </w:tc>
      </w:tr>
      <w:tr w14:paraId="4F30C228" w14:textId="77777777" w:rsidTr="00473549">
        <w:tblPrEx>
          <w:tblW w:w="9450" w:type="dxa"/>
          <w:tblInd w:w="85" w:type="dxa"/>
          <w:tblLayout w:type="fixed"/>
          <w:tblLook w:val="04A0"/>
        </w:tblPrEx>
        <w:tc>
          <w:tcPr>
            <w:tcW w:w="3960" w:type="dxa"/>
          </w:tcPr>
          <w:p w:rsidR="00FB29EE" w:rsidRPr="007F70C4" w:rsidP="00994BE0" w14:paraId="0E5D2044" w14:textId="61F7A857">
            <w:pPr>
              <w:pStyle w:val="ParaNum"/>
              <w:numPr>
                <w:ilvl w:val="0"/>
                <w:numId w:val="0"/>
              </w:numPr>
              <w:spacing w:after="0"/>
              <w:jc w:val="center"/>
              <w:rPr>
                <w:szCs w:val="22"/>
              </w:rPr>
            </w:pPr>
            <w:r w:rsidRPr="007F70C4">
              <w:rPr>
                <w:szCs w:val="22"/>
              </w:rPr>
              <w:t>BerryCom</w:t>
            </w:r>
            <w:r w:rsidRPr="007F70C4">
              <w:rPr>
                <w:szCs w:val="22"/>
              </w:rPr>
              <w:t xml:space="preserve"> LLC</w:t>
            </w:r>
          </w:p>
        </w:tc>
        <w:tc>
          <w:tcPr>
            <w:tcW w:w="1350" w:type="dxa"/>
          </w:tcPr>
          <w:p w:rsidR="00FB29EE" w:rsidRPr="007F70C4" w:rsidP="00A622EC" w14:paraId="25AB909E" w14:textId="2202EDFB">
            <w:pPr>
              <w:pStyle w:val="ParaNum"/>
              <w:numPr>
                <w:ilvl w:val="0"/>
                <w:numId w:val="0"/>
              </w:numPr>
              <w:spacing w:after="0"/>
              <w:jc w:val="center"/>
              <w:rPr>
                <w:szCs w:val="22"/>
              </w:rPr>
            </w:pPr>
            <w:r w:rsidRPr="007F70C4">
              <w:rPr>
                <w:szCs w:val="22"/>
              </w:rPr>
              <w:t>0026169045</w:t>
            </w:r>
          </w:p>
        </w:tc>
        <w:tc>
          <w:tcPr>
            <w:tcW w:w="2790" w:type="dxa"/>
          </w:tcPr>
          <w:p w:rsidR="00FB29EE" w:rsidRPr="007F70C4" w:rsidP="00A622EC" w14:paraId="41D7D4EA" w14:textId="1137F93C">
            <w:pPr>
              <w:pStyle w:val="ParaNum"/>
              <w:numPr>
                <w:ilvl w:val="0"/>
                <w:numId w:val="0"/>
              </w:numPr>
              <w:spacing w:after="0"/>
              <w:jc w:val="center"/>
              <w:rPr>
                <w:szCs w:val="22"/>
              </w:rPr>
            </w:pPr>
            <w:r w:rsidRPr="007F70C4">
              <w:rPr>
                <w:szCs w:val="22"/>
              </w:rPr>
              <w:t>Form 477 filing requirement</w:t>
            </w:r>
          </w:p>
        </w:tc>
        <w:tc>
          <w:tcPr>
            <w:tcW w:w="1350" w:type="dxa"/>
          </w:tcPr>
          <w:p w:rsidR="00FB29EE" w:rsidRPr="007F70C4" w:rsidP="00A622EC" w14:paraId="100FF4D8" w14:textId="47CAB214">
            <w:pPr>
              <w:pStyle w:val="ParaNum"/>
              <w:numPr>
                <w:ilvl w:val="0"/>
                <w:numId w:val="0"/>
              </w:numPr>
              <w:spacing w:after="0"/>
              <w:jc w:val="center"/>
              <w:rPr>
                <w:szCs w:val="22"/>
              </w:rPr>
            </w:pPr>
            <w:r w:rsidRPr="007F70C4">
              <w:rPr>
                <w:szCs w:val="22"/>
              </w:rPr>
              <w:t>Grant</w:t>
            </w:r>
          </w:p>
        </w:tc>
      </w:tr>
      <w:tr w14:paraId="6A21F985" w14:textId="77777777" w:rsidTr="00473549">
        <w:tblPrEx>
          <w:tblW w:w="9450" w:type="dxa"/>
          <w:tblInd w:w="85" w:type="dxa"/>
          <w:tblLayout w:type="fixed"/>
          <w:tblLook w:val="04A0"/>
        </w:tblPrEx>
        <w:tc>
          <w:tcPr>
            <w:tcW w:w="3960" w:type="dxa"/>
          </w:tcPr>
          <w:p w:rsidR="00994BE0" w:rsidRPr="007F70C4" w:rsidP="00994BE0" w14:paraId="51A5AB0A" w14:textId="642D4E53">
            <w:pPr>
              <w:pStyle w:val="ParaNum"/>
              <w:numPr>
                <w:ilvl w:val="0"/>
                <w:numId w:val="0"/>
              </w:numPr>
              <w:spacing w:after="0"/>
              <w:jc w:val="center"/>
              <w:rPr>
                <w:szCs w:val="22"/>
              </w:rPr>
            </w:pPr>
            <w:r>
              <w:rPr>
                <w:szCs w:val="22"/>
              </w:rPr>
              <w:t>Brown Dog Networks, LLC</w:t>
            </w:r>
          </w:p>
        </w:tc>
        <w:tc>
          <w:tcPr>
            <w:tcW w:w="1350" w:type="dxa"/>
          </w:tcPr>
          <w:p w:rsidR="00994BE0" w:rsidRPr="007F70C4" w:rsidP="00A622EC" w14:paraId="5B9F7CBE" w14:textId="27957FA5">
            <w:pPr>
              <w:pStyle w:val="ParaNum"/>
              <w:numPr>
                <w:ilvl w:val="0"/>
                <w:numId w:val="0"/>
              </w:numPr>
              <w:spacing w:after="0"/>
              <w:jc w:val="center"/>
              <w:rPr>
                <w:szCs w:val="22"/>
              </w:rPr>
            </w:pPr>
            <w:r>
              <w:rPr>
                <w:szCs w:val="22"/>
              </w:rPr>
              <w:t>0009254095</w:t>
            </w:r>
          </w:p>
        </w:tc>
        <w:tc>
          <w:tcPr>
            <w:tcW w:w="2790" w:type="dxa"/>
          </w:tcPr>
          <w:p w:rsidR="00994BE0" w:rsidRPr="007F70C4" w:rsidP="00A622EC" w14:paraId="10816443" w14:textId="642163AC">
            <w:pPr>
              <w:pStyle w:val="ParaNum"/>
              <w:numPr>
                <w:ilvl w:val="0"/>
                <w:numId w:val="0"/>
              </w:numPr>
              <w:spacing w:after="0"/>
              <w:jc w:val="center"/>
              <w:rPr>
                <w:szCs w:val="22"/>
              </w:rPr>
            </w:pPr>
            <w:r>
              <w:rPr>
                <w:szCs w:val="22"/>
              </w:rPr>
              <w:t>Financial</w:t>
            </w:r>
            <w:r w:rsidR="00A07987">
              <w:rPr>
                <w:szCs w:val="22"/>
              </w:rPr>
              <w:t xml:space="preserve"> information</w:t>
            </w:r>
            <w:r>
              <w:rPr>
                <w:szCs w:val="22"/>
              </w:rPr>
              <w:t xml:space="preserve"> requirements</w:t>
            </w:r>
          </w:p>
        </w:tc>
        <w:tc>
          <w:tcPr>
            <w:tcW w:w="1350" w:type="dxa"/>
          </w:tcPr>
          <w:p w:rsidR="00994BE0" w:rsidRPr="007F70C4" w:rsidP="00A622EC" w14:paraId="4EF00CA5" w14:textId="702DE917">
            <w:pPr>
              <w:pStyle w:val="ParaNum"/>
              <w:numPr>
                <w:ilvl w:val="0"/>
                <w:numId w:val="0"/>
              </w:numPr>
              <w:spacing w:after="0"/>
              <w:jc w:val="center"/>
              <w:rPr>
                <w:szCs w:val="22"/>
              </w:rPr>
            </w:pPr>
            <w:r>
              <w:rPr>
                <w:szCs w:val="22"/>
              </w:rPr>
              <w:t>Dismiss</w:t>
            </w:r>
          </w:p>
        </w:tc>
      </w:tr>
      <w:tr w14:paraId="41618173" w14:textId="77777777" w:rsidTr="00473549">
        <w:tblPrEx>
          <w:tblW w:w="9450" w:type="dxa"/>
          <w:tblInd w:w="85" w:type="dxa"/>
          <w:tblLayout w:type="fixed"/>
          <w:tblLook w:val="04A0"/>
        </w:tblPrEx>
        <w:tc>
          <w:tcPr>
            <w:tcW w:w="3960" w:type="dxa"/>
          </w:tcPr>
          <w:p w:rsidR="00994BE0" w:rsidRPr="007F70C4" w:rsidP="00994BE0" w14:paraId="798F28EF" w14:textId="6760FA81">
            <w:pPr>
              <w:pStyle w:val="ParaNum"/>
              <w:numPr>
                <w:ilvl w:val="0"/>
                <w:numId w:val="0"/>
              </w:numPr>
              <w:spacing w:after="0"/>
              <w:jc w:val="center"/>
              <w:rPr>
                <w:szCs w:val="22"/>
              </w:rPr>
            </w:pPr>
            <w:r>
              <w:rPr>
                <w:szCs w:val="22"/>
              </w:rPr>
              <w:t>Centre WISP Venture Company, LLC</w:t>
            </w:r>
          </w:p>
        </w:tc>
        <w:tc>
          <w:tcPr>
            <w:tcW w:w="1350" w:type="dxa"/>
          </w:tcPr>
          <w:p w:rsidR="00994BE0" w:rsidRPr="007F70C4" w:rsidP="00FB29EE" w14:paraId="042243E7" w14:textId="26A26C70">
            <w:pPr>
              <w:pStyle w:val="ParaNum"/>
              <w:numPr>
                <w:ilvl w:val="0"/>
                <w:numId w:val="0"/>
              </w:numPr>
              <w:spacing w:after="0"/>
              <w:jc w:val="center"/>
              <w:rPr>
                <w:szCs w:val="22"/>
              </w:rPr>
            </w:pPr>
            <w:r>
              <w:rPr>
                <w:szCs w:val="22"/>
              </w:rPr>
              <w:t>0025132648</w:t>
            </w:r>
          </w:p>
        </w:tc>
        <w:tc>
          <w:tcPr>
            <w:tcW w:w="2790" w:type="dxa"/>
          </w:tcPr>
          <w:p w:rsidR="00994BE0" w:rsidRPr="007F70C4" w:rsidP="00FB29EE" w14:paraId="319397C3" w14:textId="7BFECD61">
            <w:pPr>
              <w:pStyle w:val="ParaNum"/>
              <w:numPr>
                <w:ilvl w:val="0"/>
                <w:numId w:val="0"/>
              </w:numPr>
              <w:spacing w:after="0"/>
              <w:jc w:val="center"/>
              <w:rPr>
                <w:szCs w:val="22"/>
              </w:rPr>
            </w:pPr>
            <w:r>
              <w:rPr>
                <w:szCs w:val="22"/>
              </w:rPr>
              <w:t>Financial information requirements</w:t>
            </w:r>
          </w:p>
        </w:tc>
        <w:tc>
          <w:tcPr>
            <w:tcW w:w="1350" w:type="dxa"/>
          </w:tcPr>
          <w:p w:rsidR="00994BE0" w:rsidP="00FB29EE" w14:paraId="0631D914" w14:textId="08EF6CEF">
            <w:pPr>
              <w:pStyle w:val="ParaNum"/>
              <w:numPr>
                <w:ilvl w:val="0"/>
                <w:numId w:val="0"/>
              </w:numPr>
              <w:spacing w:after="0"/>
              <w:jc w:val="center"/>
              <w:rPr>
                <w:szCs w:val="22"/>
              </w:rPr>
            </w:pPr>
            <w:r>
              <w:rPr>
                <w:szCs w:val="22"/>
              </w:rPr>
              <w:t>Grant</w:t>
            </w:r>
          </w:p>
        </w:tc>
      </w:tr>
      <w:tr w14:paraId="3EE26736" w14:textId="77777777" w:rsidTr="00473549">
        <w:tblPrEx>
          <w:tblW w:w="9450" w:type="dxa"/>
          <w:tblInd w:w="85" w:type="dxa"/>
          <w:tblLayout w:type="fixed"/>
          <w:tblLook w:val="04A0"/>
        </w:tblPrEx>
        <w:tc>
          <w:tcPr>
            <w:tcW w:w="3960" w:type="dxa"/>
          </w:tcPr>
          <w:p w:rsidR="00994BE0" w:rsidRPr="007F70C4" w:rsidP="00994BE0" w14:paraId="38AFED8D" w14:textId="54E66A22">
            <w:pPr>
              <w:pStyle w:val="ParaNum"/>
              <w:numPr>
                <w:ilvl w:val="0"/>
                <w:numId w:val="0"/>
              </w:numPr>
              <w:spacing w:after="0"/>
              <w:jc w:val="center"/>
              <w:rPr>
                <w:szCs w:val="22"/>
              </w:rPr>
            </w:pPr>
            <w:r>
              <w:rPr>
                <w:szCs w:val="22"/>
              </w:rPr>
              <w:t>City of Farmington</w:t>
            </w:r>
          </w:p>
        </w:tc>
        <w:tc>
          <w:tcPr>
            <w:tcW w:w="1350" w:type="dxa"/>
          </w:tcPr>
          <w:p w:rsidR="00994BE0" w:rsidRPr="007F70C4" w:rsidP="00FB29EE" w14:paraId="503916C2" w14:textId="1F060BF3">
            <w:pPr>
              <w:pStyle w:val="ParaNum"/>
              <w:numPr>
                <w:ilvl w:val="0"/>
                <w:numId w:val="0"/>
              </w:numPr>
              <w:spacing w:after="0"/>
              <w:jc w:val="center"/>
              <w:rPr>
                <w:szCs w:val="22"/>
              </w:rPr>
            </w:pPr>
            <w:r>
              <w:rPr>
                <w:szCs w:val="22"/>
              </w:rPr>
              <w:t>0001609163</w:t>
            </w:r>
          </w:p>
        </w:tc>
        <w:tc>
          <w:tcPr>
            <w:tcW w:w="2790" w:type="dxa"/>
          </w:tcPr>
          <w:p w:rsidR="00994BE0" w:rsidRPr="007F70C4" w:rsidP="00FB29EE" w14:paraId="392AF6D4" w14:textId="71F7776F">
            <w:pPr>
              <w:pStyle w:val="ParaNum"/>
              <w:numPr>
                <w:ilvl w:val="0"/>
                <w:numId w:val="0"/>
              </w:numPr>
              <w:spacing w:after="0"/>
              <w:jc w:val="center"/>
              <w:rPr>
                <w:szCs w:val="22"/>
              </w:rPr>
            </w:pPr>
            <w:r>
              <w:rPr>
                <w:szCs w:val="22"/>
              </w:rPr>
              <w:t>Electric</w:t>
            </w:r>
            <w:r w:rsidR="008F4FA8">
              <w:rPr>
                <w:szCs w:val="22"/>
              </w:rPr>
              <w:t xml:space="preserve"> distribution</w:t>
            </w:r>
            <w:r>
              <w:rPr>
                <w:szCs w:val="22"/>
              </w:rPr>
              <w:t xml:space="preserve"> network documentation requirements</w:t>
            </w:r>
          </w:p>
        </w:tc>
        <w:tc>
          <w:tcPr>
            <w:tcW w:w="1350" w:type="dxa"/>
          </w:tcPr>
          <w:p w:rsidR="00994BE0" w:rsidP="00FB29EE" w14:paraId="404C0180" w14:textId="0B0EAB97">
            <w:pPr>
              <w:pStyle w:val="ParaNum"/>
              <w:numPr>
                <w:ilvl w:val="0"/>
                <w:numId w:val="0"/>
              </w:numPr>
              <w:spacing w:after="0"/>
              <w:jc w:val="center"/>
              <w:rPr>
                <w:szCs w:val="22"/>
              </w:rPr>
            </w:pPr>
            <w:r>
              <w:rPr>
                <w:szCs w:val="22"/>
              </w:rPr>
              <w:t>Grant</w:t>
            </w:r>
          </w:p>
        </w:tc>
      </w:tr>
      <w:tr w14:paraId="034E1ADF" w14:textId="77777777" w:rsidTr="00473549">
        <w:tblPrEx>
          <w:tblW w:w="9450" w:type="dxa"/>
          <w:tblInd w:w="85" w:type="dxa"/>
          <w:tblLayout w:type="fixed"/>
          <w:tblLook w:val="04A0"/>
        </w:tblPrEx>
        <w:tc>
          <w:tcPr>
            <w:tcW w:w="3960" w:type="dxa"/>
          </w:tcPr>
          <w:p w:rsidR="007F70C4" w:rsidRPr="007F70C4" w:rsidP="00994BE0" w14:paraId="29BB5A91" w14:textId="35164434">
            <w:pPr>
              <w:pStyle w:val="ParaNum"/>
              <w:numPr>
                <w:ilvl w:val="0"/>
                <w:numId w:val="0"/>
              </w:numPr>
              <w:spacing w:after="0"/>
              <w:jc w:val="center"/>
              <w:rPr>
                <w:szCs w:val="22"/>
              </w:rPr>
            </w:pPr>
            <w:r w:rsidRPr="007F70C4">
              <w:rPr>
                <w:szCs w:val="22"/>
              </w:rPr>
              <w:t>Clarksville Connected Utilities</w:t>
            </w:r>
          </w:p>
        </w:tc>
        <w:tc>
          <w:tcPr>
            <w:tcW w:w="1350" w:type="dxa"/>
          </w:tcPr>
          <w:p w:rsidR="007F70C4" w:rsidRPr="007F70C4" w:rsidP="00FB29EE" w14:paraId="138E2879" w14:textId="3AA070A1">
            <w:pPr>
              <w:pStyle w:val="ParaNum"/>
              <w:numPr>
                <w:ilvl w:val="0"/>
                <w:numId w:val="0"/>
              </w:numPr>
              <w:spacing w:after="0"/>
              <w:jc w:val="center"/>
              <w:rPr>
                <w:szCs w:val="22"/>
              </w:rPr>
            </w:pPr>
            <w:r w:rsidRPr="007F70C4">
              <w:rPr>
                <w:szCs w:val="22"/>
              </w:rPr>
              <w:t>0004551529</w:t>
            </w:r>
          </w:p>
        </w:tc>
        <w:tc>
          <w:tcPr>
            <w:tcW w:w="2790" w:type="dxa"/>
          </w:tcPr>
          <w:p w:rsidR="007F70C4" w:rsidRPr="007F70C4" w:rsidP="00FB29EE" w14:paraId="4FB35B7C" w14:textId="43759178">
            <w:pPr>
              <w:pStyle w:val="ParaNum"/>
              <w:numPr>
                <w:ilvl w:val="0"/>
                <w:numId w:val="0"/>
              </w:numPr>
              <w:spacing w:after="0"/>
              <w:jc w:val="center"/>
              <w:rPr>
                <w:szCs w:val="22"/>
              </w:rPr>
            </w:pPr>
            <w:r w:rsidRPr="007F70C4">
              <w:rPr>
                <w:szCs w:val="22"/>
              </w:rPr>
              <w:t>Form 477 filing requirement</w:t>
            </w:r>
          </w:p>
        </w:tc>
        <w:tc>
          <w:tcPr>
            <w:tcW w:w="1350" w:type="dxa"/>
          </w:tcPr>
          <w:p w:rsidR="007F70C4" w:rsidRPr="007F70C4" w:rsidP="00FB29EE" w14:paraId="2EC9805C" w14:textId="42C2527F">
            <w:pPr>
              <w:pStyle w:val="ParaNum"/>
              <w:numPr>
                <w:ilvl w:val="0"/>
                <w:numId w:val="0"/>
              </w:numPr>
              <w:spacing w:after="0"/>
              <w:jc w:val="center"/>
              <w:rPr>
                <w:szCs w:val="22"/>
              </w:rPr>
            </w:pPr>
            <w:r>
              <w:rPr>
                <w:szCs w:val="22"/>
              </w:rPr>
              <w:t>Deny</w:t>
            </w:r>
          </w:p>
        </w:tc>
      </w:tr>
      <w:tr w14:paraId="5584ADC4" w14:textId="77777777" w:rsidTr="00473549">
        <w:tblPrEx>
          <w:tblW w:w="9450" w:type="dxa"/>
          <w:tblInd w:w="85" w:type="dxa"/>
          <w:tblLayout w:type="fixed"/>
          <w:tblLook w:val="04A0"/>
        </w:tblPrEx>
        <w:tc>
          <w:tcPr>
            <w:tcW w:w="3960" w:type="dxa"/>
          </w:tcPr>
          <w:p w:rsidR="00994BE0" w:rsidRPr="007F70C4" w:rsidP="00994BE0" w14:paraId="00D06E23" w14:textId="7C76EE2D">
            <w:pPr>
              <w:pStyle w:val="ParaNum"/>
              <w:numPr>
                <w:ilvl w:val="0"/>
                <w:numId w:val="0"/>
              </w:numPr>
              <w:spacing w:after="0"/>
              <w:jc w:val="center"/>
              <w:rPr>
                <w:szCs w:val="22"/>
              </w:rPr>
            </w:pPr>
            <w:r w:rsidRPr="007F70C4">
              <w:rPr>
                <w:szCs w:val="22"/>
              </w:rPr>
              <w:t>Clarksville Connected Utilities</w:t>
            </w:r>
          </w:p>
        </w:tc>
        <w:tc>
          <w:tcPr>
            <w:tcW w:w="1350" w:type="dxa"/>
          </w:tcPr>
          <w:p w:rsidR="00994BE0" w:rsidRPr="007F70C4" w:rsidP="00994BE0" w14:paraId="571DD263" w14:textId="799C2410">
            <w:pPr>
              <w:pStyle w:val="ParaNum"/>
              <w:numPr>
                <w:ilvl w:val="0"/>
                <w:numId w:val="0"/>
              </w:numPr>
              <w:spacing w:after="0"/>
              <w:jc w:val="center"/>
              <w:rPr>
                <w:szCs w:val="22"/>
              </w:rPr>
            </w:pPr>
            <w:r w:rsidRPr="007F70C4">
              <w:rPr>
                <w:szCs w:val="22"/>
              </w:rPr>
              <w:t>0004551529</w:t>
            </w:r>
          </w:p>
        </w:tc>
        <w:tc>
          <w:tcPr>
            <w:tcW w:w="2790" w:type="dxa"/>
          </w:tcPr>
          <w:p w:rsidR="00994BE0" w:rsidRPr="007F70C4" w:rsidP="00994BE0" w14:paraId="2E1CF71C" w14:textId="3AC35097">
            <w:pPr>
              <w:pStyle w:val="ParaNum"/>
              <w:numPr>
                <w:ilvl w:val="0"/>
                <w:numId w:val="0"/>
              </w:numPr>
              <w:spacing w:after="0"/>
              <w:jc w:val="center"/>
              <w:rPr>
                <w:szCs w:val="22"/>
              </w:rPr>
            </w:pPr>
            <w:r>
              <w:rPr>
                <w:szCs w:val="22"/>
              </w:rPr>
              <w:t xml:space="preserve">Electric </w:t>
            </w:r>
            <w:r w:rsidR="008F4FA8">
              <w:rPr>
                <w:szCs w:val="22"/>
              </w:rPr>
              <w:t xml:space="preserve">distribution </w:t>
            </w:r>
            <w:r>
              <w:rPr>
                <w:szCs w:val="22"/>
              </w:rPr>
              <w:t>network documentation requirements</w:t>
            </w:r>
          </w:p>
        </w:tc>
        <w:tc>
          <w:tcPr>
            <w:tcW w:w="1350" w:type="dxa"/>
          </w:tcPr>
          <w:p w:rsidR="00994BE0" w:rsidP="00994BE0" w14:paraId="2840B5A1" w14:textId="607B238E">
            <w:pPr>
              <w:pStyle w:val="ParaNum"/>
              <w:numPr>
                <w:ilvl w:val="0"/>
                <w:numId w:val="0"/>
              </w:numPr>
              <w:spacing w:after="0"/>
              <w:jc w:val="center"/>
              <w:rPr>
                <w:szCs w:val="22"/>
              </w:rPr>
            </w:pPr>
            <w:r>
              <w:rPr>
                <w:szCs w:val="22"/>
              </w:rPr>
              <w:t>Dismiss</w:t>
            </w:r>
          </w:p>
        </w:tc>
      </w:tr>
      <w:tr w14:paraId="28AAB7CC" w14:textId="77777777" w:rsidTr="00473549">
        <w:tblPrEx>
          <w:tblW w:w="9450" w:type="dxa"/>
          <w:tblInd w:w="85" w:type="dxa"/>
          <w:tblLayout w:type="fixed"/>
          <w:tblLook w:val="04A0"/>
        </w:tblPrEx>
        <w:tc>
          <w:tcPr>
            <w:tcW w:w="3960" w:type="dxa"/>
          </w:tcPr>
          <w:p w:rsidR="00994BE0" w:rsidRPr="007F70C4" w:rsidP="00994BE0" w14:paraId="1C956182" w14:textId="5B8E2F31">
            <w:pPr>
              <w:pStyle w:val="ParaNum"/>
              <w:numPr>
                <w:ilvl w:val="0"/>
                <w:numId w:val="0"/>
              </w:numPr>
              <w:spacing w:after="0"/>
              <w:jc w:val="center"/>
              <w:rPr>
                <w:szCs w:val="22"/>
              </w:rPr>
            </w:pPr>
            <w:r w:rsidRPr="007F70C4">
              <w:rPr>
                <w:szCs w:val="22"/>
              </w:rPr>
              <w:t>Country Wireless, LLC</w:t>
            </w:r>
          </w:p>
        </w:tc>
        <w:tc>
          <w:tcPr>
            <w:tcW w:w="1350" w:type="dxa"/>
          </w:tcPr>
          <w:p w:rsidR="00994BE0" w:rsidRPr="007F70C4" w:rsidP="00994BE0" w14:paraId="29CA7E10" w14:textId="74C20EA7">
            <w:pPr>
              <w:pStyle w:val="ParaNum"/>
              <w:numPr>
                <w:ilvl w:val="0"/>
                <w:numId w:val="0"/>
              </w:numPr>
              <w:spacing w:after="0"/>
              <w:jc w:val="center"/>
              <w:rPr>
                <w:szCs w:val="22"/>
              </w:rPr>
            </w:pPr>
            <w:r w:rsidRPr="007F70C4">
              <w:rPr>
                <w:szCs w:val="22"/>
              </w:rPr>
              <w:t>0017904020</w:t>
            </w:r>
          </w:p>
        </w:tc>
        <w:tc>
          <w:tcPr>
            <w:tcW w:w="2790" w:type="dxa"/>
          </w:tcPr>
          <w:p w:rsidR="00994BE0" w:rsidRPr="007F70C4" w:rsidP="00994BE0" w14:paraId="5852EA60" w14:textId="709F8DF3">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7FF65869" w14:textId="1CC4F884">
            <w:pPr>
              <w:pStyle w:val="ParaNum"/>
              <w:numPr>
                <w:ilvl w:val="0"/>
                <w:numId w:val="0"/>
              </w:numPr>
              <w:spacing w:after="0"/>
              <w:jc w:val="center"/>
              <w:rPr>
                <w:szCs w:val="22"/>
              </w:rPr>
            </w:pPr>
            <w:r w:rsidRPr="007F70C4">
              <w:rPr>
                <w:szCs w:val="22"/>
              </w:rPr>
              <w:t>Grant</w:t>
            </w:r>
          </w:p>
        </w:tc>
      </w:tr>
      <w:tr w14:paraId="7A10ADFB" w14:textId="77777777" w:rsidTr="00473549">
        <w:tblPrEx>
          <w:tblW w:w="9450" w:type="dxa"/>
          <w:tblInd w:w="85" w:type="dxa"/>
          <w:tblLayout w:type="fixed"/>
          <w:tblLook w:val="04A0"/>
        </w:tblPrEx>
        <w:tc>
          <w:tcPr>
            <w:tcW w:w="3960" w:type="dxa"/>
          </w:tcPr>
          <w:p w:rsidR="00473549" w:rsidRPr="007F70C4" w:rsidP="00994BE0" w14:paraId="58FF4484" w14:textId="528023C1">
            <w:pPr>
              <w:pStyle w:val="ParaNum"/>
              <w:numPr>
                <w:ilvl w:val="0"/>
                <w:numId w:val="0"/>
              </w:numPr>
              <w:spacing w:after="0"/>
              <w:jc w:val="center"/>
              <w:rPr>
                <w:szCs w:val="22"/>
              </w:rPr>
            </w:pPr>
            <w:r>
              <w:rPr>
                <w:szCs w:val="22"/>
              </w:rPr>
              <w:t>Crocker Communications Inc.</w:t>
            </w:r>
          </w:p>
        </w:tc>
        <w:tc>
          <w:tcPr>
            <w:tcW w:w="1350" w:type="dxa"/>
          </w:tcPr>
          <w:p w:rsidR="00473549" w:rsidRPr="007F70C4" w:rsidP="00994BE0" w14:paraId="53F46693" w14:textId="07311FE3">
            <w:pPr>
              <w:pStyle w:val="ParaNum"/>
              <w:numPr>
                <w:ilvl w:val="0"/>
                <w:numId w:val="0"/>
              </w:numPr>
              <w:spacing w:after="0"/>
              <w:jc w:val="center"/>
              <w:rPr>
                <w:szCs w:val="22"/>
              </w:rPr>
            </w:pPr>
            <w:r>
              <w:rPr>
                <w:szCs w:val="22"/>
              </w:rPr>
              <w:t>0016420713</w:t>
            </w:r>
          </w:p>
        </w:tc>
        <w:tc>
          <w:tcPr>
            <w:tcW w:w="2790" w:type="dxa"/>
          </w:tcPr>
          <w:p w:rsidR="00473549" w:rsidRPr="007F70C4" w:rsidP="00994BE0" w14:paraId="62100172" w14:textId="1E965D9B">
            <w:pPr>
              <w:pStyle w:val="ParaNum"/>
              <w:numPr>
                <w:ilvl w:val="0"/>
                <w:numId w:val="0"/>
              </w:numPr>
              <w:spacing w:after="0"/>
              <w:jc w:val="center"/>
              <w:rPr>
                <w:szCs w:val="22"/>
              </w:rPr>
            </w:pPr>
            <w:r>
              <w:rPr>
                <w:szCs w:val="22"/>
              </w:rPr>
              <w:t xml:space="preserve">CAF II defaulter </w:t>
            </w:r>
          </w:p>
        </w:tc>
        <w:tc>
          <w:tcPr>
            <w:tcW w:w="1350" w:type="dxa"/>
          </w:tcPr>
          <w:p w:rsidR="00473549" w:rsidRPr="007F70C4" w:rsidP="00994BE0" w14:paraId="1B146FC6" w14:textId="07978E32">
            <w:pPr>
              <w:pStyle w:val="ParaNum"/>
              <w:numPr>
                <w:ilvl w:val="0"/>
                <w:numId w:val="0"/>
              </w:numPr>
              <w:spacing w:after="0"/>
              <w:jc w:val="center"/>
              <w:rPr>
                <w:szCs w:val="22"/>
              </w:rPr>
            </w:pPr>
            <w:r>
              <w:rPr>
                <w:szCs w:val="22"/>
              </w:rPr>
              <w:t>Deny</w:t>
            </w:r>
          </w:p>
        </w:tc>
      </w:tr>
      <w:tr w14:paraId="16552478" w14:textId="77777777" w:rsidTr="00473549">
        <w:tblPrEx>
          <w:tblW w:w="9450" w:type="dxa"/>
          <w:tblInd w:w="85" w:type="dxa"/>
          <w:tblLayout w:type="fixed"/>
          <w:tblLook w:val="04A0"/>
        </w:tblPrEx>
        <w:tc>
          <w:tcPr>
            <w:tcW w:w="3960" w:type="dxa"/>
          </w:tcPr>
          <w:p w:rsidR="00994BE0" w:rsidRPr="007F70C4" w:rsidP="00994BE0" w14:paraId="3859C621" w14:textId="1A2F1798">
            <w:pPr>
              <w:pStyle w:val="ParaNum"/>
              <w:numPr>
                <w:ilvl w:val="0"/>
                <w:numId w:val="0"/>
              </w:numPr>
              <w:spacing w:after="0"/>
              <w:jc w:val="center"/>
              <w:rPr>
                <w:szCs w:val="22"/>
              </w:rPr>
            </w:pPr>
            <w:r w:rsidRPr="007F70C4">
              <w:rPr>
                <w:szCs w:val="22"/>
              </w:rPr>
              <w:t>Flat Wireless, LLC</w:t>
            </w:r>
          </w:p>
        </w:tc>
        <w:tc>
          <w:tcPr>
            <w:tcW w:w="1350" w:type="dxa"/>
          </w:tcPr>
          <w:p w:rsidR="00994BE0" w:rsidRPr="007F70C4" w:rsidP="00994BE0" w14:paraId="6712C298" w14:textId="3391718E">
            <w:pPr>
              <w:pStyle w:val="ParaNum"/>
              <w:numPr>
                <w:ilvl w:val="0"/>
                <w:numId w:val="0"/>
              </w:numPr>
              <w:spacing w:after="0"/>
              <w:jc w:val="center"/>
              <w:rPr>
                <w:szCs w:val="22"/>
              </w:rPr>
            </w:pPr>
            <w:r w:rsidRPr="007F70C4">
              <w:rPr>
                <w:szCs w:val="22"/>
              </w:rPr>
              <w:t>0017178567</w:t>
            </w:r>
          </w:p>
        </w:tc>
        <w:tc>
          <w:tcPr>
            <w:tcW w:w="2790" w:type="dxa"/>
          </w:tcPr>
          <w:p w:rsidR="00994BE0" w:rsidRPr="007F70C4" w:rsidP="00994BE0" w14:paraId="55C01C8E" w14:textId="3415A1D5">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46145D89" w14:textId="4B7E9155">
            <w:pPr>
              <w:pStyle w:val="ParaNum"/>
              <w:numPr>
                <w:ilvl w:val="0"/>
                <w:numId w:val="0"/>
              </w:numPr>
              <w:spacing w:after="0"/>
              <w:jc w:val="center"/>
              <w:rPr>
                <w:szCs w:val="22"/>
              </w:rPr>
            </w:pPr>
            <w:r w:rsidRPr="007F70C4">
              <w:rPr>
                <w:szCs w:val="22"/>
              </w:rPr>
              <w:t>Grant</w:t>
            </w:r>
          </w:p>
        </w:tc>
      </w:tr>
      <w:tr w14:paraId="76C58918" w14:textId="77777777" w:rsidTr="00473549">
        <w:tblPrEx>
          <w:tblW w:w="9450" w:type="dxa"/>
          <w:tblInd w:w="85" w:type="dxa"/>
          <w:tblLayout w:type="fixed"/>
          <w:tblLook w:val="04A0"/>
        </w:tblPrEx>
        <w:tc>
          <w:tcPr>
            <w:tcW w:w="3960" w:type="dxa"/>
          </w:tcPr>
          <w:p w:rsidR="00994BE0" w:rsidRPr="007F70C4" w:rsidP="00994BE0" w14:paraId="5B64BEF2" w14:textId="7978D2DC">
            <w:pPr>
              <w:pStyle w:val="ParaNum"/>
              <w:numPr>
                <w:ilvl w:val="0"/>
                <w:numId w:val="0"/>
              </w:numPr>
              <w:spacing w:after="0"/>
              <w:jc w:val="center"/>
              <w:rPr>
                <w:szCs w:val="22"/>
              </w:rPr>
            </w:pPr>
            <w:r w:rsidRPr="007F70C4">
              <w:rPr>
                <w:szCs w:val="22"/>
              </w:rPr>
              <w:t>FSI, LLC</w:t>
            </w:r>
          </w:p>
        </w:tc>
        <w:tc>
          <w:tcPr>
            <w:tcW w:w="1350" w:type="dxa"/>
          </w:tcPr>
          <w:p w:rsidR="00994BE0" w:rsidRPr="007F70C4" w:rsidP="00994BE0" w14:paraId="42FE4253" w14:textId="38F5C976">
            <w:pPr>
              <w:pStyle w:val="ParaNum"/>
              <w:numPr>
                <w:ilvl w:val="0"/>
                <w:numId w:val="0"/>
              </w:numPr>
              <w:spacing w:after="0"/>
              <w:jc w:val="center"/>
              <w:rPr>
                <w:szCs w:val="22"/>
              </w:rPr>
            </w:pPr>
            <w:r w:rsidRPr="007F70C4">
              <w:rPr>
                <w:szCs w:val="22"/>
              </w:rPr>
              <w:t>0010766228</w:t>
            </w:r>
          </w:p>
        </w:tc>
        <w:tc>
          <w:tcPr>
            <w:tcW w:w="2790" w:type="dxa"/>
          </w:tcPr>
          <w:p w:rsidR="00994BE0" w:rsidRPr="007F70C4" w:rsidP="00994BE0" w14:paraId="2F434006" w14:textId="3CEE3A47">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41FBDFCD" w14:textId="519A3841">
            <w:pPr>
              <w:pStyle w:val="ParaNum"/>
              <w:numPr>
                <w:ilvl w:val="0"/>
                <w:numId w:val="0"/>
              </w:numPr>
              <w:spacing w:after="0"/>
              <w:jc w:val="center"/>
              <w:rPr>
                <w:szCs w:val="22"/>
              </w:rPr>
            </w:pPr>
            <w:r w:rsidRPr="007F70C4">
              <w:rPr>
                <w:szCs w:val="22"/>
              </w:rPr>
              <w:t>Grant</w:t>
            </w:r>
          </w:p>
        </w:tc>
      </w:tr>
      <w:tr w14:paraId="227DA686" w14:textId="77777777" w:rsidTr="00473549">
        <w:tblPrEx>
          <w:tblW w:w="9450" w:type="dxa"/>
          <w:tblInd w:w="85" w:type="dxa"/>
          <w:tblLayout w:type="fixed"/>
          <w:tblLook w:val="04A0"/>
        </w:tblPrEx>
        <w:tc>
          <w:tcPr>
            <w:tcW w:w="3960" w:type="dxa"/>
          </w:tcPr>
          <w:p w:rsidR="00994BE0" w:rsidRPr="007F70C4" w:rsidP="00994BE0" w14:paraId="132964D1" w14:textId="7C0D37D1">
            <w:pPr>
              <w:pStyle w:val="ParaNum"/>
              <w:numPr>
                <w:ilvl w:val="0"/>
                <w:numId w:val="0"/>
              </w:numPr>
              <w:spacing w:after="0"/>
              <w:jc w:val="center"/>
              <w:rPr>
                <w:szCs w:val="22"/>
              </w:rPr>
            </w:pPr>
            <w:r w:rsidRPr="007F70C4">
              <w:rPr>
                <w:szCs w:val="22"/>
              </w:rPr>
              <w:t>Futurum</w:t>
            </w:r>
            <w:r w:rsidRPr="007F70C4">
              <w:rPr>
                <w:szCs w:val="22"/>
              </w:rPr>
              <w:t xml:space="preserve"> Communications Corp.</w:t>
            </w:r>
          </w:p>
        </w:tc>
        <w:tc>
          <w:tcPr>
            <w:tcW w:w="1350" w:type="dxa"/>
          </w:tcPr>
          <w:p w:rsidR="00994BE0" w:rsidRPr="007F70C4" w:rsidP="00994BE0" w14:paraId="360D6C96" w14:textId="741B0363">
            <w:pPr>
              <w:pStyle w:val="ParaNum"/>
              <w:numPr>
                <w:ilvl w:val="0"/>
                <w:numId w:val="0"/>
              </w:numPr>
              <w:spacing w:after="0"/>
              <w:jc w:val="center"/>
              <w:rPr>
                <w:szCs w:val="22"/>
              </w:rPr>
            </w:pPr>
            <w:r w:rsidRPr="007F70C4">
              <w:rPr>
                <w:szCs w:val="22"/>
              </w:rPr>
              <w:t>0010043339</w:t>
            </w:r>
          </w:p>
        </w:tc>
        <w:tc>
          <w:tcPr>
            <w:tcW w:w="2790" w:type="dxa"/>
          </w:tcPr>
          <w:p w:rsidR="00994BE0" w:rsidRPr="007F70C4" w:rsidP="00994BE0" w14:paraId="3C0B74FC" w14:textId="1A3E7DBA">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1E93ADC2" w14:textId="246CEF4E">
            <w:pPr>
              <w:pStyle w:val="ParaNum"/>
              <w:numPr>
                <w:ilvl w:val="0"/>
                <w:numId w:val="0"/>
              </w:numPr>
              <w:spacing w:after="0"/>
              <w:jc w:val="center"/>
              <w:rPr>
                <w:szCs w:val="22"/>
              </w:rPr>
            </w:pPr>
            <w:r w:rsidRPr="007F70C4">
              <w:rPr>
                <w:szCs w:val="22"/>
              </w:rPr>
              <w:t>Grant</w:t>
            </w:r>
          </w:p>
        </w:tc>
      </w:tr>
      <w:tr w14:paraId="1A93B273" w14:textId="77777777" w:rsidTr="00473549">
        <w:tblPrEx>
          <w:tblW w:w="9450" w:type="dxa"/>
          <w:tblInd w:w="85" w:type="dxa"/>
          <w:tblLayout w:type="fixed"/>
          <w:tblLook w:val="04A0"/>
        </w:tblPrEx>
        <w:tc>
          <w:tcPr>
            <w:tcW w:w="3960" w:type="dxa"/>
          </w:tcPr>
          <w:p w:rsidR="00994BE0" w:rsidRPr="007F70C4" w:rsidP="00994BE0" w14:paraId="496A1B40" w14:textId="484D3044">
            <w:pPr>
              <w:pStyle w:val="ParaNum"/>
              <w:numPr>
                <w:ilvl w:val="0"/>
                <w:numId w:val="0"/>
              </w:numPr>
              <w:spacing w:after="0"/>
              <w:jc w:val="center"/>
              <w:rPr>
                <w:szCs w:val="22"/>
              </w:rPr>
            </w:pPr>
            <w:r w:rsidRPr="007F70C4">
              <w:rPr>
                <w:szCs w:val="22"/>
              </w:rPr>
              <w:t>Fybercom</w:t>
            </w:r>
          </w:p>
        </w:tc>
        <w:tc>
          <w:tcPr>
            <w:tcW w:w="1350" w:type="dxa"/>
          </w:tcPr>
          <w:p w:rsidR="00994BE0" w:rsidRPr="007F70C4" w:rsidP="00994BE0" w14:paraId="06A4456A" w14:textId="397785B3">
            <w:pPr>
              <w:pStyle w:val="ParaNum"/>
              <w:numPr>
                <w:ilvl w:val="0"/>
                <w:numId w:val="0"/>
              </w:numPr>
              <w:spacing w:after="0"/>
              <w:jc w:val="center"/>
              <w:rPr>
                <w:szCs w:val="22"/>
              </w:rPr>
            </w:pPr>
            <w:r w:rsidRPr="007F70C4">
              <w:rPr>
                <w:szCs w:val="22"/>
              </w:rPr>
              <w:t>0023650807</w:t>
            </w:r>
          </w:p>
        </w:tc>
        <w:tc>
          <w:tcPr>
            <w:tcW w:w="2790" w:type="dxa"/>
          </w:tcPr>
          <w:p w:rsidR="00994BE0" w:rsidRPr="007F70C4" w:rsidP="00994BE0" w14:paraId="67079AD8" w14:textId="6A6A0A6E">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29CC382C" w14:textId="02254713">
            <w:pPr>
              <w:pStyle w:val="ParaNum"/>
              <w:numPr>
                <w:ilvl w:val="0"/>
                <w:numId w:val="0"/>
              </w:numPr>
              <w:spacing w:after="0"/>
              <w:jc w:val="center"/>
              <w:rPr>
                <w:szCs w:val="22"/>
              </w:rPr>
            </w:pPr>
            <w:r w:rsidRPr="007F70C4">
              <w:rPr>
                <w:szCs w:val="22"/>
              </w:rPr>
              <w:t>Grant</w:t>
            </w:r>
          </w:p>
        </w:tc>
      </w:tr>
      <w:tr w14:paraId="11768762" w14:textId="77777777" w:rsidTr="00473549">
        <w:tblPrEx>
          <w:tblW w:w="9450" w:type="dxa"/>
          <w:tblInd w:w="85" w:type="dxa"/>
          <w:tblLayout w:type="fixed"/>
          <w:tblLook w:val="04A0"/>
        </w:tblPrEx>
        <w:tc>
          <w:tcPr>
            <w:tcW w:w="3960" w:type="dxa"/>
          </w:tcPr>
          <w:p w:rsidR="00994BE0" w:rsidRPr="007F70C4" w:rsidP="00994BE0" w14:paraId="6AD928C4" w14:textId="7710942F">
            <w:pPr>
              <w:pStyle w:val="ParaNum"/>
              <w:numPr>
                <w:ilvl w:val="0"/>
                <w:numId w:val="0"/>
              </w:numPr>
              <w:spacing w:after="0"/>
              <w:jc w:val="center"/>
              <w:rPr>
                <w:szCs w:val="22"/>
              </w:rPr>
            </w:pPr>
            <w:r w:rsidRPr="007F70C4">
              <w:rPr>
                <w:szCs w:val="22"/>
              </w:rPr>
              <w:t>GoGig</w:t>
            </w:r>
            <w:r w:rsidRPr="007F70C4">
              <w:rPr>
                <w:szCs w:val="22"/>
              </w:rPr>
              <w:t>, Inc.</w:t>
            </w:r>
          </w:p>
        </w:tc>
        <w:tc>
          <w:tcPr>
            <w:tcW w:w="1350" w:type="dxa"/>
          </w:tcPr>
          <w:p w:rsidR="00994BE0" w:rsidRPr="007F70C4" w:rsidP="00994BE0" w14:paraId="27FDD0DB" w14:textId="4C0BF545">
            <w:pPr>
              <w:pStyle w:val="ParaNum"/>
              <w:numPr>
                <w:ilvl w:val="0"/>
                <w:numId w:val="0"/>
              </w:numPr>
              <w:spacing w:after="0"/>
              <w:jc w:val="center"/>
              <w:rPr>
                <w:szCs w:val="22"/>
              </w:rPr>
            </w:pPr>
            <w:r w:rsidRPr="007F70C4">
              <w:rPr>
                <w:szCs w:val="22"/>
              </w:rPr>
              <w:t>0026042788</w:t>
            </w:r>
          </w:p>
        </w:tc>
        <w:tc>
          <w:tcPr>
            <w:tcW w:w="2790" w:type="dxa"/>
          </w:tcPr>
          <w:p w:rsidR="00994BE0" w:rsidRPr="007F70C4" w:rsidP="00994BE0" w14:paraId="4F421988" w14:textId="6E5982A2">
            <w:pPr>
              <w:pStyle w:val="ParaNum"/>
              <w:numPr>
                <w:ilvl w:val="0"/>
                <w:numId w:val="0"/>
              </w:numPr>
              <w:spacing w:after="0"/>
              <w:jc w:val="center"/>
              <w:rPr>
                <w:szCs w:val="22"/>
              </w:rPr>
            </w:pPr>
            <w:r w:rsidRPr="00EE59DF">
              <w:rPr>
                <w:szCs w:val="22"/>
              </w:rPr>
              <w:t>Form 477 filing requirement</w:t>
            </w:r>
          </w:p>
        </w:tc>
        <w:tc>
          <w:tcPr>
            <w:tcW w:w="1350" w:type="dxa"/>
          </w:tcPr>
          <w:p w:rsidR="00994BE0" w:rsidRPr="007F70C4" w:rsidP="00994BE0" w14:paraId="35DA442F" w14:textId="2DE58409">
            <w:pPr>
              <w:pStyle w:val="ParaNum"/>
              <w:numPr>
                <w:ilvl w:val="0"/>
                <w:numId w:val="0"/>
              </w:numPr>
              <w:spacing w:after="0"/>
              <w:jc w:val="center"/>
              <w:rPr>
                <w:szCs w:val="22"/>
              </w:rPr>
            </w:pPr>
            <w:r w:rsidRPr="005B2D66">
              <w:rPr>
                <w:szCs w:val="22"/>
              </w:rPr>
              <w:t>Deny</w:t>
            </w:r>
          </w:p>
        </w:tc>
      </w:tr>
      <w:tr w14:paraId="6B5EAF7A" w14:textId="77777777" w:rsidTr="00473549">
        <w:tblPrEx>
          <w:tblW w:w="9450" w:type="dxa"/>
          <w:tblInd w:w="85" w:type="dxa"/>
          <w:tblLayout w:type="fixed"/>
          <w:tblLook w:val="04A0"/>
        </w:tblPrEx>
        <w:tc>
          <w:tcPr>
            <w:tcW w:w="3960" w:type="dxa"/>
          </w:tcPr>
          <w:p w:rsidR="00994BE0" w:rsidRPr="007F70C4" w:rsidP="00994BE0" w14:paraId="4F0ABDFB" w14:textId="60587438">
            <w:pPr>
              <w:pStyle w:val="ParaNum"/>
              <w:numPr>
                <w:ilvl w:val="0"/>
                <w:numId w:val="0"/>
              </w:numPr>
              <w:spacing w:after="0"/>
              <w:jc w:val="center"/>
              <w:rPr>
                <w:szCs w:val="22"/>
              </w:rPr>
            </w:pPr>
            <w:r w:rsidRPr="007F70C4">
              <w:rPr>
                <w:szCs w:val="22"/>
              </w:rPr>
              <w:t>Hosted Backbone, LLC</w:t>
            </w:r>
          </w:p>
        </w:tc>
        <w:tc>
          <w:tcPr>
            <w:tcW w:w="1350" w:type="dxa"/>
          </w:tcPr>
          <w:p w:rsidR="00994BE0" w:rsidRPr="007F70C4" w:rsidP="00994BE0" w14:paraId="6A272D35" w14:textId="35AFE119">
            <w:pPr>
              <w:pStyle w:val="ParaNum"/>
              <w:numPr>
                <w:ilvl w:val="0"/>
                <w:numId w:val="0"/>
              </w:numPr>
              <w:spacing w:after="0"/>
              <w:jc w:val="center"/>
              <w:rPr>
                <w:szCs w:val="22"/>
              </w:rPr>
            </w:pPr>
            <w:r>
              <w:rPr>
                <w:szCs w:val="22"/>
              </w:rPr>
              <w:t>0026899609</w:t>
            </w:r>
          </w:p>
        </w:tc>
        <w:tc>
          <w:tcPr>
            <w:tcW w:w="2790" w:type="dxa"/>
          </w:tcPr>
          <w:p w:rsidR="00994BE0" w:rsidRPr="007F70C4" w:rsidP="00994BE0" w14:paraId="7BFE4116" w14:textId="7AF56600">
            <w:pPr>
              <w:pStyle w:val="ParaNum"/>
              <w:numPr>
                <w:ilvl w:val="0"/>
                <w:numId w:val="0"/>
              </w:numPr>
              <w:spacing w:after="0"/>
              <w:jc w:val="center"/>
              <w:rPr>
                <w:szCs w:val="22"/>
              </w:rPr>
            </w:pPr>
            <w:r w:rsidRPr="00EE59DF">
              <w:rPr>
                <w:szCs w:val="22"/>
              </w:rPr>
              <w:t>Form 477 filing requirement</w:t>
            </w:r>
          </w:p>
        </w:tc>
        <w:tc>
          <w:tcPr>
            <w:tcW w:w="1350" w:type="dxa"/>
          </w:tcPr>
          <w:p w:rsidR="00994BE0" w:rsidRPr="007F70C4" w:rsidP="00994BE0" w14:paraId="6413EC57" w14:textId="180BFF31">
            <w:pPr>
              <w:pStyle w:val="ParaNum"/>
              <w:numPr>
                <w:ilvl w:val="0"/>
                <w:numId w:val="0"/>
              </w:numPr>
              <w:spacing w:after="0"/>
              <w:jc w:val="center"/>
              <w:rPr>
                <w:szCs w:val="22"/>
              </w:rPr>
            </w:pPr>
            <w:r>
              <w:rPr>
                <w:szCs w:val="22"/>
              </w:rPr>
              <w:t>Deny</w:t>
            </w:r>
          </w:p>
        </w:tc>
      </w:tr>
      <w:tr w14:paraId="24BCBE90" w14:textId="77777777" w:rsidTr="00473549">
        <w:tblPrEx>
          <w:tblW w:w="9450" w:type="dxa"/>
          <w:tblInd w:w="85" w:type="dxa"/>
          <w:tblLayout w:type="fixed"/>
          <w:tblLook w:val="04A0"/>
        </w:tblPrEx>
        <w:tc>
          <w:tcPr>
            <w:tcW w:w="3960" w:type="dxa"/>
          </w:tcPr>
          <w:p w:rsidR="00994BE0" w:rsidRPr="007F70C4" w:rsidP="00994BE0" w14:paraId="1F87E2C8" w14:textId="016C10B4">
            <w:pPr>
              <w:pStyle w:val="ParaNum"/>
              <w:numPr>
                <w:ilvl w:val="0"/>
                <w:numId w:val="0"/>
              </w:numPr>
              <w:spacing w:after="0"/>
              <w:jc w:val="center"/>
              <w:rPr>
                <w:szCs w:val="22"/>
              </w:rPr>
            </w:pPr>
            <w:r w:rsidRPr="007F70C4">
              <w:rPr>
                <w:szCs w:val="22"/>
              </w:rPr>
              <w:t>Integrated Path Communications, LLC</w:t>
            </w:r>
          </w:p>
        </w:tc>
        <w:tc>
          <w:tcPr>
            <w:tcW w:w="1350" w:type="dxa"/>
          </w:tcPr>
          <w:p w:rsidR="00994BE0" w:rsidRPr="007F70C4" w:rsidP="00994BE0" w14:paraId="3B13D38B" w14:textId="1A396110">
            <w:pPr>
              <w:pStyle w:val="ParaNum"/>
              <w:numPr>
                <w:ilvl w:val="0"/>
                <w:numId w:val="0"/>
              </w:numPr>
              <w:spacing w:after="0"/>
              <w:jc w:val="center"/>
              <w:rPr>
                <w:szCs w:val="22"/>
              </w:rPr>
            </w:pPr>
            <w:r w:rsidRPr="007F70C4">
              <w:rPr>
                <w:szCs w:val="22"/>
              </w:rPr>
              <w:t>0017727637</w:t>
            </w:r>
          </w:p>
        </w:tc>
        <w:tc>
          <w:tcPr>
            <w:tcW w:w="2790" w:type="dxa"/>
          </w:tcPr>
          <w:p w:rsidR="00994BE0" w:rsidRPr="007F70C4" w:rsidP="00994BE0" w14:paraId="02A760E1" w14:textId="33571698">
            <w:pPr>
              <w:pStyle w:val="ParaNum"/>
              <w:numPr>
                <w:ilvl w:val="0"/>
                <w:numId w:val="0"/>
              </w:numPr>
              <w:spacing w:after="0"/>
              <w:jc w:val="center"/>
              <w:rPr>
                <w:szCs w:val="22"/>
              </w:rPr>
            </w:pPr>
            <w:r w:rsidRPr="00EE59DF">
              <w:rPr>
                <w:szCs w:val="22"/>
              </w:rPr>
              <w:t>Form 477 filing requirement</w:t>
            </w:r>
          </w:p>
        </w:tc>
        <w:tc>
          <w:tcPr>
            <w:tcW w:w="1350" w:type="dxa"/>
          </w:tcPr>
          <w:p w:rsidR="00994BE0" w:rsidRPr="007F70C4" w:rsidP="00994BE0" w14:paraId="6A3C41FF" w14:textId="0279EE97">
            <w:pPr>
              <w:pStyle w:val="ParaNum"/>
              <w:numPr>
                <w:ilvl w:val="0"/>
                <w:numId w:val="0"/>
              </w:numPr>
              <w:spacing w:after="0"/>
              <w:jc w:val="center"/>
              <w:rPr>
                <w:szCs w:val="22"/>
              </w:rPr>
            </w:pPr>
            <w:r w:rsidRPr="005B2D66">
              <w:rPr>
                <w:szCs w:val="22"/>
              </w:rPr>
              <w:t>Deny</w:t>
            </w:r>
          </w:p>
        </w:tc>
      </w:tr>
      <w:tr w14:paraId="41E9CEC4" w14:textId="77777777" w:rsidTr="00473549">
        <w:tblPrEx>
          <w:tblW w:w="9450" w:type="dxa"/>
          <w:tblInd w:w="85" w:type="dxa"/>
          <w:tblLayout w:type="fixed"/>
          <w:tblLook w:val="04A0"/>
        </w:tblPrEx>
        <w:tc>
          <w:tcPr>
            <w:tcW w:w="3960" w:type="dxa"/>
          </w:tcPr>
          <w:p w:rsidR="00994BE0" w:rsidRPr="007F70C4" w:rsidP="00994BE0" w14:paraId="5300F13B" w14:textId="40BDB29D">
            <w:pPr>
              <w:pStyle w:val="ParaNum"/>
              <w:numPr>
                <w:ilvl w:val="0"/>
                <w:numId w:val="0"/>
              </w:numPr>
              <w:spacing w:after="0"/>
              <w:jc w:val="center"/>
              <w:rPr>
                <w:szCs w:val="22"/>
              </w:rPr>
            </w:pPr>
            <w:r w:rsidRPr="007F70C4">
              <w:rPr>
                <w:szCs w:val="22"/>
              </w:rPr>
              <w:t>Inyo Networks, Inc.</w:t>
            </w:r>
          </w:p>
        </w:tc>
        <w:tc>
          <w:tcPr>
            <w:tcW w:w="1350" w:type="dxa"/>
          </w:tcPr>
          <w:p w:rsidR="00994BE0" w:rsidRPr="007F70C4" w:rsidP="00994BE0" w14:paraId="66334E75" w14:textId="30693139">
            <w:pPr>
              <w:pStyle w:val="ParaNum"/>
              <w:numPr>
                <w:ilvl w:val="0"/>
                <w:numId w:val="0"/>
              </w:numPr>
              <w:spacing w:after="0"/>
              <w:jc w:val="center"/>
              <w:rPr>
                <w:szCs w:val="22"/>
              </w:rPr>
            </w:pPr>
            <w:r w:rsidRPr="007F70C4">
              <w:rPr>
                <w:szCs w:val="22"/>
              </w:rPr>
              <w:t>0019556604</w:t>
            </w:r>
          </w:p>
        </w:tc>
        <w:tc>
          <w:tcPr>
            <w:tcW w:w="2790" w:type="dxa"/>
          </w:tcPr>
          <w:p w:rsidR="00994BE0" w:rsidRPr="007F70C4" w:rsidP="00994BE0" w14:paraId="5955B92A" w14:textId="2F0AA427">
            <w:pPr>
              <w:pStyle w:val="ParaNum"/>
              <w:numPr>
                <w:ilvl w:val="0"/>
                <w:numId w:val="0"/>
              </w:numPr>
              <w:spacing w:after="0"/>
              <w:jc w:val="center"/>
              <w:rPr>
                <w:szCs w:val="22"/>
              </w:rPr>
            </w:pPr>
            <w:r w:rsidRPr="00EE59DF">
              <w:rPr>
                <w:szCs w:val="22"/>
              </w:rPr>
              <w:t>Form 477 filing requirement</w:t>
            </w:r>
          </w:p>
        </w:tc>
        <w:tc>
          <w:tcPr>
            <w:tcW w:w="1350" w:type="dxa"/>
          </w:tcPr>
          <w:p w:rsidR="00994BE0" w:rsidRPr="007F70C4" w:rsidP="00994BE0" w14:paraId="48AD7838" w14:textId="1AC2C1A4">
            <w:pPr>
              <w:pStyle w:val="ParaNum"/>
              <w:numPr>
                <w:ilvl w:val="0"/>
                <w:numId w:val="0"/>
              </w:numPr>
              <w:spacing w:after="0"/>
              <w:jc w:val="center"/>
              <w:rPr>
                <w:szCs w:val="22"/>
              </w:rPr>
            </w:pPr>
            <w:r w:rsidRPr="005B2D66">
              <w:rPr>
                <w:szCs w:val="22"/>
              </w:rPr>
              <w:t>Deny</w:t>
            </w:r>
          </w:p>
        </w:tc>
      </w:tr>
      <w:tr w14:paraId="042D368A" w14:textId="77777777" w:rsidTr="00473549">
        <w:tblPrEx>
          <w:tblW w:w="9450" w:type="dxa"/>
          <w:tblInd w:w="85" w:type="dxa"/>
          <w:tblLayout w:type="fixed"/>
          <w:tblLook w:val="04A0"/>
        </w:tblPrEx>
        <w:tc>
          <w:tcPr>
            <w:tcW w:w="3960" w:type="dxa"/>
          </w:tcPr>
          <w:p w:rsidR="00994BE0" w:rsidRPr="007F70C4" w:rsidP="00994BE0" w14:paraId="2F319DAD" w14:textId="6AA40BEA">
            <w:pPr>
              <w:pStyle w:val="ParaNum"/>
              <w:numPr>
                <w:ilvl w:val="0"/>
                <w:numId w:val="0"/>
              </w:numPr>
              <w:spacing w:after="0"/>
              <w:jc w:val="center"/>
              <w:rPr>
                <w:szCs w:val="22"/>
              </w:rPr>
            </w:pPr>
            <w:r w:rsidRPr="007F70C4">
              <w:rPr>
                <w:szCs w:val="22"/>
              </w:rPr>
              <w:t>Kalona Telephone Cooperative Company</w:t>
            </w:r>
          </w:p>
        </w:tc>
        <w:tc>
          <w:tcPr>
            <w:tcW w:w="1350" w:type="dxa"/>
          </w:tcPr>
          <w:p w:rsidR="00994BE0" w:rsidRPr="007F70C4" w:rsidP="00994BE0" w14:paraId="1D7ABCA8" w14:textId="7A1E6CAA">
            <w:pPr>
              <w:pStyle w:val="ParaNum"/>
              <w:numPr>
                <w:ilvl w:val="0"/>
                <w:numId w:val="0"/>
              </w:numPr>
              <w:spacing w:after="0"/>
              <w:jc w:val="center"/>
              <w:rPr>
                <w:szCs w:val="22"/>
              </w:rPr>
            </w:pPr>
            <w:r w:rsidRPr="007F70C4">
              <w:rPr>
                <w:szCs w:val="22"/>
              </w:rPr>
              <w:t>0002591154</w:t>
            </w:r>
          </w:p>
        </w:tc>
        <w:tc>
          <w:tcPr>
            <w:tcW w:w="2790" w:type="dxa"/>
          </w:tcPr>
          <w:p w:rsidR="00994BE0" w:rsidRPr="007F70C4" w:rsidP="00994BE0" w14:paraId="08A44576" w14:textId="011F1134">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21097DD6" w14:textId="6B245F2B">
            <w:pPr>
              <w:pStyle w:val="ParaNum"/>
              <w:numPr>
                <w:ilvl w:val="0"/>
                <w:numId w:val="0"/>
              </w:numPr>
              <w:spacing w:after="0"/>
              <w:jc w:val="center"/>
              <w:rPr>
                <w:szCs w:val="22"/>
              </w:rPr>
            </w:pPr>
            <w:r w:rsidRPr="007F70C4">
              <w:rPr>
                <w:szCs w:val="22"/>
              </w:rPr>
              <w:t>Grant</w:t>
            </w:r>
          </w:p>
        </w:tc>
      </w:tr>
      <w:tr w14:paraId="3450CA78" w14:textId="77777777" w:rsidTr="00473549">
        <w:tblPrEx>
          <w:tblW w:w="9450" w:type="dxa"/>
          <w:tblInd w:w="85" w:type="dxa"/>
          <w:tblLayout w:type="fixed"/>
          <w:tblLook w:val="04A0"/>
        </w:tblPrEx>
        <w:tc>
          <w:tcPr>
            <w:tcW w:w="3960" w:type="dxa"/>
          </w:tcPr>
          <w:p w:rsidR="00994BE0" w:rsidRPr="007F70C4" w:rsidP="00994BE0" w14:paraId="02F62E01" w14:textId="377AE9FD">
            <w:pPr>
              <w:pStyle w:val="ParaNum"/>
              <w:numPr>
                <w:ilvl w:val="0"/>
                <w:numId w:val="0"/>
              </w:numPr>
              <w:spacing w:after="0"/>
              <w:jc w:val="center"/>
              <w:rPr>
                <w:szCs w:val="22"/>
              </w:rPr>
            </w:pPr>
            <w:r w:rsidRPr="007F70C4">
              <w:rPr>
                <w:szCs w:val="22"/>
              </w:rPr>
              <w:t>LTD Broadband LLC</w:t>
            </w:r>
          </w:p>
        </w:tc>
        <w:tc>
          <w:tcPr>
            <w:tcW w:w="1350" w:type="dxa"/>
          </w:tcPr>
          <w:p w:rsidR="00994BE0" w:rsidRPr="007F70C4" w:rsidP="00994BE0" w14:paraId="394F89B2" w14:textId="65B7A6D2">
            <w:pPr>
              <w:pStyle w:val="ParaNum"/>
              <w:numPr>
                <w:ilvl w:val="0"/>
                <w:numId w:val="0"/>
              </w:numPr>
              <w:spacing w:after="0"/>
              <w:jc w:val="center"/>
              <w:rPr>
                <w:szCs w:val="22"/>
              </w:rPr>
            </w:pPr>
            <w:r w:rsidRPr="007F70C4">
              <w:rPr>
                <w:szCs w:val="22"/>
              </w:rPr>
              <w:t>0020926788</w:t>
            </w:r>
          </w:p>
        </w:tc>
        <w:tc>
          <w:tcPr>
            <w:tcW w:w="2790" w:type="dxa"/>
          </w:tcPr>
          <w:p w:rsidR="00994BE0" w:rsidRPr="007F70C4" w:rsidP="00994BE0" w14:paraId="3B624763" w14:textId="1FE3B94E">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445963A7" w14:textId="6D63E876">
            <w:pPr>
              <w:pStyle w:val="ParaNum"/>
              <w:numPr>
                <w:ilvl w:val="0"/>
                <w:numId w:val="0"/>
              </w:numPr>
              <w:spacing w:after="0"/>
              <w:jc w:val="center"/>
              <w:rPr>
                <w:szCs w:val="22"/>
              </w:rPr>
            </w:pPr>
            <w:r w:rsidRPr="007F70C4">
              <w:rPr>
                <w:szCs w:val="22"/>
              </w:rPr>
              <w:t>Grant</w:t>
            </w:r>
          </w:p>
        </w:tc>
      </w:tr>
      <w:tr w14:paraId="510AE947" w14:textId="77777777" w:rsidTr="00473549">
        <w:tblPrEx>
          <w:tblW w:w="9450" w:type="dxa"/>
          <w:tblInd w:w="85" w:type="dxa"/>
          <w:tblLayout w:type="fixed"/>
          <w:tblLook w:val="04A0"/>
        </w:tblPrEx>
        <w:tc>
          <w:tcPr>
            <w:tcW w:w="3960" w:type="dxa"/>
          </w:tcPr>
          <w:p w:rsidR="00994BE0" w:rsidRPr="007F70C4" w:rsidP="00994BE0" w14:paraId="53155146" w14:textId="70CFB295">
            <w:pPr>
              <w:pStyle w:val="ParaNum"/>
              <w:numPr>
                <w:ilvl w:val="0"/>
                <w:numId w:val="0"/>
              </w:numPr>
              <w:spacing w:after="0"/>
              <w:jc w:val="center"/>
              <w:rPr>
                <w:szCs w:val="22"/>
              </w:rPr>
            </w:pPr>
            <w:r>
              <w:rPr>
                <w:szCs w:val="22"/>
              </w:rPr>
              <w:t>Mansfield Community Fiber</w:t>
            </w:r>
          </w:p>
        </w:tc>
        <w:tc>
          <w:tcPr>
            <w:tcW w:w="1350" w:type="dxa"/>
          </w:tcPr>
          <w:p w:rsidR="00994BE0" w:rsidRPr="007F70C4" w:rsidP="00994BE0" w14:paraId="73DBBE92" w14:textId="2643FF0F">
            <w:pPr>
              <w:pStyle w:val="ParaNum"/>
              <w:numPr>
                <w:ilvl w:val="0"/>
                <w:numId w:val="0"/>
              </w:numPr>
              <w:spacing w:after="0"/>
              <w:jc w:val="center"/>
              <w:rPr>
                <w:szCs w:val="22"/>
              </w:rPr>
            </w:pPr>
            <w:r>
              <w:rPr>
                <w:szCs w:val="22"/>
              </w:rPr>
              <w:t>0026586990</w:t>
            </w:r>
          </w:p>
        </w:tc>
        <w:tc>
          <w:tcPr>
            <w:tcW w:w="2790" w:type="dxa"/>
          </w:tcPr>
          <w:p w:rsidR="00994BE0" w:rsidRPr="007F70C4" w:rsidP="00994BE0" w14:paraId="502AE691" w14:textId="19CF41A1">
            <w:pPr>
              <w:pStyle w:val="ParaNum"/>
              <w:numPr>
                <w:ilvl w:val="0"/>
                <w:numId w:val="0"/>
              </w:numPr>
              <w:spacing w:after="0"/>
              <w:jc w:val="center"/>
              <w:rPr>
                <w:szCs w:val="22"/>
              </w:rPr>
            </w:pPr>
            <w:r w:rsidRPr="0027654C">
              <w:rPr>
                <w:szCs w:val="22"/>
              </w:rPr>
              <w:t>Form 477 filing requirement</w:t>
            </w:r>
          </w:p>
        </w:tc>
        <w:tc>
          <w:tcPr>
            <w:tcW w:w="1350" w:type="dxa"/>
          </w:tcPr>
          <w:p w:rsidR="00994BE0" w:rsidRPr="007F70C4" w:rsidP="00994BE0" w14:paraId="18DC2883" w14:textId="43482B96">
            <w:pPr>
              <w:pStyle w:val="ParaNum"/>
              <w:numPr>
                <w:ilvl w:val="0"/>
                <w:numId w:val="0"/>
              </w:numPr>
              <w:spacing w:after="0"/>
              <w:jc w:val="center"/>
              <w:rPr>
                <w:szCs w:val="22"/>
              </w:rPr>
            </w:pPr>
            <w:r>
              <w:rPr>
                <w:szCs w:val="22"/>
              </w:rPr>
              <w:t>Deny</w:t>
            </w:r>
          </w:p>
        </w:tc>
      </w:tr>
      <w:tr w14:paraId="522C93DC" w14:textId="77777777" w:rsidTr="00473549">
        <w:tblPrEx>
          <w:tblW w:w="9450" w:type="dxa"/>
          <w:tblInd w:w="85" w:type="dxa"/>
          <w:tblLayout w:type="fixed"/>
          <w:tblLook w:val="04A0"/>
        </w:tblPrEx>
        <w:tc>
          <w:tcPr>
            <w:tcW w:w="3960" w:type="dxa"/>
          </w:tcPr>
          <w:p w:rsidR="00473549" w:rsidP="00994BE0" w14:paraId="12CEA4E5" w14:textId="21086834">
            <w:pPr>
              <w:pStyle w:val="ParaNum"/>
              <w:numPr>
                <w:ilvl w:val="0"/>
                <w:numId w:val="0"/>
              </w:numPr>
              <w:spacing w:after="0"/>
              <w:jc w:val="center"/>
              <w:rPr>
                <w:szCs w:val="22"/>
              </w:rPr>
            </w:pPr>
            <w:r>
              <w:rPr>
                <w:szCs w:val="22"/>
              </w:rPr>
              <w:t>MGW Networks, L.L.C.</w:t>
            </w:r>
          </w:p>
        </w:tc>
        <w:tc>
          <w:tcPr>
            <w:tcW w:w="1350" w:type="dxa"/>
          </w:tcPr>
          <w:p w:rsidR="00473549" w:rsidP="00994BE0" w14:paraId="1C98AC3A" w14:textId="5484F0BE">
            <w:pPr>
              <w:pStyle w:val="ParaNum"/>
              <w:numPr>
                <w:ilvl w:val="0"/>
                <w:numId w:val="0"/>
              </w:numPr>
              <w:spacing w:after="0"/>
              <w:jc w:val="center"/>
              <w:rPr>
                <w:szCs w:val="22"/>
              </w:rPr>
            </w:pPr>
            <w:r>
              <w:rPr>
                <w:szCs w:val="22"/>
              </w:rPr>
              <w:t>0019225366</w:t>
            </w:r>
          </w:p>
        </w:tc>
        <w:tc>
          <w:tcPr>
            <w:tcW w:w="2790" w:type="dxa"/>
          </w:tcPr>
          <w:p w:rsidR="00473549" w:rsidRPr="0027654C" w:rsidP="00994BE0" w14:paraId="2813E80A" w14:textId="5CC5CAF5">
            <w:pPr>
              <w:pStyle w:val="ParaNum"/>
              <w:numPr>
                <w:ilvl w:val="0"/>
                <w:numId w:val="0"/>
              </w:numPr>
              <w:spacing w:after="0"/>
              <w:jc w:val="center"/>
              <w:rPr>
                <w:szCs w:val="22"/>
              </w:rPr>
            </w:pPr>
            <w:r>
              <w:rPr>
                <w:szCs w:val="22"/>
              </w:rPr>
              <w:t xml:space="preserve">CAF II defaulter </w:t>
            </w:r>
          </w:p>
        </w:tc>
        <w:tc>
          <w:tcPr>
            <w:tcW w:w="1350" w:type="dxa"/>
          </w:tcPr>
          <w:p w:rsidR="00473549" w:rsidP="00994BE0" w14:paraId="1EB99F9A" w14:textId="2D373AB2">
            <w:pPr>
              <w:pStyle w:val="ParaNum"/>
              <w:numPr>
                <w:ilvl w:val="0"/>
                <w:numId w:val="0"/>
              </w:numPr>
              <w:spacing w:after="0"/>
              <w:jc w:val="center"/>
              <w:rPr>
                <w:szCs w:val="22"/>
              </w:rPr>
            </w:pPr>
            <w:r>
              <w:rPr>
                <w:szCs w:val="22"/>
              </w:rPr>
              <w:t>Deny</w:t>
            </w:r>
          </w:p>
        </w:tc>
      </w:tr>
      <w:tr w14:paraId="09F8506E" w14:textId="77777777" w:rsidTr="00473549">
        <w:tblPrEx>
          <w:tblW w:w="9450" w:type="dxa"/>
          <w:tblInd w:w="85" w:type="dxa"/>
          <w:tblLayout w:type="fixed"/>
          <w:tblLook w:val="04A0"/>
        </w:tblPrEx>
        <w:tc>
          <w:tcPr>
            <w:tcW w:w="3960" w:type="dxa"/>
          </w:tcPr>
          <w:p w:rsidR="00994BE0" w:rsidRPr="007F70C4" w:rsidP="00994BE0" w14:paraId="713B8ECC" w14:textId="7697B88A">
            <w:pPr>
              <w:pStyle w:val="ParaNum"/>
              <w:numPr>
                <w:ilvl w:val="0"/>
                <w:numId w:val="0"/>
              </w:numPr>
              <w:spacing w:after="0"/>
              <w:jc w:val="center"/>
              <w:rPr>
                <w:szCs w:val="22"/>
              </w:rPr>
            </w:pPr>
            <w:r>
              <w:rPr>
                <w:szCs w:val="22"/>
              </w:rPr>
              <w:t>Midstates</w:t>
            </w:r>
            <w:r>
              <w:rPr>
                <w:szCs w:val="22"/>
              </w:rPr>
              <w:t xml:space="preserve"> Data Transport</w:t>
            </w:r>
          </w:p>
        </w:tc>
        <w:tc>
          <w:tcPr>
            <w:tcW w:w="1350" w:type="dxa"/>
          </w:tcPr>
          <w:p w:rsidR="00994BE0" w:rsidRPr="007F70C4" w:rsidP="00994BE0" w14:paraId="14E20EEA" w14:textId="28ABB8C9">
            <w:pPr>
              <w:pStyle w:val="ParaNum"/>
              <w:numPr>
                <w:ilvl w:val="0"/>
                <w:numId w:val="0"/>
              </w:numPr>
              <w:spacing w:after="0"/>
              <w:jc w:val="center"/>
              <w:rPr>
                <w:szCs w:val="22"/>
              </w:rPr>
            </w:pPr>
            <w:r>
              <w:rPr>
                <w:szCs w:val="22"/>
              </w:rPr>
              <w:t>0026476333</w:t>
            </w:r>
          </w:p>
        </w:tc>
        <w:tc>
          <w:tcPr>
            <w:tcW w:w="2790" w:type="dxa"/>
          </w:tcPr>
          <w:p w:rsidR="00994BE0" w:rsidRPr="007F70C4" w:rsidP="00994BE0" w14:paraId="3F62E293" w14:textId="3F1577A2">
            <w:pPr>
              <w:pStyle w:val="ParaNum"/>
              <w:numPr>
                <w:ilvl w:val="0"/>
                <w:numId w:val="0"/>
              </w:numPr>
              <w:spacing w:after="0"/>
              <w:jc w:val="center"/>
              <w:rPr>
                <w:szCs w:val="22"/>
              </w:rPr>
            </w:pPr>
            <w:r w:rsidRPr="0027654C">
              <w:rPr>
                <w:szCs w:val="22"/>
              </w:rPr>
              <w:t>Form 477 filing requirement</w:t>
            </w:r>
          </w:p>
        </w:tc>
        <w:tc>
          <w:tcPr>
            <w:tcW w:w="1350" w:type="dxa"/>
          </w:tcPr>
          <w:p w:rsidR="00994BE0" w:rsidRPr="007F70C4" w:rsidP="00994BE0" w14:paraId="4F9B0AC0" w14:textId="6E78EDCC">
            <w:pPr>
              <w:pStyle w:val="ParaNum"/>
              <w:numPr>
                <w:ilvl w:val="0"/>
                <w:numId w:val="0"/>
              </w:numPr>
              <w:spacing w:after="0"/>
              <w:jc w:val="center"/>
              <w:rPr>
                <w:szCs w:val="22"/>
              </w:rPr>
            </w:pPr>
            <w:r>
              <w:rPr>
                <w:szCs w:val="22"/>
              </w:rPr>
              <w:t>Grant</w:t>
            </w:r>
          </w:p>
        </w:tc>
      </w:tr>
      <w:tr w14:paraId="2437F565" w14:textId="77777777" w:rsidTr="00473549">
        <w:tblPrEx>
          <w:tblW w:w="9450" w:type="dxa"/>
          <w:tblInd w:w="85" w:type="dxa"/>
          <w:tblLayout w:type="fixed"/>
          <w:tblLook w:val="04A0"/>
        </w:tblPrEx>
        <w:tc>
          <w:tcPr>
            <w:tcW w:w="3960" w:type="dxa"/>
          </w:tcPr>
          <w:p w:rsidR="00994BE0" w:rsidRPr="007F70C4" w:rsidP="00994BE0" w14:paraId="71573673" w14:textId="6D3396D5">
            <w:pPr>
              <w:pStyle w:val="ParaNum"/>
              <w:numPr>
                <w:ilvl w:val="0"/>
                <w:numId w:val="0"/>
              </w:numPr>
              <w:spacing w:after="0"/>
              <w:jc w:val="center"/>
              <w:rPr>
                <w:szCs w:val="22"/>
              </w:rPr>
            </w:pPr>
            <w:r w:rsidRPr="007F70C4">
              <w:rPr>
                <w:szCs w:val="22"/>
              </w:rPr>
              <w:t>Montana Internet Corporation</w:t>
            </w:r>
          </w:p>
        </w:tc>
        <w:tc>
          <w:tcPr>
            <w:tcW w:w="1350" w:type="dxa"/>
          </w:tcPr>
          <w:p w:rsidR="00994BE0" w:rsidRPr="007F70C4" w:rsidP="00994BE0" w14:paraId="39D0CCB8" w14:textId="31BC045D">
            <w:pPr>
              <w:pStyle w:val="ParaNum"/>
              <w:numPr>
                <w:ilvl w:val="0"/>
                <w:numId w:val="0"/>
              </w:numPr>
              <w:spacing w:after="0"/>
              <w:jc w:val="center"/>
              <w:rPr>
                <w:szCs w:val="22"/>
              </w:rPr>
            </w:pPr>
            <w:r w:rsidRPr="007F70C4">
              <w:rPr>
                <w:szCs w:val="22"/>
              </w:rPr>
              <w:t>0011562717</w:t>
            </w:r>
          </w:p>
        </w:tc>
        <w:tc>
          <w:tcPr>
            <w:tcW w:w="2790" w:type="dxa"/>
          </w:tcPr>
          <w:p w:rsidR="00994BE0" w:rsidRPr="007F70C4" w:rsidP="00994BE0" w14:paraId="1A4A7AE6" w14:textId="7E48AEC3">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36598B0B" w14:textId="2CD9E0BE">
            <w:pPr>
              <w:pStyle w:val="ParaNum"/>
              <w:numPr>
                <w:ilvl w:val="0"/>
                <w:numId w:val="0"/>
              </w:numPr>
              <w:spacing w:after="0"/>
              <w:jc w:val="center"/>
              <w:rPr>
                <w:szCs w:val="22"/>
              </w:rPr>
            </w:pPr>
            <w:r w:rsidRPr="007F70C4">
              <w:rPr>
                <w:szCs w:val="22"/>
              </w:rPr>
              <w:t>Grant</w:t>
            </w:r>
          </w:p>
        </w:tc>
      </w:tr>
      <w:tr w14:paraId="1E8E9929" w14:textId="77777777" w:rsidTr="00473549">
        <w:tblPrEx>
          <w:tblW w:w="9450" w:type="dxa"/>
          <w:tblInd w:w="85" w:type="dxa"/>
          <w:tblLayout w:type="fixed"/>
          <w:tblLook w:val="04A0"/>
        </w:tblPrEx>
        <w:tc>
          <w:tcPr>
            <w:tcW w:w="3960" w:type="dxa"/>
          </w:tcPr>
          <w:p w:rsidR="00994BE0" w:rsidRPr="007F70C4" w:rsidP="00994BE0" w14:paraId="6D771AE8" w14:textId="4E24B5C4">
            <w:pPr>
              <w:pStyle w:val="ParaNum"/>
              <w:numPr>
                <w:ilvl w:val="0"/>
                <w:numId w:val="0"/>
              </w:numPr>
              <w:spacing w:after="0"/>
              <w:jc w:val="center"/>
              <w:rPr>
                <w:szCs w:val="22"/>
              </w:rPr>
            </w:pPr>
            <w:r w:rsidRPr="007F70C4">
              <w:rPr>
                <w:szCs w:val="22"/>
              </w:rPr>
              <w:t>Net Ops Communications, LLC</w:t>
            </w:r>
          </w:p>
        </w:tc>
        <w:tc>
          <w:tcPr>
            <w:tcW w:w="1350" w:type="dxa"/>
          </w:tcPr>
          <w:p w:rsidR="00994BE0" w:rsidRPr="007F70C4" w:rsidP="00994BE0" w14:paraId="0D5037B0" w14:textId="115F3D7B">
            <w:pPr>
              <w:pStyle w:val="ParaNum"/>
              <w:numPr>
                <w:ilvl w:val="0"/>
                <w:numId w:val="0"/>
              </w:numPr>
              <w:spacing w:after="0"/>
              <w:jc w:val="center"/>
              <w:rPr>
                <w:szCs w:val="22"/>
              </w:rPr>
            </w:pPr>
            <w:r w:rsidRPr="007F70C4">
              <w:rPr>
                <w:szCs w:val="22"/>
              </w:rPr>
              <w:t>0025394529</w:t>
            </w:r>
          </w:p>
        </w:tc>
        <w:tc>
          <w:tcPr>
            <w:tcW w:w="2790" w:type="dxa"/>
          </w:tcPr>
          <w:p w:rsidR="00994BE0" w:rsidRPr="007F70C4" w:rsidP="00994BE0" w14:paraId="597502B9" w14:textId="45657AD8">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78F65E5A" w14:textId="3D8FA5D3">
            <w:pPr>
              <w:pStyle w:val="ParaNum"/>
              <w:numPr>
                <w:ilvl w:val="0"/>
                <w:numId w:val="0"/>
              </w:numPr>
              <w:spacing w:after="0"/>
              <w:jc w:val="center"/>
              <w:rPr>
                <w:szCs w:val="22"/>
              </w:rPr>
            </w:pPr>
            <w:r w:rsidRPr="007F70C4">
              <w:rPr>
                <w:szCs w:val="22"/>
              </w:rPr>
              <w:t>Grant</w:t>
            </w:r>
          </w:p>
        </w:tc>
      </w:tr>
      <w:tr w14:paraId="4A5D05FE" w14:textId="77777777" w:rsidTr="00473549">
        <w:tblPrEx>
          <w:tblW w:w="9450" w:type="dxa"/>
          <w:tblInd w:w="85" w:type="dxa"/>
          <w:tblLayout w:type="fixed"/>
          <w:tblLook w:val="04A0"/>
        </w:tblPrEx>
        <w:tc>
          <w:tcPr>
            <w:tcW w:w="3960" w:type="dxa"/>
          </w:tcPr>
          <w:p w:rsidR="00994BE0" w:rsidRPr="007F70C4" w:rsidP="00994BE0" w14:paraId="4B79DF34" w14:textId="3624C967">
            <w:pPr>
              <w:pStyle w:val="ParaNum"/>
              <w:numPr>
                <w:ilvl w:val="0"/>
                <w:numId w:val="0"/>
              </w:numPr>
              <w:spacing w:after="0"/>
              <w:jc w:val="center"/>
              <w:rPr>
                <w:szCs w:val="22"/>
              </w:rPr>
            </w:pPr>
            <w:r>
              <w:rPr>
                <w:szCs w:val="22"/>
              </w:rPr>
              <w:t>New Visions Communications Inc.</w:t>
            </w:r>
          </w:p>
        </w:tc>
        <w:tc>
          <w:tcPr>
            <w:tcW w:w="1350" w:type="dxa"/>
          </w:tcPr>
          <w:p w:rsidR="00994BE0" w:rsidRPr="007F70C4" w:rsidP="00994BE0" w14:paraId="1D74A629" w14:textId="2B3C1571">
            <w:pPr>
              <w:pStyle w:val="ParaNum"/>
              <w:numPr>
                <w:ilvl w:val="0"/>
                <w:numId w:val="0"/>
              </w:numPr>
              <w:spacing w:after="0"/>
              <w:jc w:val="center"/>
              <w:rPr>
                <w:szCs w:val="22"/>
              </w:rPr>
            </w:pPr>
            <w:r>
              <w:rPr>
                <w:szCs w:val="22"/>
              </w:rPr>
              <w:t>0027144112</w:t>
            </w:r>
          </w:p>
        </w:tc>
        <w:tc>
          <w:tcPr>
            <w:tcW w:w="2790" w:type="dxa"/>
          </w:tcPr>
          <w:p w:rsidR="00994BE0" w:rsidRPr="007F70C4" w:rsidP="00994BE0" w14:paraId="1F172553" w14:textId="5DF7B60D">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55FF9DFE" w14:textId="258AE695">
            <w:pPr>
              <w:pStyle w:val="ParaNum"/>
              <w:numPr>
                <w:ilvl w:val="0"/>
                <w:numId w:val="0"/>
              </w:numPr>
              <w:spacing w:after="0"/>
              <w:jc w:val="center"/>
              <w:rPr>
                <w:szCs w:val="22"/>
              </w:rPr>
            </w:pPr>
            <w:r>
              <w:rPr>
                <w:szCs w:val="22"/>
              </w:rPr>
              <w:t>Deny</w:t>
            </w:r>
          </w:p>
        </w:tc>
      </w:tr>
      <w:tr w14:paraId="12E9CF2E" w14:textId="77777777" w:rsidTr="00473549">
        <w:tblPrEx>
          <w:tblW w:w="9450" w:type="dxa"/>
          <w:tblInd w:w="85" w:type="dxa"/>
          <w:tblLayout w:type="fixed"/>
          <w:tblLook w:val="04A0"/>
        </w:tblPrEx>
        <w:tc>
          <w:tcPr>
            <w:tcW w:w="3960" w:type="dxa"/>
          </w:tcPr>
          <w:p w:rsidR="00994BE0" w:rsidRPr="007F70C4" w:rsidP="00994BE0" w14:paraId="48108977" w14:textId="59C6CBA1">
            <w:pPr>
              <w:pStyle w:val="ParaNum"/>
              <w:numPr>
                <w:ilvl w:val="0"/>
                <w:numId w:val="0"/>
              </w:numPr>
              <w:spacing w:after="0"/>
              <w:jc w:val="center"/>
              <w:rPr>
                <w:szCs w:val="22"/>
              </w:rPr>
            </w:pPr>
            <w:r w:rsidRPr="007F70C4">
              <w:rPr>
                <w:szCs w:val="22"/>
              </w:rPr>
              <w:t>Netafy</w:t>
            </w:r>
            <w:r w:rsidRPr="007F70C4">
              <w:rPr>
                <w:szCs w:val="22"/>
              </w:rPr>
              <w:t xml:space="preserve"> Inc</w:t>
            </w:r>
          </w:p>
        </w:tc>
        <w:tc>
          <w:tcPr>
            <w:tcW w:w="1350" w:type="dxa"/>
          </w:tcPr>
          <w:p w:rsidR="00994BE0" w:rsidRPr="007F70C4" w:rsidP="00994BE0" w14:paraId="3D767F9C" w14:textId="7E0E2E29">
            <w:pPr>
              <w:pStyle w:val="ParaNum"/>
              <w:numPr>
                <w:ilvl w:val="0"/>
                <w:numId w:val="0"/>
              </w:numPr>
              <w:spacing w:after="0"/>
              <w:jc w:val="center"/>
              <w:rPr>
                <w:szCs w:val="22"/>
              </w:rPr>
            </w:pPr>
            <w:r w:rsidRPr="007F70C4">
              <w:rPr>
                <w:szCs w:val="22"/>
              </w:rPr>
              <w:t>0028531754</w:t>
            </w:r>
          </w:p>
        </w:tc>
        <w:tc>
          <w:tcPr>
            <w:tcW w:w="2790" w:type="dxa"/>
          </w:tcPr>
          <w:p w:rsidR="00994BE0" w:rsidRPr="007F70C4" w:rsidP="00994BE0" w14:paraId="060A544C" w14:textId="152D81E9">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5550AC2B" w14:textId="5656C8C7">
            <w:pPr>
              <w:pStyle w:val="ParaNum"/>
              <w:numPr>
                <w:ilvl w:val="0"/>
                <w:numId w:val="0"/>
              </w:numPr>
              <w:spacing w:after="0"/>
              <w:jc w:val="center"/>
              <w:rPr>
                <w:szCs w:val="22"/>
              </w:rPr>
            </w:pPr>
            <w:r w:rsidRPr="007F70C4">
              <w:rPr>
                <w:szCs w:val="22"/>
              </w:rPr>
              <w:t>Grant</w:t>
            </w:r>
          </w:p>
        </w:tc>
      </w:tr>
      <w:tr w14:paraId="75819678" w14:textId="77777777" w:rsidTr="00473549">
        <w:tblPrEx>
          <w:tblW w:w="9450" w:type="dxa"/>
          <w:tblInd w:w="85" w:type="dxa"/>
          <w:tblLayout w:type="fixed"/>
          <w:tblLook w:val="04A0"/>
        </w:tblPrEx>
        <w:tc>
          <w:tcPr>
            <w:tcW w:w="3960" w:type="dxa"/>
          </w:tcPr>
          <w:p w:rsidR="00473549" w:rsidRPr="007F70C4" w:rsidP="00994BE0" w14:paraId="0A5D4C43" w14:textId="09E961FD">
            <w:pPr>
              <w:pStyle w:val="ParaNum"/>
              <w:numPr>
                <w:ilvl w:val="0"/>
                <w:numId w:val="0"/>
              </w:numPr>
              <w:spacing w:after="0"/>
              <w:jc w:val="center"/>
              <w:rPr>
                <w:szCs w:val="22"/>
              </w:rPr>
            </w:pPr>
            <w:r>
              <w:rPr>
                <w:szCs w:val="22"/>
              </w:rPr>
              <w:t>Newport Utilities</w:t>
            </w:r>
          </w:p>
        </w:tc>
        <w:tc>
          <w:tcPr>
            <w:tcW w:w="1350" w:type="dxa"/>
          </w:tcPr>
          <w:p w:rsidR="00473549" w:rsidRPr="007F70C4" w:rsidP="00994BE0" w14:paraId="38434EA7" w14:textId="5337A43E">
            <w:pPr>
              <w:pStyle w:val="ParaNum"/>
              <w:numPr>
                <w:ilvl w:val="0"/>
                <w:numId w:val="0"/>
              </w:numPr>
              <w:spacing w:after="0"/>
              <w:jc w:val="center"/>
              <w:rPr>
                <w:szCs w:val="22"/>
              </w:rPr>
            </w:pPr>
            <w:r>
              <w:rPr>
                <w:szCs w:val="22"/>
              </w:rPr>
              <w:t>0027152438</w:t>
            </w:r>
          </w:p>
        </w:tc>
        <w:tc>
          <w:tcPr>
            <w:tcW w:w="2790" w:type="dxa"/>
          </w:tcPr>
          <w:p w:rsidR="00473549" w:rsidRPr="007F70C4" w:rsidP="00994BE0" w14:paraId="092D2BDF" w14:textId="0A341CFC">
            <w:pPr>
              <w:pStyle w:val="ParaNum"/>
              <w:numPr>
                <w:ilvl w:val="0"/>
                <w:numId w:val="0"/>
              </w:numPr>
              <w:spacing w:after="0"/>
              <w:jc w:val="center"/>
              <w:rPr>
                <w:szCs w:val="22"/>
              </w:rPr>
            </w:pPr>
            <w:r>
              <w:rPr>
                <w:szCs w:val="22"/>
              </w:rPr>
              <w:t xml:space="preserve">Electric </w:t>
            </w:r>
            <w:r w:rsidR="008F4FA8">
              <w:rPr>
                <w:szCs w:val="22"/>
              </w:rPr>
              <w:t xml:space="preserve">distribution </w:t>
            </w:r>
            <w:r>
              <w:rPr>
                <w:szCs w:val="22"/>
              </w:rPr>
              <w:t>network documentation requirements</w:t>
            </w:r>
          </w:p>
        </w:tc>
        <w:tc>
          <w:tcPr>
            <w:tcW w:w="1350" w:type="dxa"/>
          </w:tcPr>
          <w:p w:rsidR="00473549" w:rsidRPr="007F70C4" w:rsidP="00994BE0" w14:paraId="24F8BD44" w14:textId="33D09487">
            <w:pPr>
              <w:pStyle w:val="ParaNum"/>
              <w:numPr>
                <w:ilvl w:val="0"/>
                <w:numId w:val="0"/>
              </w:numPr>
              <w:spacing w:after="0"/>
              <w:jc w:val="center"/>
              <w:rPr>
                <w:szCs w:val="22"/>
              </w:rPr>
            </w:pPr>
            <w:r>
              <w:rPr>
                <w:szCs w:val="22"/>
              </w:rPr>
              <w:t>Grant</w:t>
            </w:r>
          </w:p>
        </w:tc>
      </w:tr>
      <w:tr w14:paraId="16B40E43" w14:textId="77777777" w:rsidTr="00473549">
        <w:tblPrEx>
          <w:tblW w:w="9450" w:type="dxa"/>
          <w:tblInd w:w="85" w:type="dxa"/>
          <w:tblLayout w:type="fixed"/>
          <w:tblLook w:val="04A0"/>
        </w:tblPrEx>
        <w:tc>
          <w:tcPr>
            <w:tcW w:w="3960" w:type="dxa"/>
          </w:tcPr>
          <w:p w:rsidR="00994BE0" w:rsidRPr="007F70C4" w:rsidP="00994BE0" w14:paraId="379D309C" w14:textId="6B98257D">
            <w:pPr>
              <w:pStyle w:val="ParaNum"/>
              <w:numPr>
                <w:ilvl w:val="0"/>
                <w:numId w:val="0"/>
              </w:numPr>
              <w:spacing w:after="0"/>
              <w:jc w:val="center"/>
              <w:rPr>
                <w:szCs w:val="22"/>
              </w:rPr>
            </w:pPr>
            <w:r w:rsidRPr="007F70C4">
              <w:rPr>
                <w:szCs w:val="22"/>
              </w:rPr>
              <w:t>Northwoods Communication Technologies, LLC</w:t>
            </w:r>
          </w:p>
        </w:tc>
        <w:tc>
          <w:tcPr>
            <w:tcW w:w="1350" w:type="dxa"/>
          </w:tcPr>
          <w:p w:rsidR="00994BE0" w:rsidRPr="007F70C4" w:rsidP="00994BE0" w14:paraId="245EB2AE" w14:textId="5AEC3223">
            <w:pPr>
              <w:pStyle w:val="ParaNum"/>
              <w:numPr>
                <w:ilvl w:val="0"/>
                <w:numId w:val="0"/>
              </w:numPr>
              <w:spacing w:after="0"/>
              <w:jc w:val="center"/>
              <w:rPr>
                <w:szCs w:val="22"/>
              </w:rPr>
            </w:pPr>
            <w:r w:rsidRPr="007F70C4">
              <w:rPr>
                <w:szCs w:val="22"/>
              </w:rPr>
              <w:t>0023523582</w:t>
            </w:r>
          </w:p>
        </w:tc>
        <w:tc>
          <w:tcPr>
            <w:tcW w:w="2790" w:type="dxa"/>
          </w:tcPr>
          <w:p w:rsidR="00994BE0" w:rsidRPr="007F70C4" w:rsidP="00994BE0" w14:paraId="5FF9872A" w14:textId="047020F3">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02C33AD1" w14:textId="5A6165BD">
            <w:pPr>
              <w:pStyle w:val="ParaNum"/>
              <w:numPr>
                <w:ilvl w:val="0"/>
                <w:numId w:val="0"/>
              </w:numPr>
              <w:spacing w:after="0"/>
              <w:jc w:val="center"/>
              <w:rPr>
                <w:szCs w:val="22"/>
              </w:rPr>
            </w:pPr>
            <w:r w:rsidRPr="007F70C4">
              <w:rPr>
                <w:szCs w:val="22"/>
              </w:rPr>
              <w:t>Grant</w:t>
            </w:r>
          </w:p>
        </w:tc>
      </w:tr>
      <w:tr w14:paraId="18575C3E" w14:textId="77777777" w:rsidTr="00473549">
        <w:tblPrEx>
          <w:tblW w:w="9450" w:type="dxa"/>
          <w:tblInd w:w="85" w:type="dxa"/>
          <w:tblLayout w:type="fixed"/>
          <w:tblLook w:val="04A0"/>
        </w:tblPrEx>
        <w:tc>
          <w:tcPr>
            <w:tcW w:w="3960" w:type="dxa"/>
          </w:tcPr>
          <w:p w:rsidR="00994BE0" w:rsidRPr="007F70C4" w:rsidP="00994BE0" w14:paraId="2BD6FFF5" w14:textId="3DA02623">
            <w:pPr>
              <w:pStyle w:val="ParaNum"/>
              <w:numPr>
                <w:ilvl w:val="0"/>
                <w:numId w:val="0"/>
              </w:numPr>
              <w:spacing w:after="0"/>
              <w:jc w:val="center"/>
              <w:rPr>
                <w:szCs w:val="22"/>
              </w:rPr>
            </w:pPr>
            <w:r>
              <w:rPr>
                <w:szCs w:val="22"/>
              </w:rPr>
              <w:t>Personal Network Computing Inc.</w:t>
            </w:r>
          </w:p>
        </w:tc>
        <w:tc>
          <w:tcPr>
            <w:tcW w:w="1350" w:type="dxa"/>
          </w:tcPr>
          <w:p w:rsidR="00994BE0" w:rsidRPr="007F70C4" w:rsidP="00994BE0" w14:paraId="72262D06" w14:textId="220B0F0D">
            <w:pPr>
              <w:pStyle w:val="ParaNum"/>
              <w:numPr>
                <w:ilvl w:val="0"/>
                <w:numId w:val="0"/>
              </w:numPr>
              <w:spacing w:after="0"/>
              <w:jc w:val="center"/>
              <w:rPr>
                <w:szCs w:val="22"/>
              </w:rPr>
            </w:pPr>
            <w:r>
              <w:rPr>
                <w:szCs w:val="22"/>
              </w:rPr>
              <w:t>0018500694</w:t>
            </w:r>
          </w:p>
        </w:tc>
        <w:tc>
          <w:tcPr>
            <w:tcW w:w="2790" w:type="dxa"/>
          </w:tcPr>
          <w:p w:rsidR="00994BE0" w:rsidRPr="007F70C4" w:rsidP="00994BE0" w14:paraId="3D9A22E9" w14:textId="5CACC0E6">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5D3A157E" w14:textId="679FEC41">
            <w:pPr>
              <w:pStyle w:val="ParaNum"/>
              <w:numPr>
                <w:ilvl w:val="0"/>
                <w:numId w:val="0"/>
              </w:numPr>
              <w:spacing w:after="0"/>
              <w:jc w:val="center"/>
              <w:rPr>
                <w:szCs w:val="22"/>
              </w:rPr>
            </w:pPr>
            <w:r>
              <w:rPr>
                <w:szCs w:val="22"/>
              </w:rPr>
              <w:t>Deny</w:t>
            </w:r>
          </w:p>
        </w:tc>
      </w:tr>
      <w:tr w14:paraId="74743744" w14:textId="77777777" w:rsidTr="00473549">
        <w:tblPrEx>
          <w:tblW w:w="9450" w:type="dxa"/>
          <w:tblInd w:w="85" w:type="dxa"/>
          <w:tblLayout w:type="fixed"/>
          <w:tblLook w:val="04A0"/>
        </w:tblPrEx>
        <w:tc>
          <w:tcPr>
            <w:tcW w:w="3960" w:type="dxa"/>
          </w:tcPr>
          <w:p w:rsidR="00994BE0" w:rsidRPr="007F70C4" w:rsidP="00994BE0" w14:paraId="0989725A" w14:textId="4046B328">
            <w:pPr>
              <w:pStyle w:val="ParaNum"/>
              <w:numPr>
                <w:ilvl w:val="0"/>
                <w:numId w:val="0"/>
              </w:numPr>
              <w:spacing w:after="0"/>
              <w:jc w:val="center"/>
              <w:rPr>
                <w:szCs w:val="22"/>
              </w:rPr>
            </w:pPr>
            <w:r>
              <w:rPr>
                <w:szCs w:val="22"/>
              </w:rPr>
              <w:t>PCM Industries, LLC</w:t>
            </w:r>
          </w:p>
        </w:tc>
        <w:tc>
          <w:tcPr>
            <w:tcW w:w="1350" w:type="dxa"/>
          </w:tcPr>
          <w:p w:rsidR="00994BE0" w:rsidRPr="007F70C4" w:rsidP="00994BE0" w14:paraId="78F48BC8" w14:textId="612D5904">
            <w:pPr>
              <w:pStyle w:val="ParaNum"/>
              <w:numPr>
                <w:ilvl w:val="0"/>
                <w:numId w:val="0"/>
              </w:numPr>
              <w:spacing w:after="0"/>
              <w:jc w:val="center"/>
              <w:rPr>
                <w:szCs w:val="22"/>
              </w:rPr>
            </w:pPr>
            <w:r>
              <w:rPr>
                <w:szCs w:val="22"/>
              </w:rPr>
              <w:t>0027758192</w:t>
            </w:r>
          </w:p>
        </w:tc>
        <w:tc>
          <w:tcPr>
            <w:tcW w:w="2790" w:type="dxa"/>
          </w:tcPr>
          <w:p w:rsidR="00994BE0" w:rsidRPr="007F70C4" w:rsidP="00994BE0" w14:paraId="58A3747C" w14:textId="654F0B77">
            <w:pPr>
              <w:pStyle w:val="ParaNum"/>
              <w:numPr>
                <w:ilvl w:val="0"/>
                <w:numId w:val="0"/>
              </w:numPr>
              <w:spacing w:after="0"/>
              <w:jc w:val="center"/>
              <w:rPr>
                <w:szCs w:val="22"/>
              </w:rPr>
            </w:pPr>
            <w:r w:rsidRPr="00541E3B">
              <w:rPr>
                <w:szCs w:val="22"/>
              </w:rPr>
              <w:t>Form 477 filing requirement</w:t>
            </w:r>
          </w:p>
        </w:tc>
        <w:tc>
          <w:tcPr>
            <w:tcW w:w="1350" w:type="dxa"/>
          </w:tcPr>
          <w:p w:rsidR="00994BE0" w:rsidRPr="007F70C4" w:rsidP="00994BE0" w14:paraId="11B8AA91" w14:textId="208CE519">
            <w:pPr>
              <w:pStyle w:val="ParaNum"/>
              <w:numPr>
                <w:ilvl w:val="0"/>
                <w:numId w:val="0"/>
              </w:numPr>
              <w:spacing w:after="0"/>
              <w:jc w:val="center"/>
              <w:rPr>
                <w:szCs w:val="22"/>
              </w:rPr>
            </w:pPr>
            <w:r w:rsidRPr="00EF218E">
              <w:rPr>
                <w:szCs w:val="22"/>
              </w:rPr>
              <w:t>Deny</w:t>
            </w:r>
          </w:p>
        </w:tc>
      </w:tr>
      <w:tr w14:paraId="3AC1CE5F" w14:textId="77777777" w:rsidTr="00473549">
        <w:tblPrEx>
          <w:tblW w:w="9450" w:type="dxa"/>
          <w:tblInd w:w="85" w:type="dxa"/>
          <w:tblLayout w:type="fixed"/>
          <w:tblLook w:val="04A0"/>
        </w:tblPrEx>
        <w:tc>
          <w:tcPr>
            <w:tcW w:w="3960" w:type="dxa"/>
          </w:tcPr>
          <w:p w:rsidR="00994BE0" w:rsidRPr="007F70C4" w:rsidP="00994BE0" w14:paraId="2AD63FBA" w14:textId="570AAB73">
            <w:pPr>
              <w:pStyle w:val="ParaNum"/>
              <w:numPr>
                <w:ilvl w:val="0"/>
                <w:numId w:val="0"/>
              </w:numPr>
              <w:spacing w:after="0"/>
              <w:jc w:val="center"/>
              <w:rPr>
                <w:szCs w:val="22"/>
              </w:rPr>
            </w:pPr>
            <w:r>
              <w:rPr>
                <w:szCs w:val="22"/>
              </w:rPr>
              <w:t>Planet Networks, Inc.</w:t>
            </w:r>
          </w:p>
        </w:tc>
        <w:tc>
          <w:tcPr>
            <w:tcW w:w="1350" w:type="dxa"/>
          </w:tcPr>
          <w:p w:rsidR="00994BE0" w:rsidRPr="007F70C4" w:rsidP="00994BE0" w14:paraId="78578F5E" w14:textId="3EDF4D19">
            <w:pPr>
              <w:pStyle w:val="ParaNum"/>
              <w:numPr>
                <w:ilvl w:val="0"/>
                <w:numId w:val="0"/>
              </w:numPr>
              <w:spacing w:after="0"/>
              <w:jc w:val="center"/>
              <w:rPr>
                <w:szCs w:val="22"/>
              </w:rPr>
            </w:pPr>
            <w:r>
              <w:rPr>
                <w:szCs w:val="22"/>
              </w:rPr>
              <w:t>0016128977</w:t>
            </w:r>
          </w:p>
        </w:tc>
        <w:tc>
          <w:tcPr>
            <w:tcW w:w="2790" w:type="dxa"/>
          </w:tcPr>
          <w:p w:rsidR="00994BE0" w:rsidRPr="007F70C4" w:rsidP="00994BE0" w14:paraId="52241051" w14:textId="2477BF4E">
            <w:pPr>
              <w:pStyle w:val="ParaNum"/>
              <w:numPr>
                <w:ilvl w:val="0"/>
                <w:numId w:val="0"/>
              </w:numPr>
              <w:spacing w:after="0"/>
              <w:jc w:val="center"/>
              <w:rPr>
                <w:szCs w:val="22"/>
              </w:rPr>
            </w:pPr>
            <w:r w:rsidRPr="00541E3B">
              <w:rPr>
                <w:szCs w:val="22"/>
              </w:rPr>
              <w:t>Form 477 filing requirement</w:t>
            </w:r>
          </w:p>
        </w:tc>
        <w:tc>
          <w:tcPr>
            <w:tcW w:w="1350" w:type="dxa"/>
          </w:tcPr>
          <w:p w:rsidR="00994BE0" w:rsidRPr="007F70C4" w:rsidP="00994BE0" w14:paraId="4C92E757" w14:textId="583DA8F4">
            <w:pPr>
              <w:pStyle w:val="ParaNum"/>
              <w:numPr>
                <w:ilvl w:val="0"/>
                <w:numId w:val="0"/>
              </w:numPr>
              <w:spacing w:after="0"/>
              <w:jc w:val="center"/>
              <w:rPr>
                <w:szCs w:val="22"/>
              </w:rPr>
            </w:pPr>
            <w:r w:rsidRPr="00EF218E">
              <w:rPr>
                <w:szCs w:val="22"/>
              </w:rPr>
              <w:t>Deny</w:t>
            </w:r>
          </w:p>
        </w:tc>
      </w:tr>
      <w:tr w14:paraId="2755E9D4" w14:textId="77777777" w:rsidTr="00473549">
        <w:tblPrEx>
          <w:tblW w:w="9450" w:type="dxa"/>
          <w:tblInd w:w="85" w:type="dxa"/>
          <w:tblLayout w:type="fixed"/>
          <w:tblLook w:val="04A0"/>
        </w:tblPrEx>
        <w:tc>
          <w:tcPr>
            <w:tcW w:w="3960" w:type="dxa"/>
          </w:tcPr>
          <w:p w:rsidR="00994BE0" w:rsidP="00994BE0" w14:paraId="7B26AD46" w14:textId="343C735B">
            <w:pPr>
              <w:pStyle w:val="ParaNum"/>
              <w:numPr>
                <w:ilvl w:val="0"/>
                <w:numId w:val="0"/>
              </w:numPr>
              <w:spacing w:after="0"/>
              <w:jc w:val="center"/>
              <w:rPr>
                <w:szCs w:val="22"/>
              </w:rPr>
            </w:pPr>
            <w:r>
              <w:rPr>
                <w:szCs w:val="22"/>
              </w:rPr>
              <w:t>Redbird Management Illinois LLC</w:t>
            </w:r>
          </w:p>
        </w:tc>
        <w:tc>
          <w:tcPr>
            <w:tcW w:w="1350" w:type="dxa"/>
          </w:tcPr>
          <w:p w:rsidR="00994BE0" w:rsidP="00994BE0" w14:paraId="15D24028" w14:textId="52DF4DA5">
            <w:pPr>
              <w:pStyle w:val="ParaNum"/>
              <w:numPr>
                <w:ilvl w:val="0"/>
                <w:numId w:val="0"/>
              </w:numPr>
              <w:spacing w:after="0"/>
              <w:jc w:val="center"/>
              <w:rPr>
                <w:szCs w:val="22"/>
              </w:rPr>
            </w:pPr>
            <w:r>
              <w:rPr>
                <w:szCs w:val="22"/>
              </w:rPr>
              <w:t>0029746187</w:t>
            </w:r>
          </w:p>
        </w:tc>
        <w:tc>
          <w:tcPr>
            <w:tcW w:w="2790" w:type="dxa"/>
          </w:tcPr>
          <w:p w:rsidR="00994BE0" w:rsidRPr="00541E3B" w:rsidP="00994BE0" w14:paraId="3DF3FD66" w14:textId="7535C24C">
            <w:pPr>
              <w:pStyle w:val="ParaNum"/>
              <w:numPr>
                <w:ilvl w:val="0"/>
                <w:numId w:val="0"/>
              </w:numPr>
              <w:spacing w:after="0"/>
              <w:jc w:val="center"/>
              <w:rPr>
                <w:szCs w:val="22"/>
              </w:rPr>
            </w:pPr>
            <w:r>
              <w:rPr>
                <w:szCs w:val="22"/>
              </w:rPr>
              <w:t>Financial information requirements</w:t>
            </w:r>
          </w:p>
        </w:tc>
        <w:tc>
          <w:tcPr>
            <w:tcW w:w="1350" w:type="dxa"/>
          </w:tcPr>
          <w:p w:rsidR="00994BE0" w:rsidRPr="00EF218E" w:rsidP="00994BE0" w14:paraId="544CF4BD" w14:textId="35971999">
            <w:pPr>
              <w:pStyle w:val="ParaNum"/>
              <w:numPr>
                <w:ilvl w:val="0"/>
                <w:numId w:val="0"/>
              </w:numPr>
              <w:spacing w:after="0"/>
              <w:jc w:val="center"/>
              <w:rPr>
                <w:szCs w:val="22"/>
              </w:rPr>
            </w:pPr>
            <w:r>
              <w:rPr>
                <w:szCs w:val="22"/>
              </w:rPr>
              <w:t>Deny</w:t>
            </w:r>
          </w:p>
        </w:tc>
      </w:tr>
      <w:tr w14:paraId="1CDD32E2" w14:textId="77777777" w:rsidTr="00473549">
        <w:tblPrEx>
          <w:tblW w:w="9450" w:type="dxa"/>
          <w:tblInd w:w="85" w:type="dxa"/>
          <w:tblLayout w:type="fixed"/>
          <w:tblLook w:val="04A0"/>
        </w:tblPrEx>
        <w:tc>
          <w:tcPr>
            <w:tcW w:w="3960" w:type="dxa"/>
          </w:tcPr>
          <w:p w:rsidR="00994BE0" w:rsidRPr="007F70C4" w:rsidP="00994BE0" w14:paraId="3DC1C5D6" w14:textId="1B72D140">
            <w:pPr>
              <w:pStyle w:val="ParaNum"/>
              <w:numPr>
                <w:ilvl w:val="0"/>
                <w:numId w:val="0"/>
              </w:numPr>
              <w:spacing w:after="0"/>
              <w:jc w:val="center"/>
              <w:rPr>
                <w:szCs w:val="22"/>
              </w:rPr>
            </w:pPr>
            <w:r>
              <w:rPr>
                <w:szCs w:val="22"/>
              </w:rPr>
              <w:t>Rio Broadband, LLC</w:t>
            </w:r>
          </w:p>
        </w:tc>
        <w:tc>
          <w:tcPr>
            <w:tcW w:w="1350" w:type="dxa"/>
          </w:tcPr>
          <w:p w:rsidR="00994BE0" w:rsidRPr="007F70C4" w:rsidP="00994BE0" w14:paraId="4DCF70E4" w14:textId="3BD5C08E">
            <w:pPr>
              <w:pStyle w:val="ParaNum"/>
              <w:numPr>
                <w:ilvl w:val="0"/>
                <w:numId w:val="0"/>
              </w:numPr>
              <w:spacing w:after="0"/>
              <w:jc w:val="center"/>
              <w:rPr>
                <w:szCs w:val="22"/>
              </w:rPr>
            </w:pPr>
            <w:r>
              <w:rPr>
                <w:szCs w:val="22"/>
              </w:rPr>
              <w:t>0029544624</w:t>
            </w:r>
          </w:p>
        </w:tc>
        <w:tc>
          <w:tcPr>
            <w:tcW w:w="2790" w:type="dxa"/>
          </w:tcPr>
          <w:p w:rsidR="00994BE0" w:rsidRPr="007F70C4" w:rsidP="00994BE0" w14:paraId="2A2AC5FA" w14:textId="20F2DC78">
            <w:pPr>
              <w:pStyle w:val="ParaNum"/>
              <w:numPr>
                <w:ilvl w:val="0"/>
                <w:numId w:val="0"/>
              </w:numPr>
              <w:spacing w:after="0"/>
              <w:jc w:val="center"/>
              <w:rPr>
                <w:szCs w:val="22"/>
              </w:rPr>
            </w:pPr>
            <w:r w:rsidRPr="00541E3B">
              <w:rPr>
                <w:szCs w:val="22"/>
              </w:rPr>
              <w:t>Form 477 filing requirement</w:t>
            </w:r>
          </w:p>
        </w:tc>
        <w:tc>
          <w:tcPr>
            <w:tcW w:w="1350" w:type="dxa"/>
          </w:tcPr>
          <w:p w:rsidR="00994BE0" w:rsidRPr="007F70C4" w:rsidP="00994BE0" w14:paraId="45F9D7EB" w14:textId="50876D4F">
            <w:pPr>
              <w:pStyle w:val="ParaNum"/>
              <w:numPr>
                <w:ilvl w:val="0"/>
                <w:numId w:val="0"/>
              </w:numPr>
              <w:spacing w:after="0"/>
              <w:jc w:val="center"/>
              <w:rPr>
                <w:szCs w:val="22"/>
              </w:rPr>
            </w:pPr>
            <w:r w:rsidRPr="00EF218E">
              <w:rPr>
                <w:szCs w:val="22"/>
              </w:rPr>
              <w:t>Deny</w:t>
            </w:r>
          </w:p>
        </w:tc>
      </w:tr>
      <w:tr w14:paraId="1FF92791" w14:textId="77777777" w:rsidTr="00473549">
        <w:tblPrEx>
          <w:tblW w:w="9450" w:type="dxa"/>
          <w:tblInd w:w="85" w:type="dxa"/>
          <w:tblLayout w:type="fixed"/>
          <w:tblLook w:val="04A0"/>
        </w:tblPrEx>
        <w:tc>
          <w:tcPr>
            <w:tcW w:w="3960" w:type="dxa"/>
          </w:tcPr>
          <w:p w:rsidR="00994BE0" w:rsidRPr="007F70C4" w:rsidP="00994BE0" w14:paraId="260F8F07" w14:textId="4117B638">
            <w:pPr>
              <w:pStyle w:val="ParaNum"/>
              <w:numPr>
                <w:ilvl w:val="0"/>
                <w:numId w:val="0"/>
              </w:numPr>
              <w:spacing w:after="0"/>
              <w:jc w:val="center"/>
              <w:rPr>
                <w:szCs w:val="22"/>
              </w:rPr>
            </w:pPr>
            <w:r w:rsidRPr="007F70C4">
              <w:rPr>
                <w:szCs w:val="22"/>
              </w:rPr>
              <w:t>Rowe Wireless Networks, LLC</w:t>
            </w:r>
          </w:p>
        </w:tc>
        <w:tc>
          <w:tcPr>
            <w:tcW w:w="1350" w:type="dxa"/>
          </w:tcPr>
          <w:p w:rsidR="00994BE0" w:rsidRPr="007F70C4" w:rsidP="00994BE0" w14:paraId="3DEEB4D1" w14:textId="3A5DA06C">
            <w:pPr>
              <w:pStyle w:val="ParaNum"/>
              <w:numPr>
                <w:ilvl w:val="0"/>
                <w:numId w:val="0"/>
              </w:numPr>
              <w:spacing w:after="0"/>
              <w:jc w:val="center"/>
              <w:rPr>
                <w:szCs w:val="22"/>
              </w:rPr>
            </w:pPr>
            <w:r w:rsidRPr="007F70C4">
              <w:rPr>
                <w:szCs w:val="22"/>
              </w:rPr>
              <w:t>0019944198</w:t>
            </w:r>
          </w:p>
        </w:tc>
        <w:tc>
          <w:tcPr>
            <w:tcW w:w="2790" w:type="dxa"/>
          </w:tcPr>
          <w:p w:rsidR="00994BE0" w:rsidRPr="007F70C4" w:rsidP="00994BE0" w14:paraId="099B9563" w14:textId="565D1FE9">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30BEBA2D" w14:textId="6588EFA1">
            <w:pPr>
              <w:pStyle w:val="ParaNum"/>
              <w:numPr>
                <w:ilvl w:val="0"/>
                <w:numId w:val="0"/>
              </w:numPr>
              <w:spacing w:after="0"/>
              <w:jc w:val="center"/>
              <w:rPr>
                <w:szCs w:val="22"/>
              </w:rPr>
            </w:pPr>
            <w:r w:rsidRPr="007F70C4">
              <w:rPr>
                <w:szCs w:val="22"/>
              </w:rPr>
              <w:t>Grant</w:t>
            </w:r>
          </w:p>
        </w:tc>
      </w:tr>
      <w:tr w14:paraId="3FE8DAC7" w14:textId="77777777" w:rsidTr="00473549">
        <w:tblPrEx>
          <w:tblW w:w="9450" w:type="dxa"/>
          <w:tblInd w:w="85" w:type="dxa"/>
          <w:tblLayout w:type="fixed"/>
          <w:tblLook w:val="04A0"/>
        </w:tblPrEx>
        <w:tc>
          <w:tcPr>
            <w:tcW w:w="3960" w:type="dxa"/>
          </w:tcPr>
          <w:p w:rsidR="00994BE0" w:rsidRPr="007F70C4" w:rsidP="00994BE0" w14:paraId="274C02F2" w14:textId="3269F1B7">
            <w:pPr>
              <w:pStyle w:val="ParaNum"/>
              <w:numPr>
                <w:ilvl w:val="0"/>
                <w:numId w:val="0"/>
              </w:numPr>
              <w:spacing w:after="0"/>
              <w:jc w:val="center"/>
              <w:rPr>
                <w:szCs w:val="22"/>
              </w:rPr>
            </w:pPr>
            <w:r w:rsidRPr="00994BE0">
              <w:rPr>
                <w:szCs w:val="22"/>
              </w:rPr>
              <w:t xml:space="preserve">San Bruno </w:t>
            </w:r>
            <w:r w:rsidRPr="00994BE0">
              <w:rPr>
                <w:szCs w:val="22"/>
              </w:rPr>
              <w:t>CityNet</w:t>
            </w:r>
            <w:r w:rsidRPr="00994BE0">
              <w:rPr>
                <w:szCs w:val="22"/>
              </w:rPr>
              <w:t xml:space="preserve"> Services</w:t>
            </w:r>
          </w:p>
        </w:tc>
        <w:tc>
          <w:tcPr>
            <w:tcW w:w="1350" w:type="dxa"/>
          </w:tcPr>
          <w:p w:rsidR="00994BE0" w:rsidRPr="007F70C4" w:rsidP="00994BE0" w14:paraId="2A19D7E8" w14:textId="2198365F">
            <w:pPr>
              <w:pStyle w:val="ParaNum"/>
              <w:numPr>
                <w:ilvl w:val="0"/>
                <w:numId w:val="0"/>
              </w:numPr>
              <w:spacing w:after="0"/>
              <w:jc w:val="center"/>
              <w:rPr>
                <w:szCs w:val="22"/>
              </w:rPr>
            </w:pPr>
            <w:r w:rsidRPr="00994BE0">
              <w:rPr>
                <w:szCs w:val="22"/>
              </w:rPr>
              <w:t>0009009069</w:t>
            </w:r>
          </w:p>
        </w:tc>
        <w:tc>
          <w:tcPr>
            <w:tcW w:w="2790" w:type="dxa"/>
          </w:tcPr>
          <w:p w:rsidR="00994BE0" w:rsidRPr="007F70C4" w:rsidP="00994BE0" w14:paraId="3C7C9887" w14:textId="60C53C59">
            <w:pPr>
              <w:pStyle w:val="ParaNum"/>
              <w:numPr>
                <w:ilvl w:val="0"/>
                <w:numId w:val="0"/>
              </w:numPr>
              <w:spacing w:after="0"/>
              <w:jc w:val="center"/>
              <w:rPr>
                <w:szCs w:val="22"/>
              </w:rPr>
            </w:pPr>
            <w:r w:rsidRPr="00994BE0">
              <w:rPr>
                <w:szCs w:val="22"/>
              </w:rPr>
              <w:t>Form 477 filing requirement</w:t>
            </w:r>
          </w:p>
        </w:tc>
        <w:tc>
          <w:tcPr>
            <w:tcW w:w="1350" w:type="dxa"/>
          </w:tcPr>
          <w:p w:rsidR="00994BE0" w:rsidRPr="007F70C4" w:rsidP="00994BE0" w14:paraId="12F44432" w14:textId="114FEFD0">
            <w:pPr>
              <w:pStyle w:val="ParaNum"/>
              <w:numPr>
                <w:ilvl w:val="0"/>
                <w:numId w:val="0"/>
              </w:numPr>
              <w:spacing w:after="0"/>
              <w:jc w:val="center"/>
              <w:rPr>
                <w:szCs w:val="22"/>
              </w:rPr>
            </w:pPr>
            <w:r w:rsidRPr="00994BE0">
              <w:rPr>
                <w:szCs w:val="22"/>
              </w:rPr>
              <w:t>Grant</w:t>
            </w:r>
          </w:p>
        </w:tc>
      </w:tr>
      <w:tr w14:paraId="7C23C9AC" w14:textId="77777777" w:rsidTr="00473549">
        <w:tblPrEx>
          <w:tblW w:w="9450" w:type="dxa"/>
          <w:tblInd w:w="85" w:type="dxa"/>
          <w:tblLayout w:type="fixed"/>
          <w:tblLook w:val="04A0"/>
        </w:tblPrEx>
        <w:tc>
          <w:tcPr>
            <w:tcW w:w="3960" w:type="dxa"/>
          </w:tcPr>
          <w:p w:rsidR="00994BE0" w:rsidRPr="007F70C4" w:rsidP="00994BE0" w14:paraId="68A81DB7" w14:textId="06D40F2E">
            <w:pPr>
              <w:pStyle w:val="ParaNum"/>
              <w:numPr>
                <w:ilvl w:val="0"/>
                <w:numId w:val="0"/>
              </w:numPr>
              <w:spacing w:after="0"/>
              <w:jc w:val="center"/>
              <w:rPr>
                <w:szCs w:val="22"/>
              </w:rPr>
            </w:pPr>
            <w:r w:rsidRPr="007F70C4">
              <w:rPr>
                <w:szCs w:val="22"/>
              </w:rPr>
              <w:t>SandyNet</w:t>
            </w:r>
            <w:r w:rsidRPr="007F70C4">
              <w:rPr>
                <w:szCs w:val="22"/>
              </w:rPr>
              <w:t xml:space="preserve"> Rural Broadband</w:t>
            </w:r>
          </w:p>
        </w:tc>
        <w:tc>
          <w:tcPr>
            <w:tcW w:w="1350" w:type="dxa"/>
          </w:tcPr>
          <w:p w:rsidR="00994BE0" w:rsidRPr="007F70C4" w:rsidP="00994BE0" w14:paraId="1488E19B" w14:textId="5C76B9CA">
            <w:pPr>
              <w:pStyle w:val="ParaNum"/>
              <w:numPr>
                <w:ilvl w:val="0"/>
                <w:numId w:val="0"/>
              </w:numPr>
              <w:spacing w:after="0"/>
              <w:jc w:val="center"/>
              <w:rPr>
                <w:szCs w:val="22"/>
              </w:rPr>
            </w:pPr>
            <w:r w:rsidRPr="007F70C4">
              <w:rPr>
                <w:szCs w:val="22"/>
              </w:rPr>
              <w:t>0004119376</w:t>
            </w:r>
          </w:p>
        </w:tc>
        <w:tc>
          <w:tcPr>
            <w:tcW w:w="2790" w:type="dxa"/>
          </w:tcPr>
          <w:p w:rsidR="00994BE0" w:rsidRPr="007F70C4" w:rsidP="00994BE0" w14:paraId="6243AEE7" w14:textId="4D9E1858">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5999CB94" w14:textId="515DE9E0">
            <w:pPr>
              <w:pStyle w:val="ParaNum"/>
              <w:numPr>
                <w:ilvl w:val="0"/>
                <w:numId w:val="0"/>
              </w:numPr>
              <w:spacing w:after="0"/>
              <w:jc w:val="center"/>
              <w:rPr>
                <w:szCs w:val="22"/>
              </w:rPr>
            </w:pPr>
            <w:r w:rsidRPr="007F70C4">
              <w:rPr>
                <w:szCs w:val="22"/>
              </w:rPr>
              <w:t>Grant</w:t>
            </w:r>
          </w:p>
        </w:tc>
      </w:tr>
      <w:tr w14:paraId="12AEC2C7" w14:textId="77777777" w:rsidTr="00473549">
        <w:tblPrEx>
          <w:tblW w:w="9450" w:type="dxa"/>
          <w:tblInd w:w="85" w:type="dxa"/>
          <w:tblLayout w:type="fixed"/>
          <w:tblLook w:val="04A0"/>
        </w:tblPrEx>
        <w:tc>
          <w:tcPr>
            <w:tcW w:w="3960" w:type="dxa"/>
          </w:tcPr>
          <w:p w:rsidR="00994BE0" w:rsidRPr="007F70C4" w:rsidP="00994BE0" w14:paraId="045BADDF" w14:textId="529E92FD">
            <w:pPr>
              <w:pStyle w:val="ParaNum"/>
              <w:numPr>
                <w:ilvl w:val="0"/>
                <w:numId w:val="0"/>
              </w:numPr>
              <w:spacing w:after="0"/>
              <w:jc w:val="center"/>
              <w:rPr>
                <w:szCs w:val="22"/>
              </w:rPr>
            </w:pPr>
            <w:r>
              <w:rPr>
                <w:szCs w:val="22"/>
              </w:rPr>
              <w:t>S</w:t>
            </w:r>
            <w:r w:rsidRPr="007F70C4">
              <w:rPr>
                <w:szCs w:val="22"/>
              </w:rPr>
              <w:t xml:space="preserve">atview </w:t>
            </w:r>
            <w:r>
              <w:rPr>
                <w:szCs w:val="22"/>
              </w:rPr>
              <w:t>B</w:t>
            </w:r>
            <w:r w:rsidRPr="007F70C4">
              <w:rPr>
                <w:szCs w:val="22"/>
              </w:rPr>
              <w:t>roadband Ltd</w:t>
            </w:r>
          </w:p>
        </w:tc>
        <w:tc>
          <w:tcPr>
            <w:tcW w:w="1350" w:type="dxa"/>
          </w:tcPr>
          <w:p w:rsidR="00994BE0" w:rsidRPr="007F70C4" w:rsidP="00994BE0" w14:paraId="4C29FB15" w14:textId="33E17C05">
            <w:pPr>
              <w:pStyle w:val="ParaNum"/>
              <w:numPr>
                <w:ilvl w:val="0"/>
                <w:numId w:val="0"/>
              </w:numPr>
              <w:spacing w:after="0"/>
              <w:jc w:val="center"/>
              <w:rPr>
                <w:szCs w:val="22"/>
              </w:rPr>
            </w:pPr>
            <w:r w:rsidRPr="007F70C4">
              <w:rPr>
                <w:szCs w:val="22"/>
              </w:rPr>
              <w:t>0015817075</w:t>
            </w:r>
          </w:p>
        </w:tc>
        <w:tc>
          <w:tcPr>
            <w:tcW w:w="2790" w:type="dxa"/>
          </w:tcPr>
          <w:p w:rsidR="00994BE0" w:rsidRPr="007F70C4" w:rsidP="00994BE0" w14:paraId="019241E1" w14:textId="646712D0">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62F601C5" w14:textId="5FAE94BF">
            <w:pPr>
              <w:pStyle w:val="ParaNum"/>
              <w:numPr>
                <w:ilvl w:val="0"/>
                <w:numId w:val="0"/>
              </w:numPr>
              <w:spacing w:after="0"/>
              <w:jc w:val="center"/>
              <w:rPr>
                <w:szCs w:val="22"/>
              </w:rPr>
            </w:pPr>
            <w:r w:rsidRPr="007F70C4">
              <w:rPr>
                <w:szCs w:val="22"/>
              </w:rPr>
              <w:t>Deny</w:t>
            </w:r>
          </w:p>
        </w:tc>
      </w:tr>
      <w:tr w14:paraId="018CB8D4" w14:textId="77777777" w:rsidTr="00473549">
        <w:tblPrEx>
          <w:tblW w:w="9450" w:type="dxa"/>
          <w:tblInd w:w="85" w:type="dxa"/>
          <w:tblLayout w:type="fixed"/>
          <w:tblLook w:val="04A0"/>
        </w:tblPrEx>
        <w:tc>
          <w:tcPr>
            <w:tcW w:w="3960" w:type="dxa"/>
          </w:tcPr>
          <w:p w:rsidR="00994BE0" w:rsidRPr="007F70C4" w:rsidP="00994BE0" w14:paraId="7241AFC9" w14:textId="20AE865E">
            <w:pPr>
              <w:pStyle w:val="ParaNum"/>
              <w:numPr>
                <w:ilvl w:val="0"/>
                <w:numId w:val="0"/>
              </w:numPr>
              <w:spacing w:after="0"/>
              <w:jc w:val="center"/>
              <w:rPr>
                <w:szCs w:val="22"/>
              </w:rPr>
            </w:pPr>
            <w:r w:rsidRPr="007F70C4">
              <w:rPr>
                <w:szCs w:val="22"/>
              </w:rPr>
              <w:t>SkyNet</w:t>
            </w:r>
            <w:r w:rsidRPr="007F70C4">
              <w:rPr>
                <w:szCs w:val="22"/>
              </w:rPr>
              <w:t xml:space="preserve"> Broadband, Inc.</w:t>
            </w:r>
          </w:p>
        </w:tc>
        <w:tc>
          <w:tcPr>
            <w:tcW w:w="1350" w:type="dxa"/>
          </w:tcPr>
          <w:p w:rsidR="00994BE0" w:rsidRPr="007F70C4" w:rsidP="00994BE0" w14:paraId="5D01B837" w14:textId="5B191907">
            <w:pPr>
              <w:pStyle w:val="ParaNum"/>
              <w:numPr>
                <w:ilvl w:val="0"/>
                <w:numId w:val="0"/>
              </w:numPr>
              <w:spacing w:after="0"/>
              <w:jc w:val="center"/>
              <w:rPr>
                <w:szCs w:val="22"/>
              </w:rPr>
            </w:pPr>
            <w:r w:rsidRPr="007F70C4">
              <w:rPr>
                <w:szCs w:val="22"/>
              </w:rPr>
              <w:t>0024026304</w:t>
            </w:r>
          </w:p>
        </w:tc>
        <w:tc>
          <w:tcPr>
            <w:tcW w:w="2790" w:type="dxa"/>
          </w:tcPr>
          <w:p w:rsidR="00994BE0" w:rsidRPr="007F70C4" w:rsidP="00994BE0" w14:paraId="2604FC1C" w14:textId="033E40B2">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284887C1" w14:textId="61A9CBB6">
            <w:pPr>
              <w:pStyle w:val="ParaNum"/>
              <w:numPr>
                <w:ilvl w:val="0"/>
                <w:numId w:val="0"/>
              </w:numPr>
              <w:spacing w:after="0"/>
              <w:jc w:val="center"/>
              <w:rPr>
                <w:szCs w:val="22"/>
              </w:rPr>
            </w:pPr>
            <w:r w:rsidRPr="007F70C4">
              <w:rPr>
                <w:szCs w:val="22"/>
              </w:rPr>
              <w:t>Grant</w:t>
            </w:r>
          </w:p>
        </w:tc>
      </w:tr>
      <w:tr w14:paraId="79C6D4AA" w14:textId="77777777" w:rsidTr="00473549">
        <w:tblPrEx>
          <w:tblW w:w="9450" w:type="dxa"/>
          <w:tblInd w:w="85" w:type="dxa"/>
          <w:tblLayout w:type="fixed"/>
          <w:tblLook w:val="04A0"/>
        </w:tblPrEx>
        <w:tc>
          <w:tcPr>
            <w:tcW w:w="3960" w:type="dxa"/>
          </w:tcPr>
          <w:p w:rsidR="00994BE0" w:rsidRPr="007F70C4" w:rsidP="00994BE0" w14:paraId="69DD3C7B" w14:textId="24E15B91">
            <w:pPr>
              <w:pStyle w:val="ParaNum"/>
              <w:numPr>
                <w:ilvl w:val="0"/>
                <w:numId w:val="0"/>
              </w:numPr>
              <w:spacing w:after="0"/>
              <w:jc w:val="center"/>
              <w:rPr>
                <w:szCs w:val="22"/>
              </w:rPr>
            </w:pPr>
            <w:r>
              <w:rPr>
                <w:szCs w:val="22"/>
              </w:rPr>
              <w:t>SkyRider</w:t>
            </w:r>
            <w:r>
              <w:rPr>
                <w:szCs w:val="22"/>
              </w:rPr>
              <w:t xml:space="preserve"> Communications LLC</w:t>
            </w:r>
          </w:p>
        </w:tc>
        <w:tc>
          <w:tcPr>
            <w:tcW w:w="1350" w:type="dxa"/>
          </w:tcPr>
          <w:p w:rsidR="00994BE0" w:rsidRPr="007F70C4" w:rsidP="00994BE0" w14:paraId="67661B57" w14:textId="71C2C981">
            <w:pPr>
              <w:pStyle w:val="ParaNum"/>
              <w:numPr>
                <w:ilvl w:val="0"/>
                <w:numId w:val="0"/>
              </w:numPr>
              <w:spacing w:after="0"/>
              <w:jc w:val="center"/>
              <w:rPr>
                <w:szCs w:val="22"/>
              </w:rPr>
            </w:pPr>
            <w:r>
              <w:rPr>
                <w:szCs w:val="22"/>
              </w:rPr>
              <w:t>0021883640</w:t>
            </w:r>
          </w:p>
        </w:tc>
        <w:tc>
          <w:tcPr>
            <w:tcW w:w="2790" w:type="dxa"/>
          </w:tcPr>
          <w:p w:rsidR="00994BE0" w:rsidRPr="007F70C4" w:rsidP="00994BE0" w14:paraId="5333BE95" w14:textId="1F28B806">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03233C24" w14:textId="22A94233">
            <w:pPr>
              <w:pStyle w:val="ParaNum"/>
              <w:numPr>
                <w:ilvl w:val="0"/>
                <w:numId w:val="0"/>
              </w:numPr>
              <w:spacing w:after="0"/>
              <w:jc w:val="center"/>
              <w:rPr>
                <w:szCs w:val="22"/>
              </w:rPr>
            </w:pPr>
            <w:r>
              <w:rPr>
                <w:szCs w:val="22"/>
              </w:rPr>
              <w:t>Deny</w:t>
            </w:r>
          </w:p>
        </w:tc>
      </w:tr>
      <w:tr w14:paraId="09AD3918" w14:textId="77777777" w:rsidTr="00473549">
        <w:tblPrEx>
          <w:tblW w:w="9450" w:type="dxa"/>
          <w:tblInd w:w="85" w:type="dxa"/>
          <w:tblLayout w:type="fixed"/>
          <w:tblLook w:val="04A0"/>
        </w:tblPrEx>
        <w:tc>
          <w:tcPr>
            <w:tcW w:w="3960" w:type="dxa"/>
          </w:tcPr>
          <w:p w:rsidR="00994BE0" w:rsidRPr="007F70C4" w:rsidP="00994BE0" w14:paraId="761BE4EE" w14:textId="6EA5E799">
            <w:pPr>
              <w:pStyle w:val="ParaNum"/>
              <w:numPr>
                <w:ilvl w:val="0"/>
                <w:numId w:val="0"/>
              </w:numPr>
              <w:spacing w:after="0"/>
              <w:jc w:val="center"/>
              <w:rPr>
                <w:szCs w:val="22"/>
              </w:rPr>
            </w:pPr>
            <w:r>
              <w:rPr>
                <w:szCs w:val="22"/>
              </w:rPr>
              <w:t>Southern Fiber Worx, LLC</w:t>
            </w:r>
          </w:p>
        </w:tc>
        <w:tc>
          <w:tcPr>
            <w:tcW w:w="1350" w:type="dxa"/>
          </w:tcPr>
          <w:p w:rsidR="00994BE0" w:rsidRPr="007F70C4" w:rsidP="00994BE0" w14:paraId="272A78E5" w14:textId="098C741D">
            <w:pPr>
              <w:pStyle w:val="ParaNum"/>
              <w:numPr>
                <w:ilvl w:val="0"/>
                <w:numId w:val="0"/>
              </w:numPr>
              <w:spacing w:after="0"/>
              <w:jc w:val="center"/>
              <w:rPr>
                <w:szCs w:val="22"/>
              </w:rPr>
            </w:pPr>
            <w:r>
              <w:rPr>
                <w:szCs w:val="22"/>
              </w:rPr>
              <w:t>0025412743</w:t>
            </w:r>
          </w:p>
        </w:tc>
        <w:tc>
          <w:tcPr>
            <w:tcW w:w="2790" w:type="dxa"/>
          </w:tcPr>
          <w:p w:rsidR="00994BE0" w:rsidRPr="007F70C4" w:rsidP="00994BE0" w14:paraId="236CBB8A" w14:textId="78288CDB">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1D636883" w14:textId="178FE5D3">
            <w:pPr>
              <w:pStyle w:val="ParaNum"/>
              <w:numPr>
                <w:ilvl w:val="0"/>
                <w:numId w:val="0"/>
              </w:numPr>
              <w:spacing w:after="0"/>
              <w:jc w:val="center"/>
              <w:rPr>
                <w:szCs w:val="22"/>
              </w:rPr>
            </w:pPr>
            <w:r>
              <w:rPr>
                <w:szCs w:val="22"/>
              </w:rPr>
              <w:t>Deny</w:t>
            </w:r>
          </w:p>
        </w:tc>
      </w:tr>
      <w:tr w14:paraId="681A63E5" w14:textId="77777777" w:rsidTr="00473549">
        <w:tblPrEx>
          <w:tblW w:w="9450" w:type="dxa"/>
          <w:tblInd w:w="85" w:type="dxa"/>
          <w:tblLayout w:type="fixed"/>
          <w:tblLook w:val="04A0"/>
        </w:tblPrEx>
        <w:tc>
          <w:tcPr>
            <w:tcW w:w="3960" w:type="dxa"/>
          </w:tcPr>
          <w:p w:rsidR="00994BE0" w:rsidRPr="007F70C4" w:rsidP="00994BE0" w14:paraId="3E9E5D2D" w14:textId="1E5A289C">
            <w:pPr>
              <w:pStyle w:val="ParaNum"/>
              <w:numPr>
                <w:ilvl w:val="0"/>
                <w:numId w:val="0"/>
              </w:numPr>
              <w:spacing w:after="0"/>
              <w:jc w:val="center"/>
              <w:rPr>
                <w:szCs w:val="22"/>
              </w:rPr>
            </w:pPr>
            <w:r w:rsidRPr="007F70C4">
              <w:rPr>
                <w:szCs w:val="22"/>
              </w:rPr>
              <w:t>ThinkBig</w:t>
            </w:r>
            <w:r w:rsidRPr="007F70C4">
              <w:rPr>
                <w:szCs w:val="22"/>
              </w:rPr>
              <w:t xml:space="preserve"> Networks, LLC</w:t>
            </w:r>
          </w:p>
        </w:tc>
        <w:tc>
          <w:tcPr>
            <w:tcW w:w="1350" w:type="dxa"/>
          </w:tcPr>
          <w:p w:rsidR="00994BE0" w:rsidRPr="007F70C4" w:rsidP="00994BE0" w14:paraId="5C694A68" w14:textId="5B4BB10A">
            <w:pPr>
              <w:pStyle w:val="ParaNum"/>
              <w:numPr>
                <w:ilvl w:val="0"/>
                <w:numId w:val="0"/>
              </w:numPr>
              <w:spacing w:after="0"/>
              <w:jc w:val="center"/>
              <w:rPr>
                <w:szCs w:val="22"/>
              </w:rPr>
            </w:pPr>
            <w:r w:rsidRPr="007F70C4">
              <w:rPr>
                <w:szCs w:val="22"/>
              </w:rPr>
              <w:t>0025915802</w:t>
            </w:r>
          </w:p>
        </w:tc>
        <w:tc>
          <w:tcPr>
            <w:tcW w:w="2790" w:type="dxa"/>
          </w:tcPr>
          <w:p w:rsidR="00994BE0" w:rsidRPr="007F70C4" w:rsidP="00994BE0" w14:paraId="4E58676D" w14:textId="0644B0ED">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30848CCD" w14:textId="49F9023F">
            <w:pPr>
              <w:pStyle w:val="ParaNum"/>
              <w:numPr>
                <w:ilvl w:val="0"/>
                <w:numId w:val="0"/>
              </w:numPr>
              <w:spacing w:after="0"/>
              <w:jc w:val="center"/>
              <w:rPr>
                <w:szCs w:val="22"/>
              </w:rPr>
            </w:pPr>
            <w:r w:rsidRPr="007F70C4">
              <w:rPr>
                <w:szCs w:val="22"/>
              </w:rPr>
              <w:t>Grant</w:t>
            </w:r>
          </w:p>
        </w:tc>
      </w:tr>
      <w:tr w14:paraId="361169A6" w14:textId="77777777" w:rsidTr="00473549">
        <w:tblPrEx>
          <w:tblW w:w="9450" w:type="dxa"/>
          <w:tblInd w:w="85" w:type="dxa"/>
          <w:tblLayout w:type="fixed"/>
          <w:tblLook w:val="04A0"/>
        </w:tblPrEx>
        <w:tc>
          <w:tcPr>
            <w:tcW w:w="3960" w:type="dxa"/>
          </w:tcPr>
          <w:p w:rsidR="00994BE0" w:rsidRPr="007F70C4" w:rsidP="00994BE0" w14:paraId="05C0807C" w14:textId="0030A1FB">
            <w:pPr>
              <w:pStyle w:val="ParaNum"/>
              <w:numPr>
                <w:ilvl w:val="0"/>
                <w:numId w:val="0"/>
              </w:numPr>
              <w:spacing w:after="0"/>
              <w:jc w:val="center"/>
              <w:rPr>
                <w:szCs w:val="22"/>
              </w:rPr>
            </w:pPr>
            <w:r>
              <w:rPr>
                <w:szCs w:val="22"/>
              </w:rPr>
              <w:t>Treasure State Internet &amp; Telegraph</w:t>
            </w:r>
          </w:p>
        </w:tc>
        <w:tc>
          <w:tcPr>
            <w:tcW w:w="1350" w:type="dxa"/>
          </w:tcPr>
          <w:p w:rsidR="00994BE0" w:rsidRPr="007F70C4" w:rsidP="00994BE0" w14:paraId="450DC3E1" w14:textId="6B06ADE3">
            <w:pPr>
              <w:pStyle w:val="ParaNum"/>
              <w:numPr>
                <w:ilvl w:val="0"/>
                <w:numId w:val="0"/>
              </w:numPr>
              <w:spacing w:after="0"/>
              <w:jc w:val="center"/>
              <w:rPr>
                <w:szCs w:val="22"/>
              </w:rPr>
            </w:pPr>
            <w:r>
              <w:rPr>
                <w:szCs w:val="22"/>
              </w:rPr>
              <w:t>0023311889</w:t>
            </w:r>
          </w:p>
        </w:tc>
        <w:tc>
          <w:tcPr>
            <w:tcW w:w="2790" w:type="dxa"/>
          </w:tcPr>
          <w:p w:rsidR="00994BE0" w:rsidRPr="007F70C4" w:rsidP="00994BE0" w14:paraId="3C20565F" w14:textId="05188B14">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3F9E46DD" w14:textId="193B4B8B">
            <w:pPr>
              <w:pStyle w:val="ParaNum"/>
              <w:numPr>
                <w:ilvl w:val="0"/>
                <w:numId w:val="0"/>
              </w:numPr>
              <w:spacing w:after="0"/>
              <w:jc w:val="center"/>
              <w:rPr>
                <w:szCs w:val="22"/>
              </w:rPr>
            </w:pPr>
            <w:r>
              <w:rPr>
                <w:szCs w:val="22"/>
              </w:rPr>
              <w:t>Deny</w:t>
            </w:r>
          </w:p>
        </w:tc>
      </w:tr>
      <w:tr w14:paraId="059DABA9" w14:textId="77777777" w:rsidTr="00473549">
        <w:tblPrEx>
          <w:tblW w:w="9450" w:type="dxa"/>
          <w:tblInd w:w="85" w:type="dxa"/>
          <w:tblLayout w:type="fixed"/>
          <w:tblLook w:val="04A0"/>
        </w:tblPrEx>
        <w:tc>
          <w:tcPr>
            <w:tcW w:w="3960" w:type="dxa"/>
          </w:tcPr>
          <w:p w:rsidR="00994BE0" w:rsidRPr="007F70C4" w:rsidP="00994BE0" w14:paraId="21B08113" w14:textId="29432684">
            <w:pPr>
              <w:pStyle w:val="ParaNum"/>
              <w:numPr>
                <w:ilvl w:val="0"/>
                <w:numId w:val="0"/>
              </w:numPr>
              <w:spacing w:after="0"/>
              <w:jc w:val="center"/>
              <w:rPr>
                <w:szCs w:val="22"/>
              </w:rPr>
            </w:pPr>
            <w:r w:rsidRPr="007F70C4">
              <w:rPr>
                <w:szCs w:val="22"/>
              </w:rPr>
              <w:t>Western Iowa Wireless</w:t>
            </w:r>
          </w:p>
        </w:tc>
        <w:tc>
          <w:tcPr>
            <w:tcW w:w="1350" w:type="dxa"/>
          </w:tcPr>
          <w:p w:rsidR="00994BE0" w:rsidRPr="007F70C4" w:rsidP="00994BE0" w14:paraId="0B547898" w14:textId="48F4DF54">
            <w:pPr>
              <w:pStyle w:val="ParaNum"/>
              <w:numPr>
                <w:ilvl w:val="0"/>
                <w:numId w:val="0"/>
              </w:numPr>
              <w:spacing w:after="0"/>
              <w:jc w:val="center"/>
              <w:rPr>
                <w:szCs w:val="22"/>
              </w:rPr>
            </w:pPr>
            <w:r w:rsidRPr="007F70C4">
              <w:rPr>
                <w:szCs w:val="22"/>
              </w:rPr>
              <w:t>0021977418</w:t>
            </w:r>
          </w:p>
        </w:tc>
        <w:tc>
          <w:tcPr>
            <w:tcW w:w="2790" w:type="dxa"/>
          </w:tcPr>
          <w:p w:rsidR="00994BE0" w:rsidRPr="007F70C4" w:rsidP="00994BE0" w14:paraId="42A305A8" w14:textId="52627587">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031CDED8" w14:textId="19A2247B">
            <w:pPr>
              <w:pStyle w:val="ParaNum"/>
              <w:numPr>
                <w:ilvl w:val="0"/>
                <w:numId w:val="0"/>
              </w:numPr>
              <w:spacing w:after="0"/>
              <w:jc w:val="center"/>
              <w:rPr>
                <w:szCs w:val="22"/>
              </w:rPr>
            </w:pPr>
            <w:r w:rsidRPr="007F70C4">
              <w:rPr>
                <w:szCs w:val="22"/>
              </w:rPr>
              <w:t>Grant</w:t>
            </w:r>
          </w:p>
        </w:tc>
      </w:tr>
      <w:tr w14:paraId="29AAA4F3" w14:textId="77777777" w:rsidTr="00473549">
        <w:tblPrEx>
          <w:tblW w:w="9450" w:type="dxa"/>
          <w:tblInd w:w="85" w:type="dxa"/>
          <w:tblLayout w:type="fixed"/>
          <w:tblLook w:val="04A0"/>
        </w:tblPrEx>
        <w:tc>
          <w:tcPr>
            <w:tcW w:w="3960" w:type="dxa"/>
          </w:tcPr>
          <w:p w:rsidR="00994BE0" w:rsidRPr="007F70C4" w:rsidP="00994BE0" w14:paraId="29F0D9C3" w14:textId="43363B04">
            <w:pPr>
              <w:pStyle w:val="ParaNum"/>
              <w:numPr>
                <w:ilvl w:val="0"/>
                <w:numId w:val="0"/>
              </w:numPr>
              <w:spacing w:after="0"/>
              <w:jc w:val="center"/>
              <w:rPr>
                <w:szCs w:val="22"/>
              </w:rPr>
            </w:pPr>
            <w:r>
              <w:rPr>
                <w:szCs w:val="22"/>
              </w:rPr>
              <w:t>World Network International Services Inc.</w:t>
            </w:r>
          </w:p>
        </w:tc>
        <w:tc>
          <w:tcPr>
            <w:tcW w:w="1350" w:type="dxa"/>
          </w:tcPr>
          <w:p w:rsidR="00994BE0" w:rsidRPr="007F70C4" w:rsidP="00994BE0" w14:paraId="17DECB35" w14:textId="5C8CA58A">
            <w:pPr>
              <w:pStyle w:val="ParaNum"/>
              <w:numPr>
                <w:ilvl w:val="0"/>
                <w:numId w:val="0"/>
              </w:numPr>
              <w:spacing w:after="0"/>
              <w:jc w:val="center"/>
              <w:rPr>
                <w:szCs w:val="22"/>
              </w:rPr>
            </w:pPr>
            <w:r>
              <w:rPr>
                <w:szCs w:val="22"/>
              </w:rPr>
              <w:t>0027382803</w:t>
            </w:r>
          </w:p>
        </w:tc>
        <w:tc>
          <w:tcPr>
            <w:tcW w:w="2790" w:type="dxa"/>
          </w:tcPr>
          <w:p w:rsidR="00994BE0" w:rsidRPr="007F70C4" w:rsidP="00994BE0" w14:paraId="59268107" w14:textId="1EF4B17D">
            <w:pPr>
              <w:pStyle w:val="ParaNum"/>
              <w:numPr>
                <w:ilvl w:val="0"/>
                <w:numId w:val="0"/>
              </w:numPr>
              <w:spacing w:after="0"/>
              <w:jc w:val="center"/>
              <w:rPr>
                <w:szCs w:val="22"/>
              </w:rPr>
            </w:pPr>
            <w:r w:rsidRPr="00994BE0">
              <w:rPr>
                <w:szCs w:val="22"/>
              </w:rPr>
              <w:t>Form 477 filing requirement</w:t>
            </w:r>
          </w:p>
        </w:tc>
        <w:tc>
          <w:tcPr>
            <w:tcW w:w="1350" w:type="dxa"/>
          </w:tcPr>
          <w:p w:rsidR="00994BE0" w:rsidRPr="007F70C4" w:rsidP="00994BE0" w14:paraId="3530BC0A" w14:textId="53160A46">
            <w:pPr>
              <w:pStyle w:val="ParaNum"/>
              <w:numPr>
                <w:ilvl w:val="0"/>
                <w:numId w:val="0"/>
              </w:numPr>
              <w:spacing w:after="0"/>
              <w:jc w:val="center"/>
              <w:rPr>
                <w:szCs w:val="22"/>
              </w:rPr>
            </w:pPr>
            <w:r>
              <w:rPr>
                <w:szCs w:val="22"/>
              </w:rPr>
              <w:t>Deny</w:t>
            </w:r>
          </w:p>
        </w:tc>
      </w:tr>
      <w:tr w14:paraId="2DC7EFB6" w14:textId="77777777" w:rsidTr="00473549">
        <w:tblPrEx>
          <w:tblW w:w="9450" w:type="dxa"/>
          <w:tblInd w:w="85" w:type="dxa"/>
          <w:tblLayout w:type="fixed"/>
          <w:tblLook w:val="04A0"/>
        </w:tblPrEx>
        <w:tc>
          <w:tcPr>
            <w:tcW w:w="3960" w:type="dxa"/>
          </w:tcPr>
          <w:p w:rsidR="00994BE0" w:rsidRPr="007F70C4" w:rsidP="00994BE0" w14:paraId="6C423F4E" w14:textId="5790E8D8">
            <w:pPr>
              <w:pStyle w:val="ParaNum"/>
              <w:numPr>
                <w:ilvl w:val="0"/>
                <w:numId w:val="0"/>
              </w:numPr>
              <w:spacing w:after="0"/>
              <w:jc w:val="center"/>
              <w:rPr>
                <w:szCs w:val="22"/>
              </w:rPr>
            </w:pPr>
            <w:r>
              <w:rPr>
                <w:szCs w:val="22"/>
              </w:rPr>
              <w:t>World Network International Services Inc.</w:t>
            </w:r>
          </w:p>
        </w:tc>
        <w:tc>
          <w:tcPr>
            <w:tcW w:w="1350" w:type="dxa"/>
          </w:tcPr>
          <w:p w:rsidR="00994BE0" w:rsidRPr="007F70C4" w:rsidP="00994BE0" w14:paraId="44838E85" w14:textId="18998997">
            <w:pPr>
              <w:pStyle w:val="ParaNum"/>
              <w:numPr>
                <w:ilvl w:val="0"/>
                <w:numId w:val="0"/>
              </w:numPr>
              <w:spacing w:after="0"/>
              <w:jc w:val="center"/>
              <w:rPr>
                <w:szCs w:val="22"/>
              </w:rPr>
            </w:pPr>
            <w:r>
              <w:rPr>
                <w:szCs w:val="22"/>
              </w:rPr>
              <w:t>0027382803</w:t>
            </w:r>
          </w:p>
        </w:tc>
        <w:tc>
          <w:tcPr>
            <w:tcW w:w="2790" w:type="dxa"/>
          </w:tcPr>
          <w:p w:rsidR="00994BE0" w:rsidRPr="007F70C4" w:rsidP="00994BE0" w14:paraId="05FF4F79" w14:textId="03B9ADE3">
            <w:pPr>
              <w:pStyle w:val="ParaNum"/>
              <w:numPr>
                <w:ilvl w:val="0"/>
                <w:numId w:val="0"/>
              </w:numPr>
              <w:spacing w:after="0"/>
              <w:jc w:val="center"/>
              <w:rPr>
                <w:szCs w:val="22"/>
              </w:rPr>
            </w:pPr>
            <w:r>
              <w:rPr>
                <w:szCs w:val="22"/>
              </w:rPr>
              <w:t>Financial information requirements</w:t>
            </w:r>
          </w:p>
        </w:tc>
        <w:tc>
          <w:tcPr>
            <w:tcW w:w="1350" w:type="dxa"/>
          </w:tcPr>
          <w:p w:rsidR="00994BE0" w:rsidRPr="007F70C4" w:rsidP="00994BE0" w14:paraId="2E988F8D" w14:textId="52C90ABD">
            <w:pPr>
              <w:pStyle w:val="ParaNum"/>
              <w:numPr>
                <w:ilvl w:val="0"/>
                <w:numId w:val="0"/>
              </w:numPr>
              <w:spacing w:after="0"/>
              <w:jc w:val="center"/>
              <w:rPr>
                <w:szCs w:val="22"/>
              </w:rPr>
            </w:pPr>
            <w:r>
              <w:rPr>
                <w:szCs w:val="22"/>
              </w:rPr>
              <w:t>Dismiss</w:t>
            </w:r>
          </w:p>
        </w:tc>
      </w:tr>
      <w:tr w14:paraId="2901BCFE" w14:textId="77777777" w:rsidTr="00473549">
        <w:tblPrEx>
          <w:tblW w:w="9450" w:type="dxa"/>
          <w:tblInd w:w="85" w:type="dxa"/>
          <w:tblLayout w:type="fixed"/>
          <w:tblLook w:val="04A0"/>
        </w:tblPrEx>
        <w:tc>
          <w:tcPr>
            <w:tcW w:w="3960" w:type="dxa"/>
          </w:tcPr>
          <w:p w:rsidR="00994BE0" w:rsidRPr="007F70C4" w:rsidP="00994BE0" w14:paraId="05D5B232" w14:textId="6D418793">
            <w:pPr>
              <w:pStyle w:val="ParaNum"/>
              <w:numPr>
                <w:ilvl w:val="0"/>
                <w:numId w:val="0"/>
              </w:numPr>
              <w:spacing w:after="0"/>
              <w:jc w:val="center"/>
              <w:rPr>
                <w:szCs w:val="22"/>
              </w:rPr>
            </w:pPr>
            <w:r>
              <w:rPr>
                <w:szCs w:val="22"/>
              </w:rPr>
              <w:t>World Network International Services Inc.</w:t>
            </w:r>
          </w:p>
        </w:tc>
        <w:tc>
          <w:tcPr>
            <w:tcW w:w="1350" w:type="dxa"/>
          </w:tcPr>
          <w:p w:rsidR="00994BE0" w:rsidRPr="007F70C4" w:rsidP="00994BE0" w14:paraId="7221CCA7" w14:textId="55401390">
            <w:pPr>
              <w:pStyle w:val="ParaNum"/>
              <w:numPr>
                <w:ilvl w:val="0"/>
                <w:numId w:val="0"/>
              </w:numPr>
              <w:spacing w:after="0"/>
              <w:jc w:val="center"/>
              <w:rPr>
                <w:szCs w:val="22"/>
              </w:rPr>
            </w:pPr>
            <w:r>
              <w:rPr>
                <w:szCs w:val="22"/>
              </w:rPr>
              <w:t>0027382803</w:t>
            </w:r>
          </w:p>
        </w:tc>
        <w:tc>
          <w:tcPr>
            <w:tcW w:w="2790" w:type="dxa"/>
          </w:tcPr>
          <w:p w:rsidR="00994BE0" w:rsidRPr="007F70C4" w:rsidP="00994BE0" w14:paraId="15B50E1E" w14:textId="7773EBCF">
            <w:pPr>
              <w:pStyle w:val="ParaNum"/>
              <w:numPr>
                <w:ilvl w:val="0"/>
                <w:numId w:val="0"/>
              </w:numPr>
              <w:spacing w:after="0"/>
              <w:jc w:val="center"/>
              <w:rPr>
                <w:szCs w:val="22"/>
              </w:rPr>
            </w:pPr>
            <w:r>
              <w:rPr>
                <w:szCs w:val="22"/>
              </w:rPr>
              <w:t>Network documentation requirements</w:t>
            </w:r>
          </w:p>
        </w:tc>
        <w:tc>
          <w:tcPr>
            <w:tcW w:w="1350" w:type="dxa"/>
          </w:tcPr>
          <w:p w:rsidR="00994BE0" w:rsidRPr="007F70C4" w:rsidP="00994BE0" w14:paraId="5DEB5AA8" w14:textId="62E48A09">
            <w:pPr>
              <w:pStyle w:val="ParaNum"/>
              <w:numPr>
                <w:ilvl w:val="0"/>
                <w:numId w:val="0"/>
              </w:numPr>
              <w:spacing w:after="0"/>
              <w:jc w:val="center"/>
              <w:rPr>
                <w:szCs w:val="22"/>
              </w:rPr>
            </w:pPr>
            <w:r>
              <w:rPr>
                <w:szCs w:val="22"/>
              </w:rPr>
              <w:t>Dismiss</w:t>
            </w:r>
          </w:p>
        </w:tc>
      </w:tr>
      <w:tr w14:paraId="53156FF6" w14:textId="77777777" w:rsidTr="00473549">
        <w:tblPrEx>
          <w:tblW w:w="9450" w:type="dxa"/>
          <w:tblInd w:w="85" w:type="dxa"/>
          <w:tblLayout w:type="fixed"/>
          <w:tblLook w:val="04A0"/>
        </w:tblPrEx>
        <w:tc>
          <w:tcPr>
            <w:tcW w:w="3960" w:type="dxa"/>
          </w:tcPr>
          <w:p w:rsidR="00994BE0" w:rsidRPr="007F70C4" w:rsidP="00994BE0" w14:paraId="1E88D69B" w14:textId="4B6C3783">
            <w:pPr>
              <w:pStyle w:val="ParaNum"/>
              <w:numPr>
                <w:ilvl w:val="0"/>
                <w:numId w:val="0"/>
              </w:numPr>
              <w:spacing w:after="0"/>
              <w:jc w:val="center"/>
              <w:rPr>
                <w:szCs w:val="22"/>
              </w:rPr>
            </w:pPr>
            <w:r w:rsidRPr="007F70C4">
              <w:rPr>
                <w:szCs w:val="22"/>
              </w:rPr>
              <w:t>Worldwide Technologies, Inc.</w:t>
            </w:r>
          </w:p>
        </w:tc>
        <w:tc>
          <w:tcPr>
            <w:tcW w:w="1350" w:type="dxa"/>
          </w:tcPr>
          <w:p w:rsidR="00994BE0" w:rsidRPr="007F70C4" w:rsidP="00994BE0" w14:paraId="029DCD35" w14:textId="5D4E7014">
            <w:pPr>
              <w:pStyle w:val="ParaNum"/>
              <w:numPr>
                <w:ilvl w:val="0"/>
                <w:numId w:val="0"/>
              </w:numPr>
              <w:spacing w:after="0"/>
              <w:jc w:val="center"/>
              <w:rPr>
                <w:szCs w:val="22"/>
              </w:rPr>
            </w:pPr>
            <w:r w:rsidRPr="007F70C4">
              <w:rPr>
                <w:szCs w:val="22"/>
              </w:rPr>
              <w:t>0018998831</w:t>
            </w:r>
          </w:p>
        </w:tc>
        <w:tc>
          <w:tcPr>
            <w:tcW w:w="2790" w:type="dxa"/>
          </w:tcPr>
          <w:p w:rsidR="00994BE0" w:rsidRPr="007F70C4" w:rsidP="00994BE0" w14:paraId="7AD61602" w14:textId="1153D708">
            <w:pPr>
              <w:pStyle w:val="ParaNum"/>
              <w:numPr>
                <w:ilvl w:val="0"/>
                <w:numId w:val="0"/>
              </w:numPr>
              <w:spacing w:after="0"/>
              <w:jc w:val="center"/>
              <w:rPr>
                <w:szCs w:val="22"/>
              </w:rPr>
            </w:pPr>
            <w:r w:rsidRPr="007F70C4">
              <w:rPr>
                <w:szCs w:val="22"/>
              </w:rPr>
              <w:t>Form 477 filing requirement</w:t>
            </w:r>
          </w:p>
        </w:tc>
        <w:tc>
          <w:tcPr>
            <w:tcW w:w="1350" w:type="dxa"/>
          </w:tcPr>
          <w:p w:rsidR="00994BE0" w:rsidRPr="007F70C4" w:rsidP="00994BE0" w14:paraId="02174DEF" w14:textId="7C5E3F4C">
            <w:pPr>
              <w:pStyle w:val="ParaNum"/>
              <w:numPr>
                <w:ilvl w:val="0"/>
                <w:numId w:val="0"/>
              </w:numPr>
              <w:spacing w:after="0"/>
              <w:jc w:val="center"/>
              <w:rPr>
                <w:szCs w:val="22"/>
              </w:rPr>
            </w:pPr>
            <w:r w:rsidRPr="007F70C4">
              <w:rPr>
                <w:szCs w:val="22"/>
              </w:rPr>
              <w:t>Grant</w:t>
            </w:r>
          </w:p>
        </w:tc>
      </w:tr>
      <w:tr w14:paraId="442E06AD" w14:textId="77777777" w:rsidTr="00473549">
        <w:tblPrEx>
          <w:tblW w:w="9450" w:type="dxa"/>
          <w:tblInd w:w="85" w:type="dxa"/>
          <w:tblLayout w:type="fixed"/>
          <w:tblLook w:val="04A0"/>
        </w:tblPrEx>
        <w:tc>
          <w:tcPr>
            <w:tcW w:w="3960" w:type="dxa"/>
          </w:tcPr>
          <w:p w:rsidR="00943F9C" w:rsidRPr="007F70C4" w:rsidP="00943F9C" w14:paraId="122A0C14" w14:textId="7335302F">
            <w:pPr>
              <w:pStyle w:val="ParaNum"/>
              <w:numPr>
                <w:ilvl w:val="0"/>
                <w:numId w:val="0"/>
              </w:numPr>
              <w:spacing w:after="0"/>
              <w:jc w:val="center"/>
              <w:rPr>
                <w:szCs w:val="22"/>
              </w:rPr>
            </w:pPr>
            <w:r w:rsidRPr="007F70C4">
              <w:rPr>
                <w:szCs w:val="22"/>
              </w:rPr>
              <w:t>Worldwide Technologies, Inc.</w:t>
            </w:r>
          </w:p>
        </w:tc>
        <w:tc>
          <w:tcPr>
            <w:tcW w:w="1350" w:type="dxa"/>
          </w:tcPr>
          <w:p w:rsidR="00943F9C" w:rsidRPr="007F70C4" w:rsidP="00943F9C" w14:paraId="721E26F1" w14:textId="5A8676A1">
            <w:pPr>
              <w:pStyle w:val="ParaNum"/>
              <w:numPr>
                <w:ilvl w:val="0"/>
                <w:numId w:val="0"/>
              </w:numPr>
              <w:spacing w:after="0"/>
              <w:jc w:val="center"/>
              <w:rPr>
                <w:szCs w:val="22"/>
              </w:rPr>
            </w:pPr>
            <w:r w:rsidRPr="007F70C4">
              <w:rPr>
                <w:szCs w:val="22"/>
              </w:rPr>
              <w:t>0018998831</w:t>
            </w:r>
          </w:p>
        </w:tc>
        <w:tc>
          <w:tcPr>
            <w:tcW w:w="2790" w:type="dxa"/>
          </w:tcPr>
          <w:p w:rsidR="00943F9C" w:rsidRPr="007F70C4" w:rsidP="00943F9C" w14:paraId="09C8D6ED" w14:textId="4CC8E9D8">
            <w:pPr>
              <w:pStyle w:val="ParaNum"/>
              <w:numPr>
                <w:ilvl w:val="0"/>
                <w:numId w:val="0"/>
              </w:numPr>
              <w:spacing w:after="0"/>
              <w:jc w:val="center"/>
              <w:rPr>
                <w:szCs w:val="22"/>
              </w:rPr>
            </w:pPr>
            <w:r>
              <w:rPr>
                <w:szCs w:val="22"/>
              </w:rPr>
              <w:t>Financial information requirements</w:t>
            </w:r>
          </w:p>
        </w:tc>
        <w:tc>
          <w:tcPr>
            <w:tcW w:w="1350" w:type="dxa"/>
          </w:tcPr>
          <w:p w:rsidR="00943F9C" w:rsidRPr="007F70C4" w:rsidP="00943F9C" w14:paraId="78EA00CF" w14:textId="4050F0CC">
            <w:pPr>
              <w:pStyle w:val="ParaNum"/>
              <w:numPr>
                <w:ilvl w:val="0"/>
                <w:numId w:val="0"/>
              </w:numPr>
              <w:spacing w:after="0"/>
              <w:jc w:val="center"/>
              <w:rPr>
                <w:szCs w:val="22"/>
              </w:rPr>
            </w:pPr>
            <w:r>
              <w:rPr>
                <w:szCs w:val="22"/>
              </w:rPr>
              <w:t>Dismiss</w:t>
            </w:r>
          </w:p>
        </w:tc>
      </w:tr>
      <w:tr w14:paraId="0E32EE81" w14:textId="77777777" w:rsidTr="00473549">
        <w:tblPrEx>
          <w:tblW w:w="9450" w:type="dxa"/>
          <w:tblInd w:w="85" w:type="dxa"/>
          <w:tblLayout w:type="fixed"/>
          <w:tblLook w:val="04A0"/>
        </w:tblPrEx>
        <w:tc>
          <w:tcPr>
            <w:tcW w:w="3960" w:type="dxa"/>
          </w:tcPr>
          <w:p w:rsidR="00943F9C" w:rsidRPr="007F70C4" w:rsidP="00943F9C" w14:paraId="4191FDF9" w14:textId="256ACDED">
            <w:pPr>
              <w:pStyle w:val="ParaNum"/>
              <w:numPr>
                <w:ilvl w:val="0"/>
                <w:numId w:val="0"/>
              </w:numPr>
              <w:spacing w:after="0"/>
              <w:jc w:val="center"/>
              <w:rPr>
                <w:szCs w:val="22"/>
              </w:rPr>
            </w:pPr>
            <w:r w:rsidRPr="007F70C4">
              <w:rPr>
                <w:szCs w:val="22"/>
              </w:rPr>
              <w:t>Zinnia Networks Inc</w:t>
            </w:r>
          </w:p>
        </w:tc>
        <w:tc>
          <w:tcPr>
            <w:tcW w:w="1350" w:type="dxa"/>
          </w:tcPr>
          <w:p w:rsidR="00943F9C" w:rsidRPr="007F70C4" w:rsidP="00943F9C" w14:paraId="18C91FF6" w14:textId="281CB23A">
            <w:pPr>
              <w:pStyle w:val="ParaNum"/>
              <w:numPr>
                <w:ilvl w:val="0"/>
                <w:numId w:val="0"/>
              </w:numPr>
              <w:spacing w:after="0"/>
              <w:jc w:val="center"/>
              <w:rPr>
                <w:szCs w:val="22"/>
              </w:rPr>
            </w:pPr>
            <w:r w:rsidRPr="007F70C4">
              <w:rPr>
                <w:szCs w:val="22"/>
              </w:rPr>
              <w:t>0018507392</w:t>
            </w:r>
          </w:p>
        </w:tc>
        <w:tc>
          <w:tcPr>
            <w:tcW w:w="2790" w:type="dxa"/>
          </w:tcPr>
          <w:p w:rsidR="00943F9C" w:rsidRPr="007F70C4" w:rsidP="00943F9C" w14:paraId="76DBE66C" w14:textId="0B003837">
            <w:pPr>
              <w:pStyle w:val="ParaNum"/>
              <w:numPr>
                <w:ilvl w:val="0"/>
                <w:numId w:val="0"/>
              </w:numPr>
              <w:spacing w:after="0"/>
              <w:jc w:val="center"/>
              <w:rPr>
                <w:szCs w:val="22"/>
              </w:rPr>
            </w:pPr>
            <w:r w:rsidRPr="007F70C4">
              <w:rPr>
                <w:szCs w:val="22"/>
              </w:rPr>
              <w:t>Form 477 filing requirement</w:t>
            </w:r>
          </w:p>
        </w:tc>
        <w:tc>
          <w:tcPr>
            <w:tcW w:w="1350" w:type="dxa"/>
          </w:tcPr>
          <w:p w:rsidR="00943F9C" w:rsidRPr="007F70C4" w:rsidP="00943F9C" w14:paraId="6D23B711" w14:textId="46AF44CA">
            <w:pPr>
              <w:pStyle w:val="ParaNum"/>
              <w:numPr>
                <w:ilvl w:val="0"/>
                <w:numId w:val="0"/>
              </w:numPr>
              <w:spacing w:after="0"/>
              <w:jc w:val="center"/>
              <w:rPr>
                <w:szCs w:val="22"/>
              </w:rPr>
            </w:pPr>
            <w:r w:rsidRPr="007F70C4">
              <w:rPr>
                <w:szCs w:val="22"/>
              </w:rPr>
              <w:t>Grant</w:t>
            </w:r>
          </w:p>
        </w:tc>
      </w:tr>
    </w:tbl>
    <w:p w:rsidR="00FB29EE" w:rsidP="00A622EC" w14:paraId="6BD43EB1" w14:textId="7AF933C7">
      <w:pPr>
        <w:pStyle w:val="ParaNum"/>
        <w:numPr>
          <w:ilvl w:val="0"/>
          <w:numId w:val="0"/>
        </w:numPr>
        <w:spacing w:after="0"/>
        <w:ind w:left="720"/>
        <w:jc w:val="center"/>
      </w:pPr>
    </w:p>
    <w:p w:rsidR="00FB29EE" w:rsidP="00A622EC" w14:paraId="454450CE" w14:textId="68DCBDE2">
      <w:pPr>
        <w:pStyle w:val="ParaNum"/>
        <w:numPr>
          <w:ilvl w:val="0"/>
          <w:numId w:val="0"/>
        </w:numPr>
        <w:spacing w:after="0"/>
        <w:ind w:left="720"/>
        <w:jc w:val="center"/>
      </w:pPr>
    </w:p>
    <w:p w:rsidR="00FB29EE" w:rsidP="00A622EC" w14:paraId="776D7924" w14:textId="3DCD4573">
      <w:pPr>
        <w:pStyle w:val="ParaNum"/>
        <w:numPr>
          <w:ilvl w:val="0"/>
          <w:numId w:val="0"/>
        </w:numPr>
        <w:spacing w:after="0"/>
        <w:ind w:left="720"/>
        <w:jc w:val="center"/>
      </w:pPr>
    </w:p>
    <w:p w:rsidR="00FB29EE" w:rsidP="00A622EC" w14:paraId="06EE31DC" w14:textId="77777777">
      <w:pPr>
        <w:pStyle w:val="ParaNum"/>
        <w:numPr>
          <w:ilvl w:val="0"/>
          <w:numId w:val="0"/>
        </w:numPr>
        <w:spacing w:after="0"/>
        <w:ind w:left="720"/>
        <w:jc w:val="center"/>
      </w:pPr>
    </w:p>
    <w:sectPr w:rsidSect="00473549">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AF7" w14:paraId="7F6D938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E49" w14:paraId="1FA5DC6A" w14:textId="77777777">
      <w:pPr>
        <w:rPr>
          <w:sz w:val="20"/>
        </w:rPr>
      </w:pPr>
      <w:r>
        <w:rPr>
          <w:sz w:val="20"/>
        </w:rPr>
        <w:separator/>
      </w:r>
    </w:p>
  </w:footnote>
  <w:footnote w:type="continuationSeparator" w:id="1">
    <w:p w:rsidR="001B1E49" w14:paraId="23839048" w14:textId="77777777">
      <w:pPr>
        <w:rPr>
          <w:sz w:val="20"/>
        </w:rPr>
      </w:pPr>
      <w:r>
        <w:rPr>
          <w:sz w:val="20"/>
        </w:rPr>
        <w:separator/>
      </w:r>
    </w:p>
    <w:p w:rsidR="001B1E49" w14:paraId="0942DC19" w14:textId="77777777">
      <w:pPr>
        <w:rPr>
          <w:sz w:val="20"/>
        </w:rPr>
      </w:pPr>
      <w:r>
        <w:rPr>
          <w:sz w:val="20"/>
        </w:rPr>
        <w:t>(...continued from previous page)</w:t>
      </w:r>
    </w:p>
  </w:footnote>
  <w:footnote w:type="continuationNotice" w:id="2">
    <w:p w:rsidR="001B1E49" w14:paraId="260C6FF8" w14:textId="77777777">
      <w:pPr>
        <w:jc w:val="right"/>
        <w:rPr>
          <w:sz w:val="20"/>
        </w:rPr>
      </w:pPr>
      <w:r>
        <w:rPr>
          <w:sz w:val="20"/>
        </w:rPr>
        <w:t>(continued....)</w:t>
      </w:r>
    </w:p>
  </w:footnote>
  <w:footnote w:id="3">
    <w:p w:rsidR="00D22AF7" w:rsidP="007C31E6" w14:paraId="620A451F" w14:textId="1520AF24">
      <w:pPr>
        <w:pStyle w:val="FootnoteText"/>
        <w:jc w:val="left"/>
      </w:pPr>
      <w:r>
        <w:rPr>
          <w:rStyle w:val="FootnoteReference"/>
        </w:rPr>
        <w:footnoteRef/>
      </w:r>
      <w:r>
        <w:t xml:space="preserve"> </w:t>
      </w:r>
      <w:r>
        <w:rPr>
          <w:i/>
          <w:iCs/>
        </w:rPr>
        <w:t>See R</w:t>
      </w:r>
      <w:r w:rsidRPr="005E2002">
        <w:rPr>
          <w:i/>
          <w:iCs/>
        </w:rPr>
        <w:t>ural Digital Opportunity Fund; Connect America Fund</w:t>
      </w:r>
      <w:r>
        <w:t xml:space="preserve">, Report and Order, 35 FCC </w:t>
      </w:r>
      <w:r>
        <w:t>Rcd</w:t>
      </w:r>
      <w:r>
        <w:t xml:space="preserve"> 686, 719-20, paras 73-74, (2020) (</w:t>
      </w:r>
      <w:r w:rsidRPr="005E2002">
        <w:rPr>
          <w:i/>
          <w:iCs/>
        </w:rPr>
        <w:t>Rural Digital Opportunity Fund Order</w:t>
      </w:r>
      <w:r>
        <w:t xml:space="preserve">).  </w:t>
      </w:r>
    </w:p>
  </w:footnote>
  <w:footnote w:id="4">
    <w:p w:rsidR="00D22AF7" w:rsidP="007C31E6" w14:paraId="3F0AAA53" w14:textId="21EBABDB">
      <w:pPr>
        <w:pStyle w:val="FootnoteText"/>
        <w:jc w:val="left"/>
      </w:pPr>
      <w:r>
        <w:rPr>
          <w:rStyle w:val="FootnoteReference"/>
        </w:rPr>
        <w:footnoteRef/>
      </w:r>
      <w:r>
        <w:t xml:space="preserve"> </w:t>
      </w:r>
      <w:r>
        <w:rPr>
          <w:i/>
          <w:iCs/>
        </w:rPr>
        <w:t>See F</w:t>
      </w:r>
      <w:r w:rsidRPr="00C21E87">
        <w:rPr>
          <w:i/>
          <w:iCs/>
        </w:rPr>
        <w:t>CC Form 183: Application to Participate in the Rural Digital Opportunity Fund Phase I Auction, Auction 904 Instructions</w:t>
      </w:r>
      <w:r>
        <w:t xml:space="preserve">, at 12, </w:t>
      </w:r>
      <w:r w:rsidRPr="002A1673">
        <w:rPr>
          <w:i/>
          <w:iCs/>
        </w:rPr>
        <w:t>available at</w:t>
      </w:r>
      <w:r>
        <w:t xml:space="preserve"> </w:t>
      </w:r>
      <w:hyperlink r:id="rId1" w:history="1">
        <w:r w:rsidRPr="00346AE9">
          <w:rPr>
            <w:rStyle w:val="Hyperlink"/>
          </w:rPr>
          <w:t>https://www.fcc.gov/file/18946/download</w:t>
        </w:r>
      </w:hyperlink>
      <w:r>
        <w:t xml:space="preserve">. </w:t>
      </w:r>
      <w:r>
        <w:rPr>
          <w:i/>
        </w:rPr>
        <w:t xml:space="preserve"> </w:t>
      </w:r>
    </w:p>
  </w:footnote>
  <w:footnote w:id="5">
    <w:p w:rsidR="00D22AF7" w:rsidRPr="00B36873" w:rsidP="007C31E6" w14:paraId="173519DB" w14:textId="692CB7BD">
      <w:pPr>
        <w:pStyle w:val="FootnoteText"/>
        <w:jc w:val="left"/>
        <w:rPr>
          <w:i/>
          <w:iCs/>
        </w:rPr>
      </w:pPr>
      <w:r>
        <w:rPr>
          <w:rStyle w:val="FootnoteReference"/>
        </w:rPr>
        <w:footnoteRef/>
      </w:r>
      <w:r>
        <w:t xml:space="preserve"> </w:t>
      </w:r>
      <w:r w:rsidRPr="005E2002">
        <w:rPr>
          <w:i/>
          <w:iCs/>
        </w:rPr>
        <w:t>Rural Digital Opportunity Fund Order</w:t>
      </w:r>
      <w:r>
        <w:t xml:space="preserve">, 35 FCC </w:t>
      </w:r>
      <w:r>
        <w:t>Rcd</w:t>
      </w:r>
      <w:r>
        <w:t xml:space="preserve"> at 719, para. 73, n.202.  </w:t>
      </w:r>
    </w:p>
  </w:footnote>
  <w:footnote w:id="6">
    <w:p w:rsidR="00D22AF7" w:rsidP="007C31E6" w14:paraId="6B2DA905" w14:textId="7391BCED">
      <w:pPr>
        <w:pStyle w:val="FootnoteText"/>
        <w:jc w:val="left"/>
      </w:pPr>
      <w:r>
        <w:rPr>
          <w:rStyle w:val="FootnoteReference"/>
        </w:rPr>
        <w:footnoteRef/>
      </w:r>
      <w:r>
        <w:t xml:space="preserve"> </w:t>
      </w:r>
      <w:r>
        <w:rPr>
          <w:i/>
          <w:iCs/>
        </w:rPr>
        <w:t>See id.</w:t>
      </w:r>
      <w:r>
        <w:t xml:space="preserve"> at 720, para. 75.</w:t>
      </w:r>
      <w:r w:rsidRPr="00733E8B">
        <w:t xml:space="preserve"> </w:t>
      </w:r>
    </w:p>
  </w:footnote>
  <w:footnote w:id="7">
    <w:p w:rsidR="00D22AF7" w:rsidP="007C31E6" w14:paraId="51BA0313" w14:textId="51C06753">
      <w:pPr>
        <w:pStyle w:val="FootnoteText"/>
        <w:jc w:val="left"/>
      </w:pPr>
      <w:r>
        <w:rPr>
          <w:rStyle w:val="FootnoteReference"/>
        </w:rPr>
        <w:footnoteRef/>
      </w:r>
      <w:r>
        <w:t xml:space="preserve"> </w:t>
      </w:r>
      <w:r>
        <w:rPr>
          <w:i/>
          <w:iCs/>
        </w:rPr>
        <w:t>See id.</w:t>
      </w:r>
      <w:r>
        <w:t xml:space="preserve"> at 720-21, para. 77; </w:t>
      </w:r>
      <w:r w:rsidRPr="00F836B6">
        <w:rPr>
          <w:i/>
          <w:iCs/>
        </w:rPr>
        <w:t>Rural Digital Opportunity Fund; The Rural Digital Opportunity Fund Auction (Auction 904)</w:t>
      </w:r>
      <w:r>
        <w:rPr>
          <w:i/>
          <w:iCs/>
        </w:rPr>
        <w:t>;</w:t>
      </w:r>
      <w:r w:rsidRPr="00F836B6">
        <w:rPr>
          <w:i/>
          <w:iCs/>
        </w:rPr>
        <w:t xml:space="preserve"> Connect America Fund</w:t>
      </w:r>
      <w:r>
        <w:t xml:space="preserve">, Order, 35 FCC </w:t>
      </w:r>
      <w:r>
        <w:t>Rcd</w:t>
      </w:r>
      <w:r>
        <w:t xml:space="preserve"> 6589 (2020) (</w:t>
      </w:r>
      <w:r w:rsidRPr="0091343B">
        <w:rPr>
          <w:i/>
          <w:iCs/>
        </w:rPr>
        <w:t>Johnson Order</w:t>
      </w:r>
      <w:r>
        <w:t>).</w:t>
      </w:r>
    </w:p>
  </w:footnote>
  <w:footnote w:id="8">
    <w:p w:rsidR="00D22AF7" w:rsidP="007C31E6" w14:paraId="6814DD38" w14:textId="4C7F0464">
      <w:pPr>
        <w:pStyle w:val="FootnoteText"/>
        <w:jc w:val="left"/>
      </w:pPr>
      <w:r>
        <w:rPr>
          <w:rStyle w:val="FootnoteReference"/>
        </w:rPr>
        <w:footnoteRef/>
      </w:r>
      <w:r>
        <w:t xml:space="preserve"> </w:t>
      </w:r>
      <w:r w:rsidRPr="005E2002">
        <w:rPr>
          <w:i/>
          <w:iCs/>
        </w:rPr>
        <w:t>Rural Digital Opportunity Fund Order</w:t>
      </w:r>
      <w:r>
        <w:t xml:space="preserve"> at 718-25, paras. 69-85.</w:t>
      </w:r>
    </w:p>
  </w:footnote>
  <w:footnote w:id="9">
    <w:p w:rsidR="00D22AF7" w:rsidP="007C31E6" w14:paraId="0377AE13" w14:textId="77777777">
      <w:pPr>
        <w:pStyle w:val="FootnoteText"/>
        <w:jc w:val="left"/>
      </w:pPr>
      <w:r>
        <w:rPr>
          <w:rStyle w:val="FootnoteReference"/>
        </w:rPr>
        <w:footnoteRef/>
      </w:r>
      <w:r>
        <w:t xml:space="preserve"> 47 CFR </w:t>
      </w:r>
      <w:r w:rsidRPr="00805F1F">
        <w:t>§</w:t>
      </w:r>
      <w:r>
        <w:t xml:space="preserve"> 54.804(a)(7)(</w:t>
      </w:r>
      <w:r>
        <w:t>i</w:t>
      </w:r>
      <w:r>
        <w:t xml:space="preserve">)(A); </w:t>
      </w:r>
      <w:r w:rsidRPr="005E2002">
        <w:rPr>
          <w:i/>
          <w:iCs/>
        </w:rPr>
        <w:t>Rural Digital Opportunity Fund Order</w:t>
      </w:r>
      <w:r>
        <w:t xml:space="preserve">, 35 FCC </w:t>
      </w:r>
      <w:r>
        <w:t>Rcd</w:t>
      </w:r>
      <w:r>
        <w:t xml:space="preserve"> at 719-20, paras 73-74.  </w:t>
      </w:r>
      <w:r w:rsidRPr="00805F1F">
        <w:t xml:space="preserve">Twice a year, in FCC Form 477: (1) all facilities-based providers of broadband connections to end users and facilities-based providers of terrestrial mobile wireless broadband must file broadband deployment and subscription data; (2) all incumbent or competitive local exchange carriers and providers of interconnected VoIP must file voice subscription data; and (3) all facilities-based mobile voice providers must file voice deployment and subscription data.  47 CFR §§ 1.7001, 1.7002; FCC, FCC Form 477: Local Telephone Competition and Broadband Reporting Instructions at 5-9, </w:t>
      </w:r>
      <w:hyperlink r:id="rId2" w:history="1">
        <w:r w:rsidRPr="00206A73">
          <w:rPr>
            <w:rStyle w:val="Hyperlink"/>
          </w:rPr>
          <w:t>http://transition.fcc.gov/form477/477inst.pdf</w:t>
        </w:r>
      </w:hyperlink>
      <w:r>
        <w:t xml:space="preserve">. </w:t>
      </w:r>
    </w:p>
  </w:footnote>
  <w:footnote w:id="10">
    <w:p w:rsidR="00D22AF7" w:rsidRPr="00E211A7" w:rsidP="007C31E6" w14:paraId="215DC4A1" w14:textId="77777777">
      <w:pPr>
        <w:pStyle w:val="FootnoteText"/>
        <w:jc w:val="left"/>
        <w:rPr>
          <w:iCs/>
        </w:rPr>
      </w:pPr>
      <w:r>
        <w:rPr>
          <w:rStyle w:val="FootnoteReference"/>
        </w:rPr>
        <w:footnoteRef/>
      </w:r>
      <w:r>
        <w:t xml:space="preserve"> </w:t>
      </w:r>
      <w:r w:rsidRPr="005E2002">
        <w:rPr>
          <w:i/>
          <w:iCs/>
        </w:rPr>
        <w:t>Rural Digital Opportunity Fund</w:t>
      </w:r>
      <w:r>
        <w:rPr>
          <w:i/>
          <w:iCs/>
        </w:rPr>
        <w:t xml:space="preserve"> Phase I Auction Scheduled for October 29, 2020; Notice and Filing Requirements and Other Procedures for Auction 904</w:t>
      </w:r>
      <w:r>
        <w:t xml:space="preserve">, Public Notice, 35 FCC </w:t>
      </w:r>
      <w:r>
        <w:t>Rcd</w:t>
      </w:r>
      <w:r>
        <w:t xml:space="preserve"> 6077, 6094, para. 51 (2020) (</w:t>
      </w:r>
      <w:r w:rsidRPr="00E211A7">
        <w:rPr>
          <w:i/>
          <w:iCs/>
        </w:rPr>
        <w:t xml:space="preserve">Auction </w:t>
      </w:r>
      <w:r w:rsidRPr="00A75655">
        <w:rPr>
          <w:i/>
        </w:rPr>
        <w:t>90</w:t>
      </w:r>
      <w:r>
        <w:rPr>
          <w:i/>
        </w:rPr>
        <w:t>4</w:t>
      </w:r>
      <w:r w:rsidRPr="00A75655">
        <w:rPr>
          <w:i/>
        </w:rPr>
        <w:t xml:space="preserve"> Procedure</w:t>
      </w:r>
      <w:r>
        <w:rPr>
          <w:i/>
        </w:rPr>
        <w:t>s</w:t>
      </w:r>
      <w:r w:rsidRPr="00A75655">
        <w:rPr>
          <w:i/>
        </w:rPr>
        <w:t xml:space="preserve"> Public Notice</w:t>
      </w:r>
      <w:r>
        <w:rPr>
          <w:iCs/>
        </w:rPr>
        <w:t>).</w:t>
      </w:r>
    </w:p>
  </w:footnote>
  <w:footnote w:id="11">
    <w:p w:rsidR="00D22AF7" w:rsidP="007C31E6" w14:paraId="254D1108" w14:textId="77777777">
      <w:pPr>
        <w:pStyle w:val="FootnoteText"/>
        <w:jc w:val="left"/>
      </w:pPr>
      <w:r>
        <w:rPr>
          <w:rStyle w:val="FootnoteReference"/>
        </w:rPr>
        <w:footnoteRef/>
      </w:r>
      <w:r>
        <w:t xml:space="preserve"> </w:t>
      </w:r>
      <w:r w:rsidRPr="00C21E87">
        <w:rPr>
          <w:i/>
          <w:iCs/>
        </w:rPr>
        <w:t>FCC Form 183: Application to Participate in the Rural Digital Opportunity Fund Phase I Auction, Auction 904 Instructions</w:t>
      </w:r>
      <w:r>
        <w:t xml:space="preserve">, at 12, available at </w:t>
      </w:r>
      <w:hyperlink r:id="rId1" w:history="1">
        <w:r w:rsidRPr="00346AE9">
          <w:rPr>
            <w:rStyle w:val="Hyperlink"/>
          </w:rPr>
          <w:t>https://www.fcc.gov/file/18946/download</w:t>
        </w:r>
      </w:hyperlink>
      <w:r>
        <w:t xml:space="preserve">. </w:t>
      </w:r>
      <w:r>
        <w:rPr>
          <w:i/>
        </w:rPr>
        <w:t xml:space="preserve"> </w:t>
      </w:r>
    </w:p>
  </w:footnote>
  <w:footnote w:id="12">
    <w:p w:rsidR="00D22AF7" w:rsidP="007C31E6" w14:paraId="189330C2" w14:textId="77777777">
      <w:pPr>
        <w:pStyle w:val="FootnoteText"/>
        <w:jc w:val="left"/>
      </w:pPr>
      <w:r>
        <w:rPr>
          <w:rStyle w:val="FootnoteReference"/>
        </w:rPr>
        <w:footnoteRef/>
      </w:r>
      <w:r>
        <w:t xml:space="preserve"> 47 CFR § 54.804(a)(7)(ii); </w:t>
      </w:r>
      <w:r w:rsidRPr="003857F6">
        <w:rPr>
          <w:i/>
          <w:iCs/>
        </w:rPr>
        <w:t>Rural Digital Opportunity Fund Order</w:t>
      </w:r>
      <w:r>
        <w:t xml:space="preserve">, 35 FCC </w:t>
      </w:r>
      <w:r>
        <w:t>Rcd</w:t>
      </w:r>
      <w:r>
        <w:t xml:space="preserve"> at 720, para. 75. </w:t>
      </w:r>
    </w:p>
  </w:footnote>
  <w:footnote w:id="13">
    <w:p w:rsidR="00D22AF7" w:rsidP="007C31E6" w14:paraId="61C23593" w14:textId="6F4F3EB6">
      <w:pPr>
        <w:pStyle w:val="FootnoteText"/>
        <w:jc w:val="left"/>
      </w:pPr>
      <w:r>
        <w:rPr>
          <w:rStyle w:val="FootnoteReference"/>
        </w:rPr>
        <w:footnoteRef/>
      </w:r>
      <w:r>
        <w:t xml:space="preserve"> </w:t>
      </w:r>
      <w:r>
        <w:rPr>
          <w:i/>
          <w:iCs/>
        </w:rPr>
        <w:t xml:space="preserve">Id. </w:t>
      </w:r>
      <w:r>
        <w:t>at 722-23, para. 80; 47 CFR § 54.804(a)(7), (b)(4).</w:t>
      </w:r>
    </w:p>
  </w:footnote>
  <w:footnote w:id="14">
    <w:p w:rsidR="00D22AF7" w:rsidP="007C31E6" w14:paraId="728E43F5" w14:textId="2E1DC911">
      <w:pPr>
        <w:pStyle w:val="FootnoteText"/>
        <w:jc w:val="left"/>
      </w:pPr>
      <w:r>
        <w:rPr>
          <w:rStyle w:val="FootnoteReference"/>
        </w:rPr>
        <w:footnoteRef/>
      </w:r>
      <w:r>
        <w:t xml:space="preserve"> </w:t>
      </w:r>
      <w:r w:rsidRPr="00C05921">
        <w:rPr>
          <w:rStyle w:val="Emphasis"/>
          <w:bdr w:val="none" w:sz="0" w:space="0" w:color="auto" w:frame="1"/>
          <w:shd w:val="clear" w:color="auto" w:fill="FFFFFF"/>
        </w:rPr>
        <w:t>Connect America Fund et al.</w:t>
      </w:r>
      <w:r w:rsidRPr="00C05921">
        <w:rPr>
          <w:bdr w:val="none" w:sz="0" w:space="0" w:color="auto" w:frame="1"/>
          <w:shd w:val="clear" w:color="auto" w:fill="FFFFFF"/>
        </w:rPr>
        <w:t xml:space="preserve">, Report and Order and Further Notice of Proposed Rulemaking, 31 FCC </w:t>
      </w:r>
      <w:r w:rsidRPr="00C05921">
        <w:rPr>
          <w:bdr w:val="none" w:sz="0" w:space="0" w:color="auto" w:frame="1"/>
          <w:shd w:val="clear" w:color="auto" w:fill="FFFFFF"/>
        </w:rPr>
        <w:t>Rcd</w:t>
      </w:r>
      <w:r w:rsidRPr="00C05921">
        <w:rPr>
          <w:bdr w:val="none" w:sz="0" w:space="0" w:color="auto" w:frame="1"/>
          <w:shd w:val="clear" w:color="auto" w:fill="FFFFFF"/>
        </w:rPr>
        <w:t xml:space="preserve"> 5949, 598</w:t>
      </w:r>
      <w:r>
        <w:rPr>
          <w:bdr w:val="none" w:sz="0" w:space="0" w:color="auto" w:frame="1"/>
          <w:shd w:val="clear" w:color="auto" w:fill="FFFFFF"/>
        </w:rPr>
        <w:t>3</w:t>
      </w:r>
      <w:r w:rsidRPr="00C05921">
        <w:rPr>
          <w:bdr w:val="none" w:sz="0" w:space="0" w:color="auto" w:frame="1"/>
          <w:shd w:val="clear" w:color="auto" w:fill="FFFFFF"/>
        </w:rPr>
        <w:t xml:space="preserve">, para. </w:t>
      </w:r>
      <w:r>
        <w:rPr>
          <w:bdr w:val="none" w:sz="0" w:space="0" w:color="auto" w:frame="1"/>
          <w:shd w:val="clear" w:color="auto" w:fill="FFFFFF"/>
        </w:rPr>
        <w:t xml:space="preserve">101 </w:t>
      </w:r>
      <w:r w:rsidRPr="00C05921">
        <w:rPr>
          <w:bdr w:val="none" w:sz="0" w:space="0" w:color="auto" w:frame="1"/>
          <w:shd w:val="clear" w:color="auto" w:fill="FFFFFF"/>
        </w:rPr>
        <w:t>(2016)</w:t>
      </w:r>
      <w:r w:rsidRPr="00C05921">
        <w:rPr>
          <w:shd w:val="clear" w:color="auto" w:fill="FFFFFF"/>
        </w:rPr>
        <w:t> (</w:t>
      </w:r>
      <w:r w:rsidRPr="00C05921">
        <w:rPr>
          <w:rStyle w:val="Emphasis"/>
          <w:bdr w:val="none" w:sz="0" w:space="0" w:color="auto" w:frame="1"/>
          <w:shd w:val="clear" w:color="auto" w:fill="FFFFFF"/>
        </w:rPr>
        <w:t>Phase II Auction Order</w:t>
      </w:r>
      <w:r w:rsidRPr="00C05921">
        <w:rPr>
          <w:shd w:val="clear" w:color="auto" w:fill="FFFFFF"/>
        </w:rPr>
        <w:t>).</w:t>
      </w:r>
    </w:p>
  </w:footnote>
  <w:footnote w:id="15">
    <w:p w:rsidR="00D22AF7" w:rsidP="007C31E6" w14:paraId="56D1FBFF" w14:textId="7E4EADC8">
      <w:pPr>
        <w:pStyle w:val="FootnoteText"/>
        <w:jc w:val="left"/>
      </w:pPr>
      <w:r>
        <w:rPr>
          <w:rStyle w:val="FootnoteReference"/>
        </w:rPr>
        <w:footnoteRef/>
      </w:r>
      <w:r>
        <w:t xml:space="preserve"> 47 CFR 54</w:t>
      </w:r>
      <w:r w:rsidRPr="00C22E99">
        <w:t>.804(a)(7)(</w:t>
      </w:r>
      <w:r w:rsidRPr="00C22E99">
        <w:t>i</w:t>
      </w:r>
      <w:r w:rsidRPr="00C22E99">
        <w:t xml:space="preserve">); </w:t>
      </w:r>
      <w:r w:rsidRPr="00C22E99">
        <w:rPr>
          <w:i/>
          <w:iCs/>
        </w:rPr>
        <w:t>Rural</w:t>
      </w:r>
      <w:r w:rsidRPr="003857F6">
        <w:rPr>
          <w:i/>
          <w:iCs/>
        </w:rPr>
        <w:t xml:space="preserve"> Digital Opportunity Fund Order</w:t>
      </w:r>
      <w:r>
        <w:t xml:space="preserve">, 35 FCC </w:t>
      </w:r>
      <w:r>
        <w:t>Rcd</w:t>
      </w:r>
      <w:r>
        <w:t xml:space="preserve"> at 722-23, para. 80.  </w:t>
      </w:r>
    </w:p>
  </w:footnote>
  <w:footnote w:id="16">
    <w:p w:rsidR="00D22AF7" w:rsidP="007C31E6" w14:paraId="50BD585A" w14:textId="77777777">
      <w:pPr>
        <w:pStyle w:val="FootnoteText"/>
        <w:jc w:val="left"/>
      </w:pPr>
      <w:r w:rsidRPr="00375E5E">
        <w:rPr>
          <w:rStyle w:val="FootnoteReference"/>
          <w:iCs/>
        </w:rPr>
        <w:footnoteRef/>
      </w:r>
      <w:r w:rsidRPr="0082667A">
        <w:rPr>
          <w:i/>
        </w:rPr>
        <w:t xml:space="preserve"> </w:t>
      </w:r>
      <w:r>
        <w:rPr>
          <w:i/>
        </w:rPr>
        <w:t>Id.</w:t>
      </w:r>
    </w:p>
  </w:footnote>
  <w:footnote w:id="17">
    <w:p w:rsidR="00D22AF7" w:rsidP="007C31E6" w14:paraId="0AF3520F" w14:textId="77777777">
      <w:pPr>
        <w:pStyle w:val="FootnoteText"/>
        <w:jc w:val="left"/>
      </w:pPr>
      <w:r>
        <w:rPr>
          <w:rStyle w:val="FootnoteReference"/>
        </w:rPr>
        <w:footnoteRef/>
      </w:r>
      <w:r>
        <w:t xml:space="preserve"> </w:t>
      </w:r>
      <w:r w:rsidRPr="003172F5">
        <w:rPr>
          <w:i/>
        </w:rPr>
        <w:t>Auction 90</w:t>
      </w:r>
      <w:r>
        <w:rPr>
          <w:i/>
        </w:rPr>
        <w:t>4</w:t>
      </w:r>
      <w:r w:rsidRPr="003172F5">
        <w:rPr>
          <w:i/>
        </w:rPr>
        <w:t xml:space="preserve"> Procedures Public Notice</w:t>
      </w:r>
      <w:r>
        <w:t xml:space="preserve">, 35 FCC </w:t>
      </w:r>
      <w:r>
        <w:t>Rcd</w:t>
      </w:r>
      <w:r>
        <w:t xml:space="preserve"> at 6082, para. 12. </w:t>
      </w:r>
    </w:p>
  </w:footnote>
  <w:footnote w:id="18">
    <w:p w:rsidR="00D22AF7" w:rsidP="007C31E6" w14:paraId="339FC95D" w14:textId="7635E11F">
      <w:pPr>
        <w:pStyle w:val="FootnoteText"/>
        <w:jc w:val="left"/>
      </w:pPr>
      <w:r>
        <w:rPr>
          <w:rStyle w:val="FootnoteReference"/>
        </w:rPr>
        <w:footnoteRef/>
      </w:r>
      <w:r>
        <w:t xml:space="preserve"> </w:t>
      </w:r>
      <w:r>
        <w:rPr>
          <w:i/>
        </w:rPr>
        <w:t>Rural Digital Opportunity Fund</w:t>
      </w:r>
      <w:r w:rsidRPr="00183155">
        <w:rPr>
          <w:i/>
        </w:rPr>
        <w:t xml:space="preserve"> Phase I Auctio</w:t>
      </w:r>
      <w:r>
        <w:rPr>
          <w:i/>
        </w:rPr>
        <w:t>n</w:t>
      </w:r>
      <w:r w:rsidRPr="00183155">
        <w:rPr>
          <w:i/>
        </w:rPr>
        <w:t xml:space="preserve"> Status of Short-Form Applications to Participate in Auction 90</w:t>
      </w:r>
      <w:r>
        <w:rPr>
          <w:i/>
        </w:rPr>
        <w:t>4</w:t>
      </w:r>
      <w:r w:rsidRPr="00183155">
        <w:rPr>
          <w:i/>
        </w:rPr>
        <w:t xml:space="preserve">; Corrections due </w:t>
      </w:r>
      <w:r>
        <w:rPr>
          <w:i/>
        </w:rPr>
        <w:t>September 23, 2020</w:t>
      </w:r>
      <w:r>
        <w:t>, Public Notice, DA 20-960 (WCB/OEA/RBATF Sept. 1, 2020) (</w:t>
      </w:r>
      <w:r w:rsidRPr="00E116DE">
        <w:rPr>
          <w:i/>
        </w:rPr>
        <w:t>Auction 90</w:t>
      </w:r>
      <w:r>
        <w:rPr>
          <w:i/>
        </w:rPr>
        <w:t>4</w:t>
      </w:r>
      <w:r w:rsidRPr="00E116DE">
        <w:rPr>
          <w:i/>
        </w:rPr>
        <w:t xml:space="preserve"> Status Public Notice</w:t>
      </w:r>
      <w:r>
        <w:t xml:space="preserve">).  </w:t>
      </w:r>
    </w:p>
  </w:footnote>
  <w:footnote w:id="19">
    <w:p w:rsidR="00D22AF7" w:rsidP="007C31E6" w14:paraId="13FCCC4E" w14:textId="77777777">
      <w:pPr>
        <w:pStyle w:val="FootnoteText"/>
        <w:jc w:val="left"/>
      </w:pPr>
      <w:r>
        <w:rPr>
          <w:rStyle w:val="FootnoteReference"/>
        </w:rPr>
        <w:footnoteRef/>
      </w:r>
      <w:r>
        <w:t xml:space="preserve"> </w:t>
      </w:r>
      <w:r w:rsidRPr="00650F6D">
        <w:rPr>
          <w:i/>
        </w:rPr>
        <w:t>Id.</w:t>
      </w:r>
    </w:p>
  </w:footnote>
  <w:footnote w:id="20">
    <w:p w:rsidR="00D22AF7" w:rsidP="007C31E6" w14:paraId="643685CE" w14:textId="77777777">
      <w:pPr>
        <w:pStyle w:val="FootnoteText"/>
        <w:jc w:val="left"/>
      </w:pPr>
      <w:r>
        <w:rPr>
          <w:rStyle w:val="FootnoteReference"/>
        </w:rPr>
        <w:footnoteRef/>
      </w:r>
      <w:r>
        <w:t xml:space="preserve"> </w:t>
      </w:r>
      <w:r>
        <w:rPr>
          <w:i/>
        </w:rPr>
        <w:t>Id.</w:t>
      </w:r>
      <w:r>
        <w:t xml:space="preserve">  </w:t>
      </w:r>
    </w:p>
  </w:footnote>
  <w:footnote w:id="21">
    <w:p w:rsidR="00D22AF7" w:rsidRPr="00B36873" w:rsidP="007C31E6" w14:paraId="232C8E71" w14:textId="417A7BF1">
      <w:pPr>
        <w:pStyle w:val="FootnoteText"/>
        <w:jc w:val="left"/>
        <w:rPr>
          <w:i/>
          <w:iCs/>
        </w:rPr>
      </w:pPr>
      <w:r>
        <w:rPr>
          <w:rStyle w:val="FootnoteReference"/>
        </w:rPr>
        <w:footnoteRef/>
      </w:r>
      <w:r>
        <w:t xml:space="preserve"> </w:t>
      </w:r>
      <w:bookmarkStart w:id="1" w:name="OLE_LINK1"/>
      <w:r>
        <w:t>47 CFR § 54.804(a)(7)(</w:t>
      </w:r>
      <w:r>
        <w:t>i</w:t>
      </w:r>
      <w:r>
        <w:t xml:space="preserve">)(B); </w:t>
      </w:r>
      <w:r w:rsidRPr="005E2002">
        <w:rPr>
          <w:i/>
          <w:iCs/>
        </w:rPr>
        <w:t>Rural Digital Opportunity Fund Order</w:t>
      </w:r>
      <w:r>
        <w:t xml:space="preserve">, 35 FCC </w:t>
      </w:r>
      <w:r>
        <w:t>Rcd</w:t>
      </w:r>
      <w:r>
        <w:t xml:space="preserve"> at 719, n.202.  </w:t>
      </w:r>
      <w:bookmarkEnd w:id="1"/>
      <w:r>
        <w:t xml:space="preserve">We note that Clarksville Connected Utilities also submitted a petition for waiver of the electric distribution network documentation requirements.  Because we deny Clarksville’s petition for waiver of the FCC Form 477 requirement below and find it not qualified to participate in Auction 904, we dismiss this additional petition as moot.  </w:t>
      </w:r>
    </w:p>
  </w:footnote>
  <w:footnote w:id="22">
    <w:p w:rsidR="00D22AF7" w:rsidP="007C31E6" w14:paraId="7F614AE1" w14:textId="77777777">
      <w:pPr>
        <w:pStyle w:val="FootnoteText"/>
        <w:jc w:val="left"/>
      </w:pPr>
      <w:r>
        <w:rPr>
          <w:rStyle w:val="FootnoteReference"/>
        </w:rPr>
        <w:footnoteRef/>
      </w:r>
      <w:r>
        <w:t xml:space="preserve"> The Commission explained that it would accept RUS Form 7, Financial and Operating Report Electric Distribution; the RUS Form 12, Financial and Operating Report Electric Power Supply; the CFC Form 7, Financial and Statistical Report; the CFC Form 12, Operating Report; the CoBank Form 7; or the functional replacement of one of these reports.  </w:t>
      </w:r>
      <w:r>
        <w:rPr>
          <w:i/>
          <w:iCs/>
        </w:rPr>
        <w:t>See</w:t>
      </w:r>
      <w:r>
        <w:t xml:space="preserve"> </w:t>
      </w:r>
      <w:r>
        <w:rPr>
          <w:i/>
          <w:iCs/>
        </w:rPr>
        <w:t>id.</w:t>
      </w:r>
    </w:p>
  </w:footnote>
  <w:footnote w:id="23">
    <w:p w:rsidR="00D22AF7" w:rsidP="007C31E6" w14:paraId="7F2D903A" w14:textId="3E23FEA9">
      <w:pPr>
        <w:pStyle w:val="FootnoteText"/>
        <w:jc w:val="left"/>
      </w:pPr>
      <w:r>
        <w:rPr>
          <w:rStyle w:val="FootnoteReference"/>
        </w:rPr>
        <w:footnoteRef/>
      </w:r>
      <w:r>
        <w:t xml:space="preserve"> We note that </w:t>
      </w:r>
      <w:r>
        <w:rPr>
          <w:color w:val="000000"/>
          <w:szCs w:val="22"/>
        </w:rPr>
        <w:t>Brown Dog Networks, LLC</w:t>
      </w:r>
      <w:r w:rsidR="00943F9C">
        <w:rPr>
          <w:color w:val="000000"/>
          <w:szCs w:val="22"/>
        </w:rPr>
        <w:t xml:space="preserve"> and Worldwide Technologies, Inc.</w:t>
      </w:r>
      <w:r>
        <w:rPr>
          <w:color w:val="000000"/>
          <w:szCs w:val="22"/>
        </w:rPr>
        <w:t xml:space="preserve"> also filed petition</w:t>
      </w:r>
      <w:r w:rsidR="00943F9C">
        <w:rPr>
          <w:color w:val="000000"/>
          <w:szCs w:val="22"/>
        </w:rPr>
        <w:t>s</w:t>
      </w:r>
      <w:r>
        <w:rPr>
          <w:color w:val="000000"/>
          <w:szCs w:val="22"/>
        </w:rPr>
        <w:t xml:space="preserve"> requesting waiver of the</w:t>
      </w:r>
      <w:r w:rsidR="00943F9C">
        <w:rPr>
          <w:color w:val="000000"/>
          <w:szCs w:val="22"/>
        </w:rPr>
        <w:t xml:space="preserve"> financial information requirements. </w:t>
      </w:r>
      <w:r>
        <w:rPr>
          <w:color w:val="000000"/>
          <w:szCs w:val="22"/>
        </w:rPr>
        <w:t xml:space="preserve"> Brown Dog provided partial unaudited financial statements and explained that it was unable to provide a letter of interest from its bank for COVID-19 related reasons.  During the resubmission period, Brown Dog was informed of the deficiencies regarding its financial showing but failed to provide the additional requested documents.  Further, Brown Dog has greater than two years of experience and would not need to provide a letter of interest under the Auction 904 requirements.  Thus, we dismiss Brown Dog’s petition for lack of specificity regarding the documentation for which it is seeking a waiver.</w:t>
      </w:r>
      <w:r w:rsidR="00943F9C">
        <w:rPr>
          <w:color w:val="000000"/>
          <w:szCs w:val="22"/>
        </w:rPr>
        <w:t xml:space="preserve">  Worldwide provided the requisite financial documentation and therefore did not need to file a petition for waiver. Thus, we dismiss </w:t>
      </w:r>
      <w:r w:rsidR="00943F9C">
        <w:rPr>
          <w:color w:val="000000"/>
          <w:szCs w:val="22"/>
        </w:rPr>
        <w:t>Worldwide’s</w:t>
      </w:r>
      <w:r w:rsidR="00943F9C">
        <w:rPr>
          <w:color w:val="000000"/>
          <w:szCs w:val="22"/>
        </w:rPr>
        <w:t xml:space="preserve"> petition as moot. </w:t>
      </w:r>
      <w:r>
        <w:rPr>
          <w:color w:val="000000"/>
          <w:szCs w:val="22"/>
        </w:rPr>
        <w:t xml:space="preserve"> </w:t>
      </w:r>
    </w:p>
  </w:footnote>
  <w:footnote w:id="24">
    <w:p w:rsidR="00D22AF7" w:rsidP="007C31E6" w14:paraId="5282A507" w14:textId="562A990B">
      <w:pPr>
        <w:pStyle w:val="FootnoteText"/>
        <w:jc w:val="left"/>
      </w:pPr>
      <w:r>
        <w:rPr>
          <w:rStyle w:val="FootnoteReference"/>
        </w:rPr>
        <w:footnoteRef/>
      </w:r>
      <w:r>
        <w:t xml:space="preserve"> </w:t>
      </w:r>
      <w:r w:rsidRPr="00DE3787">
        <w:rPr>
          <w:i/>
          <w:iCs/>
        </w:rPr>
        <w:t>Auction 904 Auction Procedures Public Notice</w:t>
      </w:r>
      <w:r>
        <w:t xml:space="preserve">, 35 FCC </w:t>
      </w:r>
      <w:r>
        <w:t>Rcd</w:t>
      </w:r>
      <w:r>
        <w:t xml:space="preserve"> at 6095, para. 54 and n.109.</w:t>
      </w:r>
    </w:p>
  </w:footnote>
  <w:footnote w:id="25">
    <w:p w:rsidR="00D22AF7" w:rsidP="007C31E6" w14:paraId="1064E0B0" w14:textId="664BAA29">
      <w:pPr>
        <w:pStyle w:val="FootnoteText"/>
        <w:jc w:val="left"/>
      </w:pPr>
      <w:r>
        <w:rPr>
          <w:rStyle w:val="FootnoteReference"/>
        </w:rPr>
        <w:footnoteRef/>
      </w:r>
      <w:r>
        <w:t xml:space="preserve"> </w:t>
      </w:r>
      <w:r w:rsidRPr="005E2002">
        <w:rPr>
          <w:i/>
          <w:iCs/>
        </w:rPr>
        <w:t>Rural Digital Opportunity Fund Order</w:t>
      </w:r>
      <w:r>
        <w:t xml:space="preserve">, 35 FCC </w:t>
      </w:r>
      <w:r>
        <w:t>Rcd</w:t>
      </w:r>
      <w:r>
        <w:t xml:space="preserve"> at 720-21, para. 77.</w:t>
      </w:r>
    </w:p>
  </w:footnote>
  <w:footnote w:id="26">
    <w:p w:rsidR="00D22AF7" w:rsidP="007C31E6" w14:paraId="7901F127" w14:textId="77777777">
      <w:pPr>
        <w:pStyle w:val="FootnoteText"/>
        <w:jc w:val="left"/>
      </w:pPr>
      <w:r>
        <w:rPr>
          <w:rStyle w:val="FootnoteReference"/>
        </w:rPr>
        <w:footnoteRef/>
      </w:r>
      <w:r>
        <w:t xml:space="preserve"> </w:t>
      </w:r>
      <w:r w:rsidRPr="007F4A5D">
        <w:t>47 CFR § 1.3</w:t>
      </w:r>
      <w:r>
        <w:t>.</w:t>
      </w:r>
    </w:p>
  </w:footnote>
  <w:footnote w:id="27">
    <w:p w:rsidR="00D22AF7" w:rsidRPr="008C2A06" w:rsidP="007C31E6" w14:paraId="5A8D6FC9" w14:textId="77777777">
      <w:pPr>
        <w:pStyle w:val="FootnoteText"/>
        <w:jc w:val="lef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w:t>
      </w:r>
      <w:r w:rsidRPr="008C2A06">
        <w:rPr>
          <w:i/>
        </w:rPr>
        <w:t xml:space="preserve"> </w:t>
      </w:r>
    </w:p>
  </w:footnote>
  <w:footnote w:id="28">
    <w:p w:rsidR="00D22AF7" w:rsidP="007C31E6" w14:paraId="56EC7E65" w14:textId="11C1B0EB">
      <w:pPr>
        <w:pStyle w:val="FootnoteText"/>
        <w:jc w:val="left"/>
      </w:pPr>
      <w:r>
        <w:rPr>
          <w:rStyle w:val="FootnoteReference"/>
        </w:rPr>
        <w:footnoteRef/>
      </w:r>
      <w:r>
        <w:t xml:space="preserve"> </w:t>
      </w:r>
      <w:r>
        <w:rPr>
          <w:szCs w:val="22"/>
        </w:rPr>
        <w:t xml:space="preserve">A </w:t>
      </w:r>
      <w:r w:rsidRPr="008F2585">
        <w:rPr>
          <w:szCs w:val="22"/>
        </w:rPr>
        <w:t xml:space="preserve">determination that an applicant is a qualified bidder is not determinative of an applicant’s qualifications to receive </w:t>
      </w:r>
      <w:r>
        <w:rPr>
          <w:szCs w:val="22"/>
        </w:rPr>
        <w:t>Rural Digital Opportunity Fund</w:t>
      </w:r>
      <w:r w:rsidRPr="008F2585">
        <w:rPr>
          <w:szCs w:val="22"/>
        </w:rPr>
        <w:t xml:space="preserve"> support.  Under the Commission’s two-phased auction application process, after the close of the auction, a </w:t>
      </w:r>
      <w:r>
        <w:rPr>
          <w:szCs w:val="22"/>
        </w:rPr>
        <w:t xml:space="preserve">qualified bidder that wins one or more bids </w:t>
      </w:r>
      <w:r w:rsidRPr="008F2585">
        <w:rPr>
          <w:szCs w:val="22"/>
        </w:rPr>
        <w:t xml:space="preserve">must submit a long-form application and meet various other requirements that are fully explained in the </w:t>
      </w:r>
      <w:r w:rsidRPr="008F2585">
        <w:rPr>
          <w:i/>
          <w:szCs w:val="22"/>
        </w:rPr>
        <w:t>Auction 90</w:t>
      </w:r>
      <w:r>
        <w:rPr>
          <w:i/>
          <w:szCs w:val="22"/>
        </w:rPr>
        <w:t>4</w:t>
      </w:r>
      <w:r w:rsidRPr="008F2585">
        <w:rPr>
          <w:i/>
          <w:szCs w:val="22"/>
        </w:rPr>
        <w:t xml:space="preserve"> Procedures Public Notice</w:t>
      </w:r>
      <w:r>
        <w:rPr>
          <w:szCs w:val="22"/>
        </w:rPr>
        <w:t xml:space="preserve">, </w:t>
      </w:r>
      <w:r>
        <w:t xml:space="preserve">35 FCC </w:t>
      </w:r>
      <w:r>
        <w:t>Rcd</w:t>
      </w:r>
      <w:r>
        <w:t xml:space="preserve"> at 6163-6178, </w:t>
      </w:r>
      <w:r w:rsidRPr="00BD65BF">
        <w:t xml:space="preserve">paras. </w:t>
      </w:r>
      <w:r>
        <w:t>286-320.</w:t>
      </w:r>
    </w:p>
  </w:footnote>
  <w:footnote w:id="29">
    <w:p w:rsidR="00D22AF7" w:rsidP="007C31E6" w14:paraId="49B9D69C" w14:textId="77CD63EB">
      <w:pPr>
        <w:pStyle w:val="FootnoteText"/>
        <w:jc w:val="left"/>
      </w:pPr>
      <w:r>
        <w:rPr>
          <w:rStyle w:val="FootnoteReference"/>
        </w:rPr>
        <w:footnoteRef/>
      </w:r>
      <w:r>
        <w:t xml:space="preserve"> </w:t>
      </w:r>
      <w:r>
        <w:rPr>
          <w:i/>
        </w:rPr>
        <w:t xml:space="preserve">See </w:t>
      </w:r>
      <w:r w:rsidRPr="00B9666C" w:rsidR="00B9666C">
        <w:rPr>
          <w:i/>
        </w:rPr>
        <w:t>386 Applicants Qualified to Bid in the Rural Digital Opportunity Fund Phase I Auction (Auction 904)</w:t>
      </w:r>
      <w:r w:rsidR="00B9666C">
        <w:rPr>
          <w:iCs/>
        </w:rPr>
        <w:t>, AU Docket No. 20-34; WC Docket Nos.19-126, 10-90, Public Notice, DA 20-1187 (RBATF/OEA/WCB Oct. 13, 2020).</w:t>
      </w:r>
    </w:p>
  </w:footnote>
  <w:footnote w:id="30">
    <w:p w:rsidR="00D22AF7" w:rsidP="007C31E6" w14:paraId="76B4FF71" w14:textId="32F9B16C">
      <w:pPr>
        <w:pStyle w:val="FootnoteText"/>
        <w:jc w:val="left"/>
      </w:pPr>
      <w:r>
        <w:rPr>
          <w:rStyle w:val="FootnoteReference"/>
        </w:rPr>
        <w:footnoteRef/>
      </w:r>
      <w:r>
        <w:t xml:space="preserve"> We deny petitions filed by Atherton Fiber; Clarksville Connected Utilities; </w:t>
      </w:r>
      <w:r>
        <w:t>GoGig</w:t>
      </w:r>
      <w:r>
        <w:t>, Inc.;</w:t>
      </w:r>
      <w:r w:rsidR="00AE0E4F">
        <w:t xml:space="preserve"> </w:t>
      </w:r>
      <w:r>
        <w:t xml:space="preserve">Integrated Path Communications, LLC; Inyo Networks, Inc.; Mansfield Community Fiber; New Visions Communications Inc.; Personal Network Computing Inc.; PCM Industries, LLC; Planet Networks, Inc.; Rio Broadband, LLC; </w:t>
      </w:r>
      <w:r>
        <w:t>SkyRider</w:t>
      </w:r>
      <w:r>
        <w:t xml:space="preserve"> Communications LLC; Southern Fiber Worx, LLC; Treasure State Internet &amp; Telegraph; and World Network International Services Inc. (WNIS).  We note that WNIS also submitted petitions for waiver of the letter of interest requirement and waiver of certain network disclosures.  Because we deny WNIS’s petition for waiver of the FCC Form 477 requirement and find it not qualified to participate in Auction 904, we dismiss these additional two petitions as moot.  </w:t>
      </w:r>
    </w:p>
  </w:footnote>
  <w:footnote w:id="31">
    <w:p w:rsidR="00817536" w:rsidRPr="00FB4429" w:rsidP="007C31E6" w14:paraId="18BF0696" w14:textId="77777777">
      <w:pPr>
        <w:pStyle w:val="FootnoteText"/>
        <w:jc w:val="left"/>
      </w:pPr>
      <w:r>
        <w:rPr>
          <w:rStyle w:val="FootnoteReference"/>
        </w:rPr>
        <w:footnoteRef/>
      </w:r>
      <w:r>
        <w:t xml:space="preserve"> </w:t>
      </w:r>
      <w:r w:rsidRPr="005E2002">
        <w:rPr>
          <w:i/>
          <w:iCs/>
        </w:rPr>
        <w:t>Rural Digital Opportunity Fund Order</w:t>
      </w:r>
      <w:r>
        <w:t xml:space="preserve">, 35 FCC </w:t>
      </w:r>
      <w:r>
        <w:t>Rcd</w:t>
      </w:r>
      <w:r>
        <w:t xml:space="preserve"> at 719, para. 73.  </w:t>
      </w:r>
      <w:r>
        <w:rPr>
          <w:i/>
          <w:iCs/>
        </w:rPr>
        <w:t>See also</w:t>
      </w:r>
      <w:r>
        <w:rPr>
          <w:i/>
        </w:rPr>
        <w:t xml:space="preserve"> </w:t>
      </w:r>
      <w:r w:rsidRPr="00A75655">
        <w:rPr>
          <w:i/>
        </w:rPr>
        <w:t>Auction 90</w:t>
      </w:r>
      <w:r>
        <w:rPr>
          <w:i/>
        </w:rPr>
        <w:t>4</w:t>
      </w:r>
      <w:r w:rsidRPr="00A75655">
        <w:rPr>
          <w:i/>
        </w:rPr>
        <w:t xml:space="preserve"> Procedure</w:t>
      </w:r>
      <w:r>
        <w:rPr>
          <w:i/>
        </w:rPr>
        <w:t>s</w:t>
      </w:r>
      <w:r w:rsidRPr="00A75655">
        <w:rPr>
          <w:i/>
        </w:rPr>
        <w:t xml:space="preserve"> Public Notice</w:t>
      </w:r>
      <w:r>
        <w:t>, para. 51 (explaining that the “relevant FCC Form 477 filing periods include data as of December 31, 2019; June 30, 2019; and December 31, 2018”).</w:t>
      </w:r>
    </w:p>
  </w:footnote>
  <w:footnote w:id="32">
    <w:p w:rsidR="003009D8" w:rsidRPr="003009D8" w:rsidP="007C31E6" w14:paraId="3B61C4BB" w14:textId="77A6112B">
      <w:pPr>
        <w:pStyle w:val="FootnoteText"/>
        <w:jc w:val="left"/>
      </w:pPr>
      <w:r>
        <w:rPr>
          <w:rStyle w:val="FootnoteReference"/>
        </w:rPr>
        <w:footnoteRef/>
      </w:r>
      <w:r>
        <w:t xml:space="preserve"> </w:t>
      </w:r>
      <w:r>
        <w:rPr>
          <w:i/>
          <w:iCs/>
        </w:rPr>
        <w:t>See</w:t>
      </w:r>
      <w:r w:rsidR="00C53721">
        <w:rPr>
          <w:i/>
          <w:iCs/>
        </w:rPr>
        <w:t xml:space="preserve"> e.g.</w:t>
      </w:r>
      <w:r w:rsidR="00C53721">
        <w:t xml:space="preserve">, </w:t>
      </w:r>
      <w:r>
        <w:rPr>
          <w:i/>
          <w:iCs/>
        </w:rPr>
        <w:t>Form 477 Data As Of December 31, 2018 Are Due No Later Than March 8, 2019</w:t>
      </w:r>
      <w:r>
        <w:t xml:space="preserve">, WC Docket No. 11-10, Public Notice, 34 FCC </w:t>
      </w:r>
      <w:r>
        <w:t>Rcd</w:t>
      </w:r>
      <w:r>
        <w:t xml:space="preserve"> 135 (WCB 2019); </w:t>
      </w:r>
      <w:r>
        <w:rPr>
          <w:i/>
          <w:iCs/>
        </w:rPr>
        <w:t>Form 477 Data As Of June 30, 2019 Are Due No Later Than September 3, 2019</w:t>
      </w:r>
      <w:r>
        <w:t xml:space="preserve">, WC Docket No. 11-10, Public Notice, 34 FCC </w:t>
      </w:r>
      <w:r>
        <w:t>Rcd</w:t>
      </w:r>
      <w:r>
        <w:t xml:space="preserve"> 7065 (OEA 2019)</w:t>
      </w:r>
      <w:r w:rsidR="00C53721">
        <w:t>.</w:t>
      </w:r>
    </w:p>
  </w:footnote>
  <w:footnote w:id="33">
    <w:p w:rsidR="00D22AF7" w:rsidP="007C31E6" w14:paraId="7DF377C3" w14:textId="77777777">
      <w:pPr>
        <w:pStyle w:val="FootnoteText"/>
        <w:jc w:val="left"/>
      </w:pPr>
      <w:r>
        <w:rPr>
          <w:rStyle w:val="FootnoteReference"/>
        </w:rPr>
        <w:footnoteRef/>
      </w:r>
      <w:r>
        <w:t xml:space="preserve"> </w:t>
      </w:r>
      <w:r w:rsidRPr="00C05921">
        <w:rPr>
          <w:i/>
          <w:iCs/>
        </w:rPr>
        <w:t>Local Competition Broadband Reporting</w:t>
      </w:r>
      <w:r>
        <w:t xml:space="preserve">, WC Docket No. 04-141, Report and Order, 19 FCC </w:t>
      </w:r>
      <w:r>
        <w:t>Rcd</w:t>
      </w:r>
      <w:r>
        <w:t xml:space="preserve"> 22340, 22345, para. 8 (2004); </w:t>
      </w:r>
      <w:r w:rsidRPr="00C05921">
        <w:rPr>
          <w:i/>
          <w:iCs/>
        </w:rPr>
        <w:t>FCC Announces Electronic Posting of OMB-Approved Form 477 for the September 1, 2005 Filing and Data Collection Workshop to be Held on June 29, 2005</w:t>
      </w:r>
      <w:r>
        <w:t xml:space="preserve">, Public Notice, 20 FCC </w:t>
      </w:r>
      <w:r>
        <w:t>Rcd</w:t>
      </w:r>
      <w:r>
        <w:t xml:space="preserve"> 10454 (WCB 2005).</w:t>
      </w:r>
    </w:p>
  </w:footnote>
  <w:footnote w:id="34">
    <w:p w:rsidR="00D22AF7" w:rsidP="007C31E6" w14:paraId="00466E47" w14:textId="77777777">
      <w:pPr>
        <w:pStyle w:val="FootnoteText"/>
        <w:jc w:val="left"/>
      </w:pPr>
      <w:r>
        <w:rPr>
          <w:rStyle w:val="FootnoteReference"/>
        </w:rPr>
        <w:footnoteRef/>
      </w:r>
      <w:r>
        <w:t xml:space="preserve"> </w:t>
      </w:r>
      <w:r w:rsidRPr="00742314">
        <w:rPr>
          <w:i/>
          <w:iCs/>
        </w:rPr>
        <w:t>See, e.g., Rio Verde Wireless, LLC</w:t>
      </w:r>
      <w:r>
        <w:t xml:space="preserve">, Notice of Apparent Liability for Forfeiture, 30 FCC </w:t>
      </w:r>
      <w:r>
        <w:t>Rcd</w:t>
      </w:r>
      <w:r>
        <w:t xml:space="preserve"> 2196 (EB - IHD 2015). </w:t>
      </w:r>
    </w:p>
  </w:footnote>
  <w:footnote w:id="35">
    <w:p w:rsidR="00341358" w:rsidP="007C31E6" w14:paraId="46ACE02F" w14:textId="0580AFC0">
      <w:pPr>
        <w:pStyle w:val="FootnoteText"/>
        <w:jc w:val="left"/>
      </w:pPr>
      <w:r>
        <w:rPr>
          <w:rStyle w:val="FootnoteReference"/>
        </w:rPr>
        <w:footnoteRef/>
      </w:r>
      <w:r>
        <w:t xml:space="preserve"> </w:t>
      </w:r>
      <w:r w:rsidRPr="00CA388A" w:rsidR="00CA388A">
        <w:t xml:space="preserve">We caution waiver applicants, however, that the requirement for demonstration of special circumstances to support a waiver request is “especially appropriate” in the context of filing deadlines.  </w:t>
      </w:r>
      <w:r w:rsidRPr="00CA388A" w:rsidR="00CA388A">
        <w:rPr>
          <w:i/>
          <w:iCs/>
        </w:rPr>
        <w:t xml:space="preserve">See Network IP, LLC v. FCC, </w:t>
      </w:r>
      <w:r w:rsidRPr="00CA388A" w:rsidR="00CA388A">
        <w:t>548 F.3d 116, 128 (D.C. Cir. 2008).</w:t>
      </w:r>
    </w:p>
  </w:footnote>
  <w:footnote w:id="36">
    <w:p w:rsidR="00106D0F" w:rsidP="007C31E6" w14:paraId="0A5C37F4" w14:textId="7CE81973">
      <w:pPr>
        <w:pStyle w:val="FootnoteText"/>
        <w:jc w:val="left"/>
      </w:pPr>
      <w:r>
        <w:rPr>
          <w:rStyle w:val="FootnoteReference"/>
        </w:rPr>
        <w:footnoteRef/>
      </w:r>
      <w:r>
        <w:t xml:space="preserve"> We grant petitions filed by </w:t>
      </w:r>
      <w:r>
        <w:t>BerryCom</w:t>
      </w:r>
      <w:r>
        <w:t xml:space="preserve"> LLC; Country Wireless, LLC; Flat Wireless, LLC; FSI, LLC; </w:t>
      </w:r>
      <w:r>
        <w:t>Futurum</w:t>
      </w:r>
      <w:r>
        <w:t xml:space="preserve"> Communications Corp.; </w:t>
      </w:r>
      <w:r>
        <w:t>Fybercom</w:t>
      </w:r>
      <w:r>
        <w:t xml:space="preserve">; Kalona Cooperative Telephone Company; LTD Broadband LLC; </w:t>
      </w:r>
      <w:r w:rsidR="00CC2D8E">
        <w:t>Midstates</w:t>
      </w:r>
      <w:r w:rsidR="00CC2D8E">
        <w:t xml:space="preserve"> Data Transport; </w:t>
      </w:r>
      <w:r>
        <w:t xml:space="preserve">Montana Internet Corporation; Net Ops Communications, LLC; </w:t>
      </w:r>
      <w:r>
        <w:t>Netafy</w:t>
      </w:r>
      <w:r>
        <w:t xml:space="preserve"> Inc.; Northwoods Communication Technologies, LLC; Rowe Wireless Networks; LLC; San Bruno </w:t>
      </w:r>
      <w:r>
        <w:t>CityNet</w:t>
      </w:r>
      <w:r>
        <w:t xml:space="preserve"> Services; </w:t>
      </w:r>
      <w:r>
        <w:t>SandyNet</w:t>
      </w:r>
      <w:r>
        <w:t xml:space="preserve"> Rural Broadband; </w:t>
      </w:r>
      <w:r>
        <w:t>SkyNet</w:t>
      </w:r>
      <w:r>
        <w:t xml:space="preserve"> Broadband, Inc.; </w:t>
      </w:r>
      <w:r>
        <w:t>ThinkBig</w:t>
      </w:r>
      <w:r>
        <w:t xml:space="preserve"> Networks, LLC; Western Iowa Wireless; Worldwide Technologies, Inc.; and Zinnia Networks Inc.  </w:t>
      </w:r>
    </w:p>
  </w:footnote>
  <w:footnote w:id="37">
    <w:p w:rsidR="00D22AF7" w:rsidP="007C31E6" w14:paraId="54E09AB1" w14:textId="77777777">
      <w:pPr>
        <w:pStyle w:val="FootnoteText"/>
        <w:jc w:val="left"/>
      </w:pPr>
      <w:r>
        <w:rPr>
          <w:rStyle w:val="FootnoteReference"/>
        </w:rPr>
        <w:footnoteRef/>
      </w:r>
      <w:r>
        <w:t xml:space="preserve"> </w:t>
      </w:r>
      <w:r w:rsidRPr="005E2002">
        <w:rPr>
          <w:i/>
          <w:iCs/>
        </w:rPr>
        <w:t>Rural Digital Opportunity Fund Order</w:t>
      </w:r>
      <w:r>
        <w:t xml:space="preserve">, 35 FCC </w:t>
      </w:r>
      <w:r>
        <w:t>Rcd</w:t>
      </w:r>
      <w:r>
        <w:t xml:space="preserve"> at 719, para. 72.  </w:t>
      </w:r>
    </w:p>
  </w:footnote>
  <w:footnote w:id="38">
    <w:p w:rsidR="00D22AF7" w:rsidRPr="00B97AC1" w:rsidP="007C31E6" w14:paraId="4C90554D" w14:textId="6AECD748">
      <w:pPr>
        <w:pStyle w:val="ParaNum"/>
        <w:numPr>
          <w:ilvl w:val="0"/>
          <w:numId w:val="0"/>
        </w:numPr>
        <w:rPr>
          <w:sz w:val="20"/>
        </w:rPr>
      </w:pPr>
      <w:r>
        <w:rPr>
          <w:rStyle w:val="FootnoteReference"/>
        </w:rPr>
        <w:footnoteRef/>
      </w:r>
      <w:r>
        <w:t xml:space="preserve"> </w:t>
      </w:r>
      <w:r w:rsidRPr="00B97AC1">
        <w:rPr>
          <w:rStyle w:val="FootnoteTextChar2"/>
          <w:sz w:val="20"/>
        </w:rPr>
        <w:t xml:space="preserve">Our decision to permit </w:t>
      </w:r>
      <w:r>
        <w:rPr>
          <w:rStyle w:val="FootnoteTextChar2"/>
          <w:sz w:val="20"/>
        </w:rPr>
        <w:t>these</w:t>
      </w:r>
      <w:r w:rsidRPr="00B97AC1">
        <w:rPr>
          <w:rStyle w:val="FootnoteTextChar2"/>
          <w:sz w:val="20"/>
        </w:rPr>
        <w:t xml:space="preserve"> applicants to participate in the auction if they are otherwise deemed qualified does not in any way serve as a waiver of </w:t>
      </w:r>
      <w:r>
        <w:rPr>
          <w:rStyle w:val="FootnoteTextChar2"/>
          <w:sz w:val="20"/>
        </w:rPr>
        <w:t>the Commission’s FCC</w:t>
      </w:r>
      <w:r w:rsidRPr="00B97AC1">
        <w:rPr>
          <w:rStyle w:val="FootnoteTextChar2"/>
          <w:sz w:val="20"/>
        </w:rPr>
        <w:t xml:space="preserve"> Form 477 filing deadlines and does not preclude the Commission from initiating enforcement actions against parties that violate its FCC Form 477 filing requirements.  Moreover, we remind applicants that they will be subject to </w:t>
      </w:r>
      <w:r>
        <w:rPr>
          <w:rStyle w:val="FootnoteTextChar2"/>
          <w:sz w:val="20"/>
        </w:rPr>
        <w:t xml:space="preserve">additional </w:t>
      </w:r>
      <w:r w:rsidRPr="00B97AC1">
        <w:rPr>
          <w:rStyle w:val="FootnoteTextChar2"/>
          <w:sz w:val="20"/>
        </w:rPr>
        <w:t>reporting deadlines if they are authorized to receive Auction 904 support and non-compliance measures</w:t>
      </w:r>
      <w:r>
        <w:rPr>
          <w:rStyle w:val="FootnoteTextChar2"/>
          <w:sz w:val="20"/>
        </w:rPr>
        <w:t>, including withholding of support,</w:t>
      </w:r>
      <w:r w:rsidRPr="00B97AC1">
        <w:rPr>
          <w:rStyle w:val="FootnoteTextChar2"/>
          <w:sz w:val="20"/>
        </w:rPr>
        <w:t xml:space="preserve"> will be imposed if such filing deadlines are not met. </w:t>
      </w:r>
      <w:r>
        <w:rPr>
          <w:rStyle w:val="FootnoteTextChar2"/>
          <w:sz w:val="20"/>
        </w:rPr>
        <w:t xml:space="preserve"> </w:t>
      </w:r>
      <w:r w:rsidRPr="00B97AC1">
        <w:rPr>
          <w:rStyle w:val="FootnoteTextChar2"/>
          <w:i/>
          <w:iCs/>
          <w:sz w:val="20"/>
        </w:rPr>
        <w:t>See, e.g</w:t>
      </w:r>
      <w:r w:rsidRPr="00B97AC1">
        <w:rPr>
          <w:rStyle w:val="FootnoteTextChar2"/>
          <w:sz w:val="20"/>
        </w:rPr>
        <w:t xml:space="preserve">., 47 CFR § 54.806.  </w:t>
      </w:r>
    </w:p>
  </w:footnote>
  <w:footnote w:id="39">
    <w:p w:rsidR="00AF06C4" w14:paraId="16AEB282" w14:textId="09C5D128">
      <w:pPr>
        <w:pStyle w:val="FootnoteText"/>
      </w:pPr>
      <w:r>
        <w:rPr>
          <w:rStyle w:val="FootnoteReference"/>
        </w:rPr>
        <w:footnoteRef/>
      </w:r>
      <w:r>
        <w:t xml:space="preserve"> </w:t>
      </w:r>
      <w:r w:rsidRPr="005E2002">
        <w:rPr>
          <w:i/>
          <w:iCs/>
        </w:rPr>
        <w:t>Rural Digital Opportunity Fund Order</w:t>
      </w:r>
      <w:r>
        <w:t xml:space="preserve">, 35 FCC </w:t>
      </w:r>
      <w:r>
        <w:t>Rcd</w:t>
      </w:r>
      <w:r>
        <w:t xml:space="preserve"> at 719, n.201.  </w:t>
      </w:r>
    </w:p>
  </w:footnote>
  <w:footnote w:id="40">
    <w:p w:rsidR="009162F4" w:rsidRPr="009162F4" w14:paraId="3F30C3CB" w14:textId="06BC20F0">
      <w:pPr>
        <w:pStyle w:val="FootnoteText"/>
      </w:pPr>
      <w:r>
        <w:rPr>
          <w:rStyle w:val="FootnoteReference"/>
        </w:rPr>
        <w:footnoteRef/>
      </w:r>
      <w:r>
        <w:t xml:space="preserve"> </w:t>
      </w:r>
      <w:r>
        <w:rPr>
          <w:i/>
          <w:iCs/>
        </w:rPr>
        <w:t xml:space="preserve">Id. </w:t>
      </w:r>
      <w:r>
        <w:t>at 720, para. 75.</w:t>
      </w:r>
    </w:p>
  </w:footnote>
  <w:footnote w:id="41">
    <w:p w:rsidR="00D22AF7" w:rsidP="007C31E6" w14:paraId="01E98E0E" w14:textId="31B07CCF">
      <w:pPr>
        <w:pStyle w:val="FootnoteText"/>
        <w:jc w:val="left"/>
      </w:pPr>
      <w:r>
        <w:rPr>
          <w:rStyle w:val="FootnoteReference"/>
        </w:rPr>
        <w:footnoteRef/>
      </w:r>
      <w:r>
        <w:t xml:space="preserve"> </w:t>
      </w:r>
      <w:r w:rsidR="00AF06C4">
        <w:rPr>
          <w:i/>
          <w:iCs/>
        </w:rPr>
        <w:t>Id.</w:t>
      </w:r>
      <w:r w:rsidR="009162F4">
        <w:rPr>
          <w:i/>
          <w:iCs/>
        </w:rPr>
        <w:t xml:space="preserve"> </w:t>
      </w:r>
      <w:r w:rsidR="00AF06C4">
        <w:t>at</w:t>
      </w:r>
      <w:r w:rsidR="009162F4">
        <w:t xml:space="preserve"> 719,</w:t>
      </w:r>
      <w:r>
        <w:t xml:space="preserve"> n.202.  </w:t>
      </w:r>
    </w:p>
  </w:footnote>
  <w:footnote w:id="42">
    <w:p w:rsidR="00D22AF7" w:rsidP="007C31E6" w14:paraId="15091A6F" w14:textId="572B6255">
      <w:pPr>
        <w:pStyle w:val="FootnoteText"/>
        <w:jc w:val="left"/>
      </w:pPr>
      <w:r>
        <w:rPr>
          <w:rStyle w:val="FootnoteReference"/>
        </w:rPr>
        <w:footnoteRef/>
      </w:r>
      <w:r>
        <w:t xml:space="preserve"> 47 CFR § 54.804(b)(4); </w:t>
      </w:r>
      <w:r w:rsidRPr="00926F5C">
        <w:rPr>
          <w:i/>
          <w:iCs/>
        </w:rPr>
        <w:t>Rural Digital Opportunity Fund Order</w:t>
      </w:r>
      <w:r w:rsidRPr="00926F5C">
        <w:t xml:space="preserve">, 35 FCC </w:t>
      </w:r>
      <w:r w:rsidRPr="00926F5C">
        <w:t>Rcd</w:t>
      </w:r>
      <w:r w:rsidRPr="00926F5C">
        <w:t xml:space="preserve"> at </w:t>
      </w:r>
      <w:r>
        <w:t>735</w:t>
      </w:r>
      <w:r w:rsidRPr="00926F5C">
        <w:t xml:space="preserve">, </w:t>
      </w:r>
      <w:r>
        <w:t>para. 114 (“A recipient will be considered in default and will be subject to forfeiture if it fails to timely file a long-form application, fails to meet the document submission deadlines outlined above, is found ineligible or unqualified to receive support, or otherwise defaults on its bid or is disqualified for any reason prior to the authorization of support”).</w:t>
      </w:r>
    </w:p>
  </w:footnote>
  <w:footnote w:id="43">
    <w:p w:rsidR="00D22AF7" w:rsidP="007C31E6" w14:paraId="7F96FBCA" w14:textId="6A65DBC9">
      <w:pPr>
        <w:pStyle w:val="FootnoteText"/>
        <w:jc w:val="left"/>
      </w:pPr>
      <w:r>
        <w:rPr>
          <w:rStyle w:val="FootnoteReference"/>
        </w:rPr>
        <w:footnoteRef/>
      </w:r>
      <w:r>
        <w:t xml:space="preserve"> </w:t>
      </w:r>
      <w:r w:rsidRPr="005E2002">
        <w:rPr>
          <w:i/>
          <w:iCs/>
        </w:rPr>
        <w:t>Rural Digital Opportunity Fund Order</w:t>
      </w:r>
      <w:r>
        <w:t xml:space="preserve">, 35 FCC </w:t>
      </w:r>
      <w:r>
        <w:t>Rcd</w:t>
      </w:r>
      <w:r>
        <w:t xml:space="preserve"> at 720, para. 75.  </w:t>
      </w:r>
    </w:p>
  </w:footnote>
  <w:footnote w:id="44">
    <w:p w:rsidR="00D22AF7" w:rsidRPr="00196797" w:rsidP="007C31E6" w14:paraId="5E466872" w14:textId="49D1EC41">
      <w:pPr>
        <w:pStyle w:val="FootnoteText"/>
        <w:jc w:val="left"/>
      </w:pPr>
      <w:r>
        <w:rPr>
          <w:rStyle w:val="FootnoteReference"/>
        </w:rPr>
        <w:footnoteRef/>
      </w:r>
      <w:r>
        <w:t xml:space="preserve"> </w:t>
      </w:r>
      <w:r>
        <w:rPr>
          <w:i/>
          <w:iCs/>
        </w:rPr>
        <w:t>Id.</w:t>
      </w:r>
      <w:r>
        <w:t xml:space="preserve"> at 719, para. 73.</w:t>
      </w:r>
    </w:p>
  </w:footnote>
  <w:footnote w:id="45">
    <w:p w:rsidR="00D22AF7" w:rsidP="007C31E6" w14:paraId="6AC85BF3" w14:textId="12FED9E4">
      <w:pPr>
        <w:pStyle w:val="FootnoteText"/>
        <w:jc w:val="left"/>
      </w:pPr>
      <w:r>
        <w:rPr>
          <w:rStyle w:val="FootnoteReference"/>
        </w:rPr>
        <w:footnoteRef/>
      </w:r>
      <w:r>
        <w:t xml:space="preserve"> </w:t>
      </w:r>
      <w:r w:rsidRPr="00F836B6">
        <w:rPr>
          <w:i/>
          <w:iCs/>
        </w:rPr>
        <w:t>See</w:t>
      </w:r>
      <w:r>
        <w:rPr>
          <w:i/>
          <w:iCs/>
        </w:rPr>
        <w:t xml:space="preserve"> generally</w:t>
      </w:r>
      <w:r w:rsidRPr="00F836B6">
        <w:rPr>
          <w:i/>
          <w:iCs/>
        </w:rPr>
        <w:t xml:space="preserve"> </w:t>
      </w:r>
      <w:r w:rsidRPr="0091343B">
        <w:rPr>
          <w:i/>
          <w:iCs/>
        </w:rPr>
        <w:t>Johnson Order</w:t>
      </w:r>
      <w:r>
        <w:t>,</w:t>
      </w:r>
      <w:r w:rsidRPr="00F836B6">
        <w:rPr>
          <w:i/>
          <w:iCs/>
        </w:rPr>
        <w:t xml:space="preserve"> </w:t>
      </w:r>
      <w:r>
        <w:t xml:space="preserve">35 FCC </w:t>
      </w:r>
      <w:r>
        <w:t>Rcd</w:t>
      </w:r>
      <w:r>
        <w:t xml:space="preserve"> 6589.</w:t>
      </w:r>
    </w:p>
  </w:footnote>
  <w:footnote w:id="46">
    <w:p w:rsidR="00D22AF7" w:rsidP="007C31E6" w14:paraId="6987DAEE" w14:textId="191A1A22">
      <w:pPr>
        <w:pStyle w:val="FootnoteText"/>
        <w:jc w:val="left"/>
      </w:pPr>
      <w:r>
        <w:rPr>
          <w:rStyle w:val="FootnoteReference"/>
        </w:rPr>
        <w:footnoteRef/>
      </w:r>
      <w:r>
        <w:t xml:space="preserve"> </w:t>
      </w:r>
      <w:r w:rsidRPr="0091343B">
        <w:rPr>
          <w:i/>
          <w:iCs/>
        </w:rPr>
        <w:t>See</w:t>
      </w:r>
      <w:r>
        <w:t xml:space="preserve"> 47 CFR § 1.21004(c); </w:t>
      </w:r>
      <w:r w:rsidRPr="0091343B">
        <w:rPr>
          <w:i/>
          <w:iCs/>
        </w:rPr>
        <w:t>see generally Rural Digital Opportunity Fund Order</w:t>
      </w:r>
      <w:r>
        <w:t xml:space="preserve">, 35 FCC </w:t>
      </w:r>
      <w:r>
        <w:t>Rcd</w:t>
      </w:r>
      <w:r>
        <w:t xml:space="preserve"> 686; </w:t>
      </w:r>
      <w:r w:rsidRPr="0091343B">
        <w:rPr>
          <w:i/>
          <w:iCs/>
        </w:rPr>
        <w:t>Connect America Fund et al</w:t>
      </w:r>
      <w:r>
        <w:t xml:space="preserve">., WC Docket No. 10-90 et al., Report and Order and Further Notice of Proposed Rulemaking, 31 FCC </w:t>
      </w:r>
      <w:r>
        <w:t>Rcd</w:t>
      </w:r>
      <w:r>
        <w:t xml:space="preserve"> 5949 (2016) (</w:t>
      </w:r>
      <w:r w:rsidRPr="0091343B">
        <w:rPr>
          <w:i/>
          <w:iCs/>
        </w:rPr>
        <w:t>Phase II Auction Order</w:t>
      </w:r>
      <w:r>
        <w:t>).</w:t>
      </w:r>
    </w:p>
  </w:footnote>
  <w:footnote w:id="47">
    <w:p w:rsidR="00D22AF7" w:rsidP="007C31E6" w14:paraId="307027BF" w14:textId="0F9080FF">
      <w:pPr>
        <w:pStyle w:val="FootnoteText"/>
        <w:jc w:val="left"/>
      </w:pPr>
      <w:r>
        <w:rPr>
          <w:rStyle w:val="FootnoteReference"/>
        </w:rPr>
        <w:footnoteRef/>
      </w:r>
      <w:r>
        <w:t xml:space="preserve"> </w:t>
      </w:r>
      <w:r w:rsidRPr="0091343B">
        <w:rPr>
          <w:i/>
          <w:iCs/>
        </w:rPr>
        <w:t>Rural Digital Opportunity Fund Order</w:t>
      </w:r>
      <w:r>
        <w:t xml:space="preserve">, 35 FCC </w:t>
      </w:r>
      <w:r>
        <w:t>Rcd</w:t>
      </w:r>
      <w:r>
        <w:t xml:space="preserve"> at 720-21, para. 77.</w:t>
      </w:r>
    </w:p>
  </w:footnote>
  <w:footnote w:id="48">
    <w:p w:rsidR="00D22AF7" w:rsidP="007C31E6" w14:paraId="64AA7961" w14:textId="6736B987">
      <w:pPr>
        <w:pStyle w:val="FootnoteText"/>
        <w:jc w:val="left"/>
      </w:pPr>
      <w:r>
        <w:rPr>
          <w:rStyle w:val="FootnoteReference"/>
        </w:rPr>
        <w:footnoteRef/>
      </w:r>
      <w:r>
        <w:t xml:space="preserve"> </w:t>
      </w:r>
      <w:r w:rsidRPr="0091343B">
        <w:rPr>
          <w:i/>
          <w:iCs/>
        </w:rPr>
        <w:t>Notice of Apparent Liability for Forfeiture</w:t>
      </w:r>
      <w:r>
        <w:t xml:space="preserve">, 34 FCC </w:t>
      </w:r>
      <w:r>
        <w:t>Rcd</w:t>
      </w:r>
      <w:r>
        <w:t xml:space="preserve"> 10037, 10037, para. 1 (EB 2019) (</w:t>
      </w:r>
      <w:r>
        <w:rPr>
          <w:i/>
          <w:iCs/>
        </w:rPr>
        <w:t>Crocker</w:t>
      </w:r>
      <w:r w:rsidRPr="007058DF">
        <w:rPr>
          <w:i/>
          <w:iCs/>
        </w:rPr>
        <w:t xml:space="preserve"> NAL</w:t>
      </w:r>
      <w:r>
        <w:t xml:space="preserve">); </w:t>
      </w:r>
      <w:r w:rsidRPr="0091343B">
        <w:rPr>
          <w:i/>
          <w:iCs/>
        </w:rPr>
        <w:t>Notice of Apparent Liability for Forfeiture</w:t>
      </w:r>
      <w:r>
        <w:t xml:space="preserve">, 34 FCC </w:t>
      </w:r>
      <w:r>
        <w:t>Rcd</w:t>
      </w:r>
      <w:r>
        <w:t xml:space="preserve"> 9981, 9981, para. 1 (EB 2019) (</w:t>
      </w:r>
      <w:r>
        <w:rPr>
          <w:i/>
          <w:iCs/>
        </w:rPr>
        <w:t>MGW</w:t>
      </w:r>
      <w:r w:rsidRPr="007058DF">
        <w:rPr>
          <w:i/>
          <w:iCs/>
        </w:rPr>
        <w:t xml:space="preserve"> NAL</w:t>
      </w:r>
      <w:r>
        <w:t xml:space="preserve">). </w:t>
      </w:r>
    </w:p>
  </w:footnote>
  <w:footnote w:id="49">
    <w:p w:rsidR="00D22AF7" w:rsidP="007C31E6" w14:paraId="7EC57DB8" w14:textId="326F3CB6">
      <w:pPr>
        <w:pStyle w:val="FootnoteText"/>
        <w:jc w:val="left"/>
      </w:pPr>
      <w:r>
        <w:rPr>
          <w:rStyle w:val="FootnoteReference"/>
        </w:rPr>
        <w:footnoteRef/>
      </w:r>
      <w:r>
        <w:t xml:space="preserve"> </w:t>
      </w:r>
      <w:r w:rsidRPr="0091343B">
        <w:rPr>
          <w:i/>
          <w:iCs/>
        </w:rPr>
        <w:t>Phase II Auction Order</w:t>
      </w:r>
      <w:r>
        <w:t xml:space="preserve">, 31 FCC </w:t>
      </w:r>
      <w:r>
        <w:t>Rcd</w:t>
      </w:r>
      <w:r>
        <w:t xml:space="preserve"> at 6001, para. 145</w:t>
      </w:r>
    </w:p>
  </w:footnote>
  <w:footnote w:id="50">
    <w:p w:rsidR="00D22AF7" w:rsidP="007C31E6" w14:paraId="3D18D2EB" w14:textId="26DCC69B">
      <w:pPr>
        <w:pStyle w:val="FootnoteText"/>
        <w:jc w:val="left"/>
      </w:pPr>
      <w:r>
        <w:rPr>
          <w:rStyle w:val="FootnoteReference"/>
        </w:rPr>
        <w:footnoteRef/>
      </w:r>
      <w:r>
        <w:t xml:space="preserve"> </w:t>
      </w:r>
      <w:r w:rsidRPr="0091343B">
        <w:rPr>
          <w:i/>
          <w:iCs/>
        </w:rPr>
        <w:t>See e.g., Connect America Fund Phase II Auction Support for 822 Winning Bids Ready to be Authorized; Bid Defaults Determined</w:t>
      </w:r>
      <w:r>
        <w:t xml:space="preserve">, AU Docket No. 18-172, WC Docket No. 10-90, Public Notice, 34 FCC </w:t>
      </w:r>
      <w:r>
        <w:t>Rcd</w:t>
      </w:r>
      <w:r>
        <w:t xml:space="preserve"> 2076, 2076-77 (WCB 2019).</w:t>
      </w:r>
    </w:p>
  </w:footnote>
  <w:footnote w:id="51">
    <w:p w:rsidR="00D22AF7" w:rsidP="007C31E6" w14:paraId="62945217" w14:textId="43CCEF9F">
      <w:pPr>
        <w:pStyle w:val="FootnoteText"/>
        <w:jc w:val="left"/>
      </w:pPr>
      <w:r>
        <w:rPr>
          <w:rStyle w:val="FootnoteReference"/>
        </w:rPr>
        <w:footnoteRef/>
      </w:r>
      <w:r>
        <w:t xml:space="preserve"> </w:t>
      </w:r>
      <w:r w:rsidRPr="007058DF">
        <w:rPr>
          <w:i/>
          <w:iCs/>
        </w:rPr>
        <w:t>See id.</w:t>
      </w:r>
      <w:r>
        <w:t xml:space="preserve"> at 2124-25, Attach. B (announcing Auction 903 defaulters that notified the Commission they would no longer be pursuing some or all of their winning bids, including full defaults by Fidelity Communications Company; Hanson Communications, Inc.; Johnson Telephone Company; MGW Networks, LLC; </w:t>
      </w:r>
      <w:r>
        <w:t>SyncWave</w:t>
      </w:r>
      <w:r>
        <w:t xml:space="preserve">, LLC; Total Highspeed, LLC; Townes Wireless, Inc.; and WPS); </w:t>
      </w:r>
      <w:r w:rsidRPr="007058DF">
        <w:rPr>
          <w:i/>
          <w:iCs/>
        </w:rPr>
        <w:t>Connect America Fund Phase II Auction Support for 1,122 Winning Bids Ready to be Authorized</w:t>
      </w:r>
      <w:r>
        <w:t xml:space="preserve">, AU Docket No. 18-172, WC Docket No. 10-90, Public Notice, 34 FCC </w:t>
      </w:r>
      <w:r>
        <w:t>Rcd</w:t>
      </w:r>
      <w:r>
        <w:t xml:space="preserve"> 6223, 6285, Attach. B (WCB 2019) (announcing Crocker Communications, Inc. was in default for all winning bids).</w:t>
      </w:r>
    </w:p>
  </w:footnote>
  <w:footnote w:id="52">
    <w:p w:rsidR="00D22AF7" w:rsidP="007C31E6" w14:paraId="2954689D" w14:textId="7A58D1AC">
      <w:pPr>
        <w:pStyle w:val="FootnoteText"/>
        <w:jc w:val="left"/>
      </w:pPr>
      <w:r>
        <w:rPr>
          <w:rStyle w:val="FootnoteReference"/>
        </w:rPr>
        <w:footnoteRef/>
      </w:r>
      <w:r>
        <w:t xml:space="preserve"> </w:t>
      </w:r>
      <w:r w:rsidRPr="007058DF">
        <w:rPr>
          <w:i/>
          <w:iCs/>
        </w:rPr>
        <w:t xml:space="preserve">See </w:t>
      </w:r>
      <w:r>
        <w:rPr>
          <w:i/>
          <w:iCs/>
        </w:rPr>
        <w:t>Crocker</w:t>
      </w:r>
      <w:r w:rsidRPr="007058DF">
        <w:rPr>
          <w:i/>
          <w:iCs/>
        </w:rPr>
        <w:t xml:space="preserve"> NAL</w:t>
      </w:r>
      <w:r>
        <w:t xml:space="preserve">, 34 FCC </w:t>
      </w:r>
      <w:r>
        <w:t>Rcd</w:t>
      </w:r>
      <w:r>
        <w:t xml:space="preserve"> at 10040-41, para. 12; MGW NAL, 34 FCC </w:t>
      </w:r>
      <w:r>
        <w:t>Rcd</w:t>
      </w:r>
      <w:r>
        <w:t xml:space="preserve"> 9984-85, para.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AF7" w14:paraId="6F49F53B" w14:textId="1D819DCE">
    <w:pPr>
      <w:pStyle w:val="Header"/>
      <w:tabs>
        <w:tab w:val="clear" w:pos="4320"/>
        <w:tab w:val="center" w:pos="4680"/>
        <w:tab w:val="clear" w:pos="8640"/>
        <w:tab w:val="right" w:pos="9360"/>
      </w:tabs>
      <w:rPr>
        <w:b/>
      </w:rPr>
    </w:pPr>
    <w:r>
      <w:rPr>
        <w:b/>
      </w:rPr>
      <w:tab/>
      <w:t>Federal Communications Commission</w:t>
    </w:r>
    <w:r>
      <w:rPr>
        <w:b/>
      </w:rPr>
      <w:tab/>
      <w:t>DA 20-</w:t>
    </w:r>
    <w:r w:rsidR="00A4603D">
      <w:rPr>
        <w:b/>
      </w:rPr>
      <w:t>1194</w:t>
    </w:r>
    <w:r>
      <w:rPr>
        <w:b/>
      </w:rPr>
      <w:t xml:space="preserve"> </w:t>
    </w:r>
  </w:p>
  <w:p w:rsidR="00D22AF7" w14:paraId="0351D079"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D22AF7" w14:paraId="74B765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2AF7" w14:paraId="1371D02C" w14:textId="24AE069C">
    <w:pPr>
      <w:pStyle w:val="Header"/>
      <w:tabs>
        <w:tab w:val="clear" w:pos="4320"/>
        <w:tab w:val="center" w:pos="4680"/>
        <w:tab w:val="clear" w:pos="8640"/>
        <w:tab w:val="right" w:pos="9360"/>
      </w:tabs>
      <w:rPr>
        <w:b/>
      </w:rPr>
    </w:pPr>
    <w:r>
      <w:rPr>
        <w:b/>
      </w:rPr>
      <w:tab/>
      <w:t>Federal Communications Commission</w:t>
    </w:r>
    <w:r>
      <w:rPr>
        <w:b/>
      </w:rPr>
      <w:tab/>
      <w:t>DA 20-</w:t>
    </w:r>
    <w:r w:rsidR="00A4603D">
      <w:rPr>
        <w:b/>
      </w:rPr>
      <w:t>1194</w:t>
    </w:r>
    <w:r>
      <w:rPr>
        <w:b/>
      </w:rPr>
      <w:t xml:space="preserve"> </w:t>
    </w:r>
  </w:p>
  <w:p w:rsidR="00D22AF7" w14:paraId="104BD399"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E2AA7"/>
    <w:multiLevelType w:val="hybridMultilevel"/>
    <w:tmpl w:val="B34AA8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AC2656A"/>
    <w:multiLevelType w:val="hybridMultilevel"/>
    <w:tmpl w:val="B6C8C144"/>
    <w:lvl w:ilvl="0">
      <w:start w:val="1"/>
      <w:numFmt w:val="decimal"/>
      <w:lvlText w:val="%1."/>
      <w:lvlJc w:val="left"/>
      <w:pPr>
        <w:ind w:left="1620" w:hanging="72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5C7178"/>
    <w:multiLevelType w:val="hybridMultilevel"/>
    <w:tmpl w:val="600AD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7D8000BE"/>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F4C4C32"/>
    <w:multiLevelType w:val="hybridMultilevel"/>
    <w:tmpl w:val="43D0F9D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6555464A"/>
    <w:multiLevelType w:val="hybridMultilevel"/>
    <w:tmpl w:val="94EA76C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7"/>
  </w:num>
  <w:num w:numId="3">
    <w:abstractNumId w:val="5"/>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3"/>
  </w:num>
  <w:num w:numId="16">
    <w:abstractNumId w:val="4"/>
  </w:num>
  <w:num w:numId="17">
    <w:abstractNumId w:val="11"/>
  </w:num>
  <w:num w:numId="18">
    <w:abstractNumId w:val="1"/>
  </w:num>
  <w:num w:numId="19">
    <w:abstractNumId w:val="12"/>
  </w:num>
  <w:num w:numId="20">
    <w:abstractNumId w:val="17"/>
  </w:num>
  <w:num w:numId="21">
    <w:abstractNumId w:val="19"/>
  </w:num>
  <w:num w:numId="22">
    <w:abstractNumId w:val="7"/>
  </w:num>
  <w:num w:numId="23">
    <w:abstractNumId w:val="0"/>
  </w:num>
  <w:num w:numId="24">
    <w:abstractNumId w:val="18"/>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6"/>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24"/>
  </w:num>
  <w:num w:numId="38">
    <w:abstractNumId w:val="26"/>
  </w:num>
  <w:num w:numId="39">
    <w:abstractNumId w:val="2"/>
  </w:num>
  <w:num w:numId="40">
    <w:abstractNumId w:val="15"/>
    <w:lvlOverride w:ilvl="0">
      <w:startOverride w:val="1"/>
    </w:lvlOverride>
  </w:num>
  <w:num w:numId="41">
    <w:abstractNumId w:val="15"/>
  </w:num>
  <w:num w:numId="42">
    <w:abstractNumId w:val="20"/>
  </w:num>
  <w:num w:numId="43">
    <w:abstractNumId w:val="15"/>
  </w:num>
  <w:num w:numId="44">
    <w:abstractNumId w:val="15"/>
  </w:num>
  <w:num w:numId="4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03"/>
    <w:rsid w:val="00002E36"/>
    <w:rsid w:val="00004B9D"/>
    <w:rsid w:val="00004E8C"/>
    <w:rsid w:val="0002017D"/>
    <w:rsid w:val="000224F4"/>
    <w:rsid w:val="0002436D"/>
    <w:rsid w:val="00026779"/>
    <w:rsid w:val="00026892"/>
    <w:rsid w:val="00036DF6"/>
    <w:rsid w:val="00045336"/>
    <w:rsid w:val="0005151D"/>
    <w:rsid w:val="00053C29"/>
    <w:rsid w:val="000751D9"/>
    <w:rsid w:val="00076A8B"/>
    <w:rsid w:val="00080E87"/>
    <w:rsid w:val="000A76AC"/>
    <w:rsid w:val="000C299D"/>
    <w:rsid w:val="000C3231"/>
    <w:rsid w:val="000D2A6A"/>
    <w:rsid w:val="000D522B"/>
    <w:rsid w:val="000D5872"/>
    <w:rsid w:val="000E4A92"/>
    <w:rsid w:val="00102281"/>
    <w:rsid w:val="00102F60"/>
    <w:rsid w:val="00106D0F"/>
    <w:rsid w:val="00107BF6"/>
    <w:rsid w:val="00110B6C"/>
    <w:rsid w:val="00110EE5"/>
    <w:rsid w:val="00115AEA"/>
    <w:rsid w:val="00117FE1"/>
    <w:rsid w:val="00131C11"/>
    <w:rsid w:val="001342E8"/>
    <w:rsid w:val="0013694D"/>
    <w:rsid w:val="00143348"/>
    <w:rsid w:val="001520E8"/>
    <w:rsid w:val="0015789C"/>
    <w:rsid w:val="00161968"/>
    <w:rsid w:val="001679A3"/>
    <w:rsid w:val="001803D9"/>
    <w:rsid w:val="00183155"/>
    <w:rsid w:val="00185952"/>
    <w:rsid w:val="001901BC"/>
    <w:rsid w:val="0019242C"/>
    <w:rsid w:val="00194221"/>
    <w:rsid w:val="00196520"/>
    <w:rsid w:val="00196797"/>
    <w:rsid w:val="00197E5A"/>
    <w:rsid w:val="001A1519"/>
    <w:rsid w:val="001A1903"/>
    <w:rsid w:val="001B1E49"/>
    <w:rsid w:val="001B5BA9"/>
    <w:rsid w:val="001D050E"/>
    <w:rsid w:val="001D61BD"/>
    <w:rsid w:val="001E5580"/>
    <w:rsid w:val="001E7148"/>
    <w:rsid w:val="001F3A5C"/>
    <w:rsid w:val="001F57DC"/>
    <w:rsid w:val="001F623E"/>
    <w:rsid w:val="00206A73"/>
    <w:rsid w:val="00211820"/>
    <w:rsid w:val="00215F07"/>
    <w:rsid w:val="00226964"/>
    <w:rsid w:val="002308D2"/>
    <w:rsid w:val="00242649"/>
    <w:rsid w:val="00255368"/>
    <w:rsid w:val="00256EC4"/>
    <w:rsid w:val="00271A38"/>
    <w:rsid w:val="00272AB3"/>
    <w:rsid w:val="002743EF"/>
    <w:rsid w:val="0027654C"/>
    <w:rsid w:val="0028167D"/>
    <w:rsid w:val="00284148"/>
    <w:rsid w:val="002A1673"/>
    <w:rsid w:val="002A3870"/>
    <w:rsid w:val="002A7BAC"/>
    <w:rsid w:val="002B2201"/>
    <w:rsid w:val="002C3C95"/>
    <w:rsid w:val="002C4445"/>
    <w:rsid w:val="002D035A"/>
    <w:rsid w:val="002E43E9"/>
    <w:rsid w:val="002F03A1"/>
    <w:rsid w:val="002F42BA"/>
    <w:rsid w:val="002F5E48"/>
    <w:rsid w:val="003009D8"/>
    <w:rsid w:val="00307AE8"/>
    <w:rsid w:val="00307F87"/>
    <w:rsid w:val="003102BD"/>
    <w:rsid w:val="003133CE"/>
    <w:rsid w:val="003158DC"/>
    <w:rsid w:val="003172F5"/>
    <w:rsid w:val="00317807"/>
    <w:rsid w:val="0033490D"/>
    <w:rsid w:val="00341358"/>
    <w:rsid w:val="00341D80"/>
    <w:rsid w:val="00346AE9"/>
    <w:rsid w:val="0035154F"/>
    <w:rsid w:val="0037091F"/>
    <w:rsid w:val="0037301F"/>
    <w:rsid w:val="00375E5E"/>
    <w:rsid w:val="003857F6"/>
    <w:rsid w:val="00394DB6"/>
    <w:rsid w:val="003A5BD4"/>
    <w:rsid w:val="003B1091"/>
    <w:rsid w:val="003B638E"/>
    <w:rsid w:val="003B77AA"/>
    <w:rsid w:val="003F6A0C"/>
    <w:rsid w:val="004019EC"/>
    <w:rsid w:val="0041328C"/>
    <w:rsid w:val="004311C2"/>
    <w:rsid w:val="004379A1"/>
    <w:rsid w:val="00446F7E"/>
    <w:rsid w:val="004571A6"/>
    <w:rsid w:val="00466F5B"/>
    <w:rsid w:val="00473549"/>
    <w:rsid w:val="004751CB"/>
    <w:rsid w:val="0048219D"/>
    <w:rsid w:val="00484204"/>
    <w:rsid w:val="00484237"/>
    <w:rsid w:val="00484F06"/>
    <w:rsid w:val="00487B91"/>
    <w:rsid w:val="004909EB"/>
    <w:rsid w:val="00491935"/>
    <w:rsid w:val="00495B96"/>
    <w:rsid w:val="004A3741"/>
    <w:rsid w:val="004A54DB"/>
    <w:rsid w:val="004B12BE"/>
    <w:rsid w:val="004B4355"/>
    <w:rsid w:val="004B6D38"/>
    <w:rsid w:val="004C032B"/>
    <w:rsid w:val="004D15BA"/>
    <w:rsid w:val="004E2DDE"/>
    <w:rsid w:val="005051CE"/>
    <w:rsid w:val="0050660D"/>
    <w:rsid w:val="00514E84"/>
    <w:rsid w:val="00520589"/>
    <w:rsid w:val="00525269"/>
    <w:rsid w:val="005252E1"/>
    <w:rsid w:val="00530C97"/>
    <w:rsid w:val="00535131"/>
    <w:rsid w:val="00541E3B"/>
    <w:rsid w:val="005462EB"/>
    <w:rsid w:val="00554B62"/>
    <w:rsid w:val="00562611"/>
    <w:rsid w:val="00575952"/>
    <w:rsid w:val="00577B6D"/>
    <w:rsid w:val="005819F3"/>
    <w:rsid w:val="00585882"/>
    <w:rsid w:val="005A0FCB"/>
    <w:rsid w:val="005B2D66"/>
    <w:rsid w:val="005B5142"/>
    <w:rsid w:val="005C42A7"/>
    <w:rsid w:val="005D1615"/>
    <w:rsid w:val="005D4BEB"/>
    <w:rsid w:val="005E2002"/>
    <w:rsid w:val="005E3E3E"/>
    <w:rsid w:val="005F0681"/>
    <w:rsid w:val="005F6DBC"/>
    <w:rsid w:val="00606062"/>
    <w:rsid w:val="00610559"/>
    <w:rsid w:val="00616221"/>
    <w:rsid w:val="0061703D"/>
    <w:rsid w:val="00617531"/>
    <w:rsid w:val="00650F6D"/>
    <w:rsid w:val="0065188A"/>
    <w:rsid w:val="00654AD5"/>
    <w:rsid w:val="006618AC"/>
    <w:rsid w:val="00664535"/>
    <w:rsid w:val="00666C68"/>
    <w:rsid w:val="00672170"/>
    <w:rsid w:val="00691695"/>
    <w:rsid w:val="00696A68"/>
    <w:rsid w:val="006A18B6"/>
    <w:rsid w:val="006A42FA"/>
    <w:rsid w:val="006A4FAD"/>
    <w:rsid w:val="006A6DD1"/>
    <w:rsid w:val="006A71F1"/>
    <w:rsid w:val="006C452A"/>
    <w:rsid w:val="006D55A5"/>
    <w:rsid w:val="006D6F81"/>
    <w:rsid w:val="006D7326"/>
    <w:rsid w:val="006F5131"/>
    <w:rsid w:val="007058DF"/>
    <w:rsid w:val="00710BB8"/>
    <w:rsid w:val="00711379"/>
    <w:rsid w:val="00711CC8"/>
    <w:rsid w:val="00720C69"/>
    <w:rsid w:val="007274B4"/>
    <w:rsid w:val="00733E8B"/>
    <w:rsid w:val="007403BE"/>
    <w:rsid w:val="00741401"/>
    <w:rsid w:val="00742314"/>
    <w:rsid w:val="00756088"/>
    <w:rsid w:val="007601B2"/>
    <w:rsid w:val="0077136C"/>
    <w:rsid w:val="007732AE"/>
    <w:rsid w:val="0078477C"/>
    <w:rsid w:val="00791C04"/>
    <w:rsid w:val="007B1C94"/>
    <w:rsid w:val="007C07BB"/>
    <w:rsid w:val="007C31E6"/>
    <w:rsid w:val="007D135D"/>
    <w:rsid w:val="007E1C27"/>
    <w:rsid w:val="007E221B"/>
    <w:rsid w:val="007E5E37"/>
    <w:rsid w:val="007E72A6"/>
    <w:rsid w:val="007F4A5D"/>
    <w:rsid w:val="007F70C4"/>
    <w:rsid w:val="00802091"/>
    <w:rsid w:val="0080327C"/>
    <w:rsid w:val="00803664"/>
    <w:rsid w:val="0080423B"/>
    <w:rsid w:val="00805F1F"/>
    <w:rsid w:val="008152C1"/>
    <w:rsid w:val="00817536"/>
    <w:rsid w:val="008179C7"/>
    <w:rsid w:val="00825D13"/>
    <w:rsid w:val="0082663C"/>
    <w:rsid w:val="0082667A"/>
    <w:rsid w:val="0082718D"/>
    <w:rsid w:val="0083313F"/>
    <w:rsid w:val="00850CEF"/>
    <w:rsid w:val="00851025"/>
    <w:rsid w:val="00860B32"/>
    <w:rsid w:val="00864CC5"/>
    <w:rsid w:val="008729D6"/>
    <w:rsid w:val="00873A41"/>
    <w:rsid w:val="008740AC"/>
    <w:rsid w:val="00875CF2"/>
    <w:rsid w:val="00880DEC"/>
    <w:rsid w:val="008842AB"/>
    <w:rsid w:val="00884D3D"/>
    <w:rsid w:val="00886097"/>
    <w:rsid w:val="008862F4"/>
    <w:rsid w:val="00886BD6"/>
    <w:rsid w:val="00897944"/>
    <w:rsid w:val="008A2094"/>
    <w:rsid w:val="008B349D"/>
    <w:rsid w:val="008B675A"/>
    <w:rsid w:val="008B7F30"/>
    <w:rsid w:val="008C140C"/>
    <w:rsid w:val="008C2A06"/>
    <w:rsid w:val="008C3D8D"/>
    <w:rsid w:val="008C4006"/>
    <w:rsid w:val="008C58C7"/>
    <w:rsid w:val="008E377B"/>
    <w:rsid w:val="008E6471"/>
    <w:rsid w:val="008F00D4"/>
    <w:rsid w:val="008F2585"/>
    <w:rsid w:val="008F4397"/>
    <w:rsid w:val="008F4FA8"/>
    <w:rsid w:val="008F5A1A"/>
    <w:rsid w:val="0090431B"/>
    <w:rsid w:val="0090761B"/>
    <w:rsid w:val="0091343B"/>
    <w:rsid w:val="009162F4"/>
    <w:rsid w:val="00923449"/>
    <w:rsid w:val="00925B84"/>
    <w:rsid w:val="009269F7"/>
    <w:rsid w:val="00926F5C"/>
    <w:rsid w:val="00927C26"/>
    <w:rsid w:val="00931F19"/>
    <w:rsid w:val="00943F9C"/>
    <w:rsid w:val="00945455"/>
    <w:rsid w:val="00954F28"/>
    <w:rsid w:val="009606CB"/>
    <w:rsid w:val="0098546D"/>
    <w:rsid w:val="009855FB"/>
    <w:rsid w:val="00993BA9"/>
    <w:rsid w:val="00993DE6"/>
    <w:rsid w:val="00994BE0"/>
    <w:rsid w:val="009A2FE4"/>
    <w:rsid w:val="009B06EC"/>
    <w:rsid w:val="009B7AA3"/>
    <w:rsid w:val="009C3EAC"/>
    <w:rsid w:val="009C4120"/>
    <w:rsid w:val="009C578B"/>
    <w:rsid w:val="009C6017"/>
    <w:rsid w:val="009D14A3"/>
    <w:rsid w:val="009D43AF"/>
    <w:rsid w:val="009E0D96"/>
    <w:rsid w:val="009E71AF"/>
    <w:rsid w:val="009E76ED"/>
    <w:rsid w:val="009F4710"/>
    <w:rsid w:val="00A015FD"/>
    <w:rsid w:val="00A02CC6"/>
    <w:rsid w:val="00A07987"/>
    <w:rsid w:val="00A10DE1"/>
    <w:rsid w:val="00A12C83"/>
    <w:rsid w:val="00A21C2B"/>
    <w:rsid w:val="00A313D3"/>
    <w:rsid w:val="00A3690E"/>
    <w:rsid w:val="00A43E77"/>
    <w:rsid w:val="00A45EEF"/>
    <w:rsid w:val="00A4603D"/>
    <w:rsid w:val="00A4664D"/>
    <w:rsid w:val="00A47683"/>
    <w:rsid w:val="00A53D6D"/>
    <w:rsid w:val="00A61C44"/>
    <w:rsid w:val="00A622EC"/>
    <w:rsid w:val="00A67707"/>
    <w:rsid w:val="00A702E4"/>
    <w:rsid w:val="00A7051A"/>
    <w:rsid w:val="00A72FEA"/>
    <w:rsid w:val="00A74CDB"/>
    <w:rsid w:val="00A75655"/>
    <w:rsid w:val="00A81486"/>
    <w:rsid w:val="00A828B6"/>
    <w:rsid w:val="00A95C27"/>
    <w:rsid w:val="00AA1CE3"/>
    <w:rsid w:val="00AE0E4F"/>
    <w:rsid w:val="00AE3CDE"/>
    <w:rsid w:val="00AE3F9E"/>
    <w:rsid w:val="00AF06C4"/>
    <w:rsid w:val="00B01966"/>
    <w:rsid w:val="00B023E3"/>
    <w:rsid w:val="00B04903"/>
    <w:rsid w:val="00B10F66"/>
    <w:rsid w:val="00B15003"/>
    <w:rsid w:val="00B30C01"/>
    <w:rsid w:val="00B347EA"/>
    <w:rsid w:val="00B36873"/>
    <w:rsid w:val="00B477BD"/>
    <w:rsid w:val="00B53B39"/>
    <w:rsid w:val="00B65E8E"/>
    <w:rsid w:val="00B73391"/>
    <w:rsid w:val="00B77C61"/>
    <w:rsid w:val="00B9154B"/>
    <w:rsid w:val="00B9666C"/>
    <w:rsid w:val="00B97AC1"/>
    <w:rsid w:val="00BA72D7"/>
    <w:rsid w:val="00BB2B6A"/>
    <w:rsid w:val="00BB3C3D"/>
    <w:rsid w:val="00BB3E1B"/>
    <w:rsid w:val="00BB7398"/>
    <w:rsid w:val="00BB75B9"/>
    <w:rsid w:val="00BB7CC5"/>
    <w:rsid w:val="00BB7F7E"/>
    <w:rsid w:val="00BC1026"/>
    <w:rsid w:val="00BC3FF3"/>
    <w:rsid w:val="00BC6DE9"/>
    <w:rsid w:val="00BD3111"/>
    <w:rsid w:val="00BD65BF"/>
    <w:rsid w:val="00BE4A2F"/>
    <w:rsid w:val="00BF4FF9"/>
    <w:rsid w:val="00C020E6"/>
    <w:rsid w:val="00C05921"/>
    <w:rsid w:val="00C071BE"/>
    <w:rsid w:val="00C1383A"/>
    <w:rsid w:val="00C147C2"/>
    <w:rsid w:val="00C1523B"/>
    <w:rsid w:val="00C21E87"/>
    <w:rsid w:val="00C22E99"/>
    <w:rsid w:val="00C3059C"/>
    <w:rsid w:val="00C4665E"/>
    <w:rsid w:val="00C46DD1"/>
    <w:rsid w:val="00C47CA8"/>
    <w:rsid w:val="00C53721"/>
    <w:rsid w:val="00C60AD3"/>
    <w:rsid w:val="00C874FF"/>
    <w:rsid w:val="00CA388A"/>
    <w:rsid w:val="00CA78A3"/>
    <w:rsid w:val="00CB512B"/>
    <w:rsid w:val="00CC0F01"/>
    <w:rsid w:val="00CC2D8E"/>
    <w:rsid w:val="00CC37B0"/>
    <w:rsid w:val="00CD027F"/>
    <w:rsid w:val="00CD2052"/>
    <w:rsid w:val="00CD3D95"/>
    <w:rsid w:val="00CD4DCA"/>
    <w:rsid w:val="00CD6618"/>
    <w:rsid w:val="00CE654B"/>
    <w:rsid w:val="00CF6880"/>
    <w:rsid w:val="00D11BFE"/>
    <w:rsid w:val="00D15D03"/>
    <w:rsid w:val="00D22AF7"/>
    <w:rsid w:val="00D24248"/>
    <w:rsid w:val="00D26406"/>
    <w:rsid w:val="00D274A5"/>
    <w:rsid w:val="00D27EED"/>
    <w:rsid w:val="00D3540D"/>
    <w:rsid w:val="00D41C9A"/>
    <w:rsid w:val="00D47C49"/>
    <w:rsid w:val="00D507F0"/>
    <w:rsid w:val="00D519AB"/>
    <w:rsid w:val="00D5348F"/>
    <w:rsid w:val="00D76BA1"/>
    <w:rsid w:val="00D807E5"/>
    <w:rsid w:val="00D82C15"/>
    <w:rsid w:val="00D859BA"/>
    <w:rsid w:val="00DB6A23"/>
    <w:rsid w:val="00DB7416"/>
    <w:rsid w:val="00DB767B"/>
    <w:rsid w:val="00DC7228"/>
    <w:rsid w:val="00DD3128"/>
    <w:rsid w:val="00DD3D11"/>
    <w:rsid w:val="00DE2FEA"/>
    <w:rsid w:val="00DE3703"/>
    <w:rsid w:val="00DE3787"/>
    <w:rsid w:val="00E00A83"/>
    <w:rsid w:val="00E07824"/>
    <w:rsid w:val="00E116DE"/>
    <w:rsid w:val="00E1358A"/>
    <w:rsid w:val="00E16FA0"/>
    <w:rsid w:val="00E20700"/>
    <w:rsid w:val="00E211A7"/>
    <w:rsid w:val="00E235DB"/>
    <w:rsid w:val="00E402DF"/>
    <w:rsid w:val="00E40AF0"/>
    <w:rsid w:val="00E55E59"/>
    <w:rsid w:val="00E57175"/>
    <w:rsid w:val="00E6354D"/>
    <w:rsid w:val="00E66DA3"/>
    <w:rsid w:val="00E77968"/>
    <w:rsid w:val="00E937A9"/>
    <w:rsid w:val="00E95F25"/>
    <w:rsid w:val="00EE126F"/>
    <w:rsid w:val="00EE59DF"/>
    <w:rsid w:val="00EF218E"/>
    <w:rsid w:val="00EF2EAA"/>
    <w:rsid w:val="00EF7F0E"/>
    <w:rsid w:val="00F146D4"/>
    <w:rsid w:val="00F17181"/>
    <w:rsid w:val="00F20107"/>
    <w:rsid w:val="00F3434E"/>
    <w:rsid w:val="00F4531F"/>
    <w:rsid w:val="00F50F4F"/>
    <w:rsid w:val="00F57E7D"/>
    <w:rsid w:val="00F6751B"/>
    <w:rsid w:val="00F73071"/>
    <w:rsid w:val="00F801DD"/>
    <w:rsid w:val="00F810AF"/>
    <w:rsid w:val="00F836B6"/>
    <w:rsid w:val="00F852DF"/>
    <w:rsid w:val="00F8757F"/>
    <w:rsid w:val="00F94813"/>
    <w:rsid w:val="00FB239D"/>
    <w:rsid w:val="00FB29EE"/>
    <w:rsid w:val="00FB4429"/>
    <w:rsid w:val="00FB5281"/>
    <w:rsid w:val="00FC5061"/>
    <w:rsid w:val="00FC716A"/>
    <w:rsid w:val="00FD0701"/>
    <w:rsid w:val="00FD4204"/>
    <w:rsid w:val="00FE7663"/>
    <w:rsid w:val="00FE7948"/>
    <w:rsid w:val="00FF13CC"/>
    <w:rsid w:val="00FF3DC1"/>
    <w:rsid w:val="00FF427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56A2732B-2A34-4206-8049-01D332CE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left" w:pos="1440"/>
      </w:tabs>
      <w:spacing w:after="120"/>
    </w:p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basedOn w:val="Normal"/>
    <w:link w:val="FootnoteTextChar2"/>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ALTS FOOTNOTE Cha Char,ALTS FOOTNOTE Char Char Char,ALTS FOOTNOTE Char Char Char Char Char,Footnote Text Char Char Char,Footnote Text Char Char Char Char Char,Footnote Text Char1 Char,Footnote Text Char1 Char Char Char,f Char"/>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2 Char1 Char1 Char Char,Footnote Text Char3 Char1 Char Char,Footnote Text Char3 Char1 Char Char Char Char,fn Char1 Char,fn Char2"/>
    <w:rsid w:val="00CE5C40"/>
    <w:rPr>
      <w:sz w:val="22"/>
    </w:rPr>
  </w:style>
  <w:style w:type="paragraph" w:styleId="Revision">
    <w:name w:val="Revision"/>
    <w:hidden/>
    <w:uiPriority w:val="99"/>
    <w:semiHidden/>
    <w:rsid w:val="009079F2"/>
    <w:rPr>
      <w:sz w:val="22"/>
    </w:rPr>
  </w:style>
  <w:style w:type="character" w:customStyle="1" w:styleId="ParaNumCharChar">
    <w:name w:val="ParaNum Char Char"/>
    <w:uiPriority w:val="99"/>
    <w:rsid w:val="00AB0386"/>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B63A1"/>
    <w:pPr>
      <w:widowControl w:val="0"/>
      <w:ind w:left="720"/>
      <w:contextualSpacing/>
    </w:pPr>
    <w:rPr>
      <w:snapToGrid w:val="0"/>
      <w:kern w:val="28"/>
    </w:rPr>
  </w:style>
  <w:style w:type="character" w:customStyle="1" w:styleId="UnresolvedMention1">
    <w:name w:val="Unresolved Mention1"/>
    <w:basedOn w:val="DefaultParagraphFont"/>
    <w:uiPriority w:val="99"/>
    <w:semiHidden/>
    <w:unhideWhenUsed/>
    <w:rsid w:val="00CC1DD7"/>
    <w:rPr>
      <w:color w:val="808080"/>
      <w:shd w:val="clear" w:color="auto" w:fill="E6E6E6"/>
    </w:rPr>
  </w:style>
  <w:style w:type="character" w:styleId="FollowedHyperlink">
    <w:name w:val="FollowedHyperlink"/>
    <w:basedOn w:val="DefaultParagraphFont"/>
    <w:semiHidden/>
    <w:unhideWhenUsed/>
    <w:rsid w:val="00CC1DD7"/>
    <w:rPr>
      <w:color w:val="800080" w:themeColor="followedHyperlink"/>
      <w:u w:val="single"/>
    </w:rPr>
  </w:style>
  <w:style w:type="character" w:customStyle="1" w:styleId="UnresolvedMention">
    <w:name w:val="Unresolved Mention"/>
    <w:basedOn w:val="DefaultParagraphFont"/>
    <w:rsid w:val="00C21E87"/>
    <w:rPr>
      <w:color w:val="605E5C"/>
      <w:shd w:val="clear" w:color="auto" w:fill="E1DFDD"/>
    </w:rPr>
  </w:style>
  <w:style w:type="character" w:styleId="Emphasis">
    <w:name w:val="Emphasis"/>
    <w:basedOn w:val="DefaultParagraphFont"/>
    <w:uiPriority w:val="20"/>
    <w:qFormat/>
    <w:rsid w:val="00C05921"/>
    <w:rPr>
      <w:i/>
      <w:iCs/>
    </w:rPr>
  </w:style>
  <w:style w:type="character" w:customStyle="1" w:styleId="normaltextrun">
    <w:name w:val="normaltextrun"/>
    <w:basedOn w:val="DefaultParagraphFont"/>
    <w:rsid w:val="00F852DF"/>
  </w:style>
  <w:style w:type="table" w:styleId="TableGrid">
    <w:name w:val="Table Grid"/>
    <w:basedOn w:val="TableNormal"/>
    <w:rsid w:val="00FB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18946/download" TargetMode="External" /><Relationship Id="rId2" Type="http://schemas.openxmlformats.org/officeDocument/2006/relationships/hyperlink" Target="http://transition.fcc.gov/form477/477inst.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