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3B58" w:rsidRPr="00BC4319" w:rsidP="00733B58" w14:paraId="34BC66CC"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3AC06E09"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034A2584"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4E8DEF0D" w14:textId="77777777">
      <w:pPr>
        <w:rPr>
          <w:szCs w:val="22"/>
        </w:rPr>
      </w:pPr>
    </w:p>
    <w:p w:rsidR="00733B58" w:rsidRPr="00BC4319" w:rsidP="00733B58" w14:paraId="3618A51C" w14:textId="77777777">
      <w:pPr>
        <w:rPr>
          <w:szCs w:val="22"/>
        </w:rPr>
      </w:pPr>
    </w:p>
    <w:tbl>
      <w:tblPr>
        <w:tblW w:w="0" w:type="auto"/>
        <w:tblLayout w:type="fixed"/>
        <w:tblLook w:val="0000"/>
      </w:tblPr>
      <w:tblGrid>
        <w:gridCol w:w="4698"/>
        <w:gridCol w:w="630"/>
        <w:gridCol w:w="4248"/>
      </w:tblGrid>
      <w:tr w14:paraId="0B669AF7" w14:textId="77777777" w:rsidTr="00630074">
        <w:tblPrEx>
          <w:tblW w:w="0" w:type="auto"/>
          <w:tblLayout w:type="fixed"/>
          <w:tblLook w:val="0000"/>
        </w:tblPrEx>
        <w:trPr>
          <w:trHeight w:val="1350"/>
        </w:trPr>
        <w:tc>
          <w:tcPr>
            <w:tcW w:w="4698" w:type="dxa"/>
          </w:tcPr>
          <w:p w:rsidR="00733B58" w:rsidRPr="00BC4319" w:rsidP="00E735D1" w14:paraId="6A82F66A" w14:textId="77777777">
            <w:pPr>
              <w:tabs>
                <w:tab w:val="center" w:pos="4680"/>
              </w:tabs>
              <w:suppressAutoHyphens/>
              <w:rPr>
                <w:spacing w:val="-2"/>
                <w:szCs w:val="22"/>
              </w:rPr>
            </w:pPr>
            <w:r w:rsidRPr="00BC4319">
              <w:rPr>
                <w:spacing w:val="-2"/>
                <w:szCs w:val="22"/>
              </w:rPr>
              <w:t>In the Matter of</w:t>
            </w:r>
          </w:p>
          <w:p w:rsidR="00733B58" w:rsidRPr="00BC4319" w:rsidP="00E735D1" w14:paraId="3D343925" w14:textId="77777777">
            <w:pPr>
              <w:tabs>
                <w:tab w:val="center" w:pos="4680"/>
              </w:tabs>
              <w:suppressAutoHyphens/>
              <w:rPr>
                <w:spacing w:val="-2"/>
                <w:szCs w:val="22"/>
              </w:rPr>
            </w:pPr>
          </w:p>
          <w:p w:rsidR="00733B58" w:rsidP="00E735D1" w14:paraId="178104DB" w14:textId="6FEE400F">
            <w:pPr>
              <w:rPr>
                <w:szCs w:val="22"/>
              </w:rPr>
            </w:pPr>
            <w:r>
              <w:rPr>
                <w:szCs w:val="22"/>
              </w:rPr>
              <w:t>WASHINGTON COUNTY NETWORK (WCCCA-C800-NEWBERG)</w:t>
            </w:r>
            <w:r w:rsidR="00B84577">
              <w:rPr>
                <w:szCs w:val="22"/>
              </w:rPr>
              <w:t>, BEAVERTON, OREGON</w:t>
            </w:r>
          </w:p>
          <w:p w:rsidR="00DB7C24" w:rsidRPr="00BC4319" w:rsidP="00E735D1" w14:paraId="4BA3F2D1" w14:textId="77777777">
            <w:pPr>
              <w:rPr>
                <w:szCs w:val="22"/>
              </w:rPr>
            </w:pPr>
          </w:p>
          <w:p w:rsidR="00733B58" w:rsidRPr="00BC4319" w:rsidP="00E735D1" w14:paraId="6BA70AAC"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02516505" w14:textId="77777777">
            <w:pPr>
              <w:tabs>
                <w:tab w:val="center" w:pos="4680"/>
              </w:tabs>
              <w:suppressAutoHyphens/>
              <w:rPr>
                <w:b/>
                <w:spacing w:val="-2"/>
                <w:szCs w:val="22"/>
              </w:rPr>
            </w:pPr>
            <w:r w:rsidRPr="00BC4319">
              <w:rPr>
                <w:b/>
                <w:spacing w:val="-2"/>
                <w:szCs w:val="22"/>
              </w:rPr>
              <w:t>)</w:t>
            </w:r>
          </w:p>
          <w:p w:rsidR="00733B58" w:rsidRPr="00BC4319" w:rsidP="00E735D1" w14:paraId="079D201A" w14:textId="77777777">
            <w:pPr>
              <w:tabs>
                <w:tab w:val="center" w:pos="4680"/>
              </w:tabs>
              <w:suppressAutoHyphens/>
              <w:rPr>
                <w:b/>
                <w:spacing w:val="-2"/>
                <w:szCs w:val="22"/>
              </w:rPr>
            </w:pPr>
            <w:r w:rsidRPr="00BC4319">
              <w:rPr>
                <w:b/>
                <w:spacing w:val="-2"/>
                <w:szCs w:val="22"/>
              </w:rPr>
              <w:t>)</w:t>
            </w:r>
          </w:p>
          <w:p w:rsidR="00733B58" w:rsidRPr="00BC4319" w:rsidP="00E735D1" w14:paraId="31E52A2A" w14:textId="77777777">
            <w:pPr>
              <w:tabs>
                <w:tab w:val="center" w:pos="4680"/>
              </w:tabs>
              <w:suppressAutoHyphens/>
              <w:rPr>
                <w:b/>
                <w:spacing w:val="-2"/>
                <w:szCs w:val="22"/>
              </w:rPr>
            </w:pPr>
            <w:r w:rsidRPr="00BC4319">
              <w:rPr>
                <w:b/>
                <w:spacing w:val="-2"/>
                <w:szCs w:val="22"/>
              </w:rPr>
              <w:t>)</w:t>
            </w:r>
          </w:p>
          <w:p w:rsidR="00733B58" w:rsidRPr="00BC4319" w:rsidP="00E735D1" w14:paraId="3F8F57E1" w14:textId="77777777">
            <w:pPr>
              <w:tabs>
                <w:tab w:val="center" w:pos="4680"/>
              </w:tabs>
              <w:suppressAutoHyphens/>
              <w:rPr>
                <w:b/>
                <w:spacing w:val="-2"/>
                <w:szCs w:val="22"/>
              </w:rPr>
            </w:pPr>
            <w:r w:rsidRPr="00BC4319">
              <w:rPr>
                <w:b/>
                <w:spacing w:val="-2"/>
                <w:szCs w:val="22"/>
              </w:rPr>
              <w:t>)</w:t>
            </w:r>
          </w:p>
          <w:p w:rsidR="00733B58" w:rsidP="00E735D1" w14:paraId="792B1A08" w14:textId="77777777">
            <w:pPr>
              <w:tabs>
                <w:tab w:val="center" w:pos="4680"/>
              </w:tabs>
              <w:suppressAutoHyphens/>
              <w:rPr>
                <w:b/>
                <w:spacing w:val="-2"/>
                <w:szCs w:val="22"/>
              </w:rPr>
            </w:pPr>
            <w:r w:rsidRPr="00BC4319">
              <w:rPr>
                <w:b/>
                <w:spacing w:val="-2"/>
                <w:szCs w:val="22"/>
              </w:rPr>
              <w:t>)</w:t>
            </w:r>
          </w:p>
          <w:p w:rsidR="00C15B9B" w:rsidRPr="00BC4319" w:rsidP="00E735D1" w14:paraId="05928B69" w14:textId="77777777">
            <w:pPr>
              <w:tabs>
                <w:tab w:val="center" w:pos="4680"/>
              </w:tabs>
              <w:suppressAutoHyphens/>
              <w:rPr>
                <w:b/>
                <w:spacing w:val="-2"/>
                <w:szCs w:val="22"/>
              </w:rPr>
            </w:pPr>
            <w:r w:rsidRPr="001B4B42">
              <w:rPr>
                <w:color w:val="000000"/>
                <w:szCs w:val="22"/>
              </w:rPr>
              <w:t>)</w:t>
            </w:r>
          </w:p>
        </w:tc>
        <w:tc>
          <w:tcPr>
            <w:tcW w:w="4248" w:type="dxa"/>
          </w:tcPr>
          <w:p w:rsidR="00733B58" w:rsidRPr="00BC4319" w:rsidP="00E735D1" w14:paraId="61FB0133" w14:textId="77777777">
            <w:pPr>
              <w:tabs>
                <w:tab w:val="center" w:pos="4680"/>
              </w:tabs>
              <w:suppressAutoHyphens/>
              <w:rPr>
                <w:spacing w:val="-2"/>
                <w:szCs w:val="22"/>
              </w:rPr>
            </w:pPr>
          </w:p>
          <w:p w:rsidR="009D4AD3" w:rsidP="00630074" w14:paraId="2660C65A" w14:textId="77777777">
            <w:pPr>
              <w:pStyle w:val="TOAHeading"/>
              <w:tabs>
                <w:tab w:val="left" w:pos="915"/>
                <w:tab w:val="clear" w:pos="9360"/>
              </w:tabs>
              <w:rPr>
                <w:spacing w:val="-2"/>
                <w:szCs w:val="22"/>
              </w:rPr>
            </w:pPr>
            <w:r>
              <w:rPr>
                <w:spacing w:val="-2"/>
                <w:szCs w:val="22"/>
              </w:rPr>
              <w:tab/>
            </w:r>
          </w:p>
          <w:p w:rsidR="009D4AD3" w:rsidP="00630074" w14:paraId="28FC6053" w14:textId="77777777">
            <w:pPr>
              <w:pStyle w:val="TOAHeading"/>
              <w:tabs>
                <w:tab w:val="left" w:pos="915"/>
                <w:tab w:val="clear" w:pos="9360"/>
              </w:tabs>
              <w:rPr>
                <w:spacing w:val="-2"/>
                <w:szCs w:val="22"/>
              </w:rPr>
            </w:pPr>
          </w:p>
          <w:p w:rsidR="00733B58" w:rsidP="00630074" w14:paraId="7569FB5C" w14:textId="69A63998">
            <w:pPr>
              <w:pStyle w:val="TOAHeading"/>
              <w:tabs>
                <w:tab w:val="left" w:pos="915"/>
                <w:tab w:val="clear" w:pos="9360"/>
              </w:tabs>
              <w:rPr>
                <w:spacing w:val="-2"/>
                <w:szCs w:val="22"/>
              </w:rPr>
            </w:pPr>
            <w:r>
              <w:rPr>
                <w:spacing w:val="-2"/>
                <w:szCs w:val="22"/>
              </w:rPr>
              <w:t xml:space="preserve">Call Sign </w:t>
            </w:r>
            <w:r w:rsidR="00DB7C24">
              <w:rPr>
                <w:spacing w:val="-2"/>
                <w:szCs w:val="22"/>
              </w:rPr>
              <w:t>WRBK826</w:t>
            </w:r>
          </w:p>
          <w:p w:rsidR="00630074" w:rsidRPr="00630074" w:rsidP="00630074" w14:paraId="7DDCDF98" w14:textId="77777777"/>
          <w:p w:rsidR="00733B58" w:rsidRPr="005B6304" w:rsidP="00630074" w14:paraId="1D7ACF12" w14:textId="77777777">
            <w:pPr>
              <w:tabs>
                <w:tab w:val="left" w:pos="960"/>
              </w:tabs>
              <w:suppressAutoHyphens/>
              <w:rPr>
                <w:spacing w:val="-2"/>
                <w:szCs w:val="22"/>
              </w:rPr>
            </w:pPr>
            <w:r>
              <w:rPr>
                <w:spacing w:val="-2"/>
                <w:szCs w:val="22"/>
              </w:rPr>
              <w:tab/>
            </w:r>
          </w:p>
        </w:tc>
      </w:tr>
    </w:tbl>
    <w:p w:rsidR="00733B58" w:rsidRPr="001B4B42" w:rsidP="00733B58" w14:paraId="7A53BCC2" w14:textId="77777777">
      <w:pPr>
        <w:rPr>
          <w:szCs w:val="22"/>
        </w:rPr>
      </w:pPr>
    </w:p>
    <w:p w:rsidR="00733B58" w:rsidRPr="005B6304" w:rsidP="00733B58" w14:paraId="797D662B" w14:textId="77777777">
      <w:pPr>
        <w:pStyle w:val="StyleBoldCentered"/>
        <w:rPr>
          <w:rFonts w:ascii="Times New Roman" w:hAnsi="Times New Roman"/>
        </w:rPr>
      </w:pPr>
      <w:r w:rsidRPr="005B6304">
        <w:rPr>
          <w:rFonts w:ascii="Times New Roman" w:hAnsi="Times New Roman"/>
        </w:rPr>
        <w:t>Order</w:t>
      </w:r>
    </w:p>
    <w:p w:rsidR="00733B58" w:rsidRPr="001B4B42" w:rsidP="00733B58" w14:paraId="5AC57E06" w14:textId="77777777">
      <w:pPr>
        <w:tabs>
          <w:tab w:val="left" w:pos="-720"/>
        </w:tabs>
        <w:suppressAutoHyphens/>
        <w:spacing w:line="227" w:lineRule="auto"/>
        <w:rPr>
          <w:spacing w:val="-2"/>
          <w:szCs w:val="22"/>
        </w:rPr>
      </w:pPr>
    </w:p>
    <w:p w:rsidR="00733B58" w:rsidRPr="005B6304" w:rsidP="00733B58" w14:paraId="65809680" w14:textId="7907F3B4">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9D4AD3">
        <w:rPr>
          <w:b/>
          <w:spacing w:val="-2"/>
          <w:szCs w:val="22"/>
        </w:rPr>
        <w:t>October 13</w:t>
      </w:r>
      <w:r w:rsidR="00131C92">
        <w:rPr>
          <w:b/>
          <w:spacing w:val="-2"/>
          <w:szCs w:val="22"/>
        </w:rPr>
        <w:t>, 20</w:t>
      </w:r>
      <w:r w:rsidR="00EC7E21">
        <w:rPr>
          <w:b/>
          <w:spacing w:val="-2"/>
          <w:szCs w:val="22"/>
        </w:rPr>
        <w:t>20</w:t>
      </w:r>
      <w:r w:rsidRPr="005B6304">
        <w:rPr>
          <w:b/>
          <w:spacing w:val="-2"/>
          <w:szCs w:val="22"/>
        </w:rPr>
        <w:tab/>
        <w:t>Released:</w:t>
      </w:r>
      <w:r w:rsidR="00131C92">
        <w:rPr>
          <w:b/>
          <w:spacing w:val="-2"/>
          <w:szCs w:val="22"/>
        </w:rPr>
        <w:t xml:space="preserve"> </w:t>
      </w:r>
      <w:r w:rsidR="009D4AD3">
        <w:rPr>
          <w:b/>
          <w:spacing w:val="-2"/>
          <w:szCs w:val="22"/>
        </w:rPr>
        <w:t>October 14</w:t>
      </w:r>
      <w:r w:rsidR="00131C92">
        <w:rPr>
          <w:b/>
          <w:spacing w:val="-2"/>
          <w:szCs w:val="22"/>
        </w:rPr>
        <w:t>, 2</w:t>
      </w:r>
      <w:r w:rsidR="00C458F6">
        <w:rPr>
          <w:b/>
          <w:spacing w:val="-2"/>
          <w:szCs w:val="22"/>
        </w:rPr>
        <w:t>0</w:t>
      </w:r>
      <w:r w:rsidR="00EC7E21">
        <w:rPr>
          <w:b/>
          <w:spacing w:val="-2"/>
          <w:szCs w:val="22"/>
        </w:rPr>
        <w:t>20</w:t>
      </w:r>
      <w:r w:rsidRPr="005B6304">
        <w:rPr>
          <w:b/>
          <w:spacing w:val="-2"/>
          <w:szCs w:val="22"/>
        </w:rPr>
        <w:t xml:space="preserve"> </w:t>
      </w:r>
    </w:p>
    <w:p w:rsidR="00733B58" w:rsidRPr="005B6304" w:rsidP="00733B58" w14:paraId="111AA30A" w14:textId="77777777">
      <w:pPr>
        <w:rPr>
          <w:szCs w:val="22"/>
        </w:rPr>
      </w:pPr>
    </w:p>
    <w:p w:rsidR="00733B58" w:rsidRPr="001B4B42" w:rsidP="00733B58" w14:paraId="45ED77BF"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217AE4E" w14:textId="77777777">
      <w:pPr>
        <w:rPr>
          <w:szCs w:val="22"/>
        </w:rPr>
      </w:pPr>
    </w:p>
    <w:p w:rsidR="00733B58" w:rsidRPr="00BE4E1E" w:rsidP="00733B58" w14:paraId="2186D0F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4C0B330D" w14:textId="7B392A1C">
      <w:pPr>
        <w:pStyle w:val="ParaNum"/>
      </w:pPr>
      <w:r w:rsidRPr="4439A411">
        <w:t>On Ma</w:t>
      </w:r>
      <w:r w:rsidR="00DB7C24">
        <w:t>y</w:t>
      </w:r>
      <w:r w:rsidRPr="4439A411">
        <w:t xml:space="preserve"> 2</w:t>
      </w:r>
      <w:r w:rsidR="00DB7C24">
        <w:t>4</w:t>
      </w:r>
      <w:r w:rsidRPr="4439A411">
        <w:t>, 2019</w:t>
      </w:r>
      <w:r w:rsidR="002C02CD">
        <w:t>,</w:t>
      </w:r>
      <w:r w:rsidRPr="4439A411">
        <w:t xml:space="preserve"> </w:t>
      </w:r>
      <w:r w:rsidR="00DB7C24">
        <w:t>the Washington County Network (WCCCA-C800-NEWBERG) (WCN</w:t>
      </w:r>
      <w:r w:rsidRPr="4439A411" w:rsidR="007E43DB">
        <w:t>)</w:t>
      </w:r>
      <w:r w:rsidRPr="4439A411" w:rsidR="00565E93">
        <w:t xml:space="preserve"> </w:t>
      </w:r>
      <w:r w:rsidRPr="005B6304">
        <w:t xml:space="preserve">filed a Petition for Reconsideration </w:t>
      </w:r>
      <w:r w:rsidR="00CB50C8">
        <w:t xml:space="preserve">(Petition) </w:t>
      </w:r>
      <w:r w:rsidRPr="005B6304">
        <w:t xml:space="preserve">of the Commission’s notice </w:t>
      </w:r>
      <w:r w:rsidR="00C537DC">
        <w:t xml:space="preserve">terminating </w:t>
      </w:r>
      <w:r w:rsidR="00DB7C24">
        <w:t>WCN</w:t>
      </w:r>
      <w:r w:rsidR="00355994">
        <w:t xml:space="preserve">’s </w:t>
      </w:r>
      <w:r w:rsidRPr="001B4B42">
        <w:t xml:space="preserve">license to </w:t>
      </w:r>
      <w:r w:rsidRPr="001B4B42" w:rsidR="00620AAF">
        <w:t xml:space="preserve">operate </w:t>
      </w:r>
      <w:r w:rsidRPr="001B4B42">
        <w:t xml:space="preserve">under </w:t>
      </w:r>
      <w:bookmarkStart w:id="0" w:name="_Hlk526432993"/>
      <w:r w:rsidRPr="001B4B42">
        <w:t>call sign</w:t>
      </w:r>
      <w:bookmarkEnd w:id="0"/>
      <w:r w:rsidR="00DB7C24">
        <w:t xml:space="preserve"> </w:t>
      </w:r>
      <w:bookmarkStart w:id="1" w:name="_Hlk45813064"/>
      <w:r w:rsidR="00DB7C24">
        <w:t>WRBK826</w:t>
      </w:r>
      <w:bookmarkEnd w:id="1"/>
      <w:r w:rsidRPr="001B4B42">
        <w:t>.</w:t>
      </w:r>
      <w:r>
        <w:rPr>
          <w:rStyle w:val="FootnoteReference"/>
          <w:sz w:val="22"/>
          <w:szCs w:val="22"/>
        </w:rPr>
        <w:footnoteReference w:id="2"/>
      </w:r>
      <w:r w:rsidRPr="005B6304">
        <w:t xml:space="preserve">  </w:t>
      </w:r>
      <w:r w:rsidR="00A804C7">
        <w:t>For the reasons stated below, w</w:t>
      </w:r>
      <w:r w:rsidR="006B4C65">
        <w:t xml:space="preserve">e </w:t>
      </w:r>
      <w:r w:rsidR="000A78D3">
        <w:t xml:space="preserve">deny </w:t>
      </w:r>
      <w:r w:rsidR="006B4C65">
        <w:t>the Petition</w:t>
      </w:r>
      <w:r w:rsidR="0004327E">
        <w:t xml:space="preserve"> but reinstate WCN’s license with respect to its constructed </w:t>
      </w:r>
      <w:r w:rsidR="00FA18B4">
        <w:t>l</w:t>
      </w:r>
      <w:r w:rsidR="0004327E">
        <w:t>ocations</w:t>
      </w:r>
      <w:r w:rsidR="000A78D3">
        <w:t>.</w:t>
      </w:r>
      <w:r w:rsidRPr="001B4B42">
        <w:t xml:space="preserve"> </w:t>
      </w:r>
    </w:p>
    <w:p w:rsidR="00733B58" w:rsidRPr="00BE4E1E" w:rsidP="00733B58" w14:paraId="64B250B6" w14:textId="77777777">
      <w:pPr>
        <w:pStyle w:val="Heading1"/>
        <w:rPr>
          <w:rFonts w:ascii="Times New Roman" w:hAnsi="Times New Roman"/>
          <w:szCs w:val="22"/>
        </w:rPr>
      </w:pPr>
      <w:r w:rsidRPr="00BE4E1E">
        <w:rPr>
          <w:rFonts w:ascii="Times New Roman" w:hAnsi="Times New Roman"/>
          <w:szCs w:val="22"/>
        </w:rPr>
        <w:t>background</w:t>
      </w:r>
    </w:p>
    <w:p w:rsidR="00BE0155" w:rsidP="00BD76D6" w14:paraId="27CF51E7" w14:textId="1DAD01E7">
      <w:pPr>
        <w:pStyle w:val="ParaNum"/>
      </w:pPr>
      <w:r w:rsidRPr="4439A411">
        <w:rPr>
          <w:color w:val="212121"/>
        </w:rPr>
        <w:t xml:space="preserve">On </w:t>
      </w:r>
      <w:r>
        <w:rPr>
          <w:color w:val="212121"/>
        </w:rPr>
        <w:t>February 16, 2019</w:t>
      </w:r>
      <w:r w:rsidRPr="4439A411">
        <w:rPr>
          <w:color w:val="212121"/>
        </w:rPr>
        <w:t xml:space="preserve">, the Commission’s Universal Licensing System (ULS) sent a </w:t>
      </w:r>
      <w:r w:rsidRPr="000376D8">
        <w:rPr>
          <w:color w:val="212121"/>
        </w:rPr>
        <w:t>construction reminder to WCN a</w:t>
      </w:r>
      <w:r>
        <w:rPr>
          <w:color w:val="212121"/>
        </w:rPr>
        <w:t>lerting</w:t>
      </w:r>
      <w:r w:rsidRPr="000376D8">
        <w:rPr>
          <w:color w:val="212121"/>
        </w:rPr>
        <w:t xml:space="preserve"> it of the pending construction deadline for the</w:t>
      </w:r>
      <w:r>
        <w:rPr>
          <w:color w:val="212121"/>
        </w:rPr>
        <w:t xml:space="preserve"> license and establishing </w:t>
      </w:r>
      <w:r w:rsidR="004C76E5">
        <w:rPr>
          <w:color w:val="212121"/>
        </w:rPr>
        <w:t>May</w:t>
      </w:r>
      <w:r>
        <w:rPr>
          <w:color w:val="212121"/>
        </w:rPr>
        <w:t xml:space="preserve"> </w:t>
      </w:r>
      <w:r w:rsidR="00BF0F53">
        <w:rPr>
          <w:color w:val="212121"/>
        </w:rPr>
        <w:t>16, 2019</w:t>
      </w:r>
      <w:r w:rsidR="00B168B2">
        <w:rPr>
          <w:color w:val="212121"/>
        </w:rPr>
        <w:t xml:space="preserve"> </w:t>
      </w:r>
      <w:r>
        <w:rPr>
          <w:color w:val="212121"/>
        </w:rPr>
        <w:t xml:space="preserve">as the deadline for WCN </w:t>
      </w:r>
      <w:r w:rsidR="00B168B2">
        <w:rPr>
          <w:color w:val="212121"/>
        </w:rPr>
        <w:t>to file a</w:t>
      </w:r>
      <w:r w:rsidR="008C4A55">
        <w:rPr>
          <w:color w:val="212121"/>
        </w:rPr>
        <w:t xml:space="preserve"> Notice of Construction </w:t>
      </w:r>
      <w:r w:rsidRPr="4439A411" w:rsidR="003146C7">
        <w:rPr>
          <w:color w:val="212121"/>
        </w:rPr>
        <w:t xml:space="preserve">for </w:t>
      </w:r>
      <w:r w:rsidR="00B84577">
        <w:rPr>
          <w:color w:val="212121"/>
        </w:rPr>
        <w:t xml:space="preserve">call sign </w:t>
      </w:r>
      <w:r w:rsidR="00DB7C24">
        <w:rPr>
          <w:color w:val="212121"/>
        </w:rPr>
        <w:t>WRBK826</w:t>
      </w:r>
      <w:r w:rsidRPr="4439A411" w:rsidR="007717E4">
        <w:rPr>
          <w:color w:val="212121"/>
        </w:rPr>
        <w:t>.</w:t>
      </w:r>
      <w:r w:rsidRPr="00B86901">
        <w:rPr>
          <w:rStyle w:val="FootnoteReference"/>
          <w:sz w:val="22"/>
          <w:szCs w:val="22"/>
        </w:rPr>
        <w:t xml:space="preserve"> </w:t>
      </w:r>
      <w:r>
        <w:rPr>
          <w:rStyle w:val="FootnoteReference"/>
          <w:sz w:val="22"/>
          <w:szCs w:val="22"/>
        </w:rPr>
        <w:footnoteReference w:id="3"/>
      </w:r>
      <w:r w:rsidRPr="4439A411">
        <w:t xml:space="preserve"> </w:t>
      </w:r>
      <w:r w:rsidRPr="4439A411" w:rsidR="007717E4">
        <w:rPr>
          <w:color w:val="212121"/>
        </w:rPr>
        <w:t xml:space="preserve"> </w:t>
      </w:r>
      <w:r>
        <w:rPr>
          <w:color w:val="212121"/>
        </w:rPr>
        <w:t xml:space="preserve">WCN did not file </w:t>
      </w:r>
      <w:r w:rsidR="000A78D3">
        <w:rPr>
          <w:color w:val="212121"/>
        </w:rPr>
        <w:t>a</w:t>
      </w:r>
      <w:r>
        <w:rPr>
          <w:color w:val="212121"/>
        </w:rPr>
        <w:t xml:space="preserve"> notification, and o</w:t>
      </w:r>
      <w:r w:rsidRPr="4439A411" w:rsidR="00AF46E1">
        <w:t xml:space="preserve">n </w:t>
      </w:r>
      <w:r w:rsidR="000376D8">
        <w:t>May 22, 2019</w:t>
      </w:r>
      <w:r w:rsidR="002C02CD">
        <w:t>,</w:t>
      </w:r>
      <w:r w:rsidRPr="4439A411" w:rsidR="00AF46E1">
        <w:t xml:space="preserve"> ULS issued </w:t>
      </w:r>
      <w:r w:rsidR="00931490">
        <w:t xml:space="preserve">WCN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Pr="4439A411" w:rsidR="00C537DC">
        <w:t>deadline</w:t>
      </w:r>
      <w:r w:rsidR="00CB2F61">
        <w:t xml:space="preserve"> </w:t>
      </w:r>
      <w:r w:rsidRPr="4439A411" w:rsidR="00C537DC">
        <w:t xml:space="preserve">had passed and </w:t>
      </w:r>
      <w:r w:rsidRPr="4439A411" w:rsidR="003146C7">
        <w:t xml:space="preserve">that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4"/>
      </w:r>
      <w:r w:rsidRPr="4439A411" w:rsidR="00AF46E1">
        <w:t xml:space="preserve">  </w:t>
      </w:r>
      <w:r w:rsidR="00791CD9">
        <w:t>O</w:t>
      </w:r>
      <w:r w:rsidRPr="00BC2358" w:rsidR="00BD76D6">
        <w:t xml:space="preserve">n </w:t>
      </w:r>
      <w:r w:rsidR="00BD76D6">
        <w:t>Ma</w:t>
      </w:r>
      <w:r w:rsidR="00DB7C24">
        <w:t>y</w:t>
      </w:r>
      <w:r w:rsidR="00BD76D6">
        <w:t xml:space="preserve"> 2</w:t>
      </w:r>
      <w:r w:rsidR="00DB7C24">
        <w:t>4</w:t>
      </w:r>
      <w:r w:rsidR="00BD76D6">
        <w:t>, 2019</w:t>
      </w:r>
      <w:r w:rsidR="00EC7E21">
        <w:t>,</w:t>
      </w:r>
      <w:r w:rsidR="0032311E">
        <w:t xml:space="preserve"> </w:t>
      </w:r>
      <w:r w:rsidR="00DB7C24">
        <w:t>WCN</w:t>
      </w:r>
      <w:r w:rsidR="00BD76D6">
        <w:t xml:space="preserve"> </w:t>
      </w:r>
      <w:r w:rsidR="00944497">
        <w:t xml:space="preserve">timely </w:t>
      </w:r>
      <w:r w:rsidRPr="00BC2358" w:rsidR="00BD76D6">
        <w:t>filed the instant Petition.</w:t>
      </w:r>
      <w:r>
        <w:rPr>
          <w:rStyle w:val="FootnoteReference"/>
          <w:sz w:val="22"/>
          <w:szCs w:val="22"/>
        </w:rPr>
        <w:footnoteReference w:id="5"/>
      </w:r>
      <w:r w:rsidRPr="00BC2358" w:rsidR="00BD76D6">
        <w:t xml:space="preserve">  </w:t>
      </w:r>
    </w:p>
    <w:p w:rsidR="00FF1C64" w:rsidRPr="00CB2F61" w:rsidP="002C02CD" w14:paraId="5785C117" w14:textId="6C101B4E">
      <w:pPr>
        <w:pStyle w:val="ParaNum"/>
      </w:pPr>
      <w:r>
        <w:t>WCN</w:t>
      </w:r>
      <w:r>
        <w:t xml:space="preserve"> concedes that </w:t>
      </w:r>
      <w:r>
        <w:t xml:space="preserve">it did not submit the </w:t>
      </w:r>
      <w:r w:rsidR="0032311E">
        <w:t>r</w:t>
      </w:r>
      <w:r w:rsidR="00CB2F61">
        <w:t>equired Notice of Construction</w:t>
      </w:r>
      <w:r>
        <w:t xml:space="preserve"> to the Commission by the deadline</w:t>
      </w:r>
      <w:r>
        <w:t>.</w:t>
      </w:r>
      <w:r>
        <w:rPr>
          <w:rStyle w:val="FootnoteReference"/>
        </w:rPr>
        <w:footnoteReference w:id="6"/>
      </w:r>
      <w:r>
        <w:t xml:space="preserve"> </w:t>
      </w:r>
      <w:r w:rsidR="000A78D3">
        <w:t xml:space="preserve"> It </w:t>
      </w:r>
      <w:r>
        <w:t>contends, however</w:t>
      </w:r>
      <w:r w:rsidR="00791CD9">
        <w:t>,</w:t>
      </w:r>
      <w:r>
        <w:t xml:space="preserve"> that it failed to </w:t>
      </w:r>
      <w:r w:rsidRPr="4439A411">
        <w:rPr>
          <w:rFonts w:eastAsiaTheme="minorEastAsia"/>
        </w:rPr>
        <w:t>fil</w:t>
      </w:r>
      <w:r w:rsidR="006A3FE8">
        <w:rPr>
          <w:rFonts w:eastAsiaTheme="minorEastAsia"/>
        </w:rPr>
        <w:t xml:space="preserve">e the </w:t>
      </w:r>
      <w:r w:rsidR="002C02CD">
        <w:rPr>
          <w:rFonts w:eastAsiaTheme="minorEastAsia"/>
        </w:rPr>
        <w:t xml:space="preserve">notice </w:t>
      </w:r>
      <w:r w:rsidR="00317E58">
        <w:rPr>
          <w:rFonts w:eastAsiaTheme="minorEastAsia"/>
        </w:rPr>
        <w:t xml:space="preserve">on time </w:t>
      </w:r>
      <w:r w:rsidR="00931490">
        <w:rPr>
          <w:rFonts w:eastAsiaTheme="minorEastAsia"/>
        </w:rPr>
        <w:t xml:space="preserve">because </w:t>
      </w:r>
      <w:r w:rsidR="002C02CD">
        <w:rPr>
          <w:rFonts w:eastAsiaTheme="minorEastAsia"/>
        </w:rPr>
        <w:t xml:space="preserve">its systems architect, </w:t>
      </w:r>
      <w:r w:rsidR="00B168B2">
        <w:rPr>
          <w:rFonts w:eastAsiaTheme="minorEastAsia"/>
        </w:rPr>
        <w:t xml:space="preserve">a critical member of </w:t>
      </w:r>
      <w:r w:rsidR="002C02CD">
        <w:rPr>
          <w:rFonts w:eastAsiaTheme="minorEastAsia"/>
        </w:rPr>
        <w:t>the</w:t>
      </w:r>
      <w:r w:rsidR="00B168B2">
        <w:rPr>
          <w:rFonts w:eastAsiaTheme="minorEastAsia"/>
        </w:rPr>
        <w:t xml:space="preserve"> communications team</w:t>
      </w:r>
      <w:r w:rsidR="002C02CD">
        <w:rPr>
          <w:rFonts w:eastAsiaTheme="minorEastAsia"/>
        </w:rPr>
        <w:t xml:space="preserve"> </w:t>
      </w:r>
      <w:r w:rsidR="00B168B2">
        <w:rPr>
          <w:rFonts w:eastAsiaTheme="minorEastAsia"/>
        </w:rPr>
        <w:t xml:space="preserve">who handles </w:t>
      </w:r>
      <w:r w:rsidR="006A3FE8">
        <w:rPr>
          <w:rFonts w:eastAsiaTheme="minorEastAsia"/>
        </w:rPr>
        <w:t>FCC licensing for</w:t>
      </w:r>
      <w:r w:rsidR="00931490">
        <w:rPr>
          <w:rFonts w:eastAsiaTheme="minorEastAsia"/>
        </w:rPr>
        <w:t xml:space="preserve"> WCN</w:t>
      </w:r>
      <w:r w:rsidR="002C02CD">
        <w:rPr>
          <w:rFonts w:eastAsiaTheme="minorEastAsia"/>
        </w:rPr>
        <w:t>,</w:t>
      </w:r>
      <w:r w:rsidR="00931490">
        <w:rPr>
          <w:rFonts w:eastAsiaTheme="minorEastAsia"/>
        </w:rPr>
        <w:t xml:space="preserve"> was </w:t>
      </w:r>
      <w:r w:rsidR="00B168B2">
        <w:rPr>
          <w:rFonts w:eastAsiaTheme="minorEastAsia"/>
        </w:rPr>
        <w:t xml:space="preserve">not available </w:t>
      </w:r>
      <w:r w:rsidR="00317E58">
        <w:rPr>
          <w:rFonts w:eastAsiaTheme="minorEastAsia"/>
        </w:rPr>
        <w:t>due to</w:t>
      </w:r>
      <w:r w:rsidR="00B168B2">
        <w:rPr>
          <w:rFonts w:eastAsiaTheme="minorEastAsia"/>
        </w:rPr>
        <w:t xml:space="preserve"> </w:t>
      </w:r>
      <w:r w:rsidR="00D82EB5">
        <w:rPr>
          <w:rFonts w:eastAsiaTheme="minorEastAsia"/>
        </w:rPr>
        <w:t>a medical emergency</w:t>
      </w:r>
      <w:r w:rsidRPr="4439A411">
        <w:rPr>
          <w:rFonts w:eastAsiaTheme="minorEastAsia"/>
        </w:rPr>
        <w:t>.</w:t>
      </w:r>
      <w:r>
        <w:rPr>
          <w:rStyle w:val="FootnoteReference"/>
          <w:rFonts w:eastAsiaTheme="minorEastAsia"/>
          <w:sz w:val="22"/>
          <w:szCs w:val="22"/>
        </w:rPr>
        <w:footnoteReference w:id="7"/>
      </w:r>
      <w:r w:rsidRPr="4439A411">
        <w:rPr>
          <w:rFonts w:eastAsiaTheme="minorEastAsia"/>
        </w:rPr>
        <w:t xml:space="preserve"> </w:t>
      </w:r>
      <w:r w:rsidR="002C02CD">
        <w:rPr>
          <w:rFonts w:eastAsiaTheme="minorEastAsia"/>
        </w:rPr>
        <w:t xml:space="preserve"> </w:t>
      </w:r>
      <w:r w:rsidRPr="002C02CD">
        <w:rPr>
          <w:rFonts w:eastAsiaTheme="minorEastAsia"/>
        </w:rPr>
        <w:t>Specifically,</w:t>
      </w:r>
      <w:r w:rsidRPr="002C02CD" w:rsidR="006A3FE8">
        <w:rPr>
          <w:rFonts w:eastAsiaTheme="minorEastAsia"/>
        </w:rPr>
        <w:t xml:space="preserve"> </w:t>
      </w:r>
      <w:r w:rsidRPr="002C02CD" w:rsidR="00821BE8">
        <w:rPr>
          <w:rFonts w:eastAsiaTheme="minorEastAsia"/>
        </w:rPr>
        <w:t xml:space="preserve">WCN asserts that </w:t>
      </w:r>
      <w:r w:rsidRPr="002C02CD" w:rsidR="00B84577">
        <w:rPr>
          <w:rFonts w:eastAsiaTheme="minorEastAsia"/>
        </w:rPr>
        <w:t>t</w:t>
      </w:r>
      <w:r w:rsidRPr="002C02CD" w:rsidR="00B168B2">
        <w:rPr>
          <w:rFonts w:eastAsiaTheme="minorEastAsia"/>
        </w:rPr>
        <w:t xml:space="preserve">he </w:t>
      </w:r>
      <w:r w:rsidRPr="002C02CD" w:rsidR="00B84577">
        <w:rPr>
          <w:rFonts w:eastAsiaTheme="minorEastAsia"/>
        </w:rPr>
        <w:t xml:space="preserve">systems architect </w:t>
      </w:r>
      <w:r w:rsidRPr="002C02CD" w:rsidR="006A3FE8">
        <w:rPr>
          <w:rFonts w:eastAsiaTheme="minorEastAsia"/>
        </w:rPr>
        <w:t>underwent heart surgery on February 8, 2019</w:t>
      </w:r>
      <w:r w:rsidR="002C02CD">
        <w:rPr>
          <w:rFonts w:eastAsiaTheme="minorEastAsia"/>
        </w:rPr>
        <w:t xml:space="preserve">, </w:t>
      </w:r>
      <w:r w:rsidRPr="002C02CD" w:rsidR="00B168B2">
        <w:rPr>
          <w:rFonts w:eastAsiaTheme="minorEastAsia"/>
        </w:rPr>
        <w:t xml:space="preserve">was unable to </w:t>
      </w:r>
      <w:r w:rsidRPr="002C02CD" w:rsidR="00931490">
        <w:rPr>
          <w:rFonts w:eastAsiaTheme="minorEastAsia"/>
        </w:rPr>
        <w:t>work until April 1, 2019</w:t>
      </w:r>
      <w:r w:rsidR="002C02CD">
        <w:rPr>
          <w:rFonts w:eastAsiaTheme="minorEastAsia"/>
        </w:rPr>
        <w:t xml:space="preserve">, and </w:t>
      </w:r>
      <w:r w:rsidRPr="002C02CD" w:rsidR="00490471">
        <w:rPr>
          <w:rFonts w:eastAsiaTheme="minorEastAsia"/>
        </w:rPr>
        <w:t>work</w:t>
      </w:r>
      <w:r w:rsidR="002C02CD">
        <w:rPr>
          <w:rFonts w:eastAsiaTheme="minorEastAsia"/>
        </w:rPr>
        <w:t>ed</w:t>
      </w:r>
      <w:r w:rsidRPr="002C02CD" w:rsidR="00490471">
        <w:rPr>
          <w:rFonts w:eastAsiaTheme="minorEastAsia"/>
        </w:rPr>
        <w:t xml:space="preserve"> </w:t>
      </w:r>
      <w:r w:rsidRPr="002C02CD" w:rsidR="00931490">
        <w:rPr>
          <w:rFonts w:eastAsiaTheme="minorEastAsia"/>
        </w:rPr>
        <w:t>limited hours throughout April and May</w:t>
      </w:r>
      <w:r w:rsidRPr="002C02CD">
        <w:rPr>
          <w:rFonts w:eastAsiaTheme="minorEastAsia"/>
        </w:rPr>
        <w:t>.</w:t>
      </w:r>
      <w:r>
        <w:rPr>
          <w:rStyle w:val="FootnoteReference"/>
          <w:rFonts w:eastAsiaTheme="minorEastAsia"/>
        </w:rPr>
        <w:footnoteReference w:id="8"/>
      </w:r>
      <w:r w:rsidRPr="002C02CD" w:rsidR="00D82EB5">
        <w:rPr>
          <w:rFonts w:eastAsiaTheme="minorEastAsia"/>
        </w:rPr>
        <w:t xml:space="preserve">  </w:t>
      </w:r>
    </w:p>
    <w:p w:rsidR="00CB2F61" w:rsidRPr="00B83786" w:rsidP="00BD76D6" w14:paraId="414D75B5" w14:textId="262B50EF">
      <w:pPr>
        <w:pStyle w:val="ParaNum"/>
      </w:pPr>
      <w:r>
        <w:t xml:space="preserve">WCN </w:t>
      </w:r>
      <w:r w:rsidR="000A78D3">
        <w:t>contends</w:t>
      </w:r>
      <w:r w:rsidR="00490471">
        <w:t xml:space="preserve"> </w:t>
      </w:r>
      <w:r>
        <w:t>that</w:t>
      </w:r>
      <w:r w:rsidR="000A78D3">
        <w:t>,</w:t>
      </w:r>
      <w:r w:rsidR="00490471">
        <w:t xml:space="preserve"> while it failed to </w:t>
      </w:r>
      <w:r w:rsidR="00B84577">
        <w:t>file</w:t>
      </w:r>
      <w:r w:rsidR="00B86901">
        <w:t xml:space="preserve"> a timely </w:t>
      </w:r>
      <w:r w:rsidR="00B84577">
        <w:t xml:space="preserve">construction notification, </w:t>
      </w:r>
      <w:r>
        <w:t xml:space="preserve">it </w:t>
      </w:r>
      <w:r w:rsidR="00B84577">
        <w:t xml:space="preserve">did </w:t>
      </w:r>
      <w:r>
        <w:t>me</w:t>
      </w:r>
      <w:r w:rsidR="00B84577">
        <w:t>e</w:t>
      </w:r>
      <w:r>
        <w:t>t the construction deadline</w:t>
      </w:r>
      <w:r w:rsidR="00821BE8">
        <w:t xml:space="preserve"> for </w:t>
      </w:r>
      <w:r w:rsidR="000A78D3">
        <w:t>most</w:t>
      </w:r>
      <w:r w:rsidR="00821BE8">
        <w:t xml:space="preserve"> of the </w:t>
      </w:r>
      <w:r w:rsidR="0095152B">
        <w:t xml:space="preserve">licensed </w:t>
      </w:r>
      <w:r w:rsidR="00821BE8">
        <w:t>locations</w:t>
      </w:r>
      <w:r>
        <w:t>.</w:t>
      </w:r>
      <w:r>
        <w:rPr>
          <w:rStyle w:val="FootnoteReference"/>
        </w:rPr>
        <w:footnoteReference w:id="9"/>
      </w:r>
      <w:r>
        <w:t xml:space="preserve"> </w:t>
      </w:r>
      <w:r w:rsidR="00B86901">
        <w:t xml:space="preserve"> Specifically, </w:t>
      </w:r>
      <w:r>
        <w:t xml:space="preserve">WCN states that </w:t>
      </w:r>
      <w:r w:rsidR="00490471">
        <w:t xml:space="preserve">it completed construction of </w:t>
      </w:r>
      <w:bookmarkStart w:id="2" w:name="_Hlk52791544"/>
      <w:r>
        <w:t xml:space="preserve">Location </w:t>
      </w:r>
      <w:r w:rsidR="00B84577">
        <w:t>1</w:t>
      </w:r>
      <w:r>
        <w:t xml:space="preserve"> on May 3, 2019</w:t>
      </w:r>
      <w:r w:rsidR="00490471">
        <w:t xml:space="preserve">; </w:t>
      </w:r>
      <w:r>
        <w:t>Location</w:t>
      </w:r>
      <w:r w:rsidR="00B84577">
        <w:t xml:space="preserve"> 2</w:t>
      </w:r>
      <w:r>
        <w:t xml:space="preserve"> on April 30, 2019</w:t>
      </w:r>
      <w:r w:rsidR="00490471">
        <w:t>;</w:t>
      </w:r>
      <w:r>
        <w:t xml:space="preserve"> Location </w:t>
      </w:r>
      <w:r w:rsidR="00B84577">
        <w:t>4</w:t>
      </w:r>
      <w:r>
        <w:t xml:space="preserve"> on April 11, 2019</w:t>
      </w:r>
      <w:r w:rsidR="00490471">
        <w:t>;</w:t>
      </w:r>
      <w:r>
        <w:t xml:space="preserve"> Location </w:t>
      </w:r>
      <w:r w:rsidR="00B84577">
        <w:t>5</w:t>
      </w:r>
      <w:r>
        <w:t xml:space="preserve"> on April 2, 2019</w:t>
      </w:r>
      <w:r w:rsidR="00490471">
        <w:t xml:space="preserve">; </w:t>
      </w:r>
      <w:r>
        <w:t xml:space="preserve">Location </w:t>
      </w:r>
      <w:r w:rsidR="00B84577">
        <w:t>6</w:t>
      </w:r>
      <w:r>
        <w:t xml:space="preserve"> on May 3, 2019, and Location</w:t>
      </w:r>
      <w:r w:rsidR="00821BE8">
        <w:t xml:space="preserve"> 7</w:t>
      </w:r>
      <w:r>
        <w:t xml:space="preserve"> on April 30, 2019</w:t>
      </w:r>
      <w:bookmarkEnd w:id="2"/>
      <w:r>
        <w:t>.</w:t>
      </w:r>
      <w:r>
        <w:rPr>
          <w:rStyle w:val="FootnoteReference"/>
        </w:rPr>
        <w:footnoteReference w:id="10"/>
      </w:r>
      <w:r>
        <w:t xml:space="preserve"> </w:t>
      </w:r>
      <w:r w:rsidR="00317E58">
        <w:t xml:space="preserve"> However, </w:t>
      </w:r>
      <w:r>
        <w:t xml:space="preserve">WCN </w:t>
      </w:r>
      <w:r w:rsidR="00B86901">
        <w:t xml:space="preserve">acknowledges that it </w:t>
      </w:r>
      <w:r w:rsidR="00317E58">
        <w:t xml:space="preserve">did not </w:t>
      </w:r>
      <w:r w:rsidR="00490471">
        <w:t xml:space="preserve">complete construction of </w:t>
      </w:r>
      <w:r>
        <w:t>Location</w:t>
      </w:r>
      <w:r w:rsidR="00490471">
        <w:t>s</w:t>
      </w:r>
      <w:r>
        <w:t xml:space="preserve"> </w:t>
      </w:r>
      <w:r w:rsidR="00B84577">
        <w:t xml:space="preserve">3 </w:t>
      </w:r>
      <w:r>
        <w:t xml:space="preserve">and </w:t>
      </w:r>
      <w:r w:rsidR="00B84577">
        <w:t>8</w:t>
      </w:r>
      <w:r w:rsidR="00317E58">
        <w:t xml:space="preserve"> by the construction deadline</w:t>
      </w:r>
      <w:r>
        <w:t>.</w:t>
      </w:r>
      <w:r>
        <w:rPr>
          <w:rStyle w:val="FootnoteReference"/>
        </w:rPr>
        <w:footnoteReference w:id="11"/>
      </w:r>
    </w:p>
    <w:p w:rsidR="00733B58" w:rsidP="00BE4E1E" w14:paraId="53A97F3D" w14:textId="77777777">
      <w:pPr>
        <w:pStyle w:val="Heading1"/>
        <w:rPr>
          <w:szCs w:val="22"/>
        </w:rPr>
      </w:pPr>
      <w:r w:rsidRPr="001B4B42">
        <w:rPr>
          <w:szCs w:val="22"/>
        </w:rPr>
        <w:t>DISCUSSION</w:t>
      </w:r>
    </w:p>
    <w:p w:rsidR="00FF1C64" w:rsidP="00944497" w14:paraId="49DDAB70" w14:textId="4CADD357">
      <w:pPr>
        <w:pStyle w:val="ParaNum"/>
      </w:pPr>
      <w:r>
        <w:t>WCN</w:t>
      </w:r>
      <w:r w:rsidR="00D87938">
        <w:t xml:space="preserve"> seek</w:t>
      </w:r>
      <w:r w:rsidR="00B86901">
        <w:t>s</w:t>
      </w:r>
      <w:r w:rsidR="00D87938">
        <w:t xml:space="preserve"> reconsideration of the termination of </w:t>
      </w:r>
      <w:r>
        <w:rPr>
          <w:color w:val="212121"/>
        </w:rPr>
        <w:t>WRBK826</w:t>
      </w:r>
      <w:r w:rsidRPr="4439A411" w:rsidR="00D87938">
        <w:rPr>
          <w:color w:val="212121"/>
        </w:rPr>
        <w:t xml:space="preserve"> </w:t>
      </w:r>
      <w:r w:rsidR="00944497">
        <w:rPr>
          <w:color w:val="212121"/>
        </w:rPr>
        <w:t xml:space="preserve">for failure to </w:t>
      </w:r>
      <w:r w:rsidR="00317E58">
        <w:rPr>
          <w:color w:val="212121"/>
        </w:rPr>
        <w:t xml:space="preserve">timely </w:t>
      </w:r>
      <w:r w:rsidR="00944497">
        <w:rPr>
          <w:color w:val="212121"/>
        </w:rPr>
        <w:t xml:space="preserve">comply with </w:t>
      </w:r>
      <w:r w:rsidR="0032311E">
        <w:rPr>
          <w:color w:val="212121"/>
        </w:rPr>
        <w:t>s</w:t>
      </w:r>
      <w:r w:rsidR="00944497">
        <w:rPr>
          <w:color w:val="212121"/>
        </w:rPr>
        <w:t xml:space="preserve">ection </w:t>
      </w:r>
      <w:r w:rsidRPr="00CE5A4A" w:rsidR="00944497">
        <w:t>1.9</w:t>
      </w:r>
      <w:r w:rsidR="00944497">
        <w:t>46</w:t>
      </w:r>
      <w:r w:rsidRPr="00BF0F53" w:rsidR="00944497">
        <w:t xml:space="preserve">(d) </w:t>
      </w:r>
      <w:r w:rsidR="00944497">
        <w:t xml:space="preserve">of the Commission’s rules </w:t>
      </w:r>
      <w:r w:rsidR="000A78D3">
        <w:t xml:space="preserve">and </w:t>
      </w:r>
      <w:r w:rsidR="0079167D">
        <w:t xml:space="preserve">requests </w:t>
      </w:r>
      <w:r w:rsidR="00D87938">
        <w:rPr>
          <w:color w:val="212121"/>
        </w:rPr>
        <w:t xml:space="preserve">waiver of </w:t>
      </w:r>
      <w:r w:rsidR="00B84577">
        <w:rPr>
          <w:color w:val="212121"/>
        </w:rPr>
        <w:t>s</w:t>
      </w:r>
      <w:r w:rsidR="00D87938">
        <w:rPr>
          <w:color w:val="212121"/>
        </w:rPr>
        <w:t>ection</w:t>
      </w:r>
      <w:r w:rsidR="00614220">
        <w:rPr>
          <w:color w:val="212121"/>
        </w:rPr>
        <w:t>s</w:t>
      </w:r>
      <w:r w:rsidR="00D87938">
        <w:rPr>
          <w:color w:val="212121"/>
        </w:rPr>
        <w:t xml:space="preserve"> </w:t>
      </w:r>
      <w:r w:rsidRPr="000D0117" w:rsidR="000D0117">
        <w:t>1.955(a)(2)</w:t>
      </w:r>
      <w:r w:rsidR="00BA498D">
        <w:t xml:space="preserve"> and</w:t>
      </w:r>
      <w:r w:rsidRPr="000D0117" w:rsidR="000D0117">
        <w:t xml:space="preserve"> 90.155</w:t>
      </w:r>
      <w:r w:rsidR="00317E58">
        <w:t xml:space="preserve"> </w:t>
      </w:r>
      <w:r w:rsidR="00D87938">
        <w:rPr>
          <w:color w:val="212121"/>
        </w:rPr>
        <w:t>of the Commission’s rules.</w:t>
      </w:r>
      <w:r>
        <w:rPr>
          <w:rStyle w:val="FootnoteReference"/>
        </w:rPr>
        <w:footnoteReference w:id="12"/>
      </w:r>
      <w:r w:rsidR="00D87938">
        <w:t xml:space="preserve">  We address each </w:t>
      </w:r>
      <w:r w:rsidR="00D71F6E">
        <w:t xml:space="preserve">request separately.  </w:t>
      </w:r>
    </w:p>
    <w:p w:rsidR="00555C6F" w:rsidP="002B001E" w14:paraId="3CA13EAB" w14:textId="45B7E85C">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rsidR="00550982">
        <w:t>.</w:t>
      </w:r>
      <w:r w:rsidRPr="00784FAF">
        <w:t>”</w:t>
      </w:r>
      <w:r>
        <w:rPr>
          <w:rStyle w:val="FootnoteReference"/>
        </w:rPr>
        <w:footnoteReference w:id="13"/>
      </w:r>
      <w:r w:rsidRPr="00784FAF">
        <w:t xml:space="preserve"> </w:t>
      </w:r>
      <w:r w:rsidR="00550982">
        <w:t xml:space="preserve"> </w:t>
      </w:r>
      <w:r w:rsidR="002D19FD">
        <w:t xml:space="preserve">We find that </w:t>
      </w:r>
      <w:r w:rsidR="00D82EB5">
        <w:t xml:space="preserve">WCN </w:t>
      </w:r>
      <w:r w:rsidR="002D19FD">
        <w:t>has met this threshold</w:t>
      </w:r>
      <w:r w:rsidR="0032311E">
        <w:t>, i.e.,</w:t>
      </w:r>
      <w:r w:rsidR="00380376">
        <w:t xml:space="preserve"> we find that </w:t>
      </w:r>
      <w:r w:rsidR="00D82EB5">
        <w:t>WCN</w:t>
      </w:r>
      <w:r w:rsidR="002B001E">
        <w:t>—</w:t>
      </w:r>
      <w:r w:rsidR="000A78D3">
        <w:t>by furnishing information that most of its authorized locations were constructed</w:t>
      </w:r>
      <w:r w:rsidR="002B001E">
        <w:t>—</w:t>
      </w:r>
      <w:r w:rsidR="002D19FD">
        <w:t xml:space="preserve">provided </w:t>
      </w:r>
      <w:r w:rsidR="00380376">
        <w:t xml:space="preserve">sufficient justification for us to </w:t>
      </w:r>
      <w:r w:rsidR="000A78D3">
        <w:t xml:space="preserve">reinstate the terminated authorizations for those locations.  </w:t>
      </w:r>
      <w:r w:rsidR="001F0CCD">
        <w:t>We do, however, admonish WCN for not filing the construction notifications for th</w:t>
      </w:r>
      <w:r w:rsidR="000A78D3">
        <w:t xml:space="preserve">ose already-constructed </w:t>
      </w:r>
      <w:r w:rsidR="001F0CCD">
        <w:t xml:space="preserve">locations.  </w:t>
      </w:r>
      <w:r w:rsidR="00E65DBF">
        <w:t xml:space="preserve">Notwithstanding the </w:t>
      </w:r>
      <w:r w:rsidR="001F0CCD">
        <w:t xml:space="preserve">unfortunate circumstances of its systems architect, WCN could have assigned other members of its communications team to file the required notifications. </w:t>
      </w:r>
    </w:p>
    <w:p w:rsidR="000A78D3" w:rsidP="000A78D3" w14:paraId="69AC0EAE" w14:textId="6946B6E9">
      <w:pPr>
        <w:pStyle w:val="ParaNum"/>
      </w:pPr>
      <w:r>
        <w:t xml:space="preserve">We now turn to </w:t>
      </w:r>
      <w:r w:rsidR="00D82EB5">
        <w:t>WCN</w:t>
      </w:r>
      <w:r>
        <w:t>’s</w:t>
      </w:r>
      <w:r w:rsidRPr="4439A411" w:rsidR="00622448">
        <w:t xml:space="preserve"> request </w:t>
      </w:r>
      <w:r>
        <w:t xml:space="preserve">for a waiver of </w:t>
      </w:r>
      <w:r w:rsidR="00821BE8">
        <w:t>s</w:t>
      </w:r>
      <w:r>
        <w:t>ection</w:t>
      </w:r>
      <w:r w:rsidR="00821BE8">
        <w:t>s</w:t>
      </w:r>
      <w:r>
        <w:t xml:space="preserve"> </w:t>
      </w:r>
      <w:r w:rsidRPr="008C4A55" w:rsidR="008C4A55">
        <w:t>1.9</w:t>
      </w:r>
      <w:r w:rsidR="00497596">
        <w:t>55</w:t>
      </w:r>
      <w:r w:rsidR="00844D73">
        <w:t xml:space="preserve"> and 90.155</w:t>
      </w:r>
      <w:r w:rsidR="008C4A55">
        <w:t xml:space="preserve"> </w:t>
      </w:r>
      <w:r>
        <w:t xml:space="preserve">relative to </w:t>
      </w:r>
      <w:r w:rsidR="00317E58">
        <w:t>L</w:t>
      </w:r>
      <w:r w:rsidR="00340649">
        <w:t>ocations 3 and 8</w:t>
      </w:r>
      <w:r w:rsidR="00D82EB5">
        <w:t xml:space="preserve">. </w:t>
      </w:r>
      <w:r w:rsidR="00E65DBF">
        <w:t xml:space="preserve"> </w:t>
      </w:r>
      <w:r w:rsidRPr="0098610F">
        <w:t>To obtain a waiver of the Commission's rules, a petitioner must demonstrate either that (</w:t>
      </w:r>
      <w:r w:rsidRPr="0098610F">
        <w:t>i</w:t>
      </w:r>
      <w:r w:rsidRPr="0098610F">
        <w:t>)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4"/>
      </w:r>
      <w:r w:rsidRPr="0098610F">
        <w:t xml:space="preserve"> </w:t>
      </w:r>
      <w:r w:rsidR="00EC7E21">
        <w:t xml:space="preserve"> </w:t>
      </w:r>
      <w:r w:rsidRPr="0098610F">
        <w:t xml:space="preserve">An </w:t>
      </w:r>
      <w:r w:rsidRPr="0098610F">
        <w:t>applicant seeking a waiver faces a high hurdle and must plead with particularity the facts and circumstances that warrant a waiver.</w:t>
      </w:r>
      <w:r>
        <w:rPr>
          <w:rStyle w:val="FootnoteReference"/>
        </w:rPr>
        <w:footnoteReference w:id="15"/>
      </w:r>
    </w:p>
    <w:p w:rsidR="000A78D3" w:rsidP="000A78D3" w14:paraId="45A691F4" w14:textId="2959E1A8">
      <w:pPr>
        <w:pStyle w:val="ParaNum"/>
      </w:pPr>
      <w:r>
        <w:t xml:space="preserve">WCN has </w:t>
      </w:r>
      <w:r w:rsidR="0004327E">
        <w:t xml:space="preserve">not </w:t>
      </w:r>
      <w:r>
        <w:t xml:space="preserve">met either prong of the Commission’s waiver standards. </w:t>
      </w:r>
      <w:r w:rsidR="00EC7E21">
        <w:t xml:space="preserve"> </w:t>
      </w:r>
      <w:r>
        <w:t xml:space="preserve">It has not suggested that </w:t>
      </w:r>
      <w:r w:rsidRPr="00DF3DEB">
        <w:t>the underlying purpose</w:t>
      </w:r>
      <w:r>
        <w:t xml:space="preserve">s of </w:t>
      </w:r>
      <w:r w:rsidRPr="00DF3DEB">
        <w:t>sections 1.955 and 90.155</w:t>
      </w:r>
      <w:r>
        <w:t xml:space="preserve"> of</w:t>
      </w:r>
      <w:r w:rsidRPr="00DF3DEB">
        <w:t xml:space="preserve"> the </w:t>
      </w:r>
      <w:r>
        <w:t xml:space="preserve">Commission’s </w:t>
      </w:r>
      <w:r w:rsidRPr="00DF3DEB">
        <w:t>rule</w:t>
      </w:r>
      <w:r>
        <w:t>s</w:t>
      </w:r>
      <w:r w:rsidRPr="00DF3DEB">
        <w:t xml:space="preserve"> would not be served or would be frustrated by application to </w:t>
      </w:r>
      <w:r>
        <w:t xml:space="preserve">its case, nor has it shown how </w:t>
      </w:r>
      <w:r w:rsidR="00504B43">
        <w:t xml:space="preserve">our refusing to allow WCN to disregard </w:t>
      </w:r>
      <w:r>
        <w:t xml:space="preserve">the construction deadline would be </w:t>
      </w:r>
      <w:r w:rsidR="00504B43">
        <w:t>in</w:t>
      </w:r>
      <w:r w:rsidRPr="00DF3DEB">
        <w:t>equitable, unduly burdensome, or contrary to the public interest</w:t>
      </w:r>
      <w:r>
        <w:t>.</w:t>
      </w:r>
      <w:r w:rsidRPr="000A78D3">
        <w:t xml:space="preserve"> </w:t>
      </w:r>
      <w:r w:rsidR="00EC7E21">
        <w:t xml:space="preserve"> </w:t>
      </w:r>
      <w:r>
        <w:t>Thus, WCN has not established a relationship between its system architect’s illness and WCN’s failure timely to construct</w:t>
      </w:r>
      <w:r w:rsidR="0004327E">
        <w:t>.</w:t>
      </w:r>
      <w:r>
        <w:t xml:space="preserve">  If WCN had good cause for grant of an extension of time, sections 1.955 and 90.155 of the Commission’s rules required WCN to request such an extension before the construction deadline; not, as here, make that request in the context of a petition for reconsideration after its authorization for Locations 3 and 8 had automatically terminated. </w:t>
      </w:r>
      <w:r w:rsidR="00EC7E21">
        <w:t xml:space="preserve"> </w:t>
      </w:r>
      <w:r>
        <w:t>Therefore, we deny the Petition.</w:t>
      </w:r>
    </w:p>
    <w:p w:rsidR="00DF3DEB" w:rsidP="002B001E" w14:paraId="0C122BA7" w14:textId="0E2B0395">
      <w:pPr>
        <w:pStyle w:val="ParaNum"/>
      </w:pPr>
      <w:r>
        <w:t xml:space="preserve"> </w:t>
      </w:r>
      <w:r w:rsidR="000A78D3">
        <w:t>However</w:t>
      </w:r>
      <w:r>
        <w:t xml:space="preserve">, </w:t>
      </w:r>
      <w:r w:rsidR="000A78D3">
        <w:t xml:space="preserve">although </w:t>
      </w:r>
      <w:r>
        <w:t xml:space="preserve">we deny </w:t>
      </w:r>
      <w:r w:rsidR="000A78D3">
        <w:t>WCN’s Petition, we are reinstating its license relative to Locations 1, 2, 4, 5, 6 and 7 which WCN represents were constructed before the deadline.  We do so</w:t>
      </w:r>
      <w:r w:rsidR="002B001E">
        <w:t>—</w:t>
      </w:r>
      <w:r w:rsidR="000A78D3">
        <w:t>not because WCN has met the Commission’s waiver standards</w:t>
      </w:r>
      <w:r w:rsidR="002B001E">
        <w:t>—</w:t>
      </w:r>
      <w:r w:rsidR="000A78D3">
        <w:t xml:space="preserve">but because the </w:t>
      </w:r>
      <w:r w:rsidRPr="000A78D3" w:rsidR="000A78D3">
        <w:t>Commission has explained that “the purpose of our construction notification procedure should be to verify whether licensees have in fact met their construction and coverage obligations, not to terminate licenses for legitimately operating facilities based on a failure to notify by the licensee</w:t>
      </w:r>
      <w:r w:rsidR="000A78D3">
        <w:t xml:space="preserve"> . . .</w:t>
      </w:r>
      <w:r w:rsidRPr="000A78D3" w:rsidR="000A78D3">
        <w:t xml:space="preserve"> </w:t>
      </w:r>
      <w:r w:rsidR="002B001E">
        <w:t>.</w:t>
      </w:r>
      <w:r w:rsidRPr="000A78D3" w:rsidR="000A78D3">
        <w:t>”</w:t>
      </w:r>
      <w:r w:rsidRPr="002B001E" w:rsidR="000A78D3">
        <w:rPr>
          <w:sz w:val="20"/>
          <w:vertAlign w:val="superscript"/>
        </w:rPr>
        <w:t xml:space="preserve"> </w:t>
      </w:r>
      <w:r>
        <w:rPr>
          <w:vertAlign w:val="superscript"/>
        </w:rPr>
        <w:footnoteReference w:id="16"/>
      </w:r>
    </w:p>
    <w:p w:rsidR="00C1768D" w:rsidRPr="0005031D" w:rsidP="0005031D" w14:paraId="3B5E47EC" w14:textId="49F96FC7">
      <w:pPr>
        <w:pStyle w:val="ParaNum"/>
      </w:pPr>
      <w:r>
        <w:t xml:space="preserve">As to Locations 3 and 8, </w:t>
      </w:r>
      <w:r w:rsidR="00487638">
        <w:t>WCN</w:t>
      </w:r>
      <w:r>
        <w:t xml:space="preserve"> </w:t>
      </w:r>
      <w:r w:rsidRPr="00C23EFD" w:rsidR="008F0794">
        <w:t xml:space="preserve">may file a new, properly coordinated application if it desires to use </w:t>
      </w:r>
      <w:r w:rsidR="00821BE8">
        <w:t xml:space="preserve">the frequencies previously licensed for </w:t>
      </w:r>
      <w:r>
        <w:t xml:space="preserve">those locations.  </w:t>
      </w:r>
      <w:r w:rsidRPr="00C23EFD" w:rsidR="008F0794">
        <w:t xml:space="preserve">In addition, if </w:t>
      </w:r>
      <w:r w:rsidR="00487638">
        <w:t>WCN</w:t>
      </w:r>
      <w:r w:rsidR="008F0794">
        <w:t xml:space="preserve"> </w:t>
      </w:r>
      <w:r w:rsidRPr="00C23EFD" w:rsidR="008F0794">
        <w:t>needs to operate</w:t>
      </w:r>
      <w:r w:rsidR="008F0794">
        <w:t xml:space="preserve"> while an </w:t>
      </w:r>
      <w:r w:rsidRPr="00C23EFD" w:rsidR="008F0794">
        <w:t xml:space="preserve">application is pending with the Commission, it may file a request for </w:t>
      </w:r>
      <w:r w:rsidR="008F0794">
        <w:t xml:space="preserve">special temporary authority </w:t>
      </w:r>
      <w:r w:rsidRPr="00C23EFD" w:rsidR="008F0794">
        <w:t xml:space="preserve">in </w:t>
      </w:r>
      <w:r w:rsidR="008F0794">
        <w:t>accordance with Section 1.931</w:t>
      </w:r>
      <w:r w:rsidRPr="00C23EFD" w:rsidR="008F0794">
        <w:t xml:space="preserve"> of the Commission’s rules.</w:t>
      </w:r>
      <w:r>
        <w:rPr>
          <w:rStyle w:val="FootnoteReference"/>
        </w:rPr>
        <w:footnoteReference w:id="17"/>
      </w:r>
    </w:p>
    <w:p w:rsidR="00733B58" w:rsidRPr="00BE4E1E" w:rsidP="00733B58" w14:paraId="2AFA0AAB" w14:textId="1541D22A">
      <w:pPr>
        <w:pStyle w:val="Heading1"/>
        <w:rPr>
          <w:rFonts w:ascii="Times New Roman" w:hAnsi="Times New Roman"/>
          <w:szCs w:val="22"/>
        </w:rPr>
      </w:pPr>
      <w:r w:rsidRPr="00BE4E1E">
        <w:rPr>
          <w:rFonts w:ascii="Times New Roman" w:hAnsi="Times New Roman"/>
          <w:szCs w:val="22"/>
        </w:rPr>
        <w:t>Ordering clause</w:t>
      </w:r>
      <w:r w:rsidR="004C04EF">
        <w:rPr>
          <w:rFonts w:ascii="Times New Roman" w:hAnsi="Times New Roman"/>
          <w:szCs w:val="22"/>
        </w:rPr>
        <w:t>S</w:t>
      </w:r>
    </w:p>
    <w:p w:rsidR="00035411" w:rsidP="00035411" w14:paraId="5578051B" w14:textId="5D2675DF">
      <w:pPr>
        <w:pStyle w:val="ParaNum"/>
        <w:tabs>
          <w:tab w:val="clear" w:pos="1440"/>
        </w:tabs>
        <w:rPr>
          <w:spacing w:val="-2"/>
        </w:rPr>
      </w:pPr>
      <w:r w:rsidRPr="4439A411">
        <w:t xml:space="preserve"> Accordingly, </w:t>
      </w:r>
      <w:r w:rsidRPr="000A78D3">
        <w:rPr>
          <w:b/>
          <w:bCs/>
        </w:rPr>
        <w:t>IT IS ORDERED</w:t>
      </w:r>
      <w:r w:rsidRPr="4439A411">
        <w:t>, pursuant to Sections 4(</w:t>
      </w:r>
      <w:r w:rsidRPr="4439A411">
        <w:t>i</w:t>
      </w:r>
      <w:r w:rsidRPr="4439A411">
        <w:t>) and 303(c) of the Communications Act of 1934, as amended, 47 U.S.C. §§ 154(</w:t>
      </w:r>
      <w:r w:rsidRPr="4439A411">
        <w:t>i</w:t>
      </w:r>
      <w:r w:rsidRPr="4439A411">
        <w:t xml:space="preserve">), 303(c), and </w:t>
      </w:r>
      <w:r w:rsidR="00821BE8">
        <w:t>s</w:t>
      </w:r>
      <w:r w:rsidRPr="4439A411">
        <w:t>ections 1.106 of t</w:t>
      </w:r>
      <w:r w:rsidRPr="4439A411" w:rsidR="00CB50C8">
        <w:t>he Commission’s rules, 47 CFR §</w:t>
      </w:r>
      <w:r w:rsidRPr="4439A411">
        <w:t xml:space="preserve"> 1.106, that the Petition for Reconsideration filed </w:t>
      </w:r>
      <w:r w:rsidR="008C4A55">
        <w:t>May 24</w:t>
      </w:r>
      <w:r w:rsidRPr="4439A411" w:rsidR="00B5154B">
        <w:t>,</w:t>
      </w:r>
      <w:r w:rsidRPr="4439A411">
        <w:t xml:space="preserve"> 201</w:t>
      </w:r>
      <w:r w:rsidRPr="4439A411" w:rsidR="00B764CA">
        <w:t>9</w:t>
      </w:r>
      <w:r w:rsidRPr="4439A411" w:rsidR="00550982">
        <w:t>,</w:t>
      </w:r>
      <w:r w:rsidRPr="4439A411">
        <w:t xml:space="preserve"> by </w:t>
      </w:r>
      <w:r w:rsidR="008C4A55">
        <w:t>the Washington County Network (WCCCA – C800 – NEWBERG)</w:t>
      </w:r>
      <w:r w:rsidRPr="4439A411" w:rsidR="00A00390">
        <w:t xml:space="preserve">, </w:t>
      </w:r>
      <w:r w:rsidRPr="000A78D3">
        <w:rPr>
          <w:b/>
          <w:bCs/>
        </w:rPr>
        <w:t xml:space="preserve">IS </w:t>
      </w:r>
      <w:r w:rsidR="000A78D3">
        <w:rPr>
          <w:b/>
          <w:bCs/>
        </w:rPr>
        <w:t>DENIED</w:t>
      </w:r>
      <w:r w:rsidRPr="4439A411" w:rsidR="00BA6FBF">
        <w:t>.</w:t>
      </w:r>
    </w:p>
    <w:p w:rsidR="00A82517" w:rsidP="00035411" w14:paraId="7868C57B" w14:textId="66A451FB">
      <w:pPr>
        <w:pStyle w:val="ParaNum"/>
        <w:tabs>
          <w:tab w:val="clear" w:pos="1440"/>
        </w:tabs>
        <w:rPr>
          <w:color w:val="212121"/>
          <w:shd w:val="clear" w:color="auto" w:fill="FFFFFF"/>
        </w:rPr>
      </w:pPr>
      <w:r w:rsidRPr="00035411">
        <w:rPr>
          <w:color w:val="212121"/>
          <w:spacing w:val="-2"/>
          <w:sz w:val="14"/>
          <w:szCs w:val="14"/>
          <w:shd w:val="clear" w:color="auto" w:fill="FFFFFF"/>
        </w:rPr>
        <w:t> </w:t>
      </w:r>
      <w:r w:rsidRPr="000A78D3">
        <w:rPr>
          <w:b/>
          <w:bCs/>
          <w:color w:val="212121"/>
          <w:shd w:val="clear" w:color="auto" w:fill="FFFFFF"/>
        </w:rPr>
        <w:t>IT IS FURTHER ORDERED</w:t>
      </w:r>
      <w:r w:rsidRPr="4439A411">
        <w:rPr>
          <w:color w:val="212121"/>
          <w:shd w:val="clear" w:color="auto" w:fill="FFFFFF"/>
        </w:rPr>
        <w:t xml:space="preserve"> that the licensing staff of the Policy and Licensing Division </w:t>
      </w:r>
      <w:r w:rsidRPr="000A78D3">
        <w:rPr>
          <w:b/>
          <w:bCs/>
          <w:color w:val="212121"/>
          <w:shd w:val="clear" w:color="auto" w:fill="FFFFFF"/>
        </w:rPr>
        <w:t>SHALL MODIFY</w:t>
      </w:r>
      <w:r w:rsidRPr="4439A411">
        <w:rPr>
          <w:color w:val="212121"/>
          <w:shd w:val="clear" w:color="auto" w:fill="FFFFFF"/>
        </w:rPr>
        <w:t xml:space="preserve"> the authorization for call </w:t>
      </w:r>
      <w:r w:rsidRPr="001B4B42">
        <w:t>sign</w:t>
      </w:r>
      <w:r w:rsidR="008C4A55">
        <w:t xml:space="preserve"> WRBK829</w:t>
      </w:r>
      <w:r>
        <w:t xml:space="preserve"> </w:t>
      </w:r>
      <w:r w:rsidRPr="4439A411">
        <w:rPr>
          <w:color w:val="212121"/>
          <w:shd w:val="clear" w:color="auto" w:fill="FFFFFF"/>
        </w:rPr>
        <w:t>in accordance with this Order and the Commission's Rules.</w:t>
      </w:r>
    </w:p>
    <w:p w:rsidR="00A82517" w14:paraId="48E9EBD1" w14:textId="77777777">
      <w:pPr>
        <w:spacing w:after="160" w:line="259" w:lineRule="auto"/>
        <w:rPr>
          <w:color w:val="212121"/>
          <w:shd w:val="clear" w:color="auto" w:fill="FFFFFF"/>
        </w:rPr>
      </w:pPr>
      <w:r>
        <w:rPr>
          <w:color w:val="212121"/>
          <w:shd w:val="clear" w:color="auto" w:fill="FFFFFF"/>
        </w:rPr>
        <w:br w:type="page"/>
      </w:r>
    </w:p>
    <w:p w:rsidR="00733B58" w:rsidRPr="00A82517" w:rsidP="00A82517" w14:paraId="666CF65E" w14:textId="77777777">
      <w:pPr>
        <w:pStyle w:val="ParaNum"/>
        <w:tabs>
          <w:tab w:val="clear" w:pos="1440"/>
        </w:tabs>
        <w:rPr>
          <w:spacing w:val="-2"/>
        </w:rPr>
      </w:pPr>
      <w:r>
        <w:t xml:space="preserve">This action is taken under delegated authority pursuant to Sections 0.191 and 0.392 of the Commission’s rules, 47 CFR §§ 0.191, 0.392.  </w:t>
      </w:r>
    </w:p>
    <w:p w:rsidR="00A82517" w:rsidP="00733B58" w14:paraId="79DBFBE6" w14:textId="77777777">
      <w:pPr>
        <w:pStyle w:val="ParaNum"/>
        <w:keepNext/>
        <w:keepLines/>
        <w:numPr>
          <w:ilvl w:val="0"/>
          <w:numId w:val="0"/>
        </w:numPr>
        <w:spacing w:after="0"/>
        <w:ind w:left="3600" w:firstLine="720"/>
        <w:rPr>
          <w:szCs w:val="22"/>
        </w:rPr>
      </w:pPr>
    </w:p>
    <w:p w:rsidR="00733B58" w:rsidRPr="001B4B42" w:rsidP="00733B58" w14:paraId="7D34698F" w14:textId="137B3CE6">
      <w:pPr>
        <w:pStyle w:val="ParaNum"/>
        <w:keepNext/>
        <w:keepLines/>
        <w:numPr>
          <w:ilvl w:val="0"/>
          <w:numId w:val="0"/>
        </w:numPr>
        <w:spacing w:after="0"/>
        <w:ind w:left="3600" w:firstLine="720"/>
        <w:rPr>
          <w:szCs w:val="22"/>
        </w:rPr>
      </w:pPr>
      <w:bookmarkStart w:id="3" w:name="_GoBack"/>
      <w:bookmarkEnd w:id="3"/>
      <w:r w:rsidRPr="001B4B42">
        <w:rPr>
          <w:szCs w:val="22"/>
        </w:rPr>
        <w:t xml:space="preserve">FEDERAL COMMUNICATIONS COMMISSION </w:t>
      </w:r>
    </w:p>
    <w:p w:rsidR="00733B58" w:rsidRPr="001B4B42" w:rsidP="00733B58" w14:paraId="5EC284FD" w14:textId="77777777">
      <w:pPr>
        <w:pStyle w:val="ParaNum"/>
        <w:keepNext/>
        <w:keepLines/>
        <w:numPr>
          <w:ilvl w:val="0"/>
          <w:numId w:val="0"/>
        </w:numPr>
        <w:spacing w:after="0"/>
        <w:ind w:left="720"/>
        <w:rPr>
          <w:szCs w:val="22"/>
        </w:rPr>
      </w:pPr>
    </w:p>
    <w:p w:rsidR="00733B58" w:rsidRPr="001B4B42" w:rsidP="00733B58" w14:paraId="6774C96E" w14:textId="77777777">
      <w:pPr>
        <w:pStyle w:val="ParaNum"/>
        <w:keepNext/>
        <w:keepLines/>
        <w:numPr>
          <w:ilvl w:val="0"/>
          <w:numId w:val="0"/>
        </w:numPr>
        <w:spacing w:after="0"/>
        <w:ind w:left="720"/>
        <w:rPr>
          <w:szCs w:val="22"/>
        </w:rPr>
      </w:pPr>
    </w:p>
    <w:p w:rsidR="00733B58" w:rsidRPr="001B4B42" w:rsidP="00733B58" w14:paraId="066073E8" w14:textId="77777777">
      <w:pPr>
        <w:pStyle w:val="ParaNum"/>
        <w:keepNext/>
        <w:keepLines/>
        <w:numPr>
          <w:ilvl w:val="0"/>
          <w:numId w:val="0"/>
        </w:numPr>
        <w:spacing w:after="0"/>
        <w:ind w:left="720"/>
        <w:rPr>
          <w:szCs w:val="22"/>
        </w:rPr>
      </w:pPr>
    </w:p>
    <w:p w:rsidR="00733B58" w:rsidRPr="001B4B42" w:rsidP="00733B58" w14:paraId="3D4B30D2" w14:textId="77777777">
      <w:pPr>
        <w:pStyle w:val="ParaNum"/>
        <w:keepNext/>
        <w:keepLines/>
        <w:numPr>
          <w:ilvl w:val="0"/>
          <w:numId w:val="0"/>
        </w:numPr>
        <w:spacing w:after="0"/>
        <w:ind w:left="720"/>
        <w:rPr>
          <w:szCs w:val="22"/>
        </w:rPr>
      </w:pPr>
    </w:p>
    <w:p w:rsidR="00733B58" w:rsidRPr="001B4B42" w:rsidP="00733B58" w14:paraId="089CC235"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0D31D89"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E20BFAD"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09661E74" w14:textId="77777777">
      <w:pPr>
        <w:rPr>
          <w:szCs w:val="22"/>
        </w:rPr>
      </w:pPr>
    </w:p>
    <w:p w:rsidR="00D641D3" w:rsidRPr="001B4B42" w:rsidP="00BE0155" w14:paraId="2DAAF579"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1D9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1F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AB167C" w14:textId="77777777">
    <w:pPr>
      <w:pStyle w:val="Footer"/>
      <w:framePr w:wrap="around" w:vAnchor="text" w:hAnchor="margin" w:xAlign="center" w:y="1"/>
    </w:pPr>
    <w:r>
      <w:fldChar w:fldCharType="begin"/>
    </w:r>
    <w:r>
      <w:instrText xml:space="preserve">PAGE  </w:instrText>
    </w:r>
    <w:r>
      <w:fldChar w:fldCharType="separate"/>
    </w:r>
    <w:r w:rsidR="00944497">
      <w:rPr>
        <w:noProof/>
      </w:rPr>
      <w:t>3</w:t>
    </w:r>
    <w:r>
      <w:fldChar w:fldCharType="end"/>
    </w:r>
  </w:p>
  <w:p w:rsidR="00D25FB5" w14:paraId="348A8D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8354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4FB9" w:rsidP="00733B58" w14:paraId="1F2EFE79" w14:textId="77777777">
      <w:r>
        <w:separator/>
      </w:r>
    </w:p>
  </w:footnote>
  <w:footnote w:type="continuationSeparator" w:id="1">
    <w:p w:rsidR="00834FB9" w:rsidP="00733B58" w14:paraId="3A120F36" w14:textId="77777777">
      <w:r>
        <w:continuationSeparator/>
      </w:r>
    </w:p>
  </w:footnote>
  <w:footnote w:id="2">
    <w:p w:rsidR="00733B58" w:rsidRPr="00CE5A4A" w:rsidP="007717E4" w14:paraId="5F0CB370" w14:textId="77777777">
      <w:pPr>
        <w:pStyle w:val="FootnoteText"/>
        <w:rPr>
          <w:b/>
        </w:rPr>
      </w:pPr>
      <w:r w:rsidRPr="00CE5A4A">
        <w:rPr>
          <w:rStyle w:val="FootnoteReference"/>
        </w:rPr>
        <w:footnoteRef/>
      </w:r>
      <w:r w:rsidRPr="00CE5A4A">
        <w:t xml:space="preserve"> </w:t>
      </w:r>
      <w:r w:rsidRPr="00CE5A4A">
        <w:rPr>
          <w:i/>
        </w:rPr>
        <w:t>See</w:t>
      </w:r>
      <w:r w:rsidRPr="00CE5A4A">
        <w:t xml:space="preserve"> </w:t>
      </w:r>
      <w:r w:rsidR="00DB7C24">
        <w:t xml:space="preserve">Washington County Network (WCCCA-C800-NEWBERG), </w:t>
      </w:r>
      <w:r w:rsidRPr="00CE5A4A">
        <w:t xml:space="preserve">Petition for Reconsideration, </w:t>
      </w:r>
      <w:r w:rsidRPr="00CE5A4A" w:rsidR="00085A0A">
        <w:rPr>
          <w:i/>
        </w:rPr>
        <w:t>re</w:t>
      </w:r>
      <w:r w:rsidRPr="00CE5A4A" w:rsidR="00085A0A">
        <w:t xml:space="preserve"> </w:t>
      </w:r>
      <w:r w:rsidRPr="00CE5A4A">
        <w:t>Call Sign</w:t>
      </w:r>
      <w:r w:rsidR="00DB7C24">
        <w:t xml:space="preserve"> WRBK826</w:t>
      </w:r>
      <w:r w:rsidRPr="00CE5A4A">
        <w:t xml:space="preserve"> </w:t>
      </w:r>
      <w:r w:rsidRPr="00CE5A4A" w:rsidR="00C2593C">
        <w:t>(</w:t>
      </w:r>
      <w:r w:rsidR="0002507A">
        <w:t>Ma</w:t>
      </w:r>
      <w:r w:rsidR="00DB7C24">
        <w:t>y</w:t>
      </w:r>
      <w:r w:rsidR="0002507A">
        <w:t xml:space="preserve"> 2</w:t>
      </w:r>
      <w:r w:rsidR="00DB7C24">
        <w:t>4</w:t>
      </w:r>
      <w:r w:rsidR="00465DE8">
        <w:t>, 2019</w:t>
      </w:r>
      <w:r w:rsidRPr="00CE5A4A" w:rsidR="00C2593C">
        <w:t>)</w:t>
      </w:r>
      <w:r w:rsidR="007E43DB">
        <w:t xml:space="preserve"> </w:t>
      </w:r>
      <w:r w:rsidRPr="00CE5A4A">
        <w:t xml:space="preserve">(Petition).  </w:t>
      </w:r>
    </w:p>
  </w:footnote>
  <w:footnote w:id="3">
    <w:p w:rsidR="00B86901" w:rsidRPr="00CE5A4A" w:rsidP="00B86901" w14:paraId="2E0A101F" w14:textId="77777777">
      <w:pPr>
        <w:pStyle w:val="FootnoteText"/>
      </w:pPr>
      <w:r w:rsidRPr="00CE5A4A">
        <w:rPr>
          <w:rStyle w:val="FootnoteReference"/>
        </w:rPr>
        <w:footnoteRef/>
      </w:r>
      <w:r w:rsidRPr="00CE5A4A">
        <w:t xml:space="preserve"> </w:t>
      </w:r>
      <w:r w:rsidRPr="00CE5A4A">
        <w:rPr>
          <w:i/>
        </w:rPr>
        <w:t xml:space="preserve">See </w:t>
      </w:r>
      <w:r w:rsidRPr="000376D8">
        <w:t>Construction/Coverage Deadline Reminder Notice, Reference No</w:t>
      </w:r>
      <w:r>
        <w:t>. 6457111</w:t>
      </w:r>
      <w:r w:rsidRPr="000376D8">
        <w:t xml:space="preserve"> (dated </w:t>
      </w:r>
      <w:r>
        <w:t>Feb.16, 2019</w:t>
      </w:r>
      <w:r w:rsidRPr="000376D8">
        <w:t>).</w:t>
      </w:r>
      <w:r>
        <w:t xml:space="preserve">  Although WCN originally had a construction deadline of April 16, 2019, the reminder notice informed the licensee that it had until May 16, 2019 to construct.  Since ULS created this ambiguity, we construe the reminder in the light most favorable to the licensee and use May 16, 2019 as the construction deadline.</w:t>
      </w:r>
    </w:p>
  </w:footnote>
  <w:footnote w:id="4">
    <w:p w:rsidR="00BE0155" w:rsidRPr="00CE5A4A" w:rsidP="00BE0155" w14:paraId="541963BA" w14:textId="2021BCC0">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0376D8">
        <w:t>6495608</w:t>
      </w:r>
      <w:r w:rsidRPr="000376D8" w:rsidR="00085A0A">
        <w:t xml:space="preserve"> (</w:t>
      </w:r>
      <w:r w:rsidRPr="000376D8" w:rsidR="009605FE">
        <w:t xml:space="preserve">dated </w:t>
      </w:r>
      <w:r w:rsidR="000376D8">
        <w:t>May 22, 2019).</w:t>
      </w:r>
    </w:p>
  </w:footnote>
  <w:footnote w:id="5">
    <w:p w:rsidR="00BD76D6" w:rsidRPr="00944497" w:rsidP="00BD76D6" w14:paraId="6D13A671" w14:textId="6A1F9D42">
      <w:pPr>
        <w:pStyle w:val="FootnoteText"/>
        <w:rPr>
          <w:i/>
        </w:rPr>
      </w:pPr>
      <w:r w:rsidRPr="00CE5A4A">
        <w:rPr>
          <w:rStyle w:val="FootnoteReference"/>
        </w:rPr>
        <w:footnoteRef/>
      </w:r>
      <w:r w:rsidRPr="00CE5A4A">
        <w:t xml:space="preserve"> </w:t>
      </w:r>
      <w:r w:rsidRPr="00CE5A4A">
        <w:rPr>
          <w:i/>
        </w:rPr>
        <w:t>See</w:t>
      </w:r>
      <w:r w:rsidRPr="00CE5A4A">
        <w:t xml:space="preserve"> Petition at 1.</w:t>
      </w:r>
      <w:r w:rsidR="00944497">
        <w:t xml:space="preserve">  </w:t>
      </w:r>
      <w:r w:rsidRPr="00944497" w:rsidR="00944497">
        <w:t>Under the Commission’s auto-term</w:t>
      </w:r>
      <w:r w:rsidR="002C02CD">
        <w:t>ination</w:t>
      </w:r>
      <w:r w:rsidRPr="00944497" w:rsidR="00944497">
        <w:t xml:space="preserve"> process, if a licensee, by the end of the 30-day period for seeking reconsideration</w:t>
      </w:r>
      <w:r w:rsidR="002C02CD">
        <w:t>,</w:t>
      </w:r>
      <w:r w:rsidRPr="00944497" w:rsidR="00944497">
        <w:t xml:space="preserve">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Public Notice, 21 FCC Rcd 163 (WTB 2006</w:t>
      </w:r>
      <w:r w:rsidRPr="00FA18B4" w:rsidR="00944497">
        <w:t>).  Given that ULS issued the Notices of Termination Pending Status on May 22, 2019 and WCN filed its Petition on May 24, 2019, its petition is timely.</w:t>
      </w:r>
      <w:r w:rsidRPr="00944497" w:rsidR="00944497">
        <w:t xml:space="preserve">  </w:t>
      </w:r>
    </w:p>
  </w:footnote>
  <w:footnote w:id="6">
    <w:p w:rsidR="00FF1C64" w:rsidRPr="00CE5A4A" w:rsidP="00FF1C64" w14:paraId="25E52F05" w14:textId="77777777">
      <w:pPr>
        <w:pStyle w:val="FootnoteText"/>
      </w:pPr>
      <w:r w:rsidRPr="00CE5A4A">
        <w:rPr>
          <w:rStyle w:val="FootnoteReference"/>
        </w:rPr>
        <w:footnoteRef/>
      </w:r>
      <w:r w:rsidRPr="00CE5A4A">
        <w:t xml:space="preserve"> Petition at 1.</w:t>
      </w:r>
    </w:p>
  </w:footnote>
  <w:footnote w:id="7">
    <w:p w:rsidR="00FF1C64" w:rsidRPr="00CE5A4A" w:rsidP="00FF1C64" w14:paraId="644990EE" w14:textId="77777777">
      <w:pPr>
        <w:pStyle w:val="FootnoteText"/>
      </w:pPr>
      <w:r w:rsidRPr="00CE5A4A">
        <w:rPr>
          <w:rStyle w:val="FootnoteReference"/>
        </w:rPr>
        <w:footnoteRef/>
      </w:r>
      <w:r w:rsidRPr="00CE5A4A">
        <w:t xml:space="preserve"> </w:t>
      </w:r>
      <w:r w:rsidRPr="00CE5A4A">
        <w:rPr>
          <w:i/>
        </w:rPr>
        <w:t>Id</w:t>
      </w:r>
      <w:r w:rsidRPr="00CE5A4A">
        <w:t xml:space="preserve">.  </w:t>
      </w:r>
    </w:p>
  </w:footnote>
  <w:footnote w:id="8">
    <w:p w:rsidR="002C02CD" w:rsidP="002C02CD" w14:paraId="24E516B6" w14:textId="77777777">
      <w:pPr>
        <w:pStyle w:val="FootnoteText"/>
      </w:pPr>
      <w:r>
        <w:rPr>
          <w:rStyle w:val="FootnoteReference"/>
        </w:rPr>
        <w:footnoteRef/>
      </w:r>
      <w:r>
        <w:t xml:space="preserve"> </w:t>
      </w:r>
      <w:r w:rsidRPr="00931490">
        <w:t xml:space="preserve">E-mail from Joe </w:t>
      </w:r>
      <w:r w:rsidRPr="00931490">
        <w:t>Kuran</w:t>
      </w:r>
      <w:r w:rsidRPr="00931490">
        <w:t>, Strategic Systems Architect, Representing Washington County Network, to Alison Venable, Policy and Licensing Division, FCC Public Safety and Homeland Security Bureau (June 18, 2019, 13:58 EDT) (</w:t>
      </w:r>
      <w:r w:rsidRPr="00931490">
        <w:t>Kuran</w:t>
      </w:r>
      <w:r w:rsidRPr="00931490">
        <w:t xml:space="preserve"> E-mail). </w:t>
      </w:r>
    </w:p>
  </w:footnote>
  <w:footnote w:id="9">
    <w:p w:rsidR="00CB2F61" w:rsidRPr="00CB2F61" w14:paraId="1D05E30C" w14:textId="77777777">
      <w:pPr>
        <w:pStyle w:val="FootnoteText"/>
      </w:pPr>
      <w:r>
        <w:rPr>
          <w:rStyle w:val="FootnoteReference"/>
        </w:rPr>
        <w:footnoteRef/>
      </w:r>
      <w:r>
        <w:t xml:space="preserve"> </w:t>
      </w:r>
      <w:r>
        <w:rPr>
          <w:i/>
        </w:rPr>
        <w:t>See</w:t>
      </w:r>
      <w:r>
        <w:t xml:space="preserve"> Petition at 1.</w:t>
      </w:r>
    </w:p>
  </w:footnote>
  <w:footnote w:id="10">
    <w:p w:rsidR="00CB2F61" w14:paraId="05E3FBB6" w14:textId="0CE51651">
      <w:pPr>
        <w:pStyle w:val="FootnoteText"/>
      </w:pPr>
      <w:r>
        <w:rPr>
          <w:rStyle w:val="FootnoteReference"/>
        </w:rPr>
        <w:footnoteRef/>
      </w:r>
      <w:r w:rsidR="004229C2">
        <w:t xml:space="preserve"> </w:t>
      </w:r>
      <w:r w:rsidRPr="004229C2" w:rsidR="004229C2">
        <w:rPr>
          <w:i/>
          <w:iCs/>
        </w:rPr>
        <w:t>Id</w:t>
      </w:r>
      <w:r w:rsidRPr="004229C2">
        <w:rPr>
          <w:i/>
          <w:iCs/>
        </w:rPr>
        <w:t>.</w:t>
      </w:r>
    </w:p>
  </w:footnote>
  <w:footnote w:id="11">
    <w:p w:rsidR="00CB2F61" w14:paraId="163C1903" w14:textId="4B95EAA1">
      <w:pPr>
        <w:pStyle w:val="FootnoteText"/>
      </w:pPr>
      <w:r>
        <w:rPr>
          <w:rStyle w:val="FootnoteReference"/>
        </w:rPr>
        <w:footnoteRef/>
      </w:r>
      <w:r>
        <w:t xml:space="preserve"> </w:t>
      </w:r>
      <w:r w:rsidRPr="004229C2" w:rsidR="004229C2">
        <w:rPr>
          <w:i/>
          <w:iCs/>
        </w:rPr>
        <w:t>Id.</w:t>
      </w:r>
    </w:p>
  </w:footnote>
  <w:footnote w:id="12">
    <w:p w:rsidR="00D87938" w14:paraId="1A983BCB" w14:textId="51570E16">
      <w:pPr>
        <w:pStyle w:val="FootnoteText"/>
      </w:pPr>
      <w:r>
        <w:rPr>
          <w:rStyle w:val="FootnoteReference"/>
        </w:rPr>
        <w:footnoteRef/>
      </w:r>
      <w:r>
        <w:t xml:space="preserve"> </w:t>
      </w:r>
      <w:r w:rsidR="007267A6">
        <w:rPr>
          <w:i/>
        </w:rPr>
        <w:t xml:space="preserve">See </w:t>
      </w:r>
      <w:r w:rsidR="008C4A55">
        <w:t xml:space="preserve">47 CFR </w:t>
      </w:r>
      <w:r w:rsidRPr="00CE5A4A" w:rsidR="007267A6">
        <w:t>§ 1.955</w:t>
      </w:r>
      <w:r w:rsidR="007267A6">
        <w:t>(a)(2) (“</w:t>
      </w:r>
      <w:r w:rsidRPr="00D87938" w:rsidR="007267A6">
        <w:t>Authorizations automatically terminate (in whole or in part as set forth in the service rules), without specific Commission action, if the licensee fails to meet applicable construction or coverage requirements.</w:t>
      </w:r>
      <w:r w:rsidR="007267A6">
        <w:t xml:space="preserve">”) and </w:t>
      </w:r>
      <w:r w:rsidRPr="00CE5A4A" w:rsidR="007267A6">
        <w:t>§</w:t>
      </w:r>
      <w:r w:rsidR="007267A6">
        <w:t xml:space="preserve"> 90.155 (“</w:t>
      </w:r>
      <w:r w:rsidRPr="00D87938" w:rsidR="007267A6">
        <w:t>All stations authorized under this pa</w:t>
      </w:r>
      <w:r w:rsidR="007267A6">
        <w:t xml:space="preserve">rt . . . </w:t>
      </w:r>
      <w:r w:rsidRPr="00D87938" w:rsidR="007267A6">
        <w:t>must be placed in operation within twelve (12) months from the date of grant or the authorization cancels automatically and must be returned to the Commission.</w:t>
      </w:r>
      <w:r w:rsidR="007267A6">
        <w:t>”).</w:t>
      </w:r>
    </w:p>
  </w:footnote>
  <w:footnote w:id="13">
    <w:p w:rsidR="00C1768D" w:rsidRPr="00CE5A4A" w:rsidP="00C1768D" w14:paraId="2C579C65" w14:textId="77777777">
      <w:pPr>
        <w:pStyle w:val="FootnoteText"/>
      </w:pPr>
      <w:r w:rsidRPr="00CE5A4A">
        <w:rPr>
          <w:rStyle w:val="FootnoteReference"/>
        </w:rPr>
        <w:footnoteRef/>
      </w:r>
      <w:r w:rsidRPr="00CE5A4A">
        <w:t xml:space="preserve"> 47 CFR § 1.106(c)(2).</w:t>
      </w:r>
    </w:p>
  </w:footnote>
  <w:footnote w:id="14">
    <w:p w:rsidR="000A78D3" w:rsidP="000A78D3" w14:paraId="31912717" w14:textId="77777777">
      <w:pPr>
        <w:pStyle w:val="FootnoteText"/>
      </w:pPr>
      <w:r>
        <w:rPr>
          <w:rStyle w:val="FootnoteReference"/>
        </w:rPr>
        <w:footnoteRef/>
      </w:r>
      <w:r>
        <w:t xml:space="preserve"> 47 CFR </w:t>
      </w:r>
      <w:r w:rsidRPr="00FD2745">
        <w:t>§</w:t>
      </w:r>
      <w:r>
        <w:t xml:space="preserve"> 1.925 (a)(3).</w:t>
      </w:r>
    </w:p>
  </w:footnote>
  <w:footnote w:id="15">
    <w:p w:rsidR="000A78D3" w:rsidP="000A78D3" w14:paraId="28957BEB" w14:textId="233530D0">
      <w:pPr>
        <w:pStyle w:val="FootnoteText"/>
      </w:pPr>
      <w:r>
        <w:rPr>
          <w:rStyle w:val="FootnoteReference"/>
        </w:rPr>
        <w:footnoteRef/>
      </w:r>
      <w:r>
        <w:t xml:space="preserve"> </w:t>
      </w:r>
      <w:r w:rsidRPr="0098610F">
        <w:rPr>
          <w:i/>
          <w:iCs/>
          <w:color w:val="000000" w:themeColor="text1"/>
        </w:rPr>
        <w:t>WAIT Radio v. FCC</w:t>
      </w:r>
      <w:r w:rsidRPr="0098610F">
        <w:rPr>
          <w:color w:val="000000" w:themeColor="text1"/>
        </w:rPr>
        <w:t>, 413 F.2d 1153, 1157 (D.C. Cir. 1969), </w:t>
      </w:r>
      <w:r w:rsidRPr="0098610F">
        <w:rPr>
          <w:i/>
          <w:iCs/>
          <w:color w:val="000000" w:themeColor="text1"/>
        </w:rPr>
        <w:t>aff'd</w:t>
      </w:r>
      <w:r w:rsidRPr="0098610F">
        <w:rPr>
          <w:color w:val="000000" w:themeColor="text1"/>
        </w:rPr>
        <w:t>, </w:t>
      </w:r>
      <w:hyperlink r:id="rId1" w:history="1">
        <w:r w:rsidRPr="0098610F">
          <w:rPr>
            <w:rStyle w:val="Hyperlink"/>
            <w:color w:val="000000" w:themeColor="text1"/>
            <w:u w:val="none"/>
          </w:rPr>
          <w:t>459 F.2d 1203 (1973)</w:t>
        </w:r>
      </w:hyperlink>
      <w:r w:rsidRPr="0098610F">
        <w:rPr>
          <w:color w:val="000000" w:themeColor="text1"/>
        </w:rPr>
        <w:t>, </w:t>
      </w:r>
      <w:r w:rsidRPr="0098610F">
        <w:rPr>
          <w:i/>
          <w:iCs/>
          <w:color w:val="000000" w:themeColor="text1"/>
        </w:rPr>
        <w:t>cert. denied</w:t>
      </w:r>
      <w:r w:rsidRPr="0098610F">
        <w:rPr>
          <w:color w:val="000000" w:themeColor="text1"/>
        </w:rPr>
        <w:t>, </w:t>
      </w:r>
      <w:hyperlink r:id="rId2" w:history="1">
        <w:r w:rsidRPr="0098610F">
          <w:rPr>
            <w:rStyle w:val="Hyperlink"/>
            <w:color w:val="000000" w:themeColor="text1"/>
            <w:u w:val="none"/>
          </w:rPr>
          <w:t>409 U.S. 1027 (1972)</w:t>
        </w:r>
      </w:hyperlink>
      <w:r w:rsidRPr="0098610F">
        <w:rPr>
          <w:color w:val="000000" w:themeColor="text1"/>
        </w:rPr>
        <w:t> (</w:t>
      </w:r>
      <w:r w:rsidRPr="0098610F">
        <w:rPr>
          <w:i/>
          <w:iCs/>
          <w:color w:val="000000" w:themeColor="text1"/>
        </w:rPr>
        <w:t>citing </w:t>
      </w:r>
      <w:hyperlink r:id="rId3" w:history="1">
        <w:r w:rsidRPr="0098610F">
          <w:rPr>
            <w:rStyle w:val="Hyperlink"/>
            <w:i/>
            <w:iCs/>
            <w:color w:val="000000" w:themeColor="text1"/>
            <w:u w:val="none"/>
          </w:rPr>
          <w:t>Rio Grande Family Radio Fellowship, Inc. v. FCC</w:t>
        </w:r>
        <w:r w:rsidRPr="0098610F">
          <w:rPr>
            <w:rStyle w:val="Hyperlink"/>
            <w:color w:val="000000" w:themeColor="text1"/>
            <w:u w:val="none"/>
          </w:rPr>
          <w:t>, 406 F.2d 664 (D.C. Cir. 1968)</w:t>
        </w:r>
      </w:hyperlink>
      <w:r w:rsidRPr="0098610F">
        <w:rPr>
          <w:color w:val="000000" w:themeColor="text1"/>
        </w:rPr>
        <w:t>); </w:t>
      </w:r>
      <w:hyperlink r:id="rId4" w:anchor="co_pp_sp_4493_1415" w:history="1">
        <w:r w:rsidRPr="0098610F">
          <w:rPr>
            <w:rStyle w:val="Hyperlink"/>
            <w:i/>
            <w:iCs/>
            <w:color w:val="000000" w:themeColor="text1"/>
            <w:u w:val="none"/>
          </w:rPr>
          <w:t>Birach</w:t>
        </w:r>
        <w:r w:rsidRPr="0098610F">
          <w:rPr>
            <w:rStyle w:val="Hyperlink"/>
            <w:i/>
            <w:iCs/>
            <w:color w:val="000000" w:themeColor="text1"/>
            <w:u w:val="none"/>
          </w:rPr>
          <w:t> Broad. Corp.</w:t>
        </w:r>
        <w:r w:rsidRPr="0098610F">
          <w:rPr>
            <w:rStyle w:val="Hyperlink"/>
            <w:color w:val="000000" w:themeColor="text1"/>
            <w:u w:val="none"/>
          </w:rPr>
          <w:t xml:space="preserve">, Memorandum Opinion and Order, 18 FCC </w:t>
        </w:r>
        <w:r w:rsidRPr="0098610F">
          <w:rPr>
            <w:rStyle w:val="Hyperlink"/>
            <w:color w:val="000000" w:themeColor="text1"/>
            <w:u w:val="none"/>
          </w:rPr>
          <w:t>Rcd</w:t>
        </w:r>
        <w:r w:rsidRPr="0098610F">
          <w:rPr>
            <w:rStyle w:val="Hyperlink"/>
            <w:color w:val="000000" w:themeColor="text1"/>
            <w:u w:val="none"/>
          </w:rPr>
          <w:t xml:space="preserve"> 1414, 1415 (2003)</w:t>
        </w:r>
      </w:hyperlink>
      <w:r w:rsidR="00FA18B4">
        <w:rPr>
          <w:color w:val="000000" w:themeColor="text1"/>
        </w:rPr>
        <w:t xml:space="preserve">; </w:t>
      </w:r>
      <w:hyperlink r:id="rId5" w:anchor="co_pp_8b3b0000958a4" w:history="1">
        <w:r w:rsidRPr="00DF3DEB">
          <w:rPr>
            <w:rStyle w:val="Hyperlink"/>
            <w:color w:val="000000" w:themeColor="text1"/>
            <w:u w:val="none"/>
          </w:rPr>
          <w:t>47 CFR §1.925(a)(3)</w:t>
        </w:r>
      </w:hyperlink>
      <w:r w:rsidRPr="0098610F">
        <w:t>.</w:t>
      </w:r>
    </w:p>
  </w:footnote>
  <w:footnote w:id="16">
    <w:p w:rsidR="000A78D3" w:rsidP="000A78D3" w14:paraId="02A9CAA8" w14:textId="77777777">
      <w:pPr>
        <w:pStyle w:val="FootnoteText"/>
      </w:pPr>
      <w:r>
        <w:rPr>
          <w:rStyle w:val="FootnoteReference"/>
        </w:rPr>
        <w:footnoteRef/>
      </w:r>
      <w:r>
        <w:t xml:space="preserve"> </w:t>
      </w:r>
      <w:r w:rsidRPr="000A78D3">
        <w:rPr>
          <w:i/>
          <w:iCs/>
          <w:color w:val="000000" w:themeColor="text1"/>
        </w:rPr>
        <w:t>See Spartanburg, South Carolina</w:t>
      </w:r>
      <w:r w:rsidRPr="000A78D3">
        <w:rPr>
          <w:color w:val="000000" w:themeColor="text1"/>
        </w:rPr>
        <w:t xml:space="preserve">, Order, 29 FCC Rcd 1708, 1710 para. 7 (PSHSB 2014) </w:t>
      </w:r>
      <w:r w:rsidRPr="000A78D3">
        <w:rPr>
          <w:i/>
          <w:iCs/>
          <w:color w:val="000000" w:themeColor="text1"/>
        </w:rPr>
        <w:t xml:space="preserve">citing </w:t>
      </w:r>
      <w:hyperlink r:id="rId6" w:anchor="co_pp_sp_4493_21076" w:history="1">
        <w:r w:rsidRPr="000A78D3">
          <w:rPr>
            <w:rStyle w:val="Hyperlink"/>
            <w:i/>
            <w:iCs/>
            <w:color w:val="000000" w:themeColor="text1"/>
            <w:u w:val="none"/>
          </w:rPr>
          <w:t>Biennial Regulatory Review — Amendment of Parts 0, 1, 13, 22, 24, 26, 27, 80, 87, 90, 95 and 101 of the Commission's Rules to Facilitate Development and Use of the Universal Licensing System in the Wireless Telecommunications Services,</w:t>
        </w:r>
        <w:r w:rsidRPr="000A78D3">
          <w:rPr>
            <w:rStyle w:val="Hyperlink"/>
            <w:color w:val="000000" w:themeColor="text1"/>
            <w:u w:val="none"/>
          </w:rPr>
          <w:t> Report and Order, 13 FCC Rcd 21027, 21076 para. 106 (1998)</w:t>
        </w:r>
      </w:hyperlink>
      <w:r w:rsidRPr="000A78D3">
        <w:t>.</w:t>
      </w:r>
    </w:p>
  </w:footnote>
  <w:footnote w:id="17">
    <w:p w:rsidR="008F0794" w:rsidP="008F0794" w14:paraId="688B5E55"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EB6A2" w14:textId="5F279BD2">
    <w:pPr>
      <w:pStyle w:val="Header"/>
      <w:rPr>
        <w:b w:val="0"/>
      </w:rPr>
    </w:pPr>
    <w:r>
      <w:tab/>
      <w:t>Federal Communications Commission</w:t>
    </w:r>
    <w:r>
      <w:tab/>
      <w:t xml:space="preserve">DA </w:t>
    </w:r>
    <w:r w:rsidR="002C02CD">
      <w:t>20</w:t>
    </w:r>
    <w:r>
      <w:t>-</w:t>
    </w:r>
    <w:r w:rsidR="009D4AD3">
      <w:t>1198</w:t>
    </w:r>
  </w:p>
  <w:p w:rsidR="00D25FB5" w14:paraId="2B0125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F7CA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C0AE16" w14:textId="6FE1B29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2C02CD">
      <w:rPr>
        <w:spacing w:val="-2"/>
      </w:rPr>
      <w:t>20</w:t>
    </w:r>
    <w:r>
      <w:rPr>
        <w:spacing w:val="-2"/>
      </w:rPr>
      <w:t>-</w:t>
    </w:r>
    <w:r w:rsidR="009D4AD3">
      <w:rPr>
        <w:spacing w:val="-2"/>
      </w:rPr>
      <w:t>1198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411"/>
    <w:rsid w:val="000376D8"/>
    <w:rsid w:val="000431C6"/>
    <w:rsid w:val="0004327E"/>
    <w:rsid w:val="0005031D"/>
    <w:rsid w:val="00054D75"/>
    <w:rsid w:val="00071AD9"/>
    <w:rsid w:val="00073C5B"/>
    <w:rsid w:val="00085A0A"/>
    <w:rsid w:val="000A78D3"/>
    <w:rsid w:val="000D0117"/>
    <w:rsid w:val="000D2817"/>
    <w:rsid w:val="000D3DAC"/>
    <w:rsid w:val="000D41E4"/>
    <w:rsid w:val="000E2871"/>
    <w:rsid w:val="000E4BAC"/>
    <w:rsid w:val="000E7788"/>
    <w:rsid w:val="001066CE"/>
    <w:rsid w:val="00107186"/>
    <w:rsid w:val="00112EF4"/>
    <w:rsid w:val="0011455A"/>
    <w:rsid w:val="0012401D"/>
    <w:rsid w:val="00125E99"/>
    <w:rsid w:val="001310E3"/>
    <w:rsid w:val="00131C92"/>
    <w:rsid w:val="001352B3"/>
    <w:rsid w:val="001409C0"/>
    <w:rsid w:val="00144213"/>
    <w:rsid w:val="00145BEA"/>
    <w:rsid w:val="00147C41"/>
    <w:rsid w:val="001503E6"/>
    <w:rsid w:val="0015509B"/>
    <w:rsid w:val="00170486"/>
    <w:rsid w:val="00173F92"/>
    <w:rsid w:val="00174146"/>
    <w:rsid w:val="00177913"/>
    <w:rsid w:val="00187D46"/>
    <w:rsid w:val="001A0629"/>
    <w:rsid w:val="001A1A4C"/>
    <w:rsid w:val="001A226A"/>
    <w:rsid w:val="001A7BC7"/>
    <w:rsid w:val="001A7BC8"/>
    <w:rsid w:val="001B3A00"/>
    <w:rsid w:val="001B4B42"/>
    <w:rsid w:val="001B7C18"/>
    <w:rsid w:val="001C0A01"/>
    <w:rsid w:val="001E0EB5"/>
    <w:rsid w:val="001E356C"/>
    <w:rsid w:val="001F0CCD"/>
    <w:rsid w:val="00202399"/>
    <w:rsid w:val="00202DAB"/>
    <w:rsid w:val="00230A13"/>
    <w:rsid w:val="00261288"/>
    <w:rsid w:val="00265049"/>
    <w:rsid w:val="00274428"/>
    <w:rsid w:val="00282941"/>
    <w:rsid w:val="0029269D"/>
    <w:rsid w:val="002A0365"/>
    <w:rsid w:val="002A7EE6"/>
    <w:rsid w:val="002B001E"/>
    <w:rsid w:val="002C00F8"/>
    <w:rsid w:val="002C02CD"/>
    <w:rsid w:val="002D05AF"/>
    <w:rsid w:val="002D19FD"/>
    <w:rsid w:val="002F420C"/>
    <w:rsid w:val="003146C7"/>
    <w:rsid w:val="00317E58"/>
    <w:rsid w:val="00320C3F"/>
    <w:rsid w:val="0032311E"/>
    <w:rsid w:val="00340649"/>
    <w:rsid w:val="0034505C"/>
    <w:rsid w:val="00355994"/>
    <w:rsid w:val="00360696"/>
    <w:rsid w:val="00365599"/>
    <w:rsid w:val="00380376"/>
    <w:rsid w:val="003B1C49"/>
    <w:rsid w:val="003B4E3A"/>
    <w:rsid w:val="003B5825"/>
    <w:rsid w:val="003C5745"/>
    <w:rsid w:val="003D51A8"/>
    <w:rsid w:val="003E4412"/>
    <w:rsid w:val="003E79CD"/>
    <w:rsid w:val="003F0F8B"/>
    <w:rsid w:val="00405AE7"/>
    <w:rsid w:val="00412A75"/>
    <w:rsid w:val="004229C2"/>
    <w:rsid w:val="004278FC"/>
    <w:rsid w:val="00432AD8"/>
    <w:rsid w:val="00451C3E"/>
    <w:rsid w:val="00455798"/>
    <w:rsid w:val="00465DE8"/>
    <w:rsid w:val="0046679D"/>
    <w:rsid w:val="00470875"/>
    <w:rsid w:val="004828C5"/>
    <w:rsid w:val="00487638"/>
    <w:rsid w:val="0048765C"/>
    <w:rsid w:val="00490025"/>
    <w:rsid w:val="00490471"/>
    <w:rsid w:val="00497596"/>
    <w:rsid w:val="00497C83"/>
    <w:rsid w:val="004A7412"/>
    <w:rsid w:val="004C04EF"/>
    <w:rsid w:val="004C0EB7"/>
    <w:rsid w:val="004C76E5"/>
    <w:rsid w:val="004C7BD5"/>
    <w:rsid w:val="004E1277"/>
    <w:rsid w:val="00500438"/>
    <w:rsid w:val="00504B43"/>
    <w:rsid w:val="00504E7E"/>
    <w:rsid w:val="005267E3"/>
    <w:rsid w:val="005273E0"/>
    <w:rsid w:val="00550982"/>
    <w:rsid w:val="005533E1"/>
    <w:rsid w:val="00555C6F"/>
    <w:rsid w:val="0055614C"/>
    <w:rsid w:val="00556527"/>
    <w:rsid w:val="00565E93"/>
    <w:rsid w:val="0058669C"/>
    <w:rsid w:val="005B3E3D"/>
    <w:rsid w:val="005B6304"/>
    <w:rsid w:val="005B63E9"/>
    <w:rsid w:val="005B7681"/>
    <w:rsid w:val="005C48E8"/>
    <w:rsid w:val="005C7258"/>
    <w:rsid w:val="005D1F42"/>
    <w:rsid w:val="00614220"/>
    <w:rsid w:val="00615215"/>
    <w:rsid w:val="00620AAF"/>
    <w:rsid w:val="00622448"/>
    <w:rsid w:val="00630074"/>
    <w:rsid w:val="0064471E"/>
    <w:rsid w:val="00655447"/>
    <w:rsid w:val="00664EF6"/>
    <w:rsid w:val="006717C4"/>
    <w:rsid w:val="0067724A"/>
    <w:rsid w:val="006A3FE8"/>
    <w:rsid w:val="006B4C65"/>
    <w:rsid w:val="006C7C20"/>
    <w:rsid w:val="006E6CAF"/>
    <w:rsid w:val="006E760B"/>
    <w:rsid w:val="006F5C6F"/>
    <w:rsid w:val="006F7E28"/>
    <w:rsid w:val="00701210"/>
    <w:rsid w:val="00703D9A"/>
    <w:rsid w:val="007060C1"/>
    <w:rsid w:val="007132A7"/>
    <w:rsid w:val="007267A6"/>
    <w:rsid w:val="00733B58"/>
    <w:rsid w:val="0073591F"/>
    <w:rsid w:val="007424D3"/>
    <w:rsid w:val="00750C73"/>
    <w:rsid w:val="00750EE1"/>
    <w:rsid w:val="007717E4"/>
    <w:rsid w:val="00777FBE"/>
    <w:rsid w:val="00784FAF"/>
    <w:rsid w:val="0079167D"/>
    <w:rsid w:val="00791CD9"/>
    <w:rsid w:val="00793D07"/>
    <w:rsid w:val="00796FA2"/>
    <w:rsid w:val="007A1E13"/>
    <w:rsid w:val="007B1D50"/>
    <w:rsid w:val="007B474F"/>
    <w:rsid w:val="007B4974"/>
    <w:rsid w:val="007C33B4"/>
    <w:rsid w:val="007C7110"/>
    <w:rsid w:val="007D7BC7"/>
    <w:rsid w:val="007E43DB"/>
    <w:rsid w:val="007F0B1B"/>
    <w:rsid w:val="007F495A"/>
    <w:rsid w:val="008030CC"/>
    <w:rsid w:val="00810B6F"/>
    <w:rsid w:val="0081363C"/>
    <w:rsid w:val="00821BE8"/>
    <w:rsid w:val="00826C1A"/>
    <w:rsid w:val="00832EE9"/>
    <w:rsid w:val="00834CDE"/>
    <w:rsid w:val="00834FB9"/>
    <w:rsid w:val="00843F7F"/>
    <w:rsid w:val="00844D73"/>
    <w:rsid w:val="0085760C"/>
    <w:rsid w:val="00863CF8"/>
    <w:rsid w:val="00880CB9"/>
    <w:rsid w:val="008819A3"/>
    <w:rsid w:val="008971AC"/>
    <w:rsid w:val="008A11C2"/>
    <w:rsid w:val="008A12B2"/>
    <w:rsid w:val="008B4A1B"/>
    <w:rsid w:val="008B6AFD"/>
    <w:rsid w:val="008B6EEC"/>
    <w:rsid w:val="008B76A2"/>
    <w:rsid w:val="008C42E8"/>
    <w:rsid w:val="008C4A55"/>
    <w:rsid w:val="008C7BF3"/>
    <w:rsid w:val="008D3E8D"/>
    <w:rsid w:val="008E0E60"/>
    <w:rsid w:val="008F0794"/>
    <w:rsid w:val="009000C3"/>
    <w:rsid w:val="00917377"/>
    <w:rsid w:val="00927BBF"/>
    <w:rsid w:val="00931490"/>
    <w:rsid w:val="00944314"/>
    <w:rsid w:val="00944497"/>
    <w:rsid w:val="0095152B"/>
    <w:rsid w:val="00954CBB"/>
    <w:rsid w:val="009605FE"/>
    <w:rsid w:val="009607DA"/>
    <w:rsid w:val="0098610F"/>
    <w:rsid w:val="009A21BE"/>
    <w:rsid w:val="009A2D97"/>
    <w:rsid w:val="009A6689"/>
    <w:rsid w:val="009B3F39"/>
    <w:rsid w:val="009C365B"/>
    <w:rsid w:val="009D4AD3"/>
    <w:rsid w:val="009D750B"/>
    <w:rsid w:val="009F7D09"/>
    <w:rsid w:val="00A00390"/>
    <w:rsid w:val="00A03FE4"/>
    <w:rsid w:val="00A1739D"/>
    <w:rsid w:val="00A17DB5"/>
    <w:rsid w:val="00A229D3"/>
    <w:rsid w:val="00A25A8B"/>
    <w:rsid w:val="00A26232"/>
    <w:rsid w:val="00A26BB0"/>
    <w:rsid w:val="00A26BBC"/>
    <w:rsid w:val="00A31557"/>
    <w:rsid w:val="00A32118"/>
    <w:rsid w:val="00A4697F"/>
    <w:rsid w:val="00A47EBD"/>
    <w:rsid w:val="00A6049E"/>
    <w:rsid w:val="00A804C7"/>
    <w:rsid w:val="00A82517"/>
    <w:rsid w:val="00A930EE"/>
    <w:rsid w:val="00A93F40"/>
    <w:rsid w:val="00AA2147"/>
    <w:rsid w:val="00AA3D92"/>
    <w:rsid w:val="00AE23E5"/>
    <w:rsid w:val="00AE5F10"/>
    <w:rsid w:val="00AF46E1"/>
    <w:rsid w:val="00B00F5C"/>
    <w:rsid w:val="00B036F7"/>
    <w:rsid w:val="00B168B2"/>
    <w:rsid w:val="00B27870"/>
    <w:rsid w:val="00B332C9"/>
    <w:rsid w:val="00B37031"/>
    <w:rsid w:val="00B50D20"/>
    <w:rsid w:val="00B5154B"/>
    <w:rsid w:val="00B5649C"/>
    <w:rsid w:val="00B73266"/>
    <w:rsid w:val="00B750A5"/>
    <w:rsid w:val="00B754AC"/>
    <w:rsid w:val="00B764CA"/>
    <w:rsid w:val="00B80B0E"/>
    <w:rsid w:val="00B83786"/>
    <w:rsid w:val="00B84577"/>
    <w:rsid w:val="00B86901"/>
    <w:rsid w:val="00B87212"/>
    <w:rsid w:val="00BA2F95"/>
    <w:rsid w:val="00BA498D"/>
    <w:rsid w:val="00BA65E4"/>
    <w:rsid w:val="00BA6FBF"/>
    <w:rsid w:val="00BC11A8"/>
    <w:rsid w:val="00BC2358"/>
    <w:rsid w:val="00BC4319"/>
    <w:rsid w:val="00BD4C8D"/>
    <w:rsid w:val="00BD683A"/>
    <w:rsid w:val="00BD76D6"/>
    <w:rsid w:val="00BE0155"/>
    <w:rsid w:val="00BE4E1E"/>
    <w:rsid w:val="00BF0F53"/>
    <w:rsid w:val="00BF2D35"/>
    <w:rsid w:val="00BF6AC2"/>
    <w:rsid w:val="00C15B9B"/>
    <w:rsid w:val="00C1654B"/>
    <w:rsid w:val="00C1768D"/>
    <w:rsid w:val="00C23EFD"/>
    <w:rsid w:val="00C2593C"/>
    <w:rsid w:val="00C32155"/>
    <w:rsid w:val="00C35349"/>
    <w:rsid w:val="00C458F6"/>
    <w:rsid w:val="00C537DC"/>
    <w:rsid w:val="00C7197B"/>
    <w:rsid w:val="00C84E79"/>
    <w:rsid w:val="00C8745D"/>
    <w:rsid w:val="00CB2235"/>
    <w:rsid w:val="00CB2F61"/>
    <w:rsid w:val="00CB50C8"/>
    <w:rsid w:val="00CB71D1"/>
    <w:rsid w:val="00CC02B3"/>
    <w:rsid w:val="00CD3B6A"/>
    <w:rsid w:val="00CE021F"/>
    <w:rsid w:val="00CE4BC6"/>
    <w:rsid w:val="00CE5A4A"/>
    <w:rsid w:val="00CF5DE7"/>
    <w:rsid w:val="00D05049"/>
    <w:rsid w:val="00D07FE4"/>
    <w:rsid w:val="00D113A8"/>
    <w:rsid w:val="00D25FB5"/>
    <w:rsid w:val="00D26E2C"/>
    <w:rsid w:val="00D366AD"/>
    <w:rsid w:val="00D5610F"/>
    <w:rsid w:val="00D60396"/>
    <w:rsid w:val="00D641D3"/>
    <w:rsid w:val="00D71F6E"/>
    <w:rsid w:val="00D74307"/>
    <w:rsid w:val="00D77805"/>
    <w:rsid w:val="00D82EB5"/>
    <w:rsid w:val="00D87938"/>
    <w:rsid w:val="00D97717"/>
    <w:rsid w:val="00DB1E16"/>
    <w:rsid w:val="00DB7C24"/>
    <w:rsid w:val="00DC66CE"/>
    <w:rsid w:val="00DD0CA8"/>
    <w:rsid w:val="00DD45A0"/>
    <w:rsid w:val="00DD4D5F"/>
    <w:rsid w:val="00DF3DEB"/>
    <w:rsid w:val="00DF690D"/>
    <w:rsid w:val="00E00835"/>
    <w:rsid w:val="00E0748A"/>
    <w:rsid w:val="00E1206B"/>
    <w:rsid w:val="00E31799"/>
    <w:rsid w:val="00E34018"/>
    <w:rsid w:val="00E415D5"/>
    <w:rsid w:val="00E42EE1"/>
    <w:rsid w:val="00E46441"/>
    <w:rsid w:val="00E57D24"/>
    <w:rsid w:val="00E62F7B"/>
    <w:rsid w:val="00E65DBF"/>
    <w:rsid w:val="00E67683"/>
    <w:rsid w:val="00E735D1"/>
    <w:rsid w:val="00E876A6"/>
    <w:rsid w:val="00E90AF0"/>
    <w:rsid w:val="00EA1A59"/>
    <w:rsid w:val="00EB02AE"/>
    <w:rsid w:val="00EC014E"/>
    <w:rsid w:val="00EC7E21"/>
    <w:rsid w:val="00ED2B03"/>
    <w:rsid w:val="00ED7FCC"/>
    <w:rsid w:val="00EE02AC"/>
    <w:rsid w:val="00EF7312"/>
    <w:rsid w:val="00F0676C"/>
    <w:rsid w:val="00F22511"/>
    <w:rsid w:val="00F30ED5"/>
    <w:rsid w:val="00F37126"/>
    <w:rsid w:val="00F40199"/>
    <w:rsid w:val="00F64CAF"/>
    <w:rsid w:val="00F82BE0"/>
    <w:rsid w:val="00F85056"/>
    <w:rsid w:val="00F872AB"/>
    <w:rsid w:val="00F971E6"/>
    <w:rsid w:val="00FA0BA2"/>
    <w:rsid w:val="00FA18B4"/>
    <w:rsid w:val="00FA6B51"/>
    <w:rsid w:val="00FB669E"/>
    <w:rsid w:val="00FC7821"/>
    <w:rsid w:val="00FD2745"/>
    <w:rsid w:val="00FE23A4"/>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42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72109901&amp;pubNum=0000350&amp;originatingDoc=I61817521361811eab22cbaf3cb96eb08&amp;refType=RP&amp;originationContext=document&amp;transitionType=DocumentItem&amp;contextData=(sc.Search)" TargetMode="External" /><Relationship Id="rId2" Type="http://schemas.openxmlformats.org/officeDocument/2006/relationships/hyperlink" Target="https://1.next.westlaw.com/Link/Document/FullText?findType=Y&amp;serNum=1972202463&amp;pubNum=0000780&amp;originatingDoc=I61817521361811eab22cbaf3cb96eb08&amp;refType=RP&amp;originationContext=document&amp;transitionType=DocumentItem&amp;contextData=(sc.Search)" TargetMode="External" /><Relationship Id="rId3" Type="http://schemas.openxmlformats.org/officeDocument/2006/relationships/hyperlink" Target="https://1.next.westlaw.com/Link/Document/FullText?findType=Y&amp;serNum=1968120431&amp;pubNum=0000350&amp;originatingDoc=I61817521361811eab22cbaf3cb96eb08&amp;refType=RP&amp;originationContext=document&amp;transitionType=DocumentItem&amp;contextData=(sc.Search)" TargetMode="External" /><Relationship Id="rId4" Type="http://schemas.openxmlformats.org/officeDocument/2006/relationships/hyperlink" Target="https://1.next.westlaw.com/Link/Document/FullText?findType=Y&amp;serNum=2003124093&amp;pubNum=0004493&amp;originatingDoc=I61817521361811eab22cbaf3cb96eb08&amp;refType=CA&amp;fi=co_pp_sp_4493_1415&amp;originationContext=document&amp;transitionType=DocumentItem&amp;contextData=(sc.Search)" TargetMode="External" /><Relationship Id="rId5" Type="http://schemas.openxmlformats.org/officeDocument/2006/relationships/hyperlink" Target="https://1.next.westlaw.com/Link/Document/FullText?findType=L&amp;pubNum=1000547&amp;cite=47CFRS1.925&amp;originatingDoc=I61817521361811eab22cbaf3cb96eb08&amp;refType=RB&amp;originationContext=document&amp;transitionType=DocumentItem&amp;contextData=(sc.Search)" TargetMode="External" /><Relationship Id="rId6" Type="http://schemas.openxmlformats.org/officeDocument/2006/relationships/hyperlink" Target="https://1.next.westlaw.com/Link/Document/FullText?findType=Y&amp;serNum=1998267573&amp;pubNum=4493&amp;originatingDoc=Ie39daffe9a2011e38914df21cb42a557&amp;refType=CA&amp;fi=co_pp_sp_4493_21076&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