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P="00C753DD" w14:paraId="47314667" w14:textId="77777777">
      <w:pPr>
        <w:widowControl/>
        <w:jc w:val="center"/>
        <w:rPr>
          <w:b/>
        </w:rPr>
      </w:pPr>
      <w:bookmarkStart w:id="0" w:name="_Hlk21697468"/>
      <w:r w:rsidRPr="0070224F">
        <w:rPr>
          <w:rFonts w:ascii="Times New Roman Bold" w:hAnsi="Times New Roman Bold"/>
          <w:b/>
          <w:kern w:val="0"/>
          <w:szCs w:val="22"/>
        </w:rPr>
        <w:t>Before</w:t>
      </w:r>
      <w:r>
        <w:rPr>
          <w:b/>
        </w:rPr>
        <w:t xml:space="preserve"> the</w:t>
      </w:r>
    </w:p>
    <w:p w:rsidR="00921803" w:rsidP="00C753DD" w14:paraId="4866B682" w14:textId="77777777">
      <w:pPr>
        <w:pStyle w:val="StyleBoldCentered"/>
        <w:widowControl/>
      </w:pPr>
      <w:r>
        <w:t>F</w:t>
      </w:r>
      <w:r>
        <w:rPr>
          <w:caps w:val="0"/>
        </w:rPr>
        <w:t>ederal Communications Commission</w:t>
      </w:r>
    </w:p>
    <w:p w:rsidR="004C2EE3" w:rsidP="00C753DD" w14:paraId="277471F2" w14:textId="77777777">
      <w:pPr>
        <w:pStyle w:val="StyleBoldCentered"/>
        <w:widowControl/>
      </w:pPr>
      <w:r>
        <w:rPr>
          <w:caps w:val="0"/>
        </w:rPr>
        <w:t>Washington, D.C. 20554</w:t>
      </w:r>
    </w:p>
    <w:p w:rsidR="004C2EE3" w:rsidP="00C753DD" w14:paraId="394406CA" w14:textId="77777777">
      <w:pPr>
        <w:widowControl/>
      </w:pPr>
    </w:p>
    <w:p w:rsidR="004C2EE3" w:rsidP="00C753DD" w14:paraId="01C53DDE" w14:textId="77777777">
      <w:pPr>
        <w:widowControl/>
      </w:pPr>
    </w:p>
    <w:tbl>
      <w:tblPr>
        <w:tblW w:w="0" w:type="auto"/>
        <w:tblLayout w:type="fixed"/>
        <w:tblLook w:val="0000"/>
      </w:tblPr>
      <w:tblGrid>
        <w:gridCol w:w="4698"/>
        <w:gridCol w:w="630"/>
        <w:gridCol w:w="4248"/>
      </w:tblGrid>
      <w:tr w14:paraId="617A8AA5" w14:textId="77777777">
        <w:tblPrEx>
          <w:tblW w:w="0" w:type="auto"/>
          <w:tblLayout w:type="fixed"/>
          <w:tblLook w:val="0000"/>
        </w:tblPrEx>
        <w:tc>
          <w:tcPr>
            <w:tcW w:w="4698" w:type="dxa"/>
          </w:tcPr>
          <w:p w:rsidR="004C2EE3" w:rsidP="00C753DD" w14:paraId="06E30FE5" w14:textId="77777777">
            <w:pPr>
              <w:widowControl/>
              <w:tabs>
                <w:tab w:val="center" w:pos="4680"/>
              </w:tabs>
              <w:suppressAutoHyphens/>
              <w:rPr>
                <w:spacing w:val="-2"/>
              </w:rPr>
            </w:pPr>
            <w:bookmarkStart w:id="1" w:name="_Hlk34394462"/>
            <w:r>
              <w:rPr>
                <w:spacing w:val="-2"/>
              </w:rPr>
              <w:t>In the Matter of</w:t>
            </w:r>
          </w:p>
          <w:p w:rsidR="004C2EE3" w:rsidP="00C753DD" w14:paraId="4FE5780B" w14:textId="77777777">
            <w:pPr>
              <w:widowControl/>
              <w:tabs>
                <w:tab w:val="center" w:pos="4680"/>
              </w:tabs>
              <w:suppressAutoHyphens/>
              <w:rPr>
                <w:spacing w:val="-2"/>
              </w:rPr>
            </w:pPr>
          </w:p>
          <w:p w:rsidR="004C2EE3" w:rsidP="00C753DD" w14:paraId="313B2324" w14:textId="3BDAB7A0">
            <w:pPr>
              <w:widowControl/>
              <w:tabs>
                <w:tab w:val="center" w:pos="4680"/>
              </w:tabs>
              <w:suppressAutoHyphens/>
              <w:rPr>
                <w:spacing w:val="-2"/>
              </w:rPr>
            </w:pPr>
            <w:r>
              <w:rPr>
                <w:spacing w:val="-2"/>
              </w:rPr>
              <w:t>Steuben County, New York</w:t>
            </w:r>
          </w:p>
          <w:p w:rsidR="00813E0D" w:rsidP="00C753DD" w14:paraId="44BFEEE0" w14:textId="77777777">
            <w:pPr>
              <w:widowControl/>
              <w:tabs>
                <w:tab w:val="center" w:pos="4680"/>
              </w:tabs>
              <w:suppressAutoHyphens/>
              <w:rPr>
                <w:spacing w:val="-2"/>
              </w:rPr>
            </w:pPr>
          </w:p>
          <w:p w:rsidR="00813E0D" w:rsidRPr="007115F7" w:rsidP="00C753DD" w14:paraId="123BD634" w14:textId="77777777">
            <w:pPr>
              <w:widowControl/>
              <w:tabs>
                <w:tab w:val="center" w:pos="4680"/>
              </w:tabs>
              <w:suppressAutoHyphens/>
              <w:rPr>
                <w:spacing w:val="-2"/>
              </w:rPr>
            </w:pPr>
            <w:r>
              <w:rPr>
                <w:spacing w:val="-2"/>
              </w:rPr>
              <w:t>Petition for Reconsideration</w:t>
            </w:r>
          </w:p>
        </w:tc>
        <w:tc>
          <w:tcPr>
            <w:tcW w:w="630" w:type="dxa"/>
          </w:tcPr>
          <w:p w:rsidR="004C2EE3" w:rsidP="00C753DD" w14:paraId="1C953FAA" w14:textId="77777777">
            <w:pPr>
              <w:widowControl/>
              <w:tabs>
                <w:tab w:val="center" w:pos="4680"/>
              </w:tabs>
              <w:suppressAutoHyphens/>
              <w:rPr>
                <w:b/>
                <w:spacing w:val="-2"/>
              </w:rPr>
            </w:pPr>
            <w:r>
              <w:rPr>
                <w:b/>
                <w:spacing w:val="-2"/>
              </w:rPr>
              <w:t>)</w:t>
            </w:r>
          </w:p>
          <w:p w:rsidR="004C2EE3" w:rsidP="00C753DD" w14:paraId="24B82E22" w14:textId="77777777">
            <w:pPr>
              <w:widowControl/>
              <w:tabs>
                <w:tab w:val="center" w:pos="4680"/>
              </w:tabs>
              <w:suppressAutoHyphens/>
              <w:rPr>
                <w:b/>
                <w:spacing w:val="-2"/>
              </w:rPr>
            </w:pPr>
            <w:r>
              <w:rPr>
                <w:b/>
                <w:spacing w:val="-2"/>
              </w:rPr>
              <w:t>)</w:t>
            </w:r>
          </w:p>
          <w:p w:rsidR="004C2EE3" w:rsidP="00C753DD" w14:paraId="48CE8BDE" w14:textId="77777777">
            <w:pPr>
              <w:widowControl/>
              <w:tabs>
                <w:tab w:val="center" w:pos="4680"/>
              </w:tabs>
              <w:suppressAutoHyphens/>
              <w:rPr>
                <w:b/>
                <w:spacing w:val="-2"/>
              </w:rPr>
            </w:pPr>
            <w:r>
              <w:rPr>
                <w:b/>
                <w:spacing w:val="-2"/>
              </w:rPr>
              <w:t>)</w:t>
            </w:r>
          </w:p>
          <w:p w:rsidR="004C2EE3" w:rsidP="00C753DD" w14:paraId="36D8A25C" w14:textId="77777777">
            <w:pPr>
              <w:widowControl/>
              <w:tabs>
                <w:tab w:val="center" w:pos="4680"/>
              </w:tabs>
              <w:suppressAutoHyphens/>
              <w:rPr>
                <w:b/>
                <w:spacing w:val="-2"/>
              </w:rPr>
            </w:pPr>
            <w:r>
              <w:rPr>
                <w:b/>
                <w:spacing w:val="-2"/>
              </w:rPr>
              <w:t>)</w:t>
            </w:r>
          </w:p>
          <w:p w:rsidR="004C2EE3" w:rsidP="00C753DD" w14:paraId="2FD96DAD" w14:textId="77777777">
            <w:pPr>
              <w:widowControl/>
              <w:tabs>
                <w:tab w:val="center" w:pos="4680"/>
              </w:tabs>
              <w:suppressAutoHyphens/>
              <w:rPr>
                <w:spacing w:val="-2"/>
              </w:rPr>
            </w:pPr>
            <w:r>
              <w:rPr>
                <w:b/>
                <w:spacing w:val="-2"/>
              </w:rPr>
              <w:t>)</w:t>
            </w:r>
          </w:p>
        </w:tc>
        <w:tc>
          <w:tcPr>
            <w:tcW w:w="4248" w:type="dxa"/>
          </w:tcPr>
          <w:p w:rsidR="004C2EE3" w:rsidP="00C753DD" w14:paraId="43515FE9" w14:textId="77777777">
            <w:pPr>
              <w:widowControl/>
              <w:tabs>
                <w:tab w:val="center" w:pos="4680"/>
              </w:tabs>
              <w:suppressAutoHyphens/>
              <w:rPr>
                <w:spacing w:val="-2"/>
              </w:rPr>
            </w:pPr>
          </w:p>
          <w:p w:rsidR="004C2EE3" w:rsidP="00C753DD" w14:paraId="23D95439" w14:textId="77777777">
            <w:pPr>
              <w:pStyle w:val="TOAHeading"/>
              <w:widowControl/>
              <w:tabs>
                <w:tab w:val="center" w:pos="4680"/>
                <w:tab w:val="clear" w:pos="9360"/>
              </w:tabs>
              <w:rPr>
                <w:spacing w:val="-2"/>
              </w:rPr>
            </w:pPr>
          </w:p>
          <w:p w:rsidR="004C2EE3" w:rsidP="00C753DD" w14:paraId="6380DBBB" w14:textId="0CA25BE0">
            <w:pPr>
              <w:widowControl/>
              <w:tabs>
                <w:tab w:val="center" w:pos="4680"/>
              </w:tabs>
              <w:suppressAutoHyphens/>
              <w:rPr>
                <w:spacing w:val="-2"/>
              </w:rPr>
            </w:pPr>
            <w:r>
              <w:rPr>
                <w:spacing w:val="-2"/>
              </w:rPr>
              <w:t>Call Sign</w:t>
            </w:r>
            <w:r w:rsidR="001000EF">
              <w:rPr>
                <w:spacing w:val="-2"/>
              </w:rPr>
              <w:t>s</w:t>
            </w:r>
            <w:r>
              <w:rPr>
                <w:spacing w:val="-2"/>
              </w:rPr>
              <w:t xml:space="preserve"> </w:t>
            </w:r>
            <w:r w:rsidR="001000EF">
              <w:rPr>
                <w:spacing w:val="-2"/>
              </w:rPr>
              <w:t>WRCB926, WRCB715</w:t>
            </w:r>
          </w:p>
        </w:tc>
      </w:tr>
    </w:tbl>
    <w:p w:rsidR="004C2EE3" w:rsidP="00C753DD" w14:paraId="3525C37E" w14:textId="77777777">
      <w:pPr>
        <w:widowControl/>
      </w:pPr>
    </w:p>
    <w:p w:rsidR="00841AB1" w:rsidP="00C753DD" w14:paraId="04C993AA" w14:textId="77777777">
      <w:pPr>
        <w:pStyle w:val="StyleBoldCentered"/>
        <w:widowControl/>
      </w:pPr>
      <w:r>
        <w:t>Memorandum opinion and order</w:t>
      </w:r>
    </w:p>
    <w:p w:rsidR="004C2EE3" w:rsidP="00C753DD" w14:paraId="4432A0E6" w14:textId="77777777">
      <w:pPr>
        <w:widowControl/>
        <w:tabs>
          <w:tab w:val="left" w:pos="-720"/>
        </w:tabs>
        <w:suppressAutoHyphens/>
        <w:spacing w:line="227" w:lineRule="auto"/>
        <w:rPr>
          <w:spacing w:val="-2"/>
        </w:rPr>
      </w:pPr>
    </w:p>
    <w:p w:rsidR="004C2EE3" w:rsidP="00C753DD" w14:paraId="65535D9C" w14:textId="74AAE19A">
      <w:pPr>
        <w:widowControl/>
        <w:tabs>
          <w:tab w:val="left" w:pos="720"/>
          <w:tab w:val="right" w:pos="9360"/>
        </w:tabs>
        <w:suppressAutoHyphens/>
        <w:spacing w:line="227" w:lineRule="auto"/>
        <w:rPr>
          <w:spacing w:val="-2"/>
        </w:rPr>
      </w:pPr>
      <w:r>
        <w:rPr>
          <w:b/>
          <w:spacing w:val="-2"/>
        </w:rPr>
        <w:t xml:space="preserve">Adopted:  </w:t>
      </w:r>
      <w:r w:rsidR="00E33397">
        <w:rPr>
          <w:b/>
          <w:spacing w:val="-2"/>
        </w:rPr>
        <w:t>October 13</w:t>
      </w:r>
      <w:r w:rsidR="001000EF">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3397">
        <w:rPr>
          <w:b/>
          <w:spacing w:val="-2"/>
        </w:rPr>
        <w:t>October 14</w:t>
      </w:r>
      <w:r w:rsidR="001000EF">
        <w:rPr>
          <w:b/>
          <w:spacing w:val="-2"/>
        </w:rPr>
        <w:t>,</w:t>
      </w:r>
      <w:r w:rsidR="0053670C">
        <w:rPr>
          <w:b/>
          <w:spacing w:val="-2"/>
        </w:rPr>
        <w:t xml:space="preserve"> </w:t>
      </w:r>
      <w:r w:rsidR="001000EF">
        <w:rPr>
          <w:b/>
          <w:spacing w:val="-2"/>
        </w:rPr>
        <w:t>2020</w:t>
      </w:r>
    </w:p>
    <w:p w:rsidR="00822CE0" w:rsidP="00C753DD" w14:paraId="4A3B2381" w14:textId="77777777">
      <w:pPr>
        <w:widowControl/>
      </w:pPr>
    </w:p>
    <w:p w:rsidR="004C2EE3" w:rsidP="00C753DD" w14:paraId="4CF1A50B" w14:textId="617B2568">
      <w:pPr>
        <w:widowControl/>
        <w:rPr>
          <w:spacing w:val="-2"/>
        </w:rPr>
      </w:pPr>
      <w:r>
        <w:t xml:space="preserve">By </w:t>
      </w:r>
      <w:r w:rsidRPr="00654169" w:rsidR="00813E0D">
        <w:t>the Chief, Policy and Licensing Division, Public Safe</w:t>
      </w:r>
      <w:r w:rsidR="00813E0D">
        <w:t>ty and Homeland Security Bureau</w:t>
      </w:r>
      <w:r w:rsidRPr="00654169" w:rsidR="00813E0D">
        <w:rPr>
          <w:spacing w:val="-2"/>
        </w:rPr>
        <w:t>:</w:t>
      </w:r>
    </w:p>
    <w:bookmarkEnd w:id="1"/>
    <w:p w:rsidR="00822CE0" w:rsidP="00C753DD" w14:paraId="6D556BBD" w14:textId="77777777">
      <w:pPr>
        <w:widowControl/>
        <w:rPr>
          <w:spacing w:val="-2"/>
        </w:rPr>
      </w:pPr>
    </w:p>
    <w:p w:rsidR="00412FC5" w:rsidP="00C753DD" w14:paraId="01131C36" w14:textId="77777777">
      <w:pPr>
        <w:pStyle w:val="Heading1"/>
        <w:widowControl/>
      </w:pPr>
      <w:r>
        <w:t>introduction</w:t>
      </w:r>
    </w:p>
    <w:p w:rsidR="00454994" w:rsidP="00C753DD" w14:paraId="552E027B" w14:textId="72558124">
      <w:pPr>
        <w:pStyle w:val="ParaNum"/>
        <w:widowControl/>
      </w:pPr>
      <w:bookmarkStart w:id="2" w:name="_Hlk34394511"/>
      <w:r w:rsidRPr="00654169">
        <w:t>On</w:t>
      </w:r>
      <w:r w:rsidR="00F010C5">
        <w:t xml:space="preserve"> September 26</w:t>
      </w:r>
      <w:r w:rsidRPr="00654169">
        <w:t xml:space="preserve">, 2019, </w:t>
      </w:r>
      <w:r w:rsidR="00153141">
        <w:t xml:space="preserve">Steuben </w:t>
      </w:r>
      <w:r w:rsidRPr="00654169">
        <w:t>County</w:t>
      </w:r>
      <w:r w:rsidR="00153141">
        <w:t>, New York</w:t>
      </w:r>
      <w:r w:rsidRPr="00654169">
        <w:t xml:space="preserve"> (</w:t>
      </w:r>
      <w:r w:rsidR="00350A40">
        <w:t>Steuben</w:t>
      </w:r>
      <w:r w:rsidRPr="00654169">
        <w:t>) filed a Petition for Reconsideration (Petition)</w:t>
      </w:r>
      <w:r w:rsidR="00EF714B">
        <w:t xml:space="preserve"> </w:t>
      </w:r>
      <w:r w:rsidR="004642AB">
        <w:t>concerning the termination</w:t>
      </w:r>
      <w:r w:rsidRPr="00654169">
        <w:t xml:space="preserve"> of its license</w:t>
      </w:r>
      <w:r w:rsidR="008C3C90">
        <w:t xml:space="preserve"> for </w:t>
      </w:r>
      <w:r w:rsidRPr="00654169">
        <w:t>call sign</w:t>
      </w:r>
      <w:r w:rsidR="00B148A9">
        <w:t>s</w:t>
      </w:r>
      <w:r w:rsidRPr="00654169">
        <w:t xml:space="preserve"> </w:t>
      </w:r>
      <w:r w:rsidR="00B148A9">
        <w:t>WRCB926 and WRCB715</w:t>
      </w:r>
      <w:r w:rsidRPr="00654169">
        <w:t xml:space="preserve">, for failure to </w:t>
      </w:r>
      <w:r w:rsidRPr="00654169" w:rsidR="006D5F27">
        <w:t xml:space="preserve">timely </w:t>
      </w:r>
      <w:r w:rsidRPr="00654169">
        <w:t>construct.</w:t>
      </w:r>
      <w:r>
        <w:rPr>
          <w:rStyle w:val="FootnoteReference"/>
        </w:rPr>
        <w:footnoteReference w:id="3"/>
      </w:r>
      <w:r w:rsidR="00B55170">
        <w:t xml:space="preserve"> </w:t>
      </w:r>
      <w:r w:rsidRPr="00654169">
        <w:t xml:space="preserve"> For the reasons stated below, we </w:t>
      </w:r>
      <w:r w:rsidR="008C3C90">
        <w:t xml:space="preserve">grant </w:t>
      </w:r>
      <w:r w:rsidRPr="00654169">
        <w:t>the Petition in part</w:t>
      </w:r>
      <w:r w:rsidR="000F7A08">
        <w:t xml:space="preserve">, </w:t>
      </w:r>
      <w:r w:rsidR="008C3C90">
        <w:t>deny it in part</w:t>
      </w:r>
      <w:r w:rsidR="000F7A08">
        <w:t>,</w:t>
      </w:r>
      <w:r w:rsidR="008C3C90">
        <w:t xml:space="preserve"> </w:t>
      </w:r>
      <w:r w:rsidRPr="00654169">
        <w:t xml:space="preserve">and dismiss </w:t>
      </w:r>
      <w:r w:rsidR="00B148A9">
        <w:t>a</w:t>
      </w:r>
      <w:r w:rsidRPr="00654169">
        <w:t xml:space="preserve"> request for extension of time to construct. </w:t>
      </w:r>
      <w:bookmarkEnd w:id="2"/>
    </w:p>
    <w:p w:rsidR="00813E0D" w:rsidP="00C753DD" w14:paraId="612211BC" w14:textId="77777777">
      <w:pPr>
        <w:pStyle w:val="Heading1"/>
        <w:widowControl/>
      </w:pPr>
      <w:r>
        <w:t>background</w:t>
      </w:r>
    </w:p>
    <w:p w:rsidR="00B55170" w:rsidP="00C753DD" w14:paraId="730F318F" w14:textId="5249BB7F">
      <w:pPr>
        <w:pStyle w:val="ParaNum"/>
        <w:widowControl/>
      </w:pPr>
      <w:bookmarkStart w:id="3" w:name="_Hlk34394657"/>
      <w:bookmarkStart w:id="4" w:name="_Hlk34394599"/>
      <w:bookmarkStart w:id="5" w:name="_Hlk34394573"/>
      <w:r w:rsidRPr="00654169">
        <w:t xml:space="preserve">On May </w:t>
      </w:r>
      <w:r w:rsidR="00B148A9">
        <w:t>21</w:t>
      </w:r>
      <w:r w:rsidRPr="00654169">
        <w:t xml:space="preserve">, 2019, the </w:t>
      </w:r>
      <w:r w:rsidRPr="00654169" w:rsidR="008A17D5">
        <w:t>Public Safe</w:t>
      </w:r>
      <w:r w:rsidR="008A17D5">
        <w:t>ty and Homeland Security Bureau</w:t>
      </w:r>
      <w:r w:rsidR="008A17D5">
        <w:rPr>
          <w:rFonts w:ascii="Segoe UI Emoji" w:eastAsia="Segoe UI Emoji" w:hAnsi="Segoe UI Emoji" w:cs="Segoe UI Emoji"/>
          <w:spacing w:val="-2"/>
        </w:rPr>
        <w:t xml:space="preserve"> (B</w:t>
      </w:r>
      <w:r w:rsidRPr="00654169">
        <w:t>ureau</w:t>
      </w:r>
      <w:r w:rsidR="008A17D5">
        <w:t>)</w:t>
      </w:r>
      <w:r w:rsidRPr="00654169">
        <w:t xml:space="preserve"> sent </w:t>
      </w:r>
      <w:r w:rsidR="00350A40">
        <w:t>Steuben</w:t>
      </w:r>
      <w:r w:rsidRPr="00654169">
        <w:t xml:space="preserve"> a Construction/Coverage Deadline Reminder Notice to remind </w:t>
      </w:r>
      <w:r w:rsidR="00350A40">
        <w:t>Steuben</w:t>
      </w:r>
      <w:r w:rsidRPr="00654169">
        <w:t xml:space="preserve"> that it was required to file a Notification of Construction within 15 days of the applicable construction/coverage deadline,</w:t>
      </w:r>
      <w:r>
        <w:rPr>
          <w:rStyle w:val="FootnoteReference"/>
        </w:rPr>
        <w:footnoteReference w:id="4"/>
      </w:r>
      <w:r w:rsidRPr="00654169">
        <w:t xml:space="preserve"> or file a </w:t>
      </w:r>
      <w:r w:rsidR="00844D4E">
        <w:t xml:space="preserve">timely </w:t>
      </w:r>
      <w:r w:rsidRPr="00654169">
        <w:t>request to extend the construction/coverage period.</w:t>
      </w:r>
      <w:r>
        <w:rPr>
          <w:rStyle w:val="FootnoteReference"/>
        </w:rPr>
        <w:footnoteReference w:id="5"/>
      </w:r>
      <w:r w:rsidRPr="00654169">
        <w:t xml:space="preserve">  The construction deadline</w:t>
      </w:r>
      <w:r w:rsidR="000F7A08">
        <w:t>s</w:t>
      </w:r>
      <w:r w:rsidRPr="00654169">
        <w:t xml:space="preserve"> for call sign</w:t>
      </w:r>
      <w:r w:rsidR="00B148A9">
        <w:t>s</w:t>
      </w:r>
      <w:r w:rsidRPr="00654169">
        <w:t xml:space="preserve"> </w:t>
      </w:r>
      <w:r w:rsidR="00B148A9">
        <w:t>WRCB926 and WRCB715</w:t>
      </w:r>
      <w:r w:rsidRPr="00654169">
        <w:t xml:space="preserve"> </w:t>
      </w:r>
      <w:r w:rsidR="00B148A9">
        <w:t>were</w:t>
      </w:r>
      <w:r w:rsidRPr="00654169">
        <w:t xml:space="preserve"> </w:t>
      </w:r>
      <w:r w:rsidR="00B148A9">
        <w:t>August 21, 2019 and August 20</w:t>
      </w:r>
      <w:r w:rsidRPr="00654169">
        <w:t>, 2019</w:t>
      </w:r>
      <w:r w:rsidR="00B148A9">
        <w:t>, respectively</w:t>
      </w:r>
      <w:r w:rsidRPr="00654169">
        <w:t xml:space="preserve">.  The Bureau subsequently notified </w:t>
      </w:r>
      <w:r w:rsidR="00350A40">
        <w:t>Steuben</w:t>
      </w:r>
      <w:r w:rsidRPr="00654169">
        <w:t xml:space="preserve"> that it had placed call sign</w:t>
      </w:r>
      <w:r w:rsidR="00E26005">
        <w:t>s</w:t>
      </w:r>
      <w:r w:rsidRPr="00654169">
        <w:t xml:space="preserve"> </w:t>
      </w:r>
      <w:r w:rsidR="00B148A9">
        <w:t>WRCB926 and WRCB715</w:t>
      </w:r>
      <w:r w:rsidRPr="00654169">
        <w:t xml:space="preserve"> in Termination Pending status because </w:t>
      </w:r>
      <w:r w:rsidR="000F7A08">
        <w:t xml:space="preserve">Steuben had </w:t>
      </w:r>
      <w:r w:rsidRPr="00654169">
        <w:t xml:space="preserve">failed to meet </w:t>
      </w:r>
      <w:r w:rsidR="00E338CD">
        <w:t>the</w:t>
      </w:r>
      <w:r w:rsidRPr="00654169">
        <w:t xml:space="preserve"> construction and construction notification requirements </w:t>
      </w:r>
      <w:r>
        <w:t xml:space="preserve">of the </w:t>
      </w:r>
      <w:r w:rsidRPr="00654169">
        <w:t>Commission’s rules.</w:t>
      </w:r>
      <w:r>
        <w:rPr>
          <w:rStyle w:val="FootnoteReference"/>
        </w:rPr>
        <w:footnoteReference w:id="6"/>
      </w:r>
      <w:r w:rsidRPr="00654169">
        <w:t xml:space="preserve">  </w:t>
      </w:r>
      <w:r w:rsidRPr="00654169" w:rsidR="00E53C10">
        <w:t xml:space="preserve">The Bureau </w:t>
      </w:r>
      <w:r w:rsidR="00E53C10">
        <w:t xml:space="preserve">advised </w:t>
      </w:r>
      <w:r w:rsidR="00350A40">
        <w:t>Steuben</w:t>
      </w:r>
      <w:r w:rsidR="00E53C10">
        <w:t xml:space="preserve"> </w:t>
      </w:r>
      <w:r w:rsidRPr="00654169" w:rsidR="00E53C10">
        <w:t xml:space="preserve">that </w:t>
      </w:r>
      <w:r w:rsidR="00E53C10">
        <w:t xml:space="preserve">when </w:t>
      </w:r>
      <w:r w:rsidRPr="00654169" w:rsidR="00E53C10">
        <w:t xml:space="preserve">a licensee does not file the Required Notification or Extension of Time request, </w:t>
      </w:r>
      <w:r w:rsidR="00E53C10">
        <w:t xml:space="preserve">it is presumed that </w:t>
      </w:r>
      <w:r w:rsidRPr="00654169" w:rsidR="00E53C10">
        <w:t xml:space="preserve">the license has not been constructed or the coverage requirement </w:t>
      </w:r>
      <w:r w:rsidR="008C3C90">
        <w:t xml:space="preserve">has </w:t>
      </w:r>
      <w:r w:rsidRPr="00654169" w:rsidR="00E53C10">
        <w:t xml:space="preserve">not </w:t>
      </w:r>
      <w:r w:rsidR="008C3C90">
        <w:t xml:space="preserve">been </w:t>
      </w:r>
      <w:r w:rsidRPr="00654169" w:rsidR="00E53C10">
        <w:t>met.</w:t>
      </w:r>
      <w:r>
        <w:rPr>
          <w:rStyle w:val="FootnoteReference"/>
        </w:rPr>
        <w:footnoteReference w:id="7"/>
      </w:r>
      <w:r w:rsidRPr="00654169" w:rsidR="00E53C10">
        <w:t xml:space="preserve">  </w:t>
      </w:r>
      <w:r w:rsidR="00350A40">
        <w:t>Steuben</w:t>
      </w:r>
      <w:r>
        <w:t xml:space="preserve"> neither filed </w:t>
      </w:r>
      <w:r>
        <w:t>a timely</w:t>
      </w:r>
      <w:r>
        <w:t xml:space="preserve"> </w:t>
      </w:r>
      <w:r w:rsidRPr="00654169">
        <w:t xml:space="preserve">Notification of Construction </w:t>
      </w:r>
      <w:r>
        <w:t xml:space="preserve">nor requested </w:t>
      </w:r>
      <w:r w:rsidRPr="00654169">
        <w:t xml:space="preserve">an extension of time </w:t>
      </w:r>
      <w:r>
        <w:t xml:space="preserve">to construct </w:t>
      </w:r>
      <w:r w:rsidRPr="00654169">
        <w:t xml:space="preserve">prior to </w:t>
      </w:r>
      <w:r>
        <w:t>that</w:t>
      </w:r>
      <w:r w:rsidRPr="00654169">
        <w:t xml:space="preserve"> deadline.  </w:t>
      </w:r>
    </w:p>
    <w:p w:rsidR="008C659C" w:rsidRPr="00654169" w:rsidP="00C753DD" w14:paraId="28ED3A1B" w14:textId="44AE1CA2">
      <w:pPr>
        <w:pStyle w:val="ParaNum"/>
        <w:widowControl/>
      </w:pPr>
      <w:bookmarkStart w:id="7" w:name="_Hlk34394703"/>
      <w:bookmarkEnd w:id="3"/>
      <w:r>
        <w:t xml:space="preserve">On </w:t>
      </w:r>
      <w:r w:rsidR="00CB0487">
        <w:t>September</w:t>
      </w:r>
      <w:r>
        <w:t xml:space="preserve"> 2</w:t>
      </w:r>
      <w:r w:rsidR="00CB0487">
        <w:t>6</w:t>
      </w:r>
      <w:r>
        <w:t>, 2019</w:t>
      </w:r>
      <w:r w:rsidR="0019504F">
        <w:t>,</w:t>
      </w:r>
      <w:r>
        <w:t xml:space="preserve"> </w:t>
      </w:r>
      <w:r w:rsidR="00350A40">
        <w:t>Steuben</w:t>
      </w:r>
      <w:r>
        <w:t xml:space="preserve"> filed the instant Petition</w:t>
      </w:r>
      <w:r w:rsidR="00E26005">
        <w:t>, which it subsequently amended</w:t>
      </w:r>
      <w:r>
        <w:t xml:space="preserve">.  </w:t>
      </w:r>
      <w:r w:rsidR="00793ED2">
        <w:t xml:space="preserve">In its Petition, </w:t>
      </w:r>
      <w:r w:rsidR="00350A40">
        <w:t>Steuben</w:t>
      </w:r>
      <w:r>
        <w:t xml:space="preserve"> </w:t>
      </w:r>
      <w:r w:rsidR="00970D0A">
        <w:t xml:space="preserve">stated </w:t>
      </w:r>
      <w:r w:rsidRPr="008C3C90" w:rsidR="00970D0A">
        <w:t xml:space="preserve">that </w:t>
      </w:r>
      <w:r w:rsidR="008C3C90">
        <w:t>it</w:t>
      </w:r>
      <w:r w:rsidRPr="008C3C90" w:rsidR="00970D0A">
        <w:t xml:space="preserve"> </w:t>
      </w:r>
      <w:r w:rsidRPr="008C3C90">
        <w:t>timely</w:t>
      </w:r>
      <w:r>
        <w:t xml:space="preserve"> constructed </w:t>
      </w:r>
      <w:r w:rsidR="00E26005">
        <w:t xml:space="preserve">nine of ten locations for the </w:t>
      </w:r>
      <w:r w:rsidR="008A17D5">
        <w:t>two</w:t>
      </w:r>
      <w:r w:rsidR="00E26005">
        <w:t xml:space="preserve"> call signs but did not identify the specific locations.</w:t>
      </w:r>
      <w:r>
        <w:rPr>
          <w:rStyle w:val="FootnoteReference"/>
        </w:rPr>
        <w:footnoteReference w:id="8"/>
      </w:r>
      <w:r w:rsidRPr="00CB0487" w:rsidR="00E26005">
        <w:rPr>
          <w:rStyle w:val="FootnoteReference"/>
        </w:rPr>
        <w:t xml:space="preserve"> </w:t>
      </w:r>
      <w:r w:rsidR="008A17D5">
        <w:t xml:space="preserve"> </w:t>
      </w:r>
      <w:r w:rsidR="00E26005">
        <w:t>In its Supplement</w:t>
      </w:r>
      <w:r w:rsidR="000F7A08">
        <w:t>,</w:t>
      </w:r>
      <w:r w:rsidR="00E26005">
        <w:t xml:space="preserve"> </w:t>
      </w:r>
      <w:r w:rsidR="008A17D5">
        <w:t xml:space="preserve">Steuben stated that it had constructed </w:t>
      </w:r>
      <w:r w:rsidR="00E26005">
        <w:t>Locations 3,</w:t>
      </w:r>
      <w:r w:rsidR="00E75D69">
        <w:t xml:space="preserve"> </w:t>
      </w:r>
      <w:r w:rsidR="00E26005">
        <w:t xml:space="preserve">4, and 5 </w:t>
      </w:r>
      <w:r w:rsidR="000F7A08">
        <w:t xml:space="preserve">under </w:t>
      </w:r>
      <w:r w:rsidR="00E26005">
        <w:t xml:space="preserve">WRCB715 and </w:t>
      </w:r>
      <w:r w:rsidRPr="00654169">
        <w:t xml:space="preserve">Locations </w:t>
      </w:r>
      <w:r w:rsidR="00E26005">
        <w:t>1,</w:t>
      </w:r>
      <w:r w:rsidR="00E75D69">
        <w:t xml:space="preserve"> </w:t>
      </w:r>
      <w:r w:rsidR="00E26005">
        <w:t>2,</w:t>
      </w:r>
      <w:r w:rsidR="00E75D69">
        <w:t xml:space="preserve"> </w:t>
      </w:r>
      <w:r w:rsidR="00E26005">
        <w:t>4,</w:t>
      </w:r>
      <w:r w:rsidR="00E75D69">
        <w:t xml:space="preserve"> </w:t>
      </w:r>
      <w:r w:rsidR="00E26005">
        <w:t>9</w:t>
      </w:r>
      <w:r w:rsidRPr="00654169">
        <w:t xml:space="preserve"> and </w:t>
      </w:r>
      <w:r w:rsidR="00E26005">
        <w:t>10</w:t>
      </w:r>
      <w:r w:rsidRPr="00654169">
        <w:t xml:space="preserve"> </w:t>
      </w:r>
      <w:r w:rsidR="000F7A08">
        <w:t xml:space="preserve">under </w:t>
      </w:r>
      <w:r w:rsidR="00E26005">
        <w:t xml:space="preserve">WRCB926 </w:t>
      </w:r>
      <w:r w:rsidRPr="00654169">
        <w:t xml:space="preserve">but that </w:t>
      </w:r>
      <w:r>
        <w:t xml:space="preserve">it </w:t>
      </w:r>
      <w:r w:rsidRPr="00654169">
        <w:t xml:space="preserve">failed to file the requisite Notice of Construction </w:t>
      </w:r>
      <w:r>
        <w:t>for these locations</w:t>
      </w:r>
      <w:r w:rsidR="00970D0A">
        <w:t>.</w:t>
      </w:r>
      <w:r>
        <w:rPr>
          <w:rStyle w:val="FootnoteReference"/>
        </w:rPr>
        <w:footnoteReference w:id="9"/>
      </w:r>
      <w:r w:rsidR="00970D0A">
        <w:t xml:space="preserve">  </w:t>
      </w:r>
      <w:r w:rsidR="00350A40">
        <w:t>Steuben</w:t>
      </w:r>
      <w:r>
        <w:t xml:space="preserve"> also stated that it had not constructed </w:t>
      </w:r>
      <w:r w:rsidRPr="00654169">
        <w:t xml:space="preserve">Location </w:t>
      </w:r>
      <w:r w:rsidR="008A17D5">
        <w:t>3</w:t>
      </w:r>
      <w:r w:rsidRPr="00654169">
        <w:t xml:space="preserve"> </w:t>
      </w:r>
      <w:r w:rsidR="000F7A08">
        <w:t xml:space="preserve">under </w:t>
      </w:r>
      <w:r w:rsidR="008A17D5">
        <w:t xml:space="preserve">call sign WRCB926 </w:t>
      </w:r>
      <w:r w:rsidRPr="00654169">
        <w:t xml:space="preserve">by the construction deadline because of </w:t>
      </w:r>
      <w:r w:rsidRPr="008A17D5" w:rsidR="008A17D5">
        <w:t>negotiations with the tower owner for equipment shelter space</w:t>
      </w:r>
      <w:r w:rsidR="000F7A08">
        <w:t>,</w:t>
      </w:r>
      <w:r w:rsidRPr="00654169">
        <w:t xml:space="preserve"> and </w:t>
      </w:r>
      <w:r w:rsidR="000F7A08">
        <w:t xml:space="preserve">Steuben therefore </w:t>
      </w:r>
      <w:r w:rsidRPr="00654169">
        <w:t xml:space="preserve">requested an extension of time </w:t>
      </w:r>
      <w:r w:rsidRPr="00654169" w:rsidR="008C3C90">
        <w:t xml:space="preserve">until </w:t>
      </w:r>
      <w:r w:rsidR="008A17D5">
        <w:t>December</w:t>
      </w:r>
      <w:r w:rsidRPr="00654169" w:rsidR="008C3C90">
        <w:t xml:space="preserve"> </w:t>
      </w:r>
      <w:r w:rsidR="008A17D5">
        <w:t>3</w:t>
      </w:r>
      <w:r w:rsidRPr="00654169" w:rsidR="008C3C90">
        <w:t>1, 2019</w:t>
      </w:r>
      <w:r w:rsidR="008C3C90">
        <w:t xml:space="preserve"> </w:t>
      </w:r>
      <w:r w:rsidRPr="00654169">
        <w:t xml:space="preserve">to construct Location </w:t>
      </w:r>
      <w:r w:rsidR="008A17D5">
        <w:t>3</w:t>
      </w:r>
      <w:bookmarkStart w:id="8" w:name="_Hlk21686257"/>
      <w:r w:rsidRPr="00654169">
        <w:t>.</w:t>
      </w:r>
      <w:r>
        <w:rPr>
          <w:rStyle w:val="FootnoteReference"/>
        </w:rPr>
        <w:footnoteReference w:id="10"/>
      </w:r>
      <w:r w:rsidR="005C3025">
        <w:t xml:space="preserve">  </w:t>
      </w:r>
      <w:r w:rsidR="00314F17">
        <w:t xml:space="preserve">Steuben also indicated that it intended to </w:t>
      </w:r>
      <w:r w:rsidR="00E75D69">
        <w:t xml:space="preserve">withdraw </w:t>
      </w:r>
      <w:r w:rsidR="000F7A08">
        <w:t>L</w:t>
      </w:r>
      <w:r w:rsidR="00314F17">
        <w:t xml:space="preserve">ocations 1 and 2 from </w:t>
      </w:r>
      <w:r w:rsidR="00E75D69">
        <w:t xml:space="preserve">the </w:t>
      </w:r>
      <w:r w:rsidR="00314F17">
        <w:t>WRCB715</w:t>
      </w:r>
      <w:r w:rsidR="00E75D69">
        <w:t xml:space="preserve"> license</w:t>
      </w:r>
      <w:r w:rsidR="00314F17">
        <w:t>.</w:t>
      </w:r>
      <w:r>
        <w:rPr>
          <w:rStyle w:val="FootnoteReference"/>
        </w:rPr>
        <w:footnoteReference w:id="11"/>
      </w:r>
      <w:r w:rsidR="00314F17">
        <w:t xml:space="preserve">  </w:t>
      </w:r>
      <w:r w:rsidR="00350A40">
        <w:t>Steuben</w:t>
      </w:r>
      <w:r w:rsidRPr="00654169">
        <w:t xml:space="preserve"> later advised the Bureau that </w:t>
      </w:r>
      <w:r w:rsidR="00063A20">
        <w:t xml:space="preserve">it anticipated WRCB926 </w:t>
      </w:r>
      <w:r w:rsidRPr="00654169">
        <w:t xml:space="preserve">Location </w:t>
      </w:r>
      <w:r w:rsidR="00063A20">
        <w:t>3</w:t>
      </w:r>
      <w:r w:rsidRPr="00654169">
        <w:t xml:space="preserve"> </w:t>
      </w:r>
      <w:r>
        <w:t>w</w:t>
      </w:r>
      <w:r w:rsidR="00063A20">
        <w:t>ould be operational by the end of February 2020</w:t>
      </w:r>
      <w:r w:rsidRPr="00654169">
        <w:t>.</w:t>
      </w:r>
      <w:r>
        <w:rPr>
          <w:rStyle w:val="FootnoteReference"/>
        </w:rPr>
        <w:footnoteReference w:id="12"/>
      </w:r>
      <w:bookmarkEnd w:id="4"/>
      <w:bookmarkEnd w:id="7"/>
      <w:r w:rsidRPr="00654169">
        <w:t xml:space="preserve"> </w:t>
      </w:r>
      <w:r w:rsidR="00970D0A">
        <w:t xml:space="preserve"> </w:t>
      </w:r>
    </w:p>
    <w:bookmarkEnd w:id="5"/>
    <w:bookmarkEnd w:id="8"/>
    <w:p w:rsidR="008C659C" w:rsidP="00C753DD" w14:paraId="2FDADABA" w14:textId="796D8FDC">
      <w:pPr>
        <w:pStyle w:val="Heading1"/>
        <w:widowControl/>
      </w:pPr>
      <w:r>
        <w:t>discussion</w:t>
      </w:r>
    </w:p>
    <w:p w:rsidR="000F7A08" w:rsidRPr="005C3025" w:rsidP="00C753DD" w14:paraId="7BA3A214" w14:textId="33DB265A">
      <w:pPr>
        <w:pStyle w:val="ParaNum"/>
        <w:widowControl/>
      </w:pPr>
      <w:r>
        <w:t>For the following reasons, w</w:t>
      </w:r>
      <w:r>
        <w:t xml:space="preserve">e deny Steuben’s request for </w:t>
      </w:r>
      <w:r>
        <w:t xml:space="preserve">an </w:t>
      </w:r>
      <w:r>
        <w:t xml:space="preserve">extension </w:t>
      </w:r>
      <w:r>
        <w:t xml:space="preserve">of time </w:t>
      </w:r>
      <w:r>
        <w:t xml:space="preserve">to construct WRCB926 Location 3 but grant Steuben’s waiver request with respect to the remaining locations that were timely constructed.  </w:t>
      </w:r>
    </w:p>
    <w:p w:rsidR="009B199E" w:rsidRPr="00654169" w:rsidP="00C753DD" w14:paraId="7A05DEE5" w14:textId="6D88BC92">
      <w:pPr>
        <w:pStyle w:val="ParaNum"/>
        <w:widowControl/>
      </w:pPr>
      <w:r>
        <w:rPr>
          <w:i/>
        </w:rPr>
        <w:t>WRCB92</w:t>
      </w:r>
      <w:r w:rsidRPr="009B199E" w:rsidR="008C659C">
        <w:rPr>
          <w:i/>
        </w:rPr>
        <w:t>6</w:t>
      </w:r>
      <w:r>
        <w:rPr>
          <w:i/>
        </w:rPr>
        <w:t xml:space="preserve"> Location 3</w:t>
      </w:r>
      <w:r w:rsidRPr="009B199E" w:rsidR="008C659C">
        <w:rPr>
          <w:i/>
        </w:rPr>
        <w:t>.</w:t>
      </w:r>
      <w:r w:rsidR="008C659C">
        <w:t xml:space="preserve">  </w:t>
      </w:r>
      <w:r w:rsidR="00844D4E">
        <w:t>Requests for construction extension must be filed before the construction deadline.</w:t>
      </w:r>
      <w:r>
        <w:rPr>
          <w:rStyle w:val="FootnoteReference"/>
        </w:rPr>
        <w:footnoteReference w:id="13"/>
      </w:r>
      <w:r w:rsidR="00844D4E">
        <w:t xml:space="preserve">  </w:t>
      </w:r>
      <w:r w:rsidR="00350A40">
        <w:t>Steuben</w:t>
      </w:r>
      <w:r w:rsidRPr="003B4B59" w:rsidR="008C659C">
        <w:t xml:space="preserve">’s construction deadline for </w:t>
      </w:r>
      <w:r w:rsidRPr="005C3025" w:rsidR="000F7A08">
        <w:rPr>
          <w:iCs/>
        </w:rPr>
        <w:t>WRCB926</w:t>
      </w:r>
      <w:r w:rsidR="000F7A08">
        <w:rPr>
          <w:iCs/>
        </w:rPr>
        <w:t xml:space="preserve"> </w:t>
      </w:r>
      <w:r w:rsidRPr="003B4B59" w:rsidR="008C659C">
        <w:t xml:space="preserve">Location </w:t>
      </w:r>
      <w:r w:rsidR="000F7A08">
        <w:t>3</w:t>
      </w:r>
      <w:r w:rsidRPr="003B4B59" w:rsidR="008C659C">
        <w:t xml:space="preserve"> was </w:t>
      </w:r>
      <w:r>
        <w:t>August</w:t>
      </w:r>
      <w:r w:rsidRPr="003B4B59" w:rsidR="008C659C">
        <w:t xml:space="preserve"> </w:t>
      </w:r>
      <w:r>
        <w:t>21</w:t>
      </w:r>
      <w:r w:rsidRPr="003B4B59" w:rsidR="008C659C">
        <w:t>, 2019</w:t>
      </w:r>
      <w:r w:rsidR="000F7A08">
        <w:t xml:space="preserve">, but Steuben did not file </w:t>
      </w:r>
      <w:r w:rsidR="00970D0A">
        <w:t>its extension request until</w:t>
      </w:r>
      <w:r w:rsidRPr="003B4B59" w:rsidR="008C659C">
        <w:t xml:space="preserve"> </w:t>
      </w:r>
      <w:r>
        <w:t>September</w:t>
      </w:r>
      <w:r w:rsidRPr="003B4B59" w:rsidR="008C659C">
        <w:t xml:space="preserve"> </w:t>
      </w:r>
      <w:r>
        <w:t>26</w:t>
      </w:r>
      <w:r w:rsidRPr="003B4B59" w:rsidR="008C659C">
        <w:t>, 2019</w:t>
      </w:r>
      <w:r w:rsidR="006224EA">
        <w:t xml:space="preserve">. </w:t>
      </w:r>
      <w:r w:rsidR="008C659C">
        <w:t xml:space="preserve"> </w:t>
      </w:r>
      <w:r w:rsidR="00FC1466">
        <w:t xml:space="preserve">Because </w:t>
      </w:r>
      <w:r w:rsidR="004B2DC4">
        <w:t xml:space="preserve">the </w:t>
      </w:r>
      <w:r w:rsidR="00FC1466">
        <w:t>extension request was untimely and</w:t>
      </w:r>
      <w:r w:rsidR="004B2DC4">
        <w:t xml:space="preserve"> Steuben</w:t>
      </w:r>
      <w:r w:rsidR="00FC1466">
        <w:t xml:space="preserve"> has presented no justification for</w:t>
      </w:r>
      <w:r w:rsidR="004B2DC4">
        <w:t xml:space="preserve"> its untimeliness, we find that the license for WRCB926 Location 3 was properly placed in terminated status and we need not consider the </w:t>
      </w:r>
      <w:r w:rsidR="008C659C">
        <w:t xml:space="preserve">reasons </w:t>
      </w:r>
      <w:r w:rsidR="00350A40">
        <w:t>Steuben</w:t>
      </w:r>
      <w:r w:rsidR="008C659C">
        <w:t xml:space="preserve"> advances for </w:t>
      </w:r>
      <w:r w:rsidRPr="003B4B59" w:rsidR="008C659C">
        <w:t xml:space="preserve">its failure </w:t>
      </w:r>
      <w:r w:rsidR="00401FB0">
        <w:t xml:space="preserve">to </w:t>
      </w:r>
      <w:r w:rsidRPr="003B4B59" w:rsidR="008C659C">
        <w:t>timely construct.</w:t>
      </w:r>
      <w:r>
        <w:rPr>
          <w:rStyle w:val="FootnoteReference"/>
        </w:rPr>
        <w:footnoteReference w:id="14"/>
      </w:r>
      <w:r w:rsidRPr="009B199E">
        <w:t xml:space="preserve"> </w:t>
      </w:r>
      <w:r w:rsidR="0019504F">
        <w:t xml:space="preserve"> </w:t>
      </w:r>
      <w:r>
        <w:t xml:space="preserve">Therefore, we deny </w:t>
      </w:r>
      <w:r w:rsidR="00350A40">
        <w:t>Steuben</w:t>
      </w:r>
      <w:r>
        <w:t xml:space="preserve">’s Petition </w:t>
      </w:r>
      <w:r w:rsidR="004B2DC4">
        <w:t xml:space="preserve">and extension request </w:t>
      </w:r>
      <w:r>
        <w:t xml:space="preserve">with respect to </w:t>
      </w:r>
      <w:r>
        <w:t xml:space="preserve">WRCB926 </w:t>
      </w:r>
      <w:r>
        <w:t xml:space="preserve">Location </w:t>
      </w:r>
      <w:r>
        <w:t>3</w:t>
      </w:r>
      <w:r>
        <w:t xml:space="preserve">.  </w:t>
      </w:r>
      <w:r w:rsidRPr="00654169">
        <w:t xml:space="preserve">If </w:t>
      </w:r>
      <w:r w:rsidR="00350A40">
        <w:t>Steuben</w:t>
      </w:r>
      <w:r w:rsidRPr="00654169">
        <w:t xml:space="preserve"> desires to </w:t>
      </w:r>
      <w:r>
        <w:t xml:space="preserve">continue to </w:t>
      </w:r>
      <w:r w:rsidRPr="00654169">
        <w:t xml:space="preserve">operate on the frequencies previously authorized </w:t>
      </w:r>
      <w:r w:rsidR="00995CD1">
        <w:t xml:space="preserve">for </w:t>
      </w:r>
      <w:r>
        <w:t>WRCB926 Location 3</w:t>
      </w:r>
      <w:r w:rsidRPr="00654169">
        <w:t xml:space="preserve">, it </w:t>
      </w:r>
      <w:r w:rsidR="008C3C90">
        <w:t xml:space="preserve">must </w:t>
      </w:r>
      <w:r w:rsidRPr="00654169">
        <w:t xml:space="preserve">file a properly coordinated application for </w:t>
      </w:r>
      <w:r w:rsidR="004B2DC4">
        <w:t xml:space="preserve">a new </w:t>
      </w:r>
      <w:r w:rsidRPr="00654169">
        <w:t xml:space="preserve">license.  If </w:t>
      </w:r>
      <w:r w:rsidR="00350A40">
        <w:t>Steuben</w:t>
      </w:r>
      <w:r w:rsidRPr="00654169">
        <w:t xml:space="preserve"> desires to operate while the application is pending before the Commission, it </w:t>
      </w:r>
      <w:r>
        <w:t>must</w:t>
      </w:r>
      <w:r w:rsidRPr="00654169">
        <w:t xml:space="preserve"> file a request for special temporary authority pursuant to section 1.931 of the Commission’s rules.</w:t>
      </w:r>
      <w:r>
        <w:rPr>
          <w:rStyle w:val="FootnoteReference"/>
        </w:rPr>
        <w:footnoteReference w:id="15"/>
      </w:r>
    </w:p>
    <w:p w:rsidR="008C659C" w:rsidRPr="008C659C" w:rsidP="00C753DD" w14:paraId="4E44E26A" w14:textId="52AF4031">
      <w:pPr>
        <w:pStyle w:val="ParaNum"/>
        <w:widowControl/>
      </w:pPr>
      <w:r>
        <w:rPr>
          <w:i/>
        </w:rPr>
        <w:t xml:space="preserve">WRCB715 and WRCB926 </w:t>
      </w:r>
      <w:r w:rsidRPr="00747AA6">
        <w:rPr>
          <w:i/>
        </w:rPr>
        <w:t>Locations</w:t>
      </w:r>
      <w:r>
        <w:rPr>
          <w:i/>
        </w:rPr>
        <w:t xml:space="preserve"> 1, 2,4,9</w:t>
      </w:r>
      <w:r w:rsidRPr="00747AA6">
        <w:rPr>
          <w:i/>
        </w:rPr>
        <w:t xml:space="preserve"> and </w:t>
      </w:r>
      <w:r>
        <w:rPr>
          <w:i/>
        </w:rPr>
        <w:t>10</w:t>
      </w:r>
      <w:r w:rsidRPr="00747AA6">
        <w:rPr>
          <w:i/>
        </w:rPr>
        <w:t>.</w:t>
      </w:r>
      <w:r w:rsidRPr="008C659C">
        <w:t xml:space="preserve"> </w:t>
      </w:r>
      <w:r w:rsidR="00C630E9">
        <w:t xml:space="preserve"> </w:t>
      </w:r>
      <w:r w:rsidR="00350A40">
        <w:t>Steuben</w:t>
      </w:r>
      <w:r>
        <w:t xml:space="preserve"> admits that it did not file a timely Notice of Construction for </w:t>
      </w:r>
      <w:r>
        <w:t xml:space="preserve">these locations </w:t>
      </w:r>
      <w:r>
        <w:t xml:space="preserve">but contends that the sites were constructed and activated before the construction deadline.  </w:t>
      </w:r>
      <w:r w:rsidR="00A71EFF">
        <w:t>The</w:t>
      </w:r>
      <w:r>
        <w:t xml:space="preserve"> Commission</w:t>
      </w:r>
      <w:r w:rsidR="00A71EFF">
        <w:t xml:space="preserve"> has </w:t>
      </w:r>
      <w:r w:rsidR="004B2DC4">
        <w:t xml:space="preserve">stated </w:t>
      </w:r>
      <w:r w:rsidR="00A71EFF">
        <w:t>that the objective of the</w:t>
      </w:r>
      <w:r w:rsidRPr="00264BCD">
        <w:t xml:space="preserve"> construction notification procedure </w:t>
      </w:r>
      <w:r w:rsidR="00A71EFF">
        <w:t xml:space="preserve">is </w:t>
      </w:r>
      <w:r w:rsidRPr="00264BCD">
        <w:t>to verify whether licensees have in fact met their construction and coverage obligations, not to terminate license</w:t>
      </w:r>
      <w:r w:rsidR="00995CD1">
        <w:t>d facilities that have been placed in operation before the construction deadline</w:t>
      </w:r>
      <w:r w:rsidR="00C630E9">
        <w:t>.</w:t>
      </w:r>
      <w:bookmarkStart w:id="9" w:name="_Ref21617654"/>
      <w:r>
        <w:rPr>
          <w:rStyle w:val="FootnoteReference"/>
        </w:rPr>
        <w:footnoteReference w:id="16"/>
      </w:r>
      <w:bookmarkEnd w:id="9"/>
      <w:r>
        <w:t xml:space="preserve">  Although </w:t>
      </w:r>
      <w:r w:rsidR="00350A40">
        <w:t>Steuben</w:t>
      </w:r>
      <w:r>
        <w:t xml:space="preserve"> </w:t>
      </w:r>
      <w:r w:rsidR="00A71EFF">
        <w:t xml:space="preserve">provides no reason </w:t>
      </w:r>
      <w:r w:rsidR="009B199E">
        <w:t xml:space="preserve">for failing to </w:t>
      </w:r>
      <w:r w:rsidR="00A71EFF">
        <w:t>timely</w:t>
      </w:r>
      <w:r>
        <w:t xml:space="preserve"> file its Notice of Construction for </w:t>
      </w:r>
      <w:r w:rsidR="00A71EFF">
        <w:t>these locations</w:t>
      </w:r>
      <w:r>
        <w:t xml:space="preserve">, we </w:t>
      </w:r>
      <w:r w:rsidR="00E75D69">
        <w:t xml:space="preserve">credit Steuben’s representation that </w:t>
      </w:r>
      <w:r>
        <w:t>th</w:t>
      </w:r>
      <w:r w:rsidR="00E75D69">
        <w:t>e</w:t>
      </w:r>
      <w:r>
        <w:t xml:space="preserve"> facilities</w:t>
      </w:r>
      <w:r w:rsidR="00747AA6">
        <w:t xml:space="preserve"> were in operation </w:t>
      </w:r>
      <w:r w:rsidR="00747AA6">
        <w:t>prior to the construction deadline.</w:t>
      </w:r>
      <w:r>
        <w:rPr>
          <w:rStyle w:val="FootnoteReference"/>
        </w:rPr>
        <w:footnoteReference w:id="17"/>
      </w:r>
      <w:r w:rsidR="00747AA6">
        <w:t xml:space="preserve"> </w:t>
      </w:r>
      <w:r>
        <w:t xml:space="preserve"> </w:t>
      </w:r>
      <w:r w:rsidR="009B199E">
        <w:t xml:space="preserve">We perceive no overriding policy rationale, </w:t>
      </w:r>
      <w:r w:rsidRPr="00471817" w:rsidR="009B199E">
        <w:rPr>
          <w:i/>
        </w:rPr>
        <w:t>e.g.</w:t>
      </w:r>
      <w:r w:rsidR="009B199E">
        <w:t>, avoidance of spectrum warehousing,</w:t>
      </w:r>
      <w:r>
        <w:rPr>
          <w:rStyle w:val="FootnoteReference"/>
        </w:rPr>
        <w:footnoteReference w:id="18"/>
      </w:r>
      <w:r w:rsidR="009B199E">
        <w:t xml:space="preserve"> that prevents us from granting </w:t>
      </w:r>
      <w:r w:rsidR="00350A40">
        <w:t>Steuben</w:t>
      </w:r>
      <w:r w:rsidR="009B199E">
        <w:t xml:space="preserve">’s Petition as it relates to </w:t>
      </w:r>
      <w:r>
        <w:t xml:space="preserve">those locations </w:t>
      </w:r>
      <w:r w:rsidR="009B199E">
        <w:t xml:space="preserve">and note that their operations </w:t>
      </w:r>
      <w:r w:rsidR="004B2DC4">
        <w:t xml:space="preserve">are </w:t>
      </w:r>
      <w:r w:rsidR="009B199E">
        <w:t xml:space="preserve">in the furtherance of </w:t>
      </w:r>
      <w:r w:rsidR="00E338CD">
        <w:t xml:space="preserve">the protection of </w:t>
      </w:r>
      <w:r w:rsidR="00E36431">
        <w:t>life and property</w:t>
      </w:r>
      <w:r>
        <w:t xml:space="preserve">.  </w:t>
      </w:r>
      <w:r w:rsidRPr="00A0093C" w:rsidR="00A0093C">
        <w:t xml:space="preserve">That said, however, we </w:t>
      </w:r>
      <w:r w:rsidR="007120F7">
        <w:t xml:space="preserve">reaffirm </w:t>
      </w:r>
      <w:r w:rsidRPr="00A0093C" w:rsidR="00A0093C">
        <w:t xml:space="preserve">the importance of timely filing a Notice of Construction and admonish </w:t>
      </w:r>
      <w:r w:rsidR="00350A40">
        <w:t>Steuben</w:t>
      </w:r>
      <w:r w:rsidRPr="00A0093C" w:rsidR="00A0093C">
        <w:t xml:space="preserve"> for its failure to do so.</w:t>
      </w:r>
    </w:p>
    <w:p w:rsidR="008C659C" w:rsidP="00C753DD" w14:paraId="24FA6AA9" w14:textId="77777777">
      <w:pPr>
        <w:pStyle w:val="Heading1"/>
        <w:widowControl/>
      </w:pPr>
      <w:r>
        <w:t>ordering clauses</w:t>
      </w:r>
    </w:p>
    <w:p w:rsidR="00EF7BD2" w:rsidRPr="00EF7BD2" w:rsidP="00C753DD" w14:paraId="35DAA9B1" w14:textId="6A4E5CE9">
      <w:pPr>
        <w:pStyle w:val="ParaNum"/>
        <w:widowControl/>
      </w:pPr>
      <w:r w:rsidRPr="00EF7BD2">
        <w:t>Accordingly, IT IS ORDERED, that, pursuant to the authority of sections 4(</w:t>
      </w:r>
      <w:r w:rsidRPr="00EF7BD2">
        <w:t>i</w:t>
      </w:r>
      <w:r w:rsidRPr="00EF7BD2">
        <w:t>) and 303(r) of the Communications Act of 1934, as amended, 47 U.S.C. §§ 154(</w:t>
      </w:r>
      <w:r w:rsidRPr="00EF7BD2">
        <w:t>i</w:t>
      </w:r>
      <w:r w:rsidRPr="00EF7BD2">
        <w:t xml:space="preserve">) and 303(r), and section 1.106 of the Commission's Rules, 47 CFR § 1.106, the Petition for Reconsideration filed by </w:t>
      </w:r>
      <w:r w:rsidR="00B148A9">
        <w:t>Steuben County</w:t>
      </w:r>
      <w:r w:rsidRPr="00EF7BD2" w:rsidR="00B148A9">
        <w:t xml:space="preserve">, </w:t>
      </w:r>
      <w:r w:rsidR="00B148A9">
        <w:t>New York</w:t>
      </w:r>
      <w:r w:rsidRPr="00EF7BD2">
        <w:t xml:space="preserve"> on </w:t>
      </w:r>
      <w:r w:rsidR="00314F17">
        <w:t>September</w:t>
      </w:r>
      <w:r w:rsidRPr="00EF7BD2">
        <w:t xml:space="preserve"> 2</w:t>
      </w:r>
      <w:r w:rsidR="00314F17">
        <w:t>6</w:t>
      </w:r>
      <w:r w:rsidRPr="00EF7BD2">
        <w:t xml:space="preserve">, 2019 IS GRANTED IN PART </w:t>
      </w:r>
      <w:r w:rsidR="0019504F">
        <w:t xml:space="preserve">as described herein, </w:t>
      </w:r>
      <w:r w:rsidRPr="00EF7BD2">
        <w:t>and DENIED in all other respects.</w:t>
      </w:r>
    </w:p>
    <w:p w:rsidR="00EF7BD2" w:rsidRPr="00EF7BD2" w:rsidP="00C753DD" w14:paraId="20ACAC0B" w14:textId="283E765D">
      <w:pPr>
        <w:pStyle w:val="ParaNum"/>
        <w:widowControl/>
      </w:pPr>
      <w:r w:rsidRPr="00EF7BD2">
        <w:t>IT IS FURTHER ORDERED that, pursuant to the authority of sections 4(</w:t>
      </w:r>
      <w:r w:rsidRPr="00EF7BD2">
        <w:t>i</w:t>
      </w:r>
      <w:r w:rsidRPr="00EF7BD2">
        <w:t>) and 303(r) of the Communications Act of 1934, as amended, 47 U.S.C. §§ 154(</w:t>
      </w:r>
      <w:r w:rsidRPr="00EF7BD2">
        <w:t>i</w:t>
      </w:r>
      <w:r w:rsidRPr="00EF7BD2">
        <w:t>) and 303(r), and section 1.106 of the Commission's Rules, 47 CFR § 1.106, the request for extension of time to construct</w:t>
      </w:r>
      <w:r w:rsidRPr="00314F17" w:rsidR="00314F17">
        <w:t xml:space="preserve"> </w:t>
      </w:r>
      <w:r w:rsidR="00314F17">
        <w:t>Location 3 in License WRCB926</w:t>
      </w:r>
      <w:r w:rsidRPr="00EF7BD2">
        <w:t xml:space="preserve">. included as part of the Supplement filed by </w:t>
      </w:r>
      <w:r w:rsidR="00350A40">
        <w:t>Steuben</w:t>
      </w:r>
      <w:r w:rsidR="00B148A9">
        <w:t xml:space="preserve"> County</w:t>
      </w:r>
      <w:r w:rsidRPr="00EF7BD2">
        <w:t xml:space="preserve">, </w:t>
      </w:r>
      <w:r w:rsidR="00B148A9">
        <w:t>New York</w:t>
      </w:r>
      <w:r w:rsidRPr="00EF7BD2">
        <w:t xml:space="preserve"> on </w:t>
      </w:r>
      <w:r w:rsidR="00314F17">
        <w:t>October</w:t>
      </w:r>
      <w:r w:rsidRPr="00EF7BD2">
        <w:t xml:space="preserve"> </w:t>
      </w:r>
      <w:r w:rsidR="00314F17">
        <w:t>8</w:t>
      </w:r>
      <w:r w:rsidRPr="00EF7BD2">
        <w:t>, 2019</w:t>
      </w:r>
      <w:r w:rsidR="003637CA">
        <w:t>,</w:t>
      </w:r>
      <w:r w:rsidRPr="00EF7BD2">
        <w:t xml:space="preserve"> IS </w:t>
      </w:r>
      <w:r w:rsidR="006224EA">
        <w:t>DENIED</w:t>
      </w:r>
      <w:r w:rsidRPr="00EF7BD2">
        <w:t xml:space="preserve">. </w:t>
      </w:r>
    </w:p>
    <w:p w:rsidR="00EF7BD2" w:rsidRPr="00EF7BD2" w:rsidP="00C753DD" w14:paraId="1B50D314" w14:textId="7BB4BDAF">
      <w:pPr>
        <w:pStyle w:val="ParaNum"/>
        <w:widowControl/>
      </w:pPr>
      <w:r w:rsidRPr="00EF7BD2">
        <w:t xml:space="preserve">IT IS FURTHER ORDERED, that the Licensing Branch of the Policy and Licensing Division of the Public Safety and Homeland Security Bureau SHALL DESIGNATE Location </w:t>
      </w:r>
      <w:r w:rsidR="00314F17">
        <w:t>3</w:t>
      </w:r>
      <w:r w:rsidRPr="00EF7BD2">
        <w:t xml:space="preserve"> in license, call sign </w:t>
      </w:r>
      <w:r w:rsidR="00B148A9">
        <w:t>WRCB926</w:t>
      </w:r>
      <w:r w:rsidR="00995CD1">
        <w:t>,</w:t>
      </w:r>
      <w:r w:rsidR="00314F17">
        <w:t xml:space="preserve"> </w:t>
      </w:r>
      <w:r w:rsidRPr="00EF7BD2">
        <w:t xml:space="preserve">AS TERMINATED in the Commission’s Universal Licensing System database.  </w:t>
      </w:r>
    </w:p>
    <w:p w:rsidR="00EF7BD2" w:rsidRPr="00EF7BD2" w:rsidP="00C753DD" w14:paraId="06BE58C5" w14:textId="77777777">
      <w:pPr>
        <w:pStyle w:val="ParaNum"/>
        <w:widowControl/>
      </w:pPr>
      <w:r w:rsidRPr="00EF7BD2">
        <w:t>This action is taken under delegated authority pursuant to sections 0.191 and 0.392 of the Commission's Rules, 47 CFR §§ 0.191, 0.392.</w:t>
      </w:r>
    </w:p>
    <w:p w:rsidR="00EF7BD2" w:rsidRPr="00654169" w:rsidP="00C753DD" w14:paraId="4F604160" w14:textId="77777777">
      <w:pPr>
        <w:widowControl/>
      </w:pPr>
    </w:p>
    <w:p w:rsidR="00EF7BD2" w:rsidRPr="00654169" w:rsidP="00C753DD" w14:paraId="3AB8E87A" w14:textId="77777777">
      <w:pPr>
        <w:widowControl/>
        <w:ind w:left="3600" w:firstLine="720"/>
      </w:pPr>
      <w:r w:rsidRPr="00654169">
        <w:t>FEDERAL COMMUNICATIONS COMMISSION</w:t>
      </w:r>
    </w:p>
    <w:p w:rsidR="00EF7BD2" w:rsidRPr="00654169" w:rsidP="00C753DD" w14:paraId="62BB59AC" w14:textId="77777777">
      <w:pPr>
        <w:widowControl/>
      </w:pPr>
    </w:p>
    <w:p w:rsidR="00EF7BD2" w:rsidP="00C753DD" w14:paraId="486C1505" w14:textId="4EBD7343">
      <w:pPr>
        <w:widowControl/>
      </w:pPr>
    </w:p>
    <w:p w:rsidR="00C753DD" w:rsidRPr="00654169" w:rsidP="00C753DD" w14:paraId="54FBA901" w14:textId="77777777">
      <w:pPr>
        <w:widowControl/>
      </w:pPr>
    </w:p>
    <w:p w:rsidR="00EF7BD2" w:rsidRPr="00654169" w:rsidP="00C753DD" w14:paraId="756F2C1E" w14:textId="77777777">
      <w:pPr>
        <w:widowControl/>
        <w:ind w:left="3600" w:firstLine="720"/>
      </w:pPr>
      <w:r w:rsidRPr="00654169">
        <w:t>Michael J. Wilhelm, Chief</w:t>
      </w:r>
    </w:p>
    <w:p w:rsidR="00EF7BD2" w:rsidP="00C753DD" w14:paraId="44FC69CB" w14:textId="77777777">
      <w:pPr>
        <w:widowControl/>
        <w:ind w:left="3600" w:firstLine="720"/>
      </w:pPr>
      <w:r w:rsidRPr="00654169">
        <w:t>Policy and Licensing Division</w:t>
      </w:r>
    </w:p>
    <w:p w:rsidR="00EF7BD2" w:rsidRPr="00EF7BD2" w:rsidP="00C753DD" w14:paraId="227363FE" w14:textId="77777777">
      <w:pPr>
        <w:widowControl/>
        <w:ind w:left="3600" w:firstLine="720"/>
      </w:pPr>
      <w:r w:rsidRPr="00654169">
        <w:t>Public Safety and Homeland Security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6B5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35C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125E24" w14:textId="77777777">
    <w:pPr>
      <w:pStyle w:val="Footer"/>
      <w:jc w:val="center"/>
    </w:pPr>
    <w:r>
      <w:fldChar w:fldCharType="begin"/>
    </w:r>
    <w:r>
      <w:instrText xml:space="preserve"> PAGE   \* MERGEFORMAT </w:instrText>
    </w:r>
    <w:r>
      <w:fldChar w:fldCharType="separate"/>
    </w:r>
    <w:r w:rsidR="00CF7D25">
      <w:rPr>
        <w:noProof/>
      </w:rPr>
      <w:t>3</w:t>
    </w:r>
    <w:r>
      <w:rPr>
        <w:noProof/>
      </w:rPr>
      <w:fldChar w:fldCharType="end"/>
    </w:r>
  </w:p>
  <w:p w:rsidR="00D25FB5" w14:paraId="1DB25D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C353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74F5" w14:paraId="1FE96E72" w14:textId="77777777">
      <w:r>
        <w:separator/>
      </w:r>
    </w:p>
  </w:footnote>
  <w:footnote w:type="continuationSeparator" w:id="1">
    <w:p w:rsidR="00B374F5" w:rsidP="00C721AC" w14:paraId="5A5E5DC5" w14:textId="77777777">
      <w:pPr>
        <w:spacing w:before="120"/>
        <w:rPr>
          <w:sz w:val="20"/>
        </w:rPr>
      </w:pPr>
      <w:r>
        <w:rPr>
          <w:sz w:val="20"/>
        </w:rPr>
        <w:t xml:space="preserve">(Continued from previous page)  </w:t>
      </w:r>
      <w:r>
        <w:rPr>
          <w:sz w:val="20"/>
        </w:rPr>
        <w:separator/>
      </w:r>
    </w:p>
  </w:footnote>
  <w:footnote w:type="continuationNotice" w:id="2">
    <w:p w:rsidR="00B374F5" w:rsidP="00C721AC" w14:paraId="481E0FA4" w14:textId="77777777">
      <w:pPr>
        <w:jc w:val="right"/>
        <w:rPr>
          <w:sz w:val="20"/>
        </w:rPr>
      </w:pPr>
    </w:p>
  </w:footnote>
  <w:footnote w:id="3">
    <w:p w:rsidR="00B55170" w:rsidRPr="00654169" w:rsidP="00B55170" w14:paraId="389F3D2D" w14:textId="1B8C433E">
      <w:pPr>
        <w:pStyle w:val="FootnoteText"/>
      </w:pPr>
      <w:r w:rsidRPr="00654169">
        <w:rPr>
          <w:rStyle w:val="FootnoteReference"/>
          <w:sz w:val="22"/>
          <w:szCs w:val="22"/>
        </w:rPr>
        <w:footnoteRef/>
      </w:r>
      <w:r w:rsidRPr="00654169">
        <w:rPr>
          <w:sz w:val="22"/>
          <w:szCs w:val="22"/>
        </w:rPr>
        <w:t xml:space="preserve"> </w:t>
      </w:r>
      <w:r w:rsidRPr="00654169">
        <w:t xml:space="preserve">Petition for Reconsideration filed </w:t>
      </w:r>
      <w:r w:rsidR="00CB0487">
        <w:t>September</w:t>
      </w:r>
      <w:r w:rsidRPr="00654169">
        <w:t xml:space="preserve"> 2</w:t>
      </w:r>
      <w:r w:rsidR="00CB0487">
        <w:t>6</w:t>
      </w:r>
      <w:r w:rsidRPr="00654169">
        <w:t xml:space="preserve">, 2019 by the </w:t>
      </w:r>
      <w:r w:rsidR="00B148A9">
        <w:t xml:space="preserve">Steuben </w:t>
      </w:r>
      <w:r w:rsidRPr="00654169">
        <w:t>County</w:t>
      </w:r>
      <w:r w:rsidR="00B148A9">
        <w:t>, New York</w:t>
      </w:r>
      <w:r w:rsidRPr="00654169">
        <w:t xml:space="preserve">, as amended </w:t>
      </w:r>
      <w:r w:rsidR="00B148A9">
        <w:t>October 8</w:t>
      </w:r>
      <w:r w:rsidRPr="00654169">
        <w:t xml:space="preserve">, 2019 </w:t>
      </w:r>
      <w:r w:rsidR="00B148A9">
        <w:t xml:space="preserve">and February 12, 2020 </w:t>
      </w:r>
      <w:r w:rsidRPr="00654169">
        <w:t>(Respectively Petition</w:t>
      </w:r>
      <w:r w:rsidR="00B148A9">
        <w:t xml:space="preserve">, </w:t>
      </w:r>
      <w:r w:rsidRPr="00654169">
        <w:t>Supplement</w:t>
      </w:r>
      <w:r w:rsidR="00B148A9">
        <w:t>, and Second Supplement</w:t>
      </w:r>
      <w:r w:rsidRPr="00654169">
        <w:t>).</w:t>
      </w:r>
    </w:p>
  </w:footnote>
  <w:footnote w:id="4">
    <w:p w:rsidR="008C659C" w:rsidRPr="00654169" w:rsidP="008C659C" w14:paraId="4FFAB9C5" w14:textId="77777777">
      <w:pPr>
        <w:pStyle w:val="FootnoteText"/>
      </w:pPr>
      <w:r w:rsidRPr="00654169">
        <w:rPr>
          <w:rStyle w:val="FootnoteReference"/>
        </w:rPr>
        <w:footnoteRef/>
      </w:r>
      <w:r w:rsidRPr="00654169">
        <w:t xml:space="preserve"> </w:t>
      </w:r>
      <w:r w:rsidRPr="00654169">
        <w:rPr>
          <w:i/>
        </w:rPr>
        <w:t xml:space="preserve">See </w:t>
      </w:r>
      <w:r w:rsidRPr="00654169">
        <w:t>47 CFR § 1.946(d).</w:t>
      </w:r>
    </w:p>
  </w:footnote>
  <w:footnote w:id="5">
    <w:p w:rsidR="008C659C" w:rsidRPr="00654169" w:rsidP="008C659C" w14:paraId="60B58CE9" w14:textId="77777777">
      <w:pPr>
        <w:pStyle w:val="FootnoteText"/>
      </w:pPr>
      <w:r w:rsidRPr="00654169">
        <w:rPr>
          <w:rStyle w:val="FootnoteReference"/>
        </w:rPr>
        <w:footnoteRef/>
      </w:r>
      <w:r w:rsidRPr="00654169">
        <w:t xml:space="preserve"> </w:t>
      </w:r>
      <w:r w:rsidRPr="00654169">
        <w:rPr>
          <w:i/>
        </w:rPr>
        <w:t xml:space="preserve">See </w:t>
      </w:r>
      <w:bookmarkStart w:id="6" w:name="_Hlk20731545"/>
      <w:r w:rsidRPr="00654169">
        <w:t>47 CFR § 1.946(e).</w:t>
      </w:r>
      <w:bookmarkEnd w:id="6"/>
    </w:p>
  </w:footnote>
  <w:footnote w:id="6">
    <w:p w:rsidR="008C659C" w:rsidRPr="00654169" w:rsidP="008C659C" w14:paraId="2FEBB863" w14:textId="1158777D">
      <w:pPr>
        <w:pStyle w:val="FootnoteText"/>
      </w:pPr>
      <w:r w:rsidRPr="00654169">
        <w:rPr>
          <w:rStyle w:val="FootnoteReference"/>
        </w:rPr>
        <w:footnoteRef/>
      </w:r>
      <w:r w:rsidRPr="00654169">
        <w:t xml:space="preserve"> </w:t>
      </w:r>
      <w:r w:rsidRPr="00654169">
        <w:rPr>
          <w:i/>
        </w:rPr>
        <w:t>See</w:t>
      </w:r>
      <w:r w:rsidRPr="00654169">
        <w:t xml:space="preserve"> Auto Termination Letter for </w:t>
      </w:r>
      <w:r w:rsidR="00E26005">
        <w:t>WRCB926</w:t>
      </w:r>
      <w:r w:rsidRPr="00654169">
        <w:t xml:space="preserve"> (dated </w:t>
      </w:r>
      <w:r w:rsidR="00E26005">
        <w:t>Sep</w:t>
      </w:r>
      <w:r w:rsidRPr="00654169">
        <w:t xml:space="preserve">. </w:t>
      </w:r>
      <w:r w:rsidR="00E26005">
        <w:t>25</w:t>
      </w:r>
      <w:r w:rsidRPr="00654169">
        <w:t>, 2019) (</w:t>
      </w:r>
      <w:r w:rsidR="00E26005">
        <w:t xml:space="preserve">WRCB926 </w:t>
      </w:r>
      <w:r w:rsidRPr="00654169">
        <w:t>Auto Termination Letter)</w:t>
      </w:r>
      <w:r w:rsidR="00E26005">
        <w:t xml:space="preserve"> and </w:t>
      </w:r>
      <w:r w:rsidRPr="00654169" w:rsidR="00E26005">
        <w:t xml:space="preserve">Auto Termination Letter for </w:t>
      </w:r>
      <w:r w:rsidR="00E26005">
        <w:t>WRCB715</w:t>
      </w:r>
      <w:r w:rsidRPr="00654169" w:rsidR="00E26005">
        <w:t xml:space="preserve"> (dated </w:t>
      </w:r>
      <w:r w:rsidR="00E26005">
        <w:t>Sep</w:t>
      </w:r>
      <w:r w:rsidRPr="00654169" w:rsidR="00E26005">
        <w:t xml:space="preserve">. </w:t>
      </w:r>
      <w:r w:rsidR="00E26005">
        <w:t>25</w:t>
      </w:r>
      <w:r w:rsidRPr="00654169" w:rsidR="00E26005">
        <w:t>, 2019) (</w:t>
      </w:r>
      <w:r w:rsidR="00E26005">
        <w:t xml:space="preserve">WRCB715 </w:t>
      </w:r>
      <w:r w:rsidRPr="00654169" w:rsidR="00E26005">
        <w:t>Auto Termination Letter)</w:t>
      </w:r>
      <w:r w:rsidRPr="00654169">
        <w:t xml:space="preserve">.  </w:t>
      </w:r>
      <w:r w:rsidRPr="00654169">
        <w:rPr>
          <w:color w:val="000000"/>
        </w:rPr>
        <w:t xml:space="preserve">As a condition of its authorization, the Commission’s rules require </w:t>
      </w:r>
      <w:r w:rsidR="00E26005">
        <w:rPr>
          <w:color w:val="000000"/>
        </w:rPr>
        <w:t>Steuben</w:t>
      </w:r>
      <w:r w:rsidRPr="00654169">
        <w:rPr>
          <w:color w:val="000000"/>
        </w:rPr>
        <w:t xml:space="preserve"> County to construct certain frequencies on call sign</w:t>
      </w:r>
      <w:r w:rsidR="00E26005">
        <w:rPr>
          <w:color w:val="000000"/>
        </w:rPr>
        <w:t>s</w:t>
      </w:r>
      <w:r w:rsidRPr="00654169">
        <w:rPr>
          <w:color w:val="000000"/>
        </w:rPr>
        <w:t xml:space="preserve"> </w:t>
      </w:r>
      <w:r w:rsidR="00E26005">
        <w:t>WRCB926 and WRCB715</w:t>
      </w:r>
      <w:r w:rsidRPr="00654169">
        <w:t xml:space="preserve"> </w:t>
      </w:r>
      <w:r w:rsidRPr="00654169">
        <w:rPr>
          <w:color w:val="000000"/>
        </w:rPr>
        <w:t xml:space="preserve">within one year. </w:t>
      </w:r>
      <w:r w:rsidRPr="00654169">
        <w:t xml:space="preserve"> </w:t>
      </w:r>
      <w:r w:rsidRPr="00654169">
        <w:rPr>
          <w:i/>
        </w:rPr>
        <w:t>See</w:t>
      </w:r>
      <w:r w:rsidRPr="00654169">
        <w:t xml:space="preserve"> 47 CFR §§ 1.946, 90.155(a).</w:t>
      </w:r>
    </w:p>
  </w:footnote>
  <w:footnote w:id="7">
    <w:p w:rsidR="00E53C10" w:rsidRPr="00654169" w:rsidP="00E53C10" w14:paraId="010D7D78" w14:textId="488B2318">
      <w:pPr>
        <w:pStyle w:val="FootnoteText"/>
      </w:pPr>
      <w:r w:rsidRPr="00654169">
        <w:rPr>
          <w:rStyle w:val="FootnoteReference"/>
        </w:rPr>
        <w:footnoteRef/>
      </w:r>
      <w:r w:rsidRPr="00654169">
        <w:t xml:space="preserve"> </w:t>
      </w:r>
      <w:r w:rsidR="00E26005">
        <w:t xml:space="preserve">WRCB926 </w:t>
      </w:r>
      <w:r w:rsidRPr="00654169">
        <w:t>Auto Termination Letter at 1</w:t>
      </w:r>
      <w:r w:rsidR="00E26005">
        <w:t xml:space="preserve">, WRCB715 </w:t>
      </w:r>
      <w:r w:rsidRPr="00654169" w:rsidR="00E26005">
        <w:t>Auto Termination Letter</w:t>
      </w:r>
      <w:r w:rsidR="00E26005">
        <w:t xml:space="preserve"> at 1</w:t>
      </w:r>
      <w:r w:rsidRPr="00654169">
        <w:t>.</w:t>
      </w:r>
    </w:p>
  </w:footnote>
  <w:footnote w:id="8">
    <w:p w:rsidR="00E26005" w:rsidP="008A17D5" w14:paraId="7EADDC4B" w14:textId="331A052C">
      <w:pPr>
        <w:pStyle w:val="FootnoteText"/>
      </w:pPr>
      <w:r>
        <w:rPr>
          <w:rStyle w:val="FootnoteReference"/>
        </w:rPr>
        <w:footnoteRef/>
      </w:r>
      <w:r>
        <w:t xml:space="preserve"> Petition at 1.</w:t>
      </w:r>
      <w:r w:rsidR="008A17D5">
        <w:t xml:space="preserve">  The County stated that it did not receive the FCC’s correspondence regarding the notification deadline possibly due to the transition of the County’s email systems. </w:t>
      </w:r>
    </w:p>
  </w:footnote>
  <w:footnote w:id="9">
    <w:p w:rsidR="008A17D5" w14:paraId="2ECD0248" w14:textId="239D00BD">
      <w:pPr>
        <w:pStyle w:val="FootnoteText"/>
      </w:pPr>
      <w:r>
        <w:rPr>
          <w:rStyle w:val="FootnoteReference"/>
        </w:rPr>
        <w:footnoteRef/>
      </w:r>
      <w:r>
        <w:t xml:space="preserve"> Supplement at 1.</w:t>
      </w:r>
    </w:p>
  </w:footnote>
  <w:footnote w:id="10">
    <w:p w:rsidR="00B55170" w:rsidRPr="008C659C" w:rsidP="00B55170" w14:paraId="0D742EB6" w14:textId="2EBDBA03">
      <w:pPr>
        <w:pStyle w:val="FootnoteText"/>
        <w:rPr>
          <w:i/>
        </w:rPr>
      </w:pPr>
      <w:r>
        <w:rPr>
          <w:rStyle w:val="FootnoteReference"/>
        </w:rPr>
        <w:footnoteRef/>
      </w:r>
      <w:r>
        <w:t xml:space="preserve"> </w:t>
      </w:r>
      <w:r w:rsidRPr="007059DF">
        <w:rPr>
          <w:i/>
        </w:rPr>
        <w:t>Id.</w:t>
      </w:r>
      <w:r w:rsidR="00314F17">
        <w:rPr>
          <w:i/>
        </w:rPr>
        <w:t xml:space="preserve"> </w:t>
      </w:r>
      <w:r w:rsidRPr="00314F17" w:rsidR="00314F17">
        <w:rPr>
          <w:iCs/>
        </w:rPr>
        <w:t>at 2.</w:t>
      </w:r>
    </w:p>
  </w:footnote>
  <w:footnote w:id="11">
    <w:p w:rsidR="00314F17" w:rsidRPr="00314F17" w14:paraId="1E061BA7" w14:textId="5128523B">
      <w:pPr>
        <w:pStyle w:val="FootnoteText"/>
        <w:rPr>
          <w:i/>
          <w:iCs/>
        </w:rPr>
      </w:pPr>
      <w:r>
        <w:rPr>
          <w:rStyle w:val="FootnoteReference"/>
        </w:rPr>
        <w:footnoteRef/>
      </w:r>
      <w:r>
        <w:t xml:space="preserve"> </w:t>
      </w:r>
      <w:r>
        <w:rPr>
          <w:i/>
          <w:iCs/>
        </w:rPr>
        <w:t>Id.</w:t>
      </w:r>
    </w:p>
  </w:footnote>
  <w:footnote w:id="12">
    <w:p w:rsidR="00970D0A" w:rsidP="00C753DD" w14:paraId="3D30A242" w14:textId="1D6ABE35">
      <w:pPr>
        <w:spacing w:after="120"/>
        <w:outlineLvl w:val="0"/>
      </w:pPr>
      <w:r>
        <w:rPr>
          <w:rStyle w:val="FootnoteReference"/>
        </w:rPr>
        <w:footnoteRef/>
      </w:r>
      <w:r w:rsidR="003C7088">
        <w:t xml:space="preserve"> </w:t>
      </w:r>
      <w:r w:rsidRPr="00CB0487" w:rsidR="00CB0487">
        <w:rPr>
          <w:rStyle w:val="FootnoteTextChar"/>
          <w:sz w:val="20"/>
        </w:rPr>
        <w:t>Second Supplement at 2.</w:t>
      </w:r>
      <w:r w:rsidR="00C753DD">
        <w:t xml:space="preserve"> </w:t>
      </w:r>
      <w:r w:rsidR="003C7088">
        <w:t xml:space="preserve"> </w:t>
      </w:r>
    </w:p>
  </w:footnote>
  <w:footnote w:id="13">
    <w:p w:rsidR="00844D4E" w:rsidP="00844D4E" w14:paraId="0DCD82EA" w14:textId="77777777">
      <w:pPr>
        <w:pStyle w:val="FootnoteText"/>
      </w:pPr>
      <w:r>
        <w:rPr>
          <w:rStyle w:val="FootnoteReference"/>
        </w:rPr>
        <w:footnoteRef/>
      </w:r>
      <w:r>
        <w:t xml:space="preserve"> 47 CFR § </w:t>
      </w:r>
      <w:r w:rsidRPr="006C033D">
        <w:t>1.946 requires, in pertinent part, that “[t]he request [for extension of time to construct] must be filed before the expiration of the construction or coverage period.”</w:t>
      </w:r>
    </w:p>
  </w:footnote>
  <w:footnote w:id="14">
    <w:p w:rsidR="008C659C" w:rsidP="008C659C" w14:paraId="202402AF" w14:textId="756A3123">
      <w:pPr>
        <w:pStyle w:val="FootnoteText"/>
      </w:pPr>
      <w:r>
        <w:rPr>
          <w:rStyle w:val="FootnoteReference"/>
        </w:rPr>
        <w:footnoteRef/>
      </w:r>
      <w:r>
        <w:t xml:space="preserve"> </w:t>
      </w:r>
      <w:r w:rsidR="00747AA6">
        <w:t xml:space="preserve">47 CFR § 1.946; </w:t>
      </w:r>
      <w:r w:rsidRPr="007F38B2">
        <w:rPr>
          <w:i/>
        </w:rPr>
        <w:t>See, e.g., Orange County, New York</w:t>
      </w:r>
      <w:r>
        <w:t xml:space="preserve">, Order, </w:t>
      </w:r>
      <w:r w:rsidRPr="006C1C94">
        <w:t>33 FCC Rcd 11200</w:t>
      </w:r>
      <w:r>
        <w:t xml:space="preserve"> (PSHSB 2018)</w:t>
      </w:r>
      <w:r w:rsidR="00982BF9">
        <w:t xml:space="preserve"> (Petition for reconsideration denied when, as here, licensee failed to construct by the deadline and requested an extension of time to construct after the deadline had passed</w:t>
      </w:r>
      <w:r>
        <w:t>.</w:t>
      </w:r>
      <w:r w:rsidR="00982BF9">
        <w:t>)</w:t>
      </w:r>
      <w:r w:rsidR="00241E87">
        <w:t>.</w:t>
      </w:r>
      <w:r>
        <w:t xml:space="preserve"> </w:t>
      </w:r>
    </w:p>
  </w:footnote>
  <w:footnote w:id="15">
    <w:p w:rsidR="009B199E" w:rsidRPr="00654169" w:rsidP="009B199E" w14:paraId="2087A57B" w14:textId="77777777">
      <w:pPr>
        <w:pStyle w:val="FootnoteText"/>
      </w:pPr>
      <w:r w:rsidRPr="00654169">
        <w:rPr>
          <w:rStyle w:val="FootnoteReference"/>
        </w:rPr>
        <w:footnoteRef/>
      </w:r>
      <w:r w:rsidRPr="00654169">
        <w:t xml:space="preserve"> 47 CFR § 1.931.</w:t>
      </w:r>
    </w:p>
  </w:footnote>
  <w:footnote w:id="16">
    <w:p w:rsidR="008C659C" w:rsidP="008C659C" w14:paraId="0EE4121D" w14:textId="00DC3DD3">
      <w:pPr>
        <w:pStyle w:val="FootnoteText"/>
      </w:pPr>
      <w:r>
        <w:rPr>
          <w:rStyle w:val="FootnoteReference"/>
        </w:rPr>
        <w:footnoteRef/>
      </w:r>
      <w:r>
        <w:t xml:space="preserve"> </w:t>
      </w:r>
      <w:hyperlink r:id="rId1" w:anchor="co_pp_sp_4493_21076" w:history="1">
        <w:r w:rsidRPr="008C659C">
          <w:rPr>
            <w:rStyle w:val="Hyperlink"/>
            <w:i/>
            <w:color w:val="000000"/>
            <w:u w:val="none"/>
          </w:rPr>
          <w:t> Biennial Regulatory Review — Amendment of Parts 0, 1, 13, 22, 24, 26, 27, 80, 87, 90, 95 and 101 of the Commission's Rules to Facilitate Development and Use of the Universal Licensing System in the Wireless Telecommunications Services</w:t>
        </w:r>
        <w:r w:rsidRPr="008C659C">
          <w:rPr>
            <w:rStyle w:val="Hyperlink"/>
            <w:color w:val="000000"/>
            <w:u w:val="none"/>
          </w:rPr>
          <w:t>, </w:t>
        </w:r>
        <w:r w:rsidRPr="008C659C">
          <w:rPr>
            <w:rStyle w:val="Hyperlink"/>
            <w:iCs/>
            <w:color w:val="000000"/>
            <w:u w:val="none"/>
          </w:rPr>
          <w:t>Report and Order</w:t>
        </w:r>
        <w:r w:rsidRPr="008C659C">
          <w:rPr>
            <w:rStyle w:val="Hyperlink"/>
            <w:color w:val="000000"/>
            <w:u w:val="none"/>
          </w:rPr>
          <w:t>, 13 FCC Rcd 21027, 21076 </w:t>
        </w:r>
        <w:r w:rsidRPr="008C659C" w:rsidR="00326544">
          <w:rPr>
            <w:rStyle w:val="Hyperlink"/>
            <w:color w:val="000000"/>
            <w:u w:val="none"/>
          </w:rPr>
          <w:t>para</w:t>
        </w:r>
        <w:r w:rsidRPr="008C659C">
          <w:rPr>
            <w:rStyle w:val="Hyperlink"/>
            <w:color w:val="000000"/>
            <w:u w:val="none"/>
          </w:rPr>
          <w:t>. 106 (1998)</w:t>
        </w:r>
      </w:hyperlink>
      <w:r w:rsidR="00454994">
        <w:rPr>
          <w:rStyle w:val="Hyperlink"/>
          <w:color w:val="000000"/>
          <w:u w:val="none"/>
        </w:rPr>
        <w:t xml:space="preserve"> (</w:t>
      </w:r>
      <w:r w:rsidRPr="00454994" w:rsidR="00454994">
        <w:rPr>
          <w:i/>
          <w:color w:val="000000"/>
        </w:rPr>
        <w:t>Biennial Regulatory Review</w:t>
      </w:r>
      <w:r w:rsidR="00454994">
        <w:rPr>
          <w:color w:val="000000"/>
        </w:rPr>
        <w:t>)</w:t>
      </w:r>
      <w:r w:rsidR="00EF714B">
        <w:rPr>
          <w:color w:val="000000"/>
        </w:rPr>
        <w:t xml:space="preserve"> (explaining</w:t>
      </w:r>
      <w:r w:rsidRPr="00EF714B" w:rsidR="00EF714B">
        <w:rPr>
          <w:snapToGrid w:val="0"/>
          <w:kern w:val="28"/>
          <w:sz w:val="22"/>
        </w:rPr>
        <w:t xml:space="preserve"> </w:t>
      </w:r>
      <w:r w:rsidRPr="00EF714B" w:rsidR="00EF714B">
        <w:rPr>
          <w:color w:val="000000"/>
        </w:rPr>
        <w:t>that the rule providing for automatic license termination is not based on a licensee’s failure to file a construction notification, “but based on actual failure by the licensee to meet its construction or coverage deadline.”)</w:t>
      </w:r>
      <w:r w:rsidR="00EF714B">
        <w:rPr>
          <w:color w:val="000000"/>
        </w:rPr>
        <w:t>.</w:t>
      </w:r>
    </w:p>
  </w:footnote>
  <w:footnote w:id="17">
    <w:p w:rsidR="00747AA6" w14:paraId="5E979F60" w14:textId="7D3A3F83">
      <w:pPr>
        <w:pStyle w:val="FootnoteText"/>
      </w:pPr>
      <w:r>
        <w:rPr>
          <w:rStyle w:val="FootnoteReference"/>
        </w:rPr>
        <w:footnoteRef/>
      </w:r>
      <w:r>
        <w:t xml:space="preserve"> </w:t>
      </w:r>
      <w:r w:rsidR="00EF714B">
        <w:rPr>
          <w:i/>
        </w:rPr>
        <w:t xml:space="preserve">See </w:t>
      </w:r>
      <w:r w:rsidR="00314F17">
        <w:t>Supplement at 1</w:t>
      </w:r>
      <w:r w:rsidR="00EF714B">
        <w:t>.</w:t>
      </w:r>
    </w:p>
  </w:footnote>
  <w:footnote w:id="18">
    <w:p w:rsidR="009B199E" w:rsidP="009B199E" w14:paraId="79CA1298" w14:textId="10FD3F5C">
      <w:pPr>
        <w:pStyle w:val="FootnoteText"/>
      </w:pPr>
      <w:r>
        <w:rPr>
          <w:rStyle w:val="FootnoteReference"/>
        </w:rPr>
        <w:footnoteRef/>
      </w:r>
      <w:r>
        <w:t xml:space="preserve"> </w:t>
      </w:r>
      <w:r w:rsidRPr="006C1C94">
        <w:rPr>
          <w:i/>
        </w:rPr>
        <w:t>See State of New York</w:t>
      </w:r>
      <w:r>
        <w:t xml:space="preserve">, Order, </w:t>
      </w:r>
      <w:r w:rsidRPr="006C1C94">
        <w:t>27 FCC Rcd. 14912</w:t>
      </w:r>
      <w:r>
        <w:t xml:space="preserve">, 14913 para. 4 (PSHSB 2012), </w:t>
      </w:r>
      <w:r>
        <w:rPr>
          <w:i/>
        </w:rPr>
        <w:t xml:space="preserve">citing </w:t>
      </w:r>
      <w:r w:rsidRPr="006C1C94">
        <w:rPr>
          <w:i/>
        </w:rPr>
        <w:t>Amendment of Parts 1 and 90 of the Commission's Rules Concerning the Construction, Licensing, and Operation of Private Land Mobile Radio Stations, </w:t>
      </w:r>
      <w:r w:rsidRPr="006C1C94">
        <w:rPr>
          <w:iCs/>
        </w:rPr>
        <w:t>Notice of Proposed Rule Making</w:t>
      </w:r>
      <w:r w:rsidRPr="006C1C94">
        <w:t>,</w:t>
      </w:r>
      <w:r w:rsidRPr="006C1C94">
        <w:rPr>
          <w:i/>
        </w:rPr>
        <w:t> </w:t>
      </w:r>
      <w:hyperlink r:id="rId2" w:history="1">
        <w:r w:rsidRPr="008C659C">
          <w:rPr>
            <w:rStyle w:val="Hyperlink"/>
            <w:color w:val="000000"/>
            <w:u w:val="none"/>
          </w:rPr>
          <w:t>5 FCC Rcd 64</w:t>
        </w:r>
        <w:bookmarkStart w:id="10" w:name="_GoBack"/>
        <w:bookmarkEnd w:id="10"/>
        <w:r w:rsidRPr="008C659C">
          <w:rPr>
            <w:rStyle w:val="Hyperlink"/>
            <w:color w:val="000000"/>
            <w:u w:val="none"/>
          </w:rPr>
          <w:t>01 (1990)</w:t>
        </w:r>
      </w:hyperlink>
      <w:r w:rsidRPr="006C1C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4A8E" w14:textId="1D404E69">
    <w:pPr>
      <w:pStyle w:val="Header"/>
      <w:rPr>
        <w:b w:val="0"/>
      </w:rPr>
    </w:pPr>
    <w:r>
      <w:tab/>
      <w:t>Federal Communications Commission</w:t>
    </w:r>
    <w:r>
      <w:tab/>
    </w:r>
    <w:r w:rsidR="00C753DD">
      <w:t xml:space="preserve">DA </w:t>
    </w:r>
    <w:r w:rsidR="0053670C">
      <w:t>20</w:t>
    </w:r>
    <w:r w:rsidR="00C753DD">
      <w:t>-</w:t>
    </w:r>
    <w:r w:rsidR="00E33397">
      <w:t>1200</w:t>
    </w:r>
  </w:p>
  <w:p w:rsidR="00D25FB5" w14:paraId="1C8F1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4929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9AFCC6" w14:textId="28EA06F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53DD">
      <w:rPr>
        <w:spacing w:val="-2"/>
      </w:rPr>
      <w:t xml:space="preserve">DA </w:t>
    </w:r>
    <w:r w:rsidR="0053670C">
      <w:rPr>
        <w:spacing w:val="-2"/>
      </w:rPr>
      <w:t>20</w:t>
    </w:r>
    <w:r w:rsidR="00C753DD">
      <w:rPr>
        <w:spacing w:val="-2"/>
      </w:rPr>
      <w:t>-</w:t>
    </w:r>
    <w:r w:rsidR="00E33397">
      <w:rPr>
        <w:spacing w:val="-2"/>
      </w:rPr>
      <w:t>1200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734DC3E"/>
    <w:lvl w:ilvl="0">
      <w:start w:val="1"/>
      <w:numFmt w:val="decimal"/>
      <w:lvlText w:val="%1."/>
      <w:lvlJc w:val="left"/>
      <w:pPr>
        <w:tabs>
          <w:tab w:val="num" w:pos="1800"/>
        </w:tabs>
        <w:ind w:left="1800" w:hanging="360"/>
      </w:pPr>
    </w:lvl>
  </w:abstractNum>
  <w:abstractNum w:abstractNumId="1">
    <w:nsid w:val="FFFFFF7D"/>
    <w:multiLevelType w:val="singleLevel"/>
    <w:tmpl w:val="66125684"/>
    <w:lvl w:ilvl="0">
      <w:start w:val="1"/>
      <w:numFmt w:val="decimal"/>
      <w:lvlText w:val="%1."/>
      <w:lvlJc w:val="left"/>
      <w:pPr>
        <w:tabs>
          <w:tab w:val="num" w:pos="1440"/>
        </w:tabs>
        <w:ind w:left="1440" w:hanging="360"/>
      </w:pPr>
    </w:lvl>
  </w:abstractNum>
  <w:abstractNum w:abstractNumId="2">
    <w:nsid w:val="FFFFFF7E"/>
    <w:multiLevelType w:val="singleLevel"/>
    <w:tmpl w:val="067C43D2"/>
    <w:lvl w:ilvl="0">
      <w:start w:val="1"/>
      <w:numFmt w:val="decimal"/>
      <w:lvlText w:val="%1."/>
      <w:lvlJc w:val="left"/>
      <w:pPr>
        <w:tabs>
          <w:tab w:val="num" w:pos="1080"/>
        </w:tabs>
        <w:ind w:left="1080" w:hanging="360"/>
      </w:pPr>
    </w:lvl>
  </w:abstractNum>
  <w:abstractNum w:abstractNumId="3">
    <w:nsid w:val="FFFFFF7F"/>
    <w:multiLevelType w:val="singleLevel"/>
    <w:tmpl w:val="3F02A48C"/>
    <w:lvl w:ilvl="0">
      <w:start w:val="1"/>
      <w:numFmt w:val="decimal"/>
      <w:lvlText w:val="%1."/>
      <w:lvlJc w:val="left"/>
      <w:pPr>
        <w:tabs>
          <w:tab w:val="num" w:pos="720"/>
        </w:tabs>
        <w:ind w:left="720" w:hanging="360"/>
      </w:pPr>
    </w:lvl>
  </w:abstractNum>
  <w:abstractNum w:abstractNumId="4">
    <w:nsid w:val="FFFFFF80"/>
    <w:multiLevelType w:val="singleLevel"/>
    <w:tmpl w:val="CA2819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A42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B00E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8E21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1EB38A"/>
    <w:lvl w:ilvl="0">
      <w:start w:val="1"/>
      <w:numFmt w:val="decimal"/>
      <w:lvlText w:val="%1."/>
      <w:lvlJc w:val="left"/>
      <w:pPr>
        <w:tabs>
          <w:tab w:val="num" w:pos="360"/>
        </w:tabs>
        <w:ind w:left="360" w:hanging="360"/>
      </w:pPr>
    </w:lvl>
  </w:abstractNum>
  <w:abstractNum w:abstractNumId="9">
    <w:nsid w:val="FFFFFF89"/>
    <w:multiLevelType w:val="singleLevel"/>
    <w:tmpl w:val="456A6016"/>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15"/>
  </w:num>
  <w:num w:numId="3">
    <w:abstractNumId w:val="13"/>
  </w:num>
  <w:num w:numId="4">
    <w:abstractNumId w:val="14"/>
  </w:num>
  <w:num w:numId="5">
    <w:abstractNumId w:val="12"/>
  </w:num>
  <w:num w:numId="6">
    <w:abstractNumId w:val="10"/>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5" w:allStyles="1"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0D"/>
    <w:rsid w:val="00036039"/>
    <w:rsid w:val="00037F90"/>
    <w:rsid w:val="00044D90"/>
    <w:rsid w:val="00063A20"/>
    <w:rsid w:val="000815CC"/>
    <w:rsid w:val="000875BF"/>
    <w:rsid w:val="00096D8C"/>
    <w:rsid w:val="000A2133"/>
    <w:rsid w:val="000B40A9"/>
    <w:rsid w:val="000C0B65"/>
    <w:rsid w:val="000D04B9"/>
    <w:rsid w:val="000E05FE"/>
    <w:rsid w:val="000E3D42"/>
    <w:rsid w:val="000F7A08"/>
    <w:rsid w:val="001000EF"/>
    <w:rsid w:val="00122BD5"/>
    <w:rsid w:val="00133F79"/>
    <w:rsid w:val="00153141"/>
    <w:rsid w:val="00194A66"/>
    <w:rsid w:val="0019504F"/>
    <w:rsid w:val="0019648F"/>
    <w:rsid w:val="001D6BCF"/>
    <w:rsid w:val="001E01CA"/>
    <w:rsid w:val="00241E87"/>
    <w:rsid w:val="00264BCD"/>
    <w:rsid w:val="00275CF5"/>
    <w:rsid w:val="0028301F"/>
    <w:rsid w:val="00285017"/>
    <w:rsid w:val="002A2D2E"/>
    <w:rsid w:val="002C00E8"/>
    <w:rsid w:val="00314F17"/>
    <w:rsid w:val="00326544"/>
    <w:rsid w:val="00337A7B"/>
    <w:rsid w:val="00343749"/>
    <w:rsid w:val="00350A40"/>
    <w:rsid w:val="003637CA"/>
    <w:rsid w:val="003660ED"/>
    <w:rsid w:val="003B0550"/>
    <w:rsid w:val="003B4B59"/>
    <w:rsid w:val="003B694F"/>
    <w:rsid w:val="003C7088"/>
    <w:rsid w:val="003F171C"/>
    <w:rsid w:val="00401FB0"/>
    <w:rsid w:val="00412FC5"/>
    <w:rsid w:val="00422276"/>
    <w:rsid w:val="004242F1"/>
    <w:rsid w:val="00445A00"/>
    <w:rsid w:val="00451B0F"/>
    <w:rsid w:val="00454994"/>
    <w:rsid w:val="004642AB"/>
    <w:rsid w:val="00471817"/>
    <w:rsid w:val="004B2DC4"/>
    <w:rsid w:val="004C2EE3"/>
    <w:rsid w:val="004E4A22"/>
    <w:rsid w:val="005110F1"/>
    <w:rsid w:val="00511968"/>
    <w:rsid w:val="0053670C"/>
    <w:rsid w:val="0055614C"/>
    <w:rsid w:val="00566D06"/>
    <w:rsid w:val="005C3025"/>
    <w:rsid w:val="005C7484"/>
    <w:rsid w:val="005D2915"/>
    <w:rsid w:val="005E14C2"/>
    <w:rsid w:val="00607BA5"/>
    <w:rsid w:val="0061180A"/>
    <w:rsid w:val="006224EA"/>
    <w:rsid w:val="00626EB6"/>
    <w:rsid w:val="00654169"/>
    <w:rsid w:val="00655D03"/>
    <w:rsid w:val="00683388"/>
    <w:rsid w:val="00683F84"/>
    <w:rsid w:val="006A6A81"/>
    <w:rsid w:val="006C033D"/>
    <w:rsid w:val="006C1C94"/>
    <w:rsid w:val="006D5F27"/>
    <w:rsid w:val="006F7393"/>
    <w:rsid w:val="0070224F"/>
    <w:rsid w:val="007059DF"/>
    <w:rsid w:val="007115F7"/>
    <w:rsid w:val="007120F7"/>
    <w:rsid w:val="00747AA6"/>
    <w:rsid w:val="00751BF0"/>
    <w:rsid w:val="007738D2"/>
    <w:rsid w:val="00785689"/>
    <w:rsid w:val="00793ED2"/>
    <w:rsid w:val="0079754B"/>
    <w:rsid w:val="007A1E6D"/>
    <w:rsid w:val="007B0EB2"/>
    <w:rsid w:val="007F38B2"/>
    <w:rsid w:val="00801DE6"/>
    <w:rsid w:val="00810B6F"/>
    <w:rsid w:val="00813E0D"/>
    <w:rsid w:val="00822CE0"/>
    <w:rsid w:val="00841AB1"/>
    <w:rsid w:val="00844D4E"/>
    <w:rsid w:val="008A17D5"/>
    <w:rsid w:val="008C3C90"/>
    <w:rsid w:val="008C659C"/>
    <w:rsid w:val="008C68F1"/>
    <w:rsid w:val="00920504"/>
    <w:rsid w:val="00921803"/>
    <w:rsid w:val="00926503"/>
    <w:rsid w:val="00927EC6"/>
    <w:rsid w:val="00970D0A"/>
    <w:rsid w:val="009726D8"/>
    <w:rsid w:val="00982BF9"/>
    <w:rsid w:val="00992072"/>
    <w:rsid w:val="00995CD1"/>
    <w:rsid w:val="009A028A"/>
    <w:rsid w:val="009B199E"/>
    <w:rsid w:val="009D7308"/>
    <w:rsid w:val="009F76DB"/>
    <w:rsid w:val="00A0093C"/>
    <w:rsid w:val="00A24C87"/>
    <w:rsid w:val="00A32C3B"/>
    <w:rsid w:val="00A4034A"/>
    <w:rsid w:val="00A45F4F"/>
    <w:rsid w:val="00A515DA"/>
    <w:rsid w:val="00A600A9"/>
    <w:rsid w:val="00A71EFF"/>
    <w:rsid w:val="00A75AD5"/>
    <w:rsid w:val="00A919A1"/>
    <w:rsid w:val="00AA55B7"/>
    <w:rsid w:val="00AA5B9E"/>
    <w:rsid w:val="00AB2407"/>
    <w:rsid w:val="00AB53DF"/>
    <w:rsid w:val="00B07E5C"/>
    <w:rsid w:val="00B148A9"/>
    <w:rsid w:val="00B374F5"/>
    <w:rsid w:val="00B55170"/>
    <w:rsid w:val="00B811F7"/>
    <w:rsid w:val="00BA52B5"/>
    <w:rsid w:val="00BA5DC6"/>
    <w:rsid w:val="00BA6196"/>
    <w:rsid w:val="00BA7D1D"/>
    <w:rsid w:val="00BB4062"/>
    <w:rsid w:val="00BC6D8C"/>
    <w:rsid w:val="00C1175F"/>
    <w:rsid w:val="00C34006"/>
    <w:rsid w:val="00C36B4C"/>
    <w:rsid w:val="00C426B1"/>
    <w:rsid w:val="00C630E9"/>
    <w:rsid w:val="00C66160"/>
    <w:rsid w:val="00C670FE"/>
    <w:rsid w:val="00C721AC"/>
    <w:rsid w:val="00C753DD"/>
    <w:rsid w:val="00C90D6A"/>
    <w:rsid w:val="00CA247E"/>
    <w:rsid w:val="00CA6D21"/>
    <w:rsid w:val="00CB0487"/>
    <w:rsid w:val="00CC72B6"/>
    <w:rsid w:val="00CE06E4"/>
    <w:rsid w:val="00CF7D25"/>
    <w:rsid w:val="00D0218D"/>
    <w:rsid w:val="00D02F34"/>
    <w:rsid w:val="00D25FB5"/>
    <w:rsid w:val="00D44223"/>
    <w:rsid w:val="00DA2529"/>
    <w:rsid w:val="00DB130A"/>
    <w:rsid w:val="00DB2EBB"/>
    <w:rsid w:val="00DC10A1"/>
    <w:rsid w:val="00DC655F"/>
    <w:rsid w:val="00DD0B59"/>
    <w:rsid w:val="00DD7EBD"/>
    <w:rsid w:val="00DF62B6"/>
    <w:rsid w:val="00E07225"/>
    <w:rsid w:val="00E26005"/>
    <w:rsid w:val="00E33397"/>
    <w:rsid w:val="00E338CD"/>
    <w:rsid w:val="00E36431"/>
    <w:rsid w:val="00E45D2C"/>
    <w:rsid w:val="00E53C10"/>
    <w:rsid w:val="00E5409F"/>
    <w:rsid w:val="00E75D69"/>
    <w:rsid w:val="00EA3E5F"/>
    <w:rsid w:val="00EE6488"/>
    <w:rsid w:val="00EF714B"/>
    <w:rsid w:val="00EF7BD2"/>
    <w:rsid w:val="00F010C5"/>
    <w:rsid w:val="00F021FA"/>
    <w:rsid w:val="00F5744C"/>
    <w:rsid w:val="00F62E97"/>
    <w:rsid w:val="00F64209"/>
    <w:rsid w:val="00F85567"/>
    <w:rsid w:val="00F93BF5"/>
    <w:rsid w:val="00FA3ED1"/>
    <w:rsid w:val="00FC1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8A4990-291C-42EA-BF48-BD7B48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1D"/>
    <w:pPr>
      <w:widowControl w:val="0"/>
    </w:pPr>
    <w:rPr>
      <w:snapToGrid w:val="0"/>
      <w:kern w:val="28"/>
      <w:sz w:val="22"/>
    </w:rPr>
  </w:style>
  <w:style w:type="paragraph" w:styleId="Heading1">
    <w:name w:val="heading 1"/>
    <w:basedOn w:val="Normal"/>
    <w:next w:val="ParaNum"/>
    <w:qFormat/>
    <w:rsid w:val="00BA7D1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7D1D"/>
    <w:pPr>
      <w:keepNext/>
      <w:numPr>
        <w:ilvl w:val="1"/>
        <w:numId w:val="3"/>
      </w:numPr>
      <w:spacing w:after="120"/>
      <w:outlineLvl w:val="1"/>
    </w:pPr>
    <w:rPr>
      <w:b/>
    </w:rPr>
  </w:style>
  <w:style w:type="paragraph" w:styleId="Heading3">
    <w:name w:val="heading 3"/>
    <w:basedOn w:val="Normal"/>
    <w:next w:val="ParaNum"/>
    <w:qFormat/>
    <w:rsid w:val="00BA7D1D"/>
    <w:pPr>
      <w:keepNext/>
      <w:numPr>
        <w:ilvl w:val="2"/>
        <w:numId w:val="3"/>
      </w:numPr>
      <w:tabs>
        <w:tab w:val="left" w:pos="2160"/>
      </w:tabs>
      <w:spacing w:after="120"/>
      <w:outlineLvl w:val="2"/>
    </w:pPr>
    <w:rPr>
      <w:b/>
    </w:rPr>
  </w:style>
  <w:style w:type="paragraph" w:styleId="Heading4">
    <w:name w:val="heading 4"/>
    <w:basedOn w:val="Normal"/>
    <w:next w:val="ParaNum"/>
    <w:qFormat/>
    <w:rsid w:val="00BA7D1D"/>
    <w:pPr>
      <w:keepNext/>
      <w:numPr>
        <w:ilvl w:val="3"/>
        <w:numId w:val="3"/>
      </w:numPr>
      <w:tabs>
        <w:tab w:val="left" w:pos="2880"/>
      </w:tabs>
      <w:spacing w:after="120"/>
      <w:outlineLvl w:val="3"/>
    </w:pPr>
    <w:rPr>
      <w:b/>
    </w:rPr>
  </w:style>
  <w:style w:type="paragraph" w:styleId="Heading5">
    <w:name w:val="heading 5"/>
    <w:basedOn w:val="Normal"/>
    <w:next w:val="ParaNum"/>
    <w:qFormat/>
    <w:rsid w:val="00BA7D1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7D1D"/>
    <w:pPr>
      <w:numPr>
        <w:ilvl w:val="5"/>
        <w:numId w:val="3"/>
      </w:numPr>
      <w:tabs>
        <w:tab w:val="left" w:pos="4320"/>
      </w:tabs>
      <w:spacing w:after="120"/>
      <w:outlineLvl w:val="5"/>
    </w:pPr>
    <w:rPr>
      <w:b/>
    </w:rPr>
  </w:style>
  <w:style w:type="paragraph" w:styleId="Heading7">
    <w:name w:val="heading 7"/>
    <w:basedOn w:val="Normal"/>
    <w:next w:val="ParaNum"/>
    <w:qFormat/>
    <w:rsid w:val="00BA7D1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7D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7D1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BA7D1D"/>
    <w:pPr>
      <w:numPr>
        <w:numId w:val="2"/>
      </w:numPr>
      <w:tabs>
        <w:tab w:val="clear" w:pos="1080"/>
        <w:tab w:val="num" w:pos="1440"/>
      </w:tabs>
      <w:spacing w:after="120"/>
    </w:pPr>
  </w:style>
  <w:style w:type="paragraph" w:styleId="EndnoteText">
    <w:name w:val="endnote text"/>
    <w:basedOn w:val="Normal"/>
    <w:semiHidden/>
    <w:rsid w:val="00BA7D1D"/>
    <w:rPr>
      <w:sz w:val="20"/>
    </w:rPr>
  </w:style>
  <w:style w:type="character" w:styleId="EndnoteReference">
    <w:name w:val="endnote reference"/>
    <w:semiHidden/>
    <w:rsid w:val="00BA7D1D"/>
    <w:rPr>
      <w:vertAlign w:val="superscript"/>
    </w:rPr>
  </w:style>
  <w:style w:type="paragraph" w:styleId="FootnoteText">
    <w:name w:val="footnote text"/>
    <w:link w:val="FootnoteTextChar"/>
    <w:rsid w:val="00BA7D1D"/>
    <w:pPr>
      <w:spacing w:after="120"/>
    </w:pPr>
  </w:style>
  <w:style w:type="character" w:styleId="FootnoteReference">
    <w:name w:val="footnote reference"/>
    <w:rsid w:val="00BA7D1D"/>
    <w:rPr>
      <w:rFonts w:ascii="Times New Roman" w:hAnsi="Times New Roman"/>
      <w:dstrike w:val="0"/>
      <w:color w:val="auto"/>
      <w:sz w:val="20"/>
      <w:vertAlign w:val="superscript"/>
    </w:rPr>
  </w:style>
  <w:style w:type="paragraph" w:styleId="TOC1">
    <w:name w:val="toc 1"/>
    <w:basedOn w:val="Normal"/>
    <w:next w:val="Normal"/>
    <w:semiHidden/>
    <w:rsid w:val="00BA7D1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7D1D"/>
    <w:pPr>
      <w:tabs>
        <w:tab w:val="left" w:pos="720"/>
        <w:tab w:val="right" w:leader="dot" w:pos="9360"/>
      </w:tabs>
      <w:suppressAutoHyphens/>
      <w:ind w:left="720" w:right="720" w:hanging="360"/>
    </w:pPr>
    <w:rPr>
      <w:noProof/>
    </w:rPr>
  </w:style>
  <w:style w:type="paragraph" w:styleId="TOC3">
    <w:name w:val="toc 3"/>
    <w:basedOn w:val="Normal"/>
    <w:next w:val="Normal"/>
    <w:semiHidden/>
    <w:rsid w:val="00BA7D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7D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7D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7D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7D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7D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7D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7D1D"/>
    <w:pPr>
      <w:tabs>
        <w:tab w:val="right" w:pos="9360"/>
      </w:tabs>
      <w:suppressAutoHyphens/>
    </w:pPr>
  </w:style>
  <w:style w:type="character" w:customStyle="1" w:styleId="EquationCaption">
    <w:name w:val="_Equation Caption"/>
    <w:rsid w:val="00BA7D1D"/>
  </w:style>
  <w:style w:type="paragraph" w:styleId="Header">
    <w:name w:val="header"/>
    <w:basedOn w:val="Normal"/>
    <w:autoRedefine/>
    <w:rsid w:val="00BA7D1D"/>
    <w:pPr>
      <w:tabs>
        <w:tab w:val="center" w:pos="4680"/>
        <w:tab w:val="right" w:pos="9360"/>
      </w:tabs>
    </w:pPr>
    <w:rPr>
      <w:b/>
    </w:rPr>
  </w:style>
  <w:style w:type="paragraph" w:styleId="Footer">
    <w:name w:val="footer"/>
    <w:basedOn w:val="Normal"/>
    <w:link w:val="FooterChar"/>
    <w:uiPriority w:val="99"/>
    <w:rsid w:val="00BA7D1D"/>
    <w:pPr>
      <w:tabs>
        <w:tab w:val="center" w:pos="4320"/>
        <w:tab w:val="right" w:pos="8640"/>
      </w:tabs>
    </w:pPr>
  </w:style>
  <w:style w:type="character" w:styleId="PageNumber">
    <w:name w:val="page number"/>
    <w:basedOn w:val="DefaultParagraphFont"/>
    <w:rsid w:val="00BA7D1D"/>
  </w:style>
  <w:style w:type="paragraph" w:styleId="BlockText">
    <w:name w:val="Block Text"/>
    <w:basedOn w:val="Normal"/>
    <w:rsid w:val="00BA7D1D"/>
    <w:pPr>
      <w:spacing w:after="240"/>
      <w:ind w:left="1440" w:right="1440"/>
    </w:pPr>
  </w:style>
  <w:style w:type="paragraph" w:customStyle="1" w:styleId="Paratitle">
    <w:name w:val="Para title"/>
    <w:basedOn w:val="Normal"/>
    <w:rsid w:val="00BA7D1D"/>
    <w:pPr>
      <w:tabs>
        <w:tab w:val="center" w:pos="9270"/>
      </w:tabs>
      <w:spacing w:after="240"/>
    </w:pPr>
    <w:rPr>
      <w:spacing w:val="-2"/>
    </w:rPr>
  </w:style>
  <w:style w:type="paragraph" w:customStyle="1" w:styleId="Bullet">
    <w:name w:val="Bullet"/>
    <w:basedOn w:val="Normal"/>
    <w:rsid w:val="00BA7D1D"/>
    <w:pPr>
      <w:tabs>
        <w:tab w:val="left" w:pos="2160"/>
      </w:tabs>
      <w:spacing w:after="220"/>
      <w:ind w:left="2160" w:hanging="720"/>
    </w:pPr>
  </w:style>
  <w:style w:type="paragraph" w:customStyle="1" w:styleId="TableFormat">
    <w:name w:val="TableFormat"/>
    <w:basedOn w:val="Bullet"/>
    <w:rsid w:val="00BA7D1D"/>
    <w:pPr>
      <w:tabs>
        <w:tab w:val="clear" w:pos="2160"/>
        <w:tab w:val="left" w:pos="5040"/>
      </w:tabs>
      <w:ind w:left="5040" w:hanging="3600"/>
    </w:pPr>
  </w:style>
  <w:style w:type="paragraph" w:customStyle="1" w:styleId="TOCTitle">
    <w:name w:val="TOC Title"/>
    <w:basedOn w:val="Normal"/>
    <w:rsid w:val="00BA7D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7D1D"/>
    <w:pPr>
      <w:jc w:val="center"/>
    </w:pPr>
    <w:rPr>
      <w:rFonts w:ascii="Times New Roman Bold" w:hAnsi="Times New Roman Bold"/>
      <w:b/>
      <w:bCs/>
      <w:caps/>
      <w:szCs w:val="22"/>
    </w:rPr>
  </w:style>
  <w:style w:type="character" w:styleId="Hyperlink">
    <w:name w:val="Hyperlink"/>
    <w:rsid w:val="00BA7D1D"/>
    <w:rPr>
      <w:color w:val="0000FF"/>
      <w:u w:val="single"/>
    </w:rPr>
  </w:style>
  <w:style w:type="character" w:customStyle="1" w:styleId="FooterChar">
    <w:name w:val="Footer Char"/>
    <w:link w:val="Footer"/>
    <w:uiPriority w:val="99"/>
    <w:rsid w:val="00BA7D1D"/>
    <w:rPr>
      <w:snapToGrid w:val="0"/>
      <w:kern w:val="28"/>
      <w:sz w:val="22"/>
    </w:rPr>
  </w:style>
  <w:style w:type="character" w:customStyle="1" w:styleId="FootnoteTextChar">
    <w:name w:val="Footnote Text Char"/>
    <w:link w:val="FootnoteText"/>
    <w:rsid w:val="00813E0D"/>
  </w:style>
  <w:style w:type="character" w:styleId="CommentReference">
    <w:name w:val="annotation reference"/>
    <w:basedOn w:val="DefaultParagraphFont"/>
    <w:rsid w:val="00C1175F"/>
    <w:rPr>
      <w:sz w:val="16"/>
      <w:szCs w:val="16"/>
    </w:rPr>
  </w:style>
  <w:style w:type="paragraph" w:styleId="CommentText">
    <w:name w:val="annotation text"/>
    <w:basedOn w:val="Normal"/>
    <w:link w:val="CommentTextChar"/>
    <w:rsid w:val="00C1175F"/>
    <w:rPr>
      <w:sz w:val="20"/>
    </w:rPr>
  </w:style>
  <w:style w:type="character" w:customStyle="1" w:styleId="CommentTextChar">
    <w:name w:val="Comment Text Char"/>
    <w:basedOn w:val="DefaultParagraphFont"/>
    <w:link w:val="CommentText"/>
    <w:rsid w:val="00C1175F"/>
    <w:rPr>
      <w:snapToGrid w:val="0"/>
      <w:kern w:val="28"/>
    </w:rPr>
  </w:style>
  <w:style w:type="paragraph" w:styleId="CommentSubject">
    <w:name w:val="annotation subject"/>
    <w:basedOn w:val="CommentText"/>
    <w:next w:val="CommentText"/>
    <w:link w:val="CommentSubjectChar"/>
    <w:rsid w:val="00C1175F"/>
    <w:rPr>
      <w:b/>
      <w:bCs/>
    </w:rPr>
  </w:style>
  <w:style w:type="character" w:customStyle="1" w:styleId="CommentSubjectChar">
    <w:name w:val="Comment Subject Char"/>
    <w:basedOn w:val="CommentTextChar"/>
    <w:link w:val="CommentSubject"/>
    <w:rsid w:val="00C1175F"/>
    <w:rPr>
      <w:b/>
      <w:bCs/>
      <w:snapToGrid w:val="0"/>
      <w:kern w:val="28"/>
    </w:rPr>
  </w:style>
  <w:style w:type="paragraph" w:styleId="BalloonText">
    <w:name w:val="Balloon Text"/>
    <w:basedOn w:val="Normal"/>
    <w:link w:val="BalloonTextChar"/>
    <w:rsid w:val="00C1175F"/>
    <w:rPr>
      <w:rFonts w:ascii="Segoe UI" w:hAnsi="Segoe UI" w:cs="Segoe UI"/>
      <w:sz w:val="18"/>
      <w:szCs w:val="18"/>
    </w:rPr>
  </w:style>
  <w:style w:type="character" w:customStyle="1" w:styleId="BalloonTextChar">
    <w:name w:val="Balloon Text Char"/>
    <w:basedOn w:val="DefaultParagraphFont"/>
    <w:link w:val="BalloonText"/>
    <w:rsid w:val="00C117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267573&amp;pubNum=4493&amp;originatingDoc=Ie39daffe9a2011e38914df21cb42a557&amp;refType=CA&amp;fi=co_pp_sp_4493_21076&amp;originationContext=document&amp;transitionType=DocumentItem&amp;contextData=(sc.Search)" TargetMode="External" /><Relationship Id="rId2" Type="http://schemas.openxmlformats.org/officeDocument/2006/relationships/hyperlink" Target="https://1.next.westlaw.com/Link/Document/FullText?findType=Y&amp;serNum=1990196720&amp;pubNum=4493&amp;originatingDoc=I3347a7c03bf011e2a531ef6793d44951&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