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33B58" w:rsidRPr="00BC4319" w:rsidP="00733B58" w14:paraId="34BC66CC" w14:textId="77777777">
      <w:pPr>
        <w:jc w:val="center"/>
        <w:rPr>
          <w:b/>
          <w:szCs w:val="22"/>
        </w:rPr>
      </w:pPr>
      <w:r>
        <w:rPr>
          <w:b/>
          <w:szCs w:val="22"/>
        </w:rPr>
        <w:t xml:space="preserve"> </w:t>
      </w:r>
      <w:r w:rsidR="00750C73">
        <w:rPr>
          <w:b/>
          <w:szCs w:val="22"/>
        </w:rPr>
        <w:t xml:space="preserve"> </w:t>
      </w:r>
      <w:r w:rsidRPr="00BC4319">
        <w:rPr>
          <w:b/>
          <w:szCs w:val="22"/>
        </w:rPr>
        <w:t>Before the</w:t>
      </w:r>
    </w:p>
    <w:p w:rsidR="00733B58" w:rsidRPr="00BC4319" w:rsidP="00733B58" w14:paraId="3AC06E09" w14:textId="77777777">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Communications Commission</w:t>
      </w:r>
    </w:p>
    <w:p w:rsidR="00733B58" w:rsidRPr="00BC4319" w:rsidP="00733B58" w14:paraId="034A2584" w14:textId="77777777">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14:paraId="4E8DEF0D" w14:textId="77777777">
      <w:pPr>
        <w:rPr>
          <w:szCs w:val="22"/>
        </w:rPr>
      </w:pPr>
    </w:p>
    <w:p w:rsidR="00733B58" w:rsidRPr="00BC4319" w:rsidP="00733B58" w14:paraId="3618A51C" w14:textId="77777777">
      <w:pPr>
        <w:rPr>
          <w:szCs w:val="22"/>
        </w:rPr>
      </w:pPr>
    </w:p>
    <w:tbl>
      <w:tblPr>
        <w:tblW w:w="0" w:type="auto"/>
        <w:tblLayout w:type="fixed"/>
        <w:tblLook w:val="0000"/>
      </w:tblPr>
      <w:tblGrid>
        <w:gridCol w:w="4698"/>
        <w:gridCol w:w="630"/>
        <w:gridCol w:w="4248"/>
      </w:tblGrid>
      <w:tr w14:paraId="0B669AF7" w14:textId="77777777" w:rsidTr="00630074">
        <w:tblPrEx>
          <w:tblW w:w="0" w:type="auto"/>
          <w:tblLayout w:type="fixed"/>
          <w:tblLook w:val="0000"/>
        </w:tblPrEx>
        <w:trPr>
          <w:trHeight w:val="1350"/>
        </w:trPr>
        <w:tc>
          <w:tcPr>
            <w:tcW w:w="4698" w:type="dxa"/>
          </w:tcPr>
          <w:p w:rsidR="00733B58" w:rsidRPr="00BC4319" w:rsidP="00AE18B4" w14:paraId="6A82F66A" w14:textId="77777777">
            <w:pPr>
              <w:tabs>
                <w:tab w:val="center" w:pos="4680"/>
              </w:tabs>
              <w:suppressAutoHyphens/>
              <w:rPr>
                <w:spacing w:val="-2"/>
                <w:szCs w:val="22"/>
              </w:rPr>
            </w:pPr>
            <w:r w:rsidRPr="00BC4319">
              <w:rPr>
                <w:spacing w:val="-2"/>
                <w:szCs w:val="22"/>
              </w:rPr>
              <w:t>In the Matter of</w:t>
            </w:r>
          </w:p>
          <w:p w:rsidR="00733B58" w:rsidRPr="00BC4319" w:rsidP="00AE18B4" w14:paraId="3D343925" w14:textId="77777777">
            <w:pPr>
              <w:tabs>
                <w:tab w:val="center" w:pos="4680"/>
              </w:tabs>
              <w:suppressAutoHyphens/>
              <w:rPr>
                <w:spacing w:val="-2"/>
                <w:szCs w:val="22"/>
              </w:rPr>
            </w:pPr>
          </w:p>
          <w:p w:rsidR="00733B58" w:rsidP="00AE18B4" w14:paraId="178104DB" w14:textId="5CBF62F2">
            <w:pPr>
              <w:rPr>
                <w:szCs w:val="22"/>
              </w:rPr>
            </w:pPr>
            <w:r>
              <w:t>Pierce County, Wash</w:t>
            </w:r>
            <w:r w:rsidR="00253117">
              <w:t>in</w:t>
            </w:r>
            <w:r>
              <w:t xml:space="preserve">gton </w:t>
            </w:r>
          </w:p>
          <w:p w:rsidR="00DB7C24" w:rsidRPr="00BC4319" w:rsidP="00AE18B4" w14:paraId="4BA3F2D1" w14:textId="77777777">
            <w:pPr>
              <w:rPr>
                <w:szCs w:val="22"/>
              </w:rPr>
            </w:pPr>
          </w:p>
          <w:p w:rsidR="00733B58" w:rsidRPr="00BC4319" w:rsidP="00AE18B4" w14:paraId="6BA70AAC" w14:textId="77777777">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AE18B4" w14:paraId="02516505" w14:textId="77777777">
            <w:pPr>
              <w:tabs>
                <w:tab w:val="center" w:pos="4680"/>
              </w:tabs>
              <w:suppressAutoHyphens/>
              <w:rPr>
                <w:b/>
                <w:spacing w:val="-2"/>
                <w:szCs w:val="22"/>
              </w:rPr>
            </w:pPr>
            <w:r w:rsidRPr="00BC4319">
              <w:rPr>
                <w:b/>
                <w:spacing w:val="-2"/>
                <w:szCs w:val="22"/>
              </w:rPr>
              <w:t>)</w:t>
            </w:r>
          </w:p>
          <w:p w:rsidR="00733B58" w:rsidRPr="00BC4319" w:rsidP="00AE18B4" w14:paraId="079D201A" w14:textId="77777777">
            <w:pPr>
              <w:tabs>
                <w:tab w:val="center" w:pos="4680"/>
              </w:tabs>
              <w:suppressAutoHyphens/>
              <w:rPr>
                <w:b/>
                <w:spacing w:val="-2"/>
                <w:szCs w:val="22"/>
              </w:rPr>
            </w:pPr>
            <w:r w:rsidRPr="00BC4319">
              <w:rPr>
                <w:b/>
                <w:spacing w:val="-2"/>
                <w:szCs w:val="22"/>
              </w:rPr>
              <w:t>)</w:t>
            </w:r>
          </w:p>
          <w:p w:rsidR="00733B58" w:rsidRPr="00BC4319" w:rsidP="00AE18B4" w14:paraId="31E52A2A" w14:textId="77777777">
            <w:pPr>
              <w:tabs>
                <w:tab w:val="center" w:pos="4680"/>
              </w:tabs>
              <w:suppressAutoHyphens/>
              <w:rPr>
                <w:b/>
                <w:spacing w:val="-2"/>
                <w:szCs w:val="22"/>
              </w:rPr>
            </w:pPr>
            <w:r w:rsidRPr="00BC4319">
              <w:rPr>
                <w:b/>
                <w:spacing w:val="-2"/>
                <w:szCs w:val="22"/>
              </w:rPr>
              <w:t>)</w:t>
            </w:r>
          </w:p>
          <w:p w:rsidR="00733B58" w:rsidRPr="00BC4319" w:rsidP="00AE18B4" w14:paraId="3F8F57E1" w14:textId="77777777">
            <w:pPr>
              <w:tabs>
                <w:tab w:val="center" w:pos="4680"/>
              </w:tabs>
              <w:suppressAutoHyphens/>
              <w:rPr>
                <w:b/>
                <w:spacing w:val="-2"/>
                <w:szCs w:val="22"/>
              </w:rPr>
            </w:pPr>
            <w:r w:rsidRPr="00BC4319">
              <w:rPr>
                <w:b/>
                <w:spacing w:val="-2"/>
                <w:szCs w:val="22"/>
              </w:rPr>
              <w:t>)</w:t>
            </w:r>
          </w:p>
          <w:p w:rsidR="00733B58" w:rsidP="00AE18B4" w14:paraId="792B1A08" w14:textId="77777777">
            <w:pPr>
              <w:tabs>
                <w:tab w:val="center" w:pos="4680"/>
              </w:tabs>
              <w:suppressAutoHyphens/>
              <w:rPr>
                <w:b/>
                <w:spacing w:val="-2"/>
                <w:szCs w:val="22"/>
              </w:rPr>
            </w:pPr>
            <w:r w:rsidRPr="00BC4319">
              <w:rPr>
                <w:b/>
                <w:spacing w:val="-2"/>
                <w:szCs w:val="22"/>
              </w:rPr>
              <w:t>)</w:t>
            </w:r>
          </w:p>
          <w:p w:rsidR="00C15B9B" w:rsidRPr="00BC4319" w:rsidP="00AE18B4" w14:paraId="05928B69" w14:textId="3B171503">
            <w:pPr>
              <w:tabs>
                <w:tab w:val="center" w:pos="4680"/>
              </w:tabs>
              <w:suppressAutoHyphens/>
              <w:rPr>
                <w:b/>
                <w:spacing w:val="-2"/>
                <w:szCs w:val="22"/>
              </w:rPr>
            </w:pPr>
          </w:p>
        </w:tc>
        <w:tc>
          <w:tcPr>
            <w:tcW w:w="4248" w:type="dxa"/>
          </w:tcPr>
          <w:p w:rsidR="00733B58" w:rsidP="00AE18B4" w14:paraId="61FB0133" w14:textId="77777777">
            <w:pPr>
              <w:tabs>
                <w:tab w:val="center" w:pos="4680"/>
              </w:tabs>
              <w:suppressAutoHyphens/>
              <w:rPr>
                <w:spacing w:val="-2"/>
                <w:szCs w:val="22"/>
              </w:rPr>
            </w:pPr>
          </w:p>
          <w:p w:rsidR="00A346E7" w:rsidRPr="00BC4319" w:rsidP="00AE18B4" w14:paraId="4B43F5DA" w14:textId="77777777">
            <w:pPr>
              <w:tabs>
                <w:tab w:val="center" w:pos="4680"/>
              </w:tabs>
              <w:suppressAutoHyphens/>
              <w:rPr>
                <w:spacing w:val="-2"/>
                <w:szCs w:val="22"/>
              </w:rPr>
            </w:pPr>
          </w:p>
          <w:p w:rsidR="00733B58" w:rsidP="00630074" w14:paraId="7569FB5C" w14:textId="3158B961">
            <w:pPr>
              <w:pStyle w:val="TOAHeading"/>
              <w:tabs>
                <w:tab w:val="left" w:pos="915"/>
                <w:tab w:val="clear" w:pos="9360"/>
              </w:tabs>
              <w:rPr>
                <w:spacing w:val="-2"/>
                <w:szCs w:val="22"/>
              </w:rPr>
            </w:pPr>
            <w:r>
              <w:rPr>
                <w:spacing w:val="-2"/>
                <w:szCs w:val="22"/>
              </w:rPr>
              <w:t xml:space="preserve">Call Sign </w:t>
            </w:r>
            <w:bookmarkStart w:id="0" w:name="_Hlk50121896"/>
            <w:r w:rsidR="006E6CA6">
              <w:rPr>
                <w:spacing w:val="-2"/>
                <w:szCs w:val="22"/>
              </w:rPr>
              <w:t>WPOT</w:t>
            </w:r>
            <w:r w:rsidR="00253117">
              <w:rPr>
                <w:spacing w:val="-2"/>
                <w:szCs w:val="22"/>
              </w:rPr>
              <w:t>795</w:t>
            </w:r>
            <w:bookmarkEnd w:id="0"/>
          </w:p>
          <w:p w:rsidR="00630074" w:rsidRPr="00630074" w:rsidP="00630074" w14:paraId="7DDCDF98" w14:textId="77777777"/>
          <w:p w:rsidR="00733B58" w:rsidRPr="005B6304" w:rsidP="00630074" w14:paraId="1D7ACF12" w14:textId="0C3A884E">
            <w:pPr>
              <w:tabs>
                <w:tab w:val="left" w:pos="960"/>
              </w:tabs>
              <w:suppressAutoHyphens/>
              <w:rPr>
                <w:spacing w:val="-2"/>
                <w:szCs w:val="22"/>
              </w:rPr>
            </w:pPr>
          </w:p>
        </w:tc>
      </w:tr>
    </w:tbl>
    <w:p w:rsidR="00733B58" w:rsidRPr="001B4B42" w:rsidP="00733B58" w14:paraId="7A53BCC2" w14:textId="77777777">
      <w:pPr>
        <w:rPr>
          <w:szCs w:val="22"/>
        </w:rPr>
      </w:pPr>
    </w:p>
    <w:p w:rsidR="00733B58" w:rsidRPr="005B6304" w:rsidP="00733B58" w14:paraId="797D662B" w14:textId="77777777">
      <w:pPr>
        <w:pStyle w:val="StyleBoldCentered"/>
        <w:rPr>
          <w:rFonts w:ascii="Times New Roman" w:hAnsi="Times New Roman"/>
        </w:rPr>
      </w:pPr>
      <w:r w:rsidRPr="005B6304">
        <w:rPr>
          <w:rFonts w:ascii="Times New Roman" w:hAnsi="Times New Roman"/>
        </w:rPr>
        <w:t>Order</w:t>
      </w:r>
    </w:p>
    <w:p w:rsidR="00733B58" w:rsidRPr="001B4B42" w:rsidP="00733B58" w14:paraId="5AC57E06" w14:textId="77777777">
      <w:pPr>
        <w:tabs>
          <w:tab w:val="left" w:pos="-720"/>
        </w:tabs>
        <w:suppressAutoHyphens/>
        <w:spacing w:line="227" w:lineRule="auto"/>
        <w:rPr>
          <w:spacing w:val="-2"/>
          <w:szCs w:val="22"/>
        </w:rPr>
      </w:pPr>
    </w:p>
    <w:p w:rsidR="00733B58" w:rsidRPr="005B6304" w:rsidP="00733B58" w14:paraId="65809680" w14:textId="26B71810">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sidR="006C59BA">
        <w:rPr>
          <w:b/>
          <w:spacing w:val="-2"/>
          <w:szCs w:val="22"/>
        </w:rPr>
        <w:t>October 13</w:t>
      </w:r>
      <w:r w:rsidR="00131C92">
        <w:rPr>
          <w:b/>
          <w:spacing w:val="-2"/>
          <w:szCs w:val="22"/>
        </w:rPr>
        <w:t xml:space="preserve">, </w:t>
      </w:r>
      <w:r w:rsidR="00253117">
        <w:rPr>
          <w:b/>
          <w:spacing w:val="-2"/>
          <w:szCs w:val="22"/>
        </w:rPr>
        <w:t>2020</w:t>
      </w:r>
      <w:r w:rsidRPr="005B6304">
        <w:rPr>
          <w:b/>
          <w:spacing w:val="-2"/>
          <w:szCs w:val="22"/>
        </w:rPr>
        <w:tab/>
        <w:t>Released:</w:t>
      </w:r>
      <w:r w:rsidR="00131C92">
        <w:rPr>
          <w:b/>
          <w:spacing w:val="-2"/>
          <w:szCs w:val="22"/>
        </w:rPr>
        <w:t xml:space="preserve"> </w:t>
      </w:r>
      <w:r w:rsidR="006C59BA">
        <w:rPr>
          <w:b/>
          <w:spacing w:val="-2"/>
          <w:szCs w:val="22"/>
        </w:rPr>
        <w:t>October 14</w:t>
      </w:r>
      <w:bookmarkStart w:id="1" w:name="_GoBack"/>
      <w:bookmarkEnd w:id="1"/>
      <w:r w:rsidR="00131C92">
        <w:rPr>
          <w:b/>
          <w:spacing w:val="-2"/>
          <w:szCs w:val="22"/>
        </w:rPr>
        <w:t xml:space="preserve">, </w:t>
      </w:r>
      <w:r w:rsidR="00253117">
        <w:rPr>
          <w:b/>
          <w:spacing w:val="-2"/>
          <w:szCs w:val="22"/>
        </w:rPr>
        <w:t>2020</w:t>
      </w:r>
      <w:r w:rsidRPr="005B6304">
        <w:rPr>
          <w:b/>
          <w:spacing w:val="-2"/>
          <w:szCs w:val="22"/>
        </w:rPr>
        <w:t xml:space="preserve"> </w:t>
      </w:r>
    </w:p>
    <w:p w:rsidR="00733B58" w:rsidRPr="005B6304" w:rsidP="00733B58" w14:paraId="111AA30A" w14:textId="77777777">
      <w:pPr>
        <w:rPr>
          <w:szCs w:val="22"/>
        </w:rPr>
      </w:pPr>
    </w:p>
    <w:p w:rsidR="00733B58" w:rsidRPr="001B4B42" w:rsidP="00733B58" w14:paraId="45ED77BF" w14:textId="77777777">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33B58" w:rsidRPr="001B4B42" w:rsidP="00733B58" w14:paraId="4217AE4E" w14:textId="77777777">
      <w:pPr>
        <w:rPr>
          <w:szCs w:val="22"/>
        </w:rPr>
      </w:pPr>
    </w:p>
    <w:p w:rsidR="00733B58" w:rsidRPr="00BE4E1E" w:rsidP="00733B58" w14:paraId="2186D0F6" w14:textId="77777777">
      <w:pPr>
        <w:pStyle w:val="Heading1"/>
        <w:rPr>
          <w:rFonts w:ascii="Times New Roman" w:hAnsi="Times New Roman"/>
          <w:szCs w:val="22"/>
        </w:rPr>
      </w:pPr>
      <w:r w:rsidRPr="00BE4E1E">
        <w:rPr>
          <w:rFonts w:ascii="Times New Roman" w:hAnsi="Times New Roman"/>
          <w:szCs w:val="22"/>
        </w:rPr>
        <w:t>introduction</w:t>
      </w:r>
    </w:p>
    <w:p w:rsidR="00733B58" w:rsidRPr="001B4B42" w:rsidP="00B5154B" w14:paraId="4C0B330D" w14:textId="306FC3C4">
      <w:pPr>
        <w:pStyle w:val="ParaNum"/>
      </w:pPr>
      <w:r w:rsidRPr="4439A411">
        <w:t xml:space="preserve">On </w:t>
      </w:r>
      <w:r w:rsidR="00B762E6">
        <w:t xml:space="preserve">February </w:t>
      </w:r>
      <w:r w:rsidR="000405C3">
        <w:t>3, 2020</w:t>
      </w:r>
      <w:r w:rsidR="00253117">
        <w:t>, Pierce County, Washington (Pierce or the County)</w:t>
      </w:r>
      <w:r w:rsidR="0075660E">
        <w:t xml:space="preserve"> </w:t>
      </w:r>
      <w:r w:rsidRPr="005B6304">
        <w:t xml:space="preserve">filed a Petition for Reconsideration </w:t>
      </w:r>
      <w:r w:rsidR="00CB50C8">
        <w:t xml:space="preserve">(Petition) </w:t>
      </w:r>
      <w:r w:rsidRPr="005B6304">
        <w:t xml:space="preserve">of the Commission’s notice </w:t>
      </w:r>
      <w:r w:rsidR="00C537DC">
        <w:t xml:space="preserve">terminating </w:t>
      </w:r>
      <w:r w:rsidR="00F07947">
        <w:t>Pierce</w:t>
      </w:r>
      <w:r w:rsidR="0075660E">
        <w:t>’</w:t>
      </w:r>
      <w:r w:rsidR="00A346E7">
        <w:t>s</w:t>
      </w:r>
      <w:r w:rsidRPr="001B4B42" w:rsidR="0075660E">
        <w:t xml:space="preserve"> </w:t>
      </w:r>
      <w:r w:rsidRPr="001B4B42">
        <w:t xml:space="preserve">license to </w:t>
      </w:r>
      <w:r w:rsidRPr="001B4B42" w:rsidR="00620AAF">
        <w:t xml:space="preserve">operate </w:t>
      </w:r>
      <w:r w:rsidRPr="001B4B42">
        <w:t xml:space="preserve">under </w:t>
      </w:r>
      <w:bookmarkStart w:id="2" w:name="_Hlk526432993"/>
      <w:r w:rsidR="008C6E48">
        <w:t xml:space="preserve">a component (Path 1) associated with </w:t>
      </w:r>
      <w:r w:rsidRPr="001B4B42">
        <w:t>call sign</w:t>
      </w:r>
      <w:bookmarkEnd w:id="2"/>
      <w:r w:rsidR="00DB7C24">
        <w:t xml:space="preserve"> </w:t>
      </w:r>
      <w:r w:rsidR="0095023C">
        <w:t>WPOT795</w:t>
      </w:r>
      <w:r w:rsidRPr="001B4B42">
        <w:t>.</w:t>
      </w:r>
      <w:r>
        <w:rPr>
          <w:rStyle w:val="FootnoteReference"/>
          <w:sz w:val="22"/>
          <w:szCs w:val="22"/>
        </w:rPr>
        <w:footnoteReference w:id="2"/>
      </w:r>
      <w:r w:rsidRPr="005B6304">
        <w:t xml:space="preserve">  </w:t>
      </w:r>
      <w:r w:rsidR="00A804C7">
        <w:t>For the reasons stated below, w</w:t>
      </w:r>
      <w:r w:rsidR="006B4C65">
        <w:t xml:space="preserve">e </w:t>
      </w:r>
      <w:r w:rsidR="00A346E7">
        <w:t>deny</w:t>
      </w:r>
      <w:r w:rsidR="007E43DB">
        <w:t xml:space="preserve"> </w:t>
      </w:r>
      <w:r w:rsidR="006B4C65">
        <w:t>the Petition.</w:t>
      </w:r>
      <w:r w:rsidRPr="001B4B42">
        <w:t xml:space="preserve"> </w:t>
      </w:r>
    </w:p>
    <w:p w:rsidR="00733B58" w:rsidRPr="00BE4E1E" w:rsidP="00733B58" w14:paraId="64B250B6" w14:textId="77777777">
      <w:pPr>
        <w:pStyle w:val="Heading1"/>
        <w:rPr>
          <w:rFonts w:ascii="Times New Roman" w:hAnsi="Times New Roman"/>
          <w:szCs w:val="22"/>
        </w:rPr>
      </w:pPr>
      <w:r w:rsidRPr="00BE4E1E">
        <w:rPr>
          <w:rFonts w:ascii="Times New Roman" w:hAnsi="Times New Roman"/>
          <w:szCs w:val="22"/>
        </w:rPr>
        <w:t>background</w:t>
      </w:r>
    </w:p>
    <w:p w:rsidR="00015CF5" w:rsidRPr="00015CF5" w:rsidP="00C37598" w14:paraId="15699186" w14:textId="4F73639C">
      <w:pPr>
        <w:pStyle w:val="ParaNum"/>
      </w:pPr>
      <w:r w:rsidRPr="4439A411">
        <w:rPr>
          <w:color w:val="212121"/>
        </w:rPr>
        <w:t xml:space="preserve">On </w:t>
      </w:r>
      <w:r>
        <w:rPr>
          <w:color w:val="212121"/>
        </w:rPr>
        <w:t>March 30, 2019</w:t>
      </w:r>
      <w:r w:rsidRPr="4439A411">
        <w:rPr>
          <w:color w:val="212121"/>
        </w:rPr>
        <w:t xml:space="preserve">, the Commission’s Universal Licensing System (ULS) sent </w:t>
      </w:r>
      <w:r w:rsidR="008C6E48">
        <w:rPr>
          <w:color w:val="212121"/>
        </w:rPr>
        <w:t xml:space="preserve">Pierce </w:t>
      </w:r>
      <w:r w:rsidRPr="4439A411">
        <w:rPr>
          <w:color w:val="212121"/>
        </w:rPr>
        <w:t xml:space="preserve">a </w:t>
      </w:r>
      <w:r w:rsidRPr="000376D8">
        <w:rPr>
          <w:color w:val="212121"/>
        </w:rPr>
        <w:t xml:space="preserve">construction reminder </w:t>
      </w:r>
      <w:r>
        <w:rPr>
          <w:color w:val="212121"/>
        </w:rPr>
        <w:t>alerting</w:t>
      </w:r>
      <w:r w:rsidRPr="000376D8">
        <w:rPr>
          <w:color w:val="212121"/>
        </w:rPr>
        <w:t xml:space="preserve"> it of the pending construction deadline for </w:t>
      </w:r>
      <w:r w:rsidR="008C6E48">
        <w:rPr>
          <w:color w:val="212121"/>
        </w:rPr>
        <w:t xml:space="preserve">Path 1 of </w:t>
      </w:r>
      <w:r w:rsidR="00641A02">
        <w:rPr>
          <w:color w:val="212121"/>
        </w:rPr>
        <w:t>microw</w:t>
      </w:r>
      <w:r w:rsidR="003071C2">
        <w:rPr>
          <w:color w:val="212121"/>
        </w:rPr>
        <w:t xml:space="preserve">ave system </w:t>
      </w:r>
      <w:r w:rsidRPr="000376D8">
        <w:rPr>
          <w:color w:val="212121"/>
        </w:rPr>
        <w:t>call sign</w:t>
      </w:r>
      <w:r w:rsidR="00EF1231">
        <w:rPr>
          <w:color w:val="212121"/>
        </w:rPr>
        <w:t xml:space="preserve"> WPOT795</w:t>
      </w:r>
      <w:r w:rsidR="008C6E48">
        <w:rPr>
          <w:color w:val="212121"/>
        </w:rPr>
        <w:t>.</w:t>
      </w:r>
      <w:r w:rsidR="003071C2">
        <w:rPr>
          <w:color w:val="212121"/>
        </w:rPr>
        <w:t xml:space="preserve"> </w:t>
      </w:r>
      <w:r w:rsidRPr="4439A411">
        <w:t xml:space="preserve"> </w:t>
      </w:r>
      <w:r w:rsidR="00EF1231">
        <w:t xml:space="preserve">This </w:t>
      </w:r>
      <w:r w:rsidR="00B90558">
        <w:t xml:space="preserve">reminder advised </w:t>
      </w:r>
      <w:r w:rsidR="00F07947">
        <w:t>Pierce</w:t>
      </w:r>
      <w:r w:rsidR="00A346E7">
        <w:t xml:space="preserve"> </w:t>
      </w:r>
      <w:r w:rsidR="00B168B2">
        <w:rPr>
          <w:color w:val="212121"/>
        </w:rPr>
        <w:t>to file a</w:t>
      </w:r>
      <w:r w:rsidR="008C4A55">
        <w:rPr>
          <w:color w:val="212121"/>
        </w:rPr>
        <w:t xml:space="preserve"> Notice of Construction </w:t>
      </w:r>
      <w:r w:rsidRPr="4439A411" w:rsidR="003146C7">
        <w:rPr>
          <w:color w:val="212121"/>
        </w:rPr>
        <w:t>for</w:t>
      </w:r>
      <w:r w:rsidR="00166D9C">
        <w:rPr>
          <w:color w:val="212121"/>
        </w:rPr>
        <w:t xml:space="preserve"> </w:t>
      </w:r>
      <w:r w:rsidR="004A4BEB">
        <w:rPr>
          <w:color w:val="212121"/>
        </w:rPr>
        <w:t>WPOT795</w:t>
      </w:r>
      <w:r w:rsidR="003071C2">
        <w:rPr>
          <w:color w:val="212121"/>
        </w:rPr>
        <w:t xml:space="preserve"> </w:t>
      </w:r>
      <w:r w:rsidR="008C6E48">
        <w:rPr>
          <w:color w:val="212121"/>
        </w:rPr>
        <w:t xml:space="preserve">Path 1 </w:t>
      </w:r>
      <w:r w:rsidR="00EF1231">
        <w:rPr>
          <w:color w:val="212121"/>
        </w:rPr>
        <w:t>by December 18, 2019</w:t>
      </w:r>
      <w:r w:rsidRPr="4439A411" w:rsidR="007717E4">
        <w:rPr>
          <w:color w:val="212121"/>
        </w:rPr>
        <w:t>.</w:t>
      </w:r>
      <w:r w:rsidRPr="000376D8" w:rsidR="000376D8">
        <w:rPr>
          <w:rStyle w:val="FootnoteReference"/>
        </w:rPr>
        <w:t xml:space="preserve"> </w:t>
      </w:r>
      <w:r>
        <w:rPr>
          <w:rStyle w:val="FootnoteReference"/>
        </w:rPr>
        <w:footnoteReference w:id="3"/>
      </w:r>
      <w:r w:rsidRPr="4439A411" w:rsidR="007717E4">
        <w:rPr>
          <w:color w:val="212121"/>
        </w:rPr>
        <w:t xml:space="preserve"> </w:t>
      </w:r>
      <w:r w:rsidR="00EF1231">
        <w:rPr>
          <w:color w:val="212121"/>
        </w:rPr>
        <w:t xml:space="preserve"> </w:t>
      </w:r>
      <w:r w:rsidR="008F4BB0">
        <w:rPr>
          <w:color w:val="212121"/>
        </w:rPr>
        <w:t>On December 18, 2019 Tacoma Public Utilities (TPU)</w:t>
      </w:r>
      <w:r w:rsidR="00C37598">
        <w:rPr>
          <w:color w:val="212121"/>
        </w:rPr>
        <w:t>—</w:t>
      </w:r>
      <w:r w:rsidRPr="00C37598" w:rsidR="008F4BB0">
        <w:rPr>
          <w:color w:val="212121"/>
        </w:rPr>
        <w:t>described by Pierce as</w:t>
      </w:r>
      <w:r w:rsidRPr="00C37598" w:rsidR="00B90558">
        <w:rPr>
          <w:color w:val="212121"/>
        </w:rPr>
        <w:t xml:space="preserve"> </w:t>
      </w:r>
      <w:r w:rsidRPr="00C37598" w:rsidR="008F4BB0">
        <w:rPr>
          <w:color w:val="212121"/>
        </w:rPr>
        <w:t xml:space="preserve">a joint venture with </w:t>
      </w:r>
      <w:r w:rsidRPr="00C37598" w:rsidR="00EF1231">
        <w:rPr>
          <w:color w:val="212121"/>
        </w:rPr>
        <w:t>Pierce</w:t>
      </w:r>
      <w:r w:rsidRPr="00C37598" w:rsidR="00B90558">
        <w:rPr>
          <w:color w:val="212121"/>
        </w:rPr>
        <w:t xml:space="preserve"> </w:t>
      </w:r>
      <w:r w:rsidRPr="00C37598" w:rsidR="00040715">
        <w:rPr>
          <w:color w:val="212121"/>
        </w:rPr>
        <w:t>for</w:t>
      </w:r>
      <w:r w:rsidRPr="00C37598" w:rsidR="00B90558">
        <w:rPr>
          <w:color w:val="212121"/>
        </w:rPr>
        <w:t xml:space="preserve"> the upgrade of a shared microwave system</w:t>
      </w:r>
      <w:r>
        <w:rPr>
          <w:rStyle w:val="FootnoteReference"/>
        </w:rPr>
        <w:footnoteReference w:id="4"/>
      </w:r>
      <w:r w:rsidRPr="00C37598" w:rsidR="008F4BB0">
        <w:rPr>
          <w:color w:val="212121"/>
        </w:rPr>
        <w:t xml:space="preserve"> </w:t>
      </w:r>
      <w:r w:rsidRPr="00C37598" w:rsidR="00B90558">
        <w:rPr>
          <w:color w:val="212121"/>
        </w:rPr>
        <w:t>with multiple call signs</w:t>
      </w:r>
      <w:r w:rsidR="00C37598">
        <w:rPr>
          <w:color w:val="212121"/>
        </w:rPr>
        <w:t>—</w:t>
      </w:r>
      <w:r w:rsidRPr="00C37598">
        <w:rPr>
          <w:color w:val="212121"/>
        </w:rPr>
        <w:t xml:space="preserve">timely </w:t>
      </w:r>
      <w:r w:rsidRPr="00C37598" w:rsidR="008F4BB0">
        <w:rPr>
          <w:color w:val="212121"/>
        </w:rPr>
        <w:t xml:space="preserve">filed a </w:t>
      </w:r>
      <w:r w:rsidRPr="00C37598" w:rsidR="006715C6">
        <w:rPr>
          <w:color w:val="212121"/>
        </w:rPr>
        <w:t>request for extension of time to construct</w:t>
      </w:r>
      <w:r w:rsidRPr="00C37598" w:rsidR="00B90558">
        <w:rPr>
          <w:color w:val="212121"/>
        </w:rPr>
        <w:t xml:space="preserve"> the system</w:t>
      </w:r>
      <w:r w:rsidRPr="00C37598" w:rsidR="006715C6">
        <w:rPr>
          <w:color w:val="212121"/>
        </w:rPr>
        <w:t>, stating that “[t]he current system is quite complicated and has live critical services and the migration is taking long (sic) than planned.”</w:t>
      </w:r>
      <w:r>
        <w:rPr>
          <w:rStyle w:val="FootnoteReference"/>
        </w:rPr>
        <w:footnoteReference w:id="5"/>
      </w:r>
      <w:r w:rsidRPr="00C37598" w:rsidR="008F4BB0">
        <w:rPr>
          <w:color w:val="212121"/>
        </w:rPr>
        <w:t xml:space="preserve"> </w:t>
      </w:r>
      <w:r w:rsidRPr="00C37598" w:rsidR="006715C6">
        <w:rPr>
          <w:color w:val="212121"/>
        </w:rPr>
        <w:t xml:space="preserve"> </w:t>
      </w:r>
      <w:r w:rsidRPr="00C37598" w:rsidR="00584196">
        <w:rPr>
          <w:color w:val="212121"/>
        </w:rPr>
        <w:t>The TPU request was granted on October 10, 2019, but not for WPOT795 Path 1 because TPU failed to include WPOT795 Path 1 in its extension request</w:t>
      </w:r>
      <w:r w:rsidR="00C37598">
        <w:rPr>
          <w:color w:val="212121"/>
        </w:rPr>
        <w:t>—</w:t>
      </w:r>
      <w:r w:rsidRPr="00C37598" w:rsidR="00584196">
        <w:rPr>
          <w:color w:val="212121"/>
        </w:rPr>
        <w:t>an omission that Pierce attributes to inadvertence on TPU’s part</w:t>
      </w:r>
      <w:r w:rsidRPr="00C37598" w:rsidR="006715C6">
        <w:rPr>
          <w:color w:val="212121"/>
        </w:rPr>
        <w:t>.</w:t>
      </w:r>
      <w:r>
        <w:rPr>
          <w:rStyle w:val="FootnoteReference"/>
        </w:rPr>
        <w:footnoteReference w:id="6"/>
      </w:r>
      <w:r w:rsidRPr="00C37598" w:rsidR="007C05B0">
        <w:rPr>
          <w:color w:val="212121"/>
        </w:rPr>
        <w:t xml:space="preserve"> </w:t>
      </w:r>
    </w:p>
    <w:p w:rsidR="00BE0155" w:rsidP="00BD76D6" w14:paraId="27CF51E7" w14:textId="624782FA">
      <w:pPr>
        <w:pStyle w:val="ParaNum"/>
      </w:pPr>
      <w:r>
        <w:rPr>
          <w:color w:val="212121"/>
        </w:rPr>
        <w:t xml:space="preserve">On </w:t>
      </w:r>
      <w:r w:rsidR="00851940">
        <w:t xml:space="preserve">January 22, 2020, </w:t>
      </w:r>
      <w:r w:rsidRPr="4439A411" w:rsidR="00AF46E1">
        <w:t xml:space="preserve">ULS issued </w:t>
      </w:r>
      <w:r w:rsidR="00F07947">
        <w:t>Pierce</w:t>
      </w:r>
      <w:r w:rsidR="00A346E7">
        <w:t xml:space="preserve"> </w:t>
      </w:r>
      <w:r w:rsidRPr="4439A411" w:rsidR="003146C7">
        <w:t xml:space="preserve">a letter advising </w:t>
      </w:r>
      <w:r w:rsidRPr="4439A411" w:rsidR="009C365B">
        <w:t>it</w:t>
      </w:r>
      <w:r w:rsidRPr="4439A411" w:rsidR="003146C7">
        <w:t xml:space="preserve"> </w:t>
      </w:r>
      <w:r w:rsidRPr="4439A411" w:rsidR="00C537DC">
        <w:t>that the</w:t>
      </w:r>
      <w:r w:rsidR="00CB2F61">
        <w:t xml:space="preserve"> </w:t>
      </w:r>
      <w:r w:rsidR="00EF1231">
        <w:t xml:space="preserve">notification </w:t>
      </w:r>
      <w:r w:rsidRPr="4439A411" w:rsidR="00C537DC">
        <w:t>deadline</w:t>
      </w:r>
      <w:r w:rsidR="00CB2F61">
        <w:t xml:space="preserve"> </w:t>
      </w:r>
      <w:r w:rsidRPr="4439A411" w:rsidR="00C537DC">
        <w:t xml:space="preserve">had passed and </w:t>
      </w:r>
      <w:r w:rsidRPr="4439A411" w:rsidR="003146C7">
        <w:t xml:space="preserve">that </w:t>
      </w:r>
      <w:r w:rsidR="008C6E48">
        <w:t xml:space="preserve">Path 1 of the </w:t>
      </w:r>
      <w:r w:rsidRPr="00015CF5">
        <w:t>WPOT795</w:t>
      </w:r>
      <w:r>
        <w:t xml:space="preserve"> </w:t>
      </w:r>
      <w:r w:rsidR="0031108B">
        <w:t>l</w:t>
      </w:r>
      <w:r w:rsidRPr="4439A411" w:rsidR="003146C7">
        <w:t>icense w</w:t>
      </w:r>
      <w:r w:rsidR="001E356C">
        <w:t>as</w:t>
      </w:r>
      <w:r w:rsidRPr="4439A411" w:rsidR="003146C7">
        <w:t xml:space="preserve"> in </w:t>
      </w:r>
      <w:r w:rsidRPr="4439A411" w:rsidR="00AF46E1">
        <w:t>termination pending</w:t>
      </w:r>
      <w:r w:rsidRPr="4439A411" w:rsidR="00BD76D6">
        <w:t xml:space="preserve"> </w:t>
      </w:r>
      <w:r w:rsidRPr="4439A411" w:rsidR="00AF46E1">
        <w:t>status.</w:t>
      </w:r>
      <w:r>
        <w:rPr>
          <w:rStyle w:val="FootnoteReference"/>
          <w:sz w:val="22"/>
          <w:szCs w:val="22"/>
        </w:rPr>
        <w:footnoteReference w:id="7"/>
      </w:r>
      <w:r w:rsidRPr="4439A411" w:rsidR="00AF46E1">
        <w:t xml:space="preserve">  </w:t>
      </w:r>
      <w:r w:rsidR="00791CD9">
        <w:t>O</w:t>
      </w:r>
      <w:r w:rsidRPr="00BC2358" w:rsidR="00BD76D6">
        <w:t xml:space="preserve">n </w:t>
      </w:r>
      <w:r w:rsidR="004A4BEB">
        <w:t>February 2, 2020</w:t>
      </w:r>
      <w:r w:rsidR="00BD76D6">
        <w:t>,</w:t>
      </w:r>
      <w:r w:rsidR="00DB7C24">
        <w:t xml:space="preserve"> </w:t>
      </w:r>
      <w:r w:rsidR="00F07947">
        <w:t>Pierce</w:t>
      </w:r>
      <w:r w:rsidR="00A346E7">
        <w:t xml:space="preserve"> </w:t>
      </w:r>
      <w:r w:rsidR="00944497">
        <w:t xml:space="preserve">timely </w:t>
      </w:r>
      <w:r w:rsidRPr="00BC2358" w:rsidR="00BD76D6">
        <w:t>filed the instant Petition.</w:t>
      </w:r>
      <w:r>
        <w:rPr>
          <w:rStyle w:val="FootnoteReference"/>
          <w:sz w:val="22"/>
          <w:szCs w:val="22"/>
        </w:rPr>
        <w:footnoteReference w:id="8"/>
      </w:r>
      <w:r w:rsidRPr="00BC2358" w:rsidR="00BD76D6">
        <w:t xml:space="preserve">  </w:t>
      </w:r>
    </w:p>
    <w:p w:rsidR="00CB2F61" w:rsidRPr="00B83786" w:rsidP="004D6D4B" w14:paraId="414D75B5" w14:textId="13236262">
      <w:pPr>
        <w:pStyle w:val="ParaNum"/>
      </w:pPr>
      <w:r>
        <w:t xml:space="preserve">Pierce asks that we reinstate </w:t>
      </w:r>
      <w:r w:rsidR="008C6E48">
        <w:t xml:space="preserve">the </w:t>
      </w:r>
      <w:r>
        <w:t>WPOT795</w:t>
      </w:r>
      <w:r w:rsidR="008C6E48">
        <w:t xml:space="preserve"> Path 1 authorization</w:t>
      </w:r>
      <w:r w:rsidR="00584196">
        <w:t xml:space="preserve"> because of TPU’s error and </w:t>
      </w:r>
      <w:r w:rsidRPr="00B90558" w:rsidR="00B90558">
        <w:t>seeks a</w:t>
      </w:r>
      <w:r w:rsidR="004D6D4B">
        <w:t>n extension of the</w:t>
      </w:r>
      <w:r w:rsidRPr="00B90558" w:rsidR="00B90558">
        <w:t xml:space="preserve"> construction </w:t>
      </w:r>
      <w:r w:rsidR="004D6D4B">
        <w:t xml:space="preserve">deadline </w:t>
      </w:r>
      <w:r w:rsidR="008C6E48">
        <w:t xml:space="preserve">for Path 1 </w:t>
      </w:r>
      <w:r w:rsidRPr="00B90558" w:rsidR="00B90558">
        <w:t>until June 18, 2020.</w:t>
      </w:r>
      <w:r>
        <w:rPr>
          <w:vertAlign w:val="superscript"/>
        </w:rPr>
        <w:footnoteReference w:id="9"/>
      </w:r>
      <w:r w:rsidRPr="00B90558" w:rsidR="00B90558">
        <w:t xml:space="preserve"> </w:t>
      </w:r>
      <w:r w:rsidR="00040715">
        <w:t xml:space="preserve"> </w:t>
      </w:r>
      <w:r w:rsidR="004D6D4B">
        <w:t xml:space="preserve">It </w:t>
      </w:r>
      <w:r w:rsidR="00166D9C">
        <w:t xml:space="preserve">states that </w:t>
      </w:r>
      <w:r w:rsidR="00B90558">
        <w:t xml:space="preserve">upgrade </w:t>
      </w:r>
      <w:r w:rsidR="00166D9C">
        <w:t xml:space="preserve">of the new microwave system has taken longer than planned </w:t>
      </w:r>
      <w:r w:rsidR="00AE52D7">
        <w:t>because</w:t>
      </w:r>
      <w:r w:rsidR="00166D9C">
        <w:t xml:space="preserve"> inclement winter weather hindered the process. </w:t>
      </w:r>
      <w:r w:rsidR="00040715">
        <w:t xml:space="preserve"> </w:t>
      </w:r>
      <w:r w:rsidR="0091427A">
        <w:t>It represents that c</w:t>
      </w:r>
      <w:r w:rsidR="00166D9C">
        <w:t>onstruction efforts and implementation have resumed, and significant effort has been placed on bringing the</w:t>
      </w:r>
      <w:r w:rsidR="0091427A">
        <w:t xml:space="preserve"> system </w:t>
      </w:r>
      <w:r w:rsidR="00166D9C">
        <w:t>online</w:t>
      </w:r>
      <w:r>
        <w:t>.</w:t>
      </w:r>
      <w:r>
        <w:rPr>
          <w:rStyle w:val="FootnoteReference"/>
        </w:rPr>
        <w:footnoteReference w:id="10"/>
      </w:r>
      <w:r>
        <w:t xml:space="preserve"> </w:t>
      </w:r>
    </w:p>
    <w:p w:rsidR="00733B58" w:rsidP="00BE4E1E" w14:paraId="53A97F3D" w14:textId="42B75F07">
      <w:pPr>
        <w:pStyle w:val="Heading1"/>
        <w:rPr>
          <w:szCs w:val="22"/>
        </w:rPr>
      </w:pPr>
      <w:r w:rsidRPr="001B4B42">
        <w:rPr>
          <w:szCs w:val="22"/>
        </w:rPr>
        <w:t>DISCUSSION</w:t>
      </w:r>
    </w:p>
    <w:p w:rsidR="00626D2B" w:rsidP="00C37598" w14:paraId="33834186" w14:textId="220DE992">
      <w:pPr>
        <w:pStyle w:val="ParaNum"/>
      </w:pPr>
      <w:r>
        <w:t>When TPU</w:t>
      </w:r>
      <w:r w:rsidR="00C37598">
        <w:t>—</w:t>
      </w:r>
      <w:r>
        <w:t>not Pierce</w:t>
      </w:r>
      <w:r w:rsidR="004D6D4B">
        <w:t>, the license</w:t>
      </w:r>
      <w:r w:rsidR="00C37598">
        <w:t>e—</w:t>
      </w:r>
      <w:r>
        <w:t xml:space="preserve">filed an extension request on the same day the construction notification was due, and omitted </w:t>
      </w:r>
      <w:r w:rsidR="00EC2264">
        <w:t>WPOT795</w:t>
      </w:r>
      <w:r w:rsidR="008C6E48">
        <w:t xml:space="preserve"> Path 1</w:t>
      </w:r>
      <w:r w:rsidR="00EC2264">
        <w:t>, th</w:t>
      </w:r>
      <w:r w:rsidR="004D6D4B">
        <w:t xml:space="preserve">e deficient TPU filing </w:t>
      </w:r>
      <w:r w:rsidR="00EC2264">
        <w:t xml:space="preserve">did not </w:t>
      </w:r>
      <w:r w:rsidR="008C6E48">
        <w:t>eliminate</w:t>
      </w:r>
      <w:r w:rsidR="00EC2264">
        <w:t xml:space="preserve"> Pierce’s obligation to </w:t>
      </w:r>
      <w:r w:rsidR="004D6D4B">
        <w:t xml:space="preserve">either </w:t>
      </w:r>
      <w:r w:rsidR="00EC2264">
        <w:t xml:space="preserve">file </w:t>
      </w:r>
      <w:r w:rsidR="004D6D4B">
        <w:t>a</w:t>
      </w:r>
      <w:r w:rsidR="00EC2264">
        <w:t xml:space="preserve"> construction notification</w:t>
      </w:r>
      <w:r w:rsidR="004D6D4B">
        <w:t xml:space="preserve"> or, itself, seek an extension of the construction deadline</w:t>
      </w:r>
      <w:r w:rsidR="008C6E48">
        <w:t xml:space="preserve"> prior to the WPOT795 Path 1 construction deadline</w:t>
      </w:r>
      <w:r w:rsidR="00EC2264">
        <w:t>.</w:t>
      </w:r>
      <w:r w:rsidR="004D6D4B">
        <w:t xml:space="preserve">  We therefore dismiss that portion of the Pierce petition which seeks an extension of time to construct because Pierce’s request is </w:t>
      </w:r>
      <w:r w:rsidR="008C6E48">
        <w:t xml:space="preserve">late filed. </w:t>
      </w:r>
      <w:r w:rsidR="00040715">
        <w:t xml:space="preserve"> </w:t>
      </w:r>
      <w:r w:rsidR="008C6E48">
        <w:t>S</w:t>
      </w:r>
      <w:r w:rsidR="004D6D4B">
        <w:t xml:space="preserve">ection </w:t>
      </w:r>
      <w:r w:rsidRPr="008C6E48" w:rsidR="008C6E48">
        <w:t>1.946(e)</w:t>
      </w:r>
      <w:r w:rsidR="004D6D4B">
        <w:t xml:space="preserve"> of the Commission’s rules requires that such requests must be filed before the construction deadline.</w:t>
      </w:r>
      <w:r w:rsidR="008C6E48">
        <w:t xml:space="preserve"> </w:t>
      </w:r>
    </w:p>
    <w:p w:rsidR="00EB07A6" w:rsidRPr="001F7260" w:rsidP="00E268A7" w14:paraId="3BB25FC2" w14:textId="7B96E548">
      <w:pPr>
        <w:pStyle w:val="ParaNum"/>
      </w:pPr>
      <w:r>
        <w:t xml:space="preserve">We also deny Pierce’s request to reinstate </w:t>
      </w:r>
      <w:r w:rsidR="008C6E48">
        <w:t xml:space="preserve">the </w:t>
      </w:r>
      <w:r>
        <w:t xml:space="preserve">WPOT795 </w:t>
      </w:r>
      <w:r w:rsidR="008C6E48">
        <w:t xml:space="preserve">Path 1 authorization </w:t>
      </w:r>
      <w:r>
        <w:t xml:space="preserve">based on </w:t>
      </w:r>
      <w:r w:rsidR="008C6E48">
        <w:t xml:space="preserve">Pierce’s </w:t>
      </w:r>
      <w:r w:rsidR="00DC3666">
        <w:t>representation</w:t>
      </w:r>
      <w:r>
        <w:t xml:space="preserve">, in its </w:t>
      </w:r>
      <w:r w:rsidR="00584196">
        <w:t>P</w:t>
      </w:r>
      <w:r>
        <w:t xml:space="preserve">etition, that TPU </w:t>
      </w:r>
      <w:r w:rsidR="00626D2B">
        <w:t xml:space="preserve">inadvertently omitted </w:t>
      </w:r>
      <w:r w:rsidRPr="008C6E48" w:rsidR="008C6E48">
        <w:t>WPOT795</w:t>
      </w:r>
      <w:r w:rsidR="008C6E48">
        <w:t xml:space="preserve"> Path 1 </w:t>
      </w:r>
      <w:r w:rsidR="00626D2B">
        <w:t>in TPU’s filing.  The record does not disclose</w:t>
      </w:r>
      <w:r w:rsidR="00040715">
        <w:t xml:space="preserve"> if</w:t>
      </w:r>
      <w:r w:rsidR="00626D2B">
        <w:t xml:space="preserve"> Pierce reviewed the </w:t>
      </w:r>
      <w:r w:rsidR="008C6E48">
        <w:t xml:space="preserve">TPU filing </w:t>
      </w:r>
      <w:r w:rsidR="00626D2B">
        <w:t xml:space="preserve">to ascertain </w:t>
      </w:r>
      <w:r w:rsidR="00DC3666">
        <w:t xml:space="preserve">whether </w:t>
      </w:r>
      <w:r w:rsidR="00626D2B">
        <w:t xml:space="preserve">WPOT795 </w:t>
      </w:r>
      <w:r w:rsidR="008C6E48">
        <w:t xml:space="preserve">Path 1 </w:t>
      </w:r>
      <w:r w:rsidR="00626D2B">
        <w:t>was included</w:t>
      </w:r>
      <w:r w:rsidR="008C6E48">
        <w:t>, even after Pierce was advised of the imminent WPOT795 construction deadline</w:t>
      </w:r>
      <w:r w:rsidR="00584196">
        <w:t xml:space="preserve">, </w:t>
      </w:r>
      <w:r w:rsidR="00E54D06">
        <w:t xml:space="preserve">something </w:t>
      </w:r>
      <w:r w:rsidR="008C6E48">
        <w:t xml:space="preserve">expected of </w:t>
      </w:r>
      <w:r w:rsidR="00E54D06">
        <w:t xml:space="preserve">a </w:t>
      </w:r>
      <w:r w:rsidR="00584196">
        <w:t xml:space="preserve">diligent </w:t>
      </w:r>
      <w:r w:rsidR="00E54D06">
        <w:t>licensee if it relies on a third party to act on its behalf</w:t>
      </w:r>
      <w:r w:rsidR="00626D2B">
        <w:t xml:space="preserve">.  </w:t>
      </w:r>
      <w:r w:rsidR="00DC3666">
        <w:t>Moreover, i</w:t>
      </w:r>
      <w:r w:rsidR="00EC2264">
        <w:t>t is well established that: (1) a licensee cannot justify failure to adhere to a Commission rule by claiming reliance on a third party for that compliance,</w:t>
      </w:r>
      <w:r>
        <w:rPr>
          <w:rStyle w:val="FootnoteReference"/>
        </w:rPr>
        <w:footnoteReference w:id="11"/>
      </w:r>
      <w:r w:rsidR="00EC2264">
        <w:t xml:space="preserve"> and (2) </w:t>
      </w:r>
      <w:r>
        <w:t>clerical error, whether by the licensee or a third party, is an insufficient basis on which excuse compliance with a rule.</w:t>
      </w:r>
      <w:r>
        <w:rPr>
          <w:rStyle w:val="FootnoteReference"/>
        </w:rPr>
        <w:footnoteReference w:id="12"/>
      </w:r>
    </w:p>
    <w:p w:rsidR="00622448" w:rsidP="00AE18B4" w14:paraId="17F8B5AC" w14:textId="590DDF12">
      <w:pPr>
        <w:pStyle w:val="ParaNum"/>
      </w:pPr>
      <w:r w:rsidRPr="00784FAF">
        <w:t xml:space="preserve">Section 1.106(c)(2) of the Commission’s rules provides that a petition for reconsideration </w:t>
      </w:r>
      <w:r>
        <w:t xml:space="preserve">may </w:t>
      </w:r>
      <w:r w:rsidRPr="00784FAF">
        <w:t>rel</w:t>
      </w:r>
      <w:r>
        <w:t xml:space="preserve">y </w:t>
      </w:r>
      <w:r w:rsidRPr="00784FAF">
        <w:t>on facts not previously presented if we find that “consideration of the facts relied on is required in the public interest</w:t>
      </w:r>
      <w:r w:rsidR="00550982">
        <w:t>.</w:t>
      </w:r>
      <w:r w:rsidRPr="00784FAF">
        <w:t>”</w:t>
      </w:r>
      <w:r>
        <w:rPr>
          <w:rStyle w:val="FootnoteReference"/>
        </w:rPr>
        <w:footnoteReference w:id="13"/>
      </w:r>
      <w:r w:rsidRPr="00784FAF">
        <w:t xml:space="preserve"> </w:t>
      </w:r>
      <w:r w:rsidR="00550982">
        <w:t xml:space="preserve"> </w:t>
      </w:r>
      <w:r w:rsidR="002D19FD">
        <w:t xml:space="preserve">We </w:t>
      </w:r>
      <w:r w:rsidR="00380376">
        <w:t xml:space="preserve">find that </w:t>
      </w:r>
      <w:r w:rsidR="00F07947">
        <w:t>Pierce</w:t>
      </w:r>
      <w:r w:rsidR="00A346E7">
        <w:t xml:space="preserve"> </w:t>
      </w:r>
      <w:r w:rsidR="00380376">
        <w:t xml:space="preserve">has </w:t>
      </w:r>
      <w:r w:rsidR="00A346E7">
        <w:t xml:space="preserve">not </w:t>
      </w:r>
      <w:r w:rsidR="002D19FD">
        <w:t xml:space="preserve">provided </w:t>
      </w:r>
      <w:r w:rsidR="00380376">
        <w:t xml:space="preserve">sufficient justification for us to grant </w:t>
      </w:r>
      <w:r w:rsidR="00037D5B">
        <w:t>its</w:t>
      </w:r>
      <w:r w:rsidR="00380376">
        <w:t xml:space="preserve"> Petition.</w:t>
      </w:r>
      <w:r w:rsidR="002D19FD">
        <w:t xml:space="preserve"> </w:t>
      </w:r>
      <w:r w:rsidR="00EF1231">
        <w:t xml:space="preserve"> </w:t>
      </w:r>
      <w:r w:rsidR="008C6E48">
        <w:t xml:space="preserve">A lack </w:t>
      </w:r>
      <w:r w:rsidR="00A027DB">
        <w:t xml:space="preserve">of inter-agency coordination </w:t>
      </w:r>
      <w:r w:rsidR="008C6E48">
        <w:t xml:space="preserve">is not a </w:t>
      </w:r>
      <w:r w:rsidR="00701210">
        <w:t>unique factual circumstance</w:t>
      </w:r>
      <w:r w:rsidR="00037D5B">
        <w:t xml:space="preserve"> </w:t>
      </w:r>
      <w:r w:rsidR="000713DC">
        <w:t xml:space="preserve">justifying a waiver and </w:t>
      </w:r>
      <w:r w:rsidR="00037D5B">
        <w:t>excusing failure to comply with the Commission’s construction requirements.</w:t>
      </w:r>
      <w:r>
        <w:rPr>
          <w:rStyle w:val="FootnoteReference"/>
        </w:rPr>
        <w:footnoteReference w:id="14"/>
      </w:r>
      <w:r w:rsidR="00037D5B">
        <w:t xml:space="preserve"> </w:t>
      </w:r>
      <w:r w:rsidR="00ED1910">
        <w:t xml:space="preserve"> </w:t>
      </w:r>
      <w:r w:rsidR="00037D5B">
        <w:t xml:space="preserve">We </w:t>
      </w:r>
      <w:r w:rsidR="008C6E48">
        <w:t xml:space="preserve">thus </w:t>
      </w:r>
      <w:r w:rsidR="00584196">
        <w:t xml:space="preserve">deny </w:t>
      </w:r>
      <w:r w:rsidR="00F07947">
        <w:t>Pierce</w:t>
      </w:r>
      <w:r w:rsidR="00773DEB">
        <w:t xml:space="preserve"> the relief it seeks, </w:t>
      </w:r>
      <w:r w:rsidR="00037D5B">
        <w:t xml:space="preserve">i.e., </w:t>
      </w:r>
      <w:r w:rsidR="00380376">
        <w:t xml:space="preserve">a waiver of </w:t>
      </w:r>
      <w:r w:rsidR="00037D5B">
        <w:t>s</w:t>
      </w:r>
      <w:r w:rsidR="00380376">
        <w:t>ection</w:t>
      </w:r>
      <w:r w:rsidR="00037D5B">
        <w:t>s</w:t>
      </w:r>
      <w:r w:rsidR="00380376">
        <w:t xml:space="preserve"> </w:t>
      </w:r>
      <w:bookmarkStart w:id="3" w:name="_Hlk45811770"/>
      <w:r w:rsidRPr="008C4A55" w:rsidR="008C4A55">
        <w:t>1.9</w:t>
      </w:r>
      <w:r w:rsidR="00497596">
        <w:t>55</w:t>
      </w:r>
      <w:r w:rsidR="00844D73">
        <w:t xml:space="preserve"> and </w:t>
      </w:r>
      <w:r w:rsidR="00A027DB">
        <w:t>101.63</w:t>
      </w:r>
      <w:r w:rsidR="008C4A55">
        <w:t xml:space="preserve"> </w:t>
      </w:r>
      <w:bookmarkEnd w:id="3"/>
      <w:r w:rsidR="00380376">
        <w:t xml:space="preserve">of the Commission’s </w:t>
      </w:r>
      <w:r w:rsidR="00037D5B">
        <w:t>r</w:t>
      </w:r>
      <w:r w:rsidR="00380376">
        <w:t>ule</w:t>
      </w:r>
      <w:r w:rsidR="00773DEB">
        <w:t>s</w:t>
      </w:r>
      <w:r w:rsidR="008C6E48">
        <w:t xml:space="preserve"> for Path 1.</w:t>
      </w:r>
      <w:r w:rsidR="00D82EB5">
        <w:t xml:space="preserve"> </w:t>
      </w:r>
      <w:r w:rsidR="00ED1910">
        <w:t xml:space="preserve"> </w:t>
      </w:r>
      <w:r w:rsidR="00773DEB">
        <w:t>These rules</w:t>
      </w:r>
      <w:r w:rsidR="00037D5B">
        <w:t xml:space="preserve"> require not only that a station be timely constructed, but also that it be placed into operation before the construct</w:t>
      </w:r>
      <w:r w:rsidR="00DE7950">
        <w:t xml:space="preserve">ion deadline. </w:t>
      </w:r>
      <w:r w:rsidR="00040715">
        <w:t xml:space="preserve"> </w:t>
      </w:r>
      <w:r w:rsidR="00F07947">
        <w:t>Pierce</w:t>
      </w:r>
      <w:r w:rsidR="00DE7950">
        <w:t xml:space="preserve"> </w:t>
      </w:r>
      <w:r w:rsidR="008C6E48">
        <w:t xml:space="preserve">neither </w:t>
      </w:r>
      <w:r w:rsidR="00DE7950">
        <w:t>did so</w:t>
      </w:r>
      <w:r w:rsidR="008C6E48">
        <w:t xml:space="preserve"> nor filed a timely extension request</w:t>
      </w:r>
      <w:r w:rsidR="00DE7950">
        <w:t>.</w:t>
      </w:r>
      <w:r w:rsidR="0078362C">
        <w:t xml:space="preserve">  </w:t>
      </w:r>
      <w:r w:rsidR="00DE7950">
        <w:t>Thus, u</w:t>
      </w:r>
      <w:r w:rsidR="007424D3">
        <w:t xml:space="preserve">nder the </w:t>
      </w:r>
      <w:r w:rsidR="00DE7950">
        <w:t xml:space="preserve">cited rules’ </w:t>
      </w:r>
      <w:r w:rsidR="00D26E2C">
        <w:t>plain terms</w:t>
      </w:r>
      <w:r w:rsidR="00584196">
        <w:t>,</w:t>
      </w:r>
      <w:r w:rsidR="00D26E2C">
        <w:t xml:space="preserve"> </w:t>
      </w:r>
      <w:r w:rsidR="00F07947">
        <w:t>Pierce</w:t>
      </w:r>
      <w:r w:rsidR="00DE7950">
        <w:t>’s license</w:t>
      </w:r>
      <w:r w:rsidR="00AE52D7">
        <w:t xml:space="preserve"> for</w:t>
      </w:r>
      <w:r w:rsidR="00DE7950">
        <w:t xml:space="preserve"> </w:t>
      </w:r>
      <w:r w:rsidR="008C6E48">
        <w:t>WPOT795 Path 1</w:t>
      </w:r>
      <w:r w:rsidR="00DE7950">
        <w:t xml:space="preserve">, </w:t>
      </w:r>
      <w:r w:rsidR="0067724A">
        <w:t>terminated automatically</w:t>
      </w:r>
      <w:r w:rsidR="009F7D09">
        <w:t xml:space="preserve"> upon </w:t>
      </w:r>
      <w:r w:rsidR="00F07947">
        <w:t>Pierce</w:t>
      </w:r>
      <w:r w:rsidR="00CA4DAD">
        <w:t>’s</w:t>
      </w:r>
      <w:r w:rsidR="00D366AD">
        <w:t xml:space="preserve"> failure timely </w:t>
      </w:r>
      <w:r w:rsidR="000713DC">
        <w:t xml:space="preserve">to </w:t>
      </w:r>
      <w:r w:rsidR="0078362C">
        <w:t xml:space="preserve">place </w:t>
      </w:r>
      <w:r w:rsidR="00DE7950">
        <w:t>it</w:t>
      </w:r>
      <w:r w:rsidR="00B06BCF">
        <w:t xml:space="preserve"> into </w:t>
      </w:r>
      <w:r w:rsidR="0078362C">
        <w:t>operation</w:t>
      </w:r>
      <w:r w:rsidR="008C6E48">
        <w:t xml:space="preserve">. </w:t>
      </w:r>
      <w:r w:rsidR="00040715">
        <w:t xml:space="preserve"> </w:t>
      </w:r>
      <w:r w:rsidR="00F07947">
        <w:t>Pierce</w:t>
      </w:r>
      <w:r w:rsidR="00DE7950">
        <w:t xml:space="preserve">’s Petition cites no authority for a rule waiver under these circumstances. </w:t>
      </w:r>
      <w:r w:rsidR="00040715">
        <w:t xml:space="preserve"> </w:t>
      </w:r>
      <w:r w:rsidR="00954CBB">
        <w:t>We therefore</w:t>
      </w:r>
      <w:r w:rsidR="00DE7950">
        <w:t xml:space="preserve"> </w:t>
      </w:r>
      <w:r w:rsidR="0078362C">
        <w:t xml:space="preserve">deny </w:t>
      </w:r>
      <w:r w:rsidR="00954CBB">
        <w:t>the Petition</w:t>
      </w:r>
      <w:r w:rsidR="008F0794">
        <w:t>.</w:t>
      </w:r>
    </w:p>
    <w:p w:rsidR="0078362C" w:rsidP="00AE18B4" w14:paraId="74E33107" w14:textId="541F34D9">
      <w:pPr>
        <w:pStyle w:val="ParaNum"/>
      </w:pPr>
      <w:bookmarkStart w:id="4" w:name="_Hlk52372877"/>
      <w:r>
        <w:t>Pierce</w:t>
      </w:r>
      <w:r w:rsidR="00DE7950">
        <w:t>, however,</w:t>
      </w:r>
      <w:r w:rsidR="00A346E7">
        <w:t xml:space="preserve"> </w:t>
      </w:r>
      <w:r w:rsidRPr="00C23EFD" w:rsidR="008F0794">
        <w:t xml:space="preserve">may file a new, properly coordinated application </w:t>
      </w:r>
      <w:r w:rsidR="008C6E48">
        <w:t xml:space="preserve">for WPOT495 Path 1 </w:t>
      </w:r>
      <w:r w:rsidRPr="00C23EFD" w:rsidR="008F0794">
        <w:t xml:space="preserve">if it desires to use </w:t>
      </w:r>
      <w:r>
        <w:t>its</w:t>
      </w:r>
      <w:r w:rsidRPr="00C23EFD" w:rsidR="008F0794">
        <w:t xml:space="preserve"> previously licensed </w:t>
      </w:r>
      <w:r w:rsidR="008C6E48">
        <w:t>frequencies</w:t>
      </w:r>
      <w:r w:rsidRPr="00C23EFD" w:rsidR="008F0794">
        <w:t xml:space="preserve">.  In addition, if </w:t>
      </w:r>
      <w:r>
        <w:t>Pierce</w:t>
      </w:r>
      <w:r w:rsidR="00A346E7">
        <w:t xml:space="preserve"> </w:t>
      </w:r>
      <w:r w:rsidRPr="00C23EFD" w:rsidR="008F0794">
        <w:t>needs to operate</w:t>
      </w:r>
      <w:r w:rsidR="008F0794">
        <w:t xml:space="preserve"> while an </w:t>
      </w:r>
      <w:r w:rsidRPr="00C23EFD" w:rsidR="008F0794">
        <w:t xml:space="preserve">application is pending with the Commission, it may file a request for </w:t>
      </w:r>
      <w:r w:rsidR="008F0794">
        <w:t xml:space="preserve">special temporary authority </w:t>
      </w:r>
      <w:r w:rsidRPr="00C23EFD" w:rsidR="008F0794">
        <w:t xml:space="preserve">in </w:t>
      </w:r>
      <w:r w:rsidR="008F0794">
        <w:t xml:space="preserve">accordance with </w:t>
      </w:r>
      <w:r w:rsidR="00E33B57">
        <w:t>s</w:t>
      </w:r>
      <w:r w:rsidR="008F0794">
        <w:t>ection 1.931</w:t>
      </w:r>
      <w:r w:rsidRPr="00C23EFD" w:rsidR="008F0794">
        <w:t xml:space="preserve"> of the Commission’s rules</w:t>
      </w:r>
      <w:r w:rsidR="002721ED">
        <w:t>.</w:t>
      </w:r>
      <w:r>
        <w:rPr>
          <w:rStyle w:val="FootnoteReference"/>
        </w:rPr>
        <w:footnoteReference w:id="15"/>
      </w:r>
      <w:r w:rsidR="0091427A">
        <w:t xml:space="preserve"> </w:t>
      </w:r>
    </w:p>
    <w:bookmarkEnd w:id="4"/>
    <w:p w:rsidR="00733B58" w:rsidRPr="00BE4E1E" w:rsidP="00733B58" w14:paraId="2AFA0AAB" w14:textId="33694A1B">
      <w:pPr>
        <w:pStyle w:val="Heading1"/>
        <w:rPr>
          <w:rFonts w:ascii="Times New Roman" w:hAnsi="Times New Roman"/>
          <w:szCs w:val="22"/>
        </w:rPr>
      </w:pPr>
      <w:r w:rsidRPr="00BE4E1E">
        <w:rPr>
          <w:rFonts w:ascii="Times New Roman" w:hAnsi="Times New Roman"/>
          <w:szCs w:val="22"/>
        </w:rPr>
        <w:t>Ordering clause</w:t>
      </w:r>
      <w:r w:rsidR="00E463D6">
        <w:rPr>
          <w:rFonts w:ascii="Times New Roman" w:hAnsi="Times New Roman"/>
          <w:szCs w:val="22"/>
        </w:rPr>
        <w:t>S</w:t>
      </w:r>
    </w:p>
    <w:p w:rsidR="00035411" w:rsidRPr="00AE52D7" w:rsidP="00035411" w14:paraId="5578051B" w14:textId="54F8BE54">
      <w:pPr>
        <w:pStyle w:val="ParaNum"/>
        <w:tabs>
          <w:tab w:val="clear" w:pos="1440"/>
        </w:tabs>
        <w:rPr>
          <w:spacing w:val="-2"/>
        </w:rPr>
      </w:pPr>
      <w:r w:rsidRPr="4439A411">
        <w:t xml:space="preserve"> Accordingly, </w:t>
      </w:r>
      <w:r w:rsidRPr="00AE52D7">
        <w:rPr>
          <w:b/>
          <w:bCs/>
        </w:rPr>
        <w:t>IT IS ORDERED</w:t>
      </w:r>
      <w:r w:rsidRPr="4439A411">
        <w:t xml:space="preserve">, pursuant to </w:t>
      </w:r>
      <w:r w:rsidR="0091427A">
        <w:t>s</w:t>
      </w:r>
      <w:r w:rsidRPr="4439A411">
        <w:t>ections 4(</w:t>
      </w:r>
      <w:r w:rsidRPr="4439A411">
        <w:t>i</w:t>
      </w:r>
      <w:r w:rsidRPr="4439A411">
        <w:t>) and 303(c) of the Communications Act of 1934, as amended, 47 U.S.C. §§ 154(</w:t>
      </w:r>
      <w:r w:rsidRPr="4439A411">
        <w:t>i</w:t>
      </w:r>
      <w:r w:rsidRPr="4439A411">
        <w:t xml:space="preserve">), 303(c), and </w:t>
      </w:r>
      <w:r w:rsidR="00AE52D7">
        <w:t>s</w:t>
      </w:r>
      <w:r w:rsidRPr="4439A411">
        <w:t>ection 1.106 of t</w:t>
      </w:r>
      <w:r w:rsidRPr="4439A411" w:rsidR="00CB50C8">
        <w:t>he Commission’s rules, 47 CFR §</w:t>
      </w:r>
      <w:r w:rsidRPr="4439A411">
        <w:t xml:space="preserve"> 1.106, that the Petition for Reconsideration filed </w:t>
      </w:r>
      <w:r w:rsidR="00B06BCF">
        <w:t>February 3, 2020</w:t>
      </w:r>
      <w:r w:rsidRPr="4439A411" w:rsidR="00550982">
        <w:t>,</w:t>
      </w:r>
      <w:r w:rsidRPr="4439A411">
        <w:t xml:space="preserve"> by </w:t>
      </w:r>
      <w:r w:rsidR="00B06BCF">
        <w:t>Pierce County, Washington</w:t>
      </w:r>
      <w:r w:rsidR="00CA4DAD">
        <w:t xml:space="preserve">, </w:t>
      </w:r>
      <w:r w:rsidRPr="00AE52D7">
        <w:rPr>
          <w:b/>
          <w:bCs/>
        </w:rPr>
        <w:t xml:space="preserve">IS </w:t>
      </w:r>
      <w:r w:rsidRPr="00AE52D7" w:rsidR="0078362C">
        <w:rPr>
          <w:b/>
          <w:bCs/>
        </w:rPr>
        <w:t>DENIED</w:t>
      </w:r>
      <w:r w:rsidRPr="4439A411" w:rsidR="00BA6FBF">
        <w:t>.</w:t>
      </w:r>
    </w:p>
    <w:p w:rsidR="00AE52D7" w:rsidRPr="00AE52D7" w:rsidP="00AE52D7" w14:paraId="7B3AC15E" w14:textId="65AA7694">
      <w:pPr>
        <w:pStyle w:val="ParaNum"/>
        <w:rPr>
          <w:spacing w:val="-2"/>
        </w:rPr>
      </w:pPr>
      <w:bookmarkStart w:id="5" w:name="_Hlk50031385"/>
      <w:r w:rsidRPr="00AE52D7">
        <w:rPr>
          <w:b/>
          <w:bCs/>
          <w:spacing w:val="-2"/>
          <w:sz w:val="14"/>
          <w:szCs w:val="14"/>
          <w:shd w:val="clear" w:color="auto" w:fill="FFFFFF"/>
        </w:rPr>
        <w:t> </w:t>
      </w:r>
      <w:r w:rsidRPr="00AE52D7">
        <w:rPr>
          <w:b/>
          <w:bCs/>
          <w:shd w:val="clear" w:color="auto" w:fill="FFFFFF"/>
        </w:rPr>
        <w:t>IT IS FURTHER ORDERED</w:t>
      </w:r>
      <w:r w:rsidRPr="00AE52D7">
        <w:rPr>
          <w:shd w:val="clear" w:color="auto" w:fill="FFFFFF"/>
        </w:rPr>
        <w:t xml:space="preserve"> that the licensing staff of the Policy and Licensing Division </w:t>
      </w:r>
      <w:r w:rsidRPr="00AE52D7">
        <w:rPr>
          <w:b/>
          <w:bCs/>
          <w:shd w:val="clear" w:color="auto" w:fill="FFFFFF"/>
        </w:rPr>
        <w:t>SHALL MODIFY</w:t>
      </w:r>
      <w:r w:rsidRPr="00AE52D7">
        <w:rPr>
          <w:shd w:val="clear" w:color="auto" w:fill="FFFFFF"/>
        </w:rPr>
        <w:t xml:space="preserve"> the authorization for call </w:t>
      </w:r>
      <w:r w:rsidRPr="001B4B42">
        <w:t>sign</w:t>
      </w:r>
      <w:r w:rsidRPr="00AE52D7">
        <w:rPr>
          <w:spacing w:val="-2"/>
          <w:szCs w:val="22"/>
        </w:rPr>
        <w:t xml:space="preserve"> </w:t>
      </w:r>
      <w:r w:rsidRPr="00AE52D7">
        <w:t>WPOT795</w:t>
      </w:r>
      <w:r>
        <w:t>, Path 1</w:t>
      </w:r>
      <w:r w:rsidR="0091427A">
        <w:t>,</w:t>
      </w:r>
      <w:r>
        <w:t xml:space="preserve"> </w:t>
      </w:r>
      <w:r w:rsidRPr="00AE52D7">
        <w:rPr>
          <w:shd w:val="clear" w:color="auto" w:fill="FFFFFF"/>
        </w:rPr>
        <w:t>in accordance with this Order and the Commission's Rules.</w:t>
      </w:r>
      <w:bookmarkEnd w:id="5"/>
    </w:p>
    <w:p w:rsidR="00733B58" w:rsidRPr="001B4B42" w:rsidP="00733B58" w14:paraId="666CF65E" w14:textId="77777777">
      <w:pPr>
        <w:pStyle w:val="ParaNum"/>
        <w:tabs>
          <w:tab w:val="clear" w:pos="1440"/>
        </w:tabs>
      </w:pPr>
      <w:r>
        <w:t xml:space="preserve">This action is taken under delegated authority pursuant to Sections 0.191 and 0.392 of the Commission’s rules, 47 CFR §§ 0.191, 0.392.  </w:t>
      </w:r>
    </w:p>
    <w:p w:rsidR="00733B58" w:rsidRPr="001B4B42" w:rsidP="00733B58" w14:paraId="7D34698F" w14:textId="77777777">
      <w:pPr>
        <w:pStyle w:val="ParaNum"/>
        <w:keepNext/>
        <w:keepLines/>
        <w:numPr>
          <w:ilvl w:val="0"/>
          <w:numId w:val="0"/>
        </w:numPr>
        <w:spacing w:after="0"/>
        <w:ind w:left="3600" w:firstLine="720"/>
        <w:rPr>
          <w:szCs w:val="22"/>
        </w:rPr>
      </w:pPr>
      <w:r w:rsidRPr="001B4B42">
        <w:rPr>
          <w:szCs w:val="22"/>
        </w:rPr>
        <w:t xml:space="preserve">FEDERAL COMMUNICATIONS COMMISSION </w:t>
      </w:r>
    </w:p>
    <w:p w:rsidR="00733B58" w:rsidRPr="001B4B42" w:rsidP="00733B58" w14:paraId="5EC284FD" w14:textId="77777777">
      <w:pPr>
        <w:pStyle w:val="ParaNum"/>
        <w:keepNext/>
        <w:keepLines/>
        <w:numPr>
          <w:ilvl w:val="0"/>
          <w:numId w:val="0"/>
        </w:numPr>
        <w:spacing w:after="0"/>
        <w:ind w:left="720"/>
        <w:rPr>
          <w:szCs w:val="22"/>
        </w:rPr>
      </w:pPr>
    </w:p>
    <w:p w:rsidR="00733B58" w:rsidRPr="001B4B42" w:rsidP="00733B58" w14:paraId="6774C96E" w14:textId="77777777">
      <w:pPr>
        <w:pStyle w:val="ParaNum"/>
        <w:keepNext/>
        <w:keepLines/>
        <w:numPr>
          <w:ilvl w:val="0"/>
          <w:numId w:val="0"/>
        </w:numPr>
        <w:spacing w:after="0"/>
        <w:ind w:left="720"/>
        <w:rPr>
          <w:szCs w:val="22"/>
        </w:rPr>
      </w:pPr>
    </w:p>
    <w:p w:rsidR="00733B58" w:rsidRPr="001B4B42" w:rsidP="00733B58" w14:paraId="3D4B30D2" w14:textId="77777777">
      <w:pPr>
        <w:pStyle w:val="ParaNum"/>
        <w:keepNext/>
        <w:keepLines/>
        <w:numPr>
          <w:ilvl w:val="0"/>
          <w:numId w:val="0"/>
        </w:numPr>
        <w:spacing w:after="0"/>
        <w:ind w:left="720"/>
        <w:rPr>
          <w:szCs w:val="22"/>
        </w:rPr>
      </w:pPr>
    </w:p>
    <w:p w:rsidR="00733B58" w:rsidRPr="001B4B42" w:rsidP="00733B58" w14:paraId="089CC235" w14:textId="77777777">
      <w:pPr>
        <w:pStyle w:val="ParaNum"/>
        <w:keepNext/>
        <w:keepLines/>
        <w:numPr>
          <w:ilvl w:val="0"/>
          <w:numId w:val="0"/>
        </w:numPr>
        <w:spacing w:after="0"/>
        <w:ind w:left="3600" w:firstLine="720"/>
        <w:rPr>
          <w:szCs w:val="22"/>
        </w:rPr>
      </w:pPr>
      <w:r w:rsidRPr="001B4B42">
        <w:rPr>
          <w:szCs w:val="22"/>
        </w:rPr>
        <w:t xml:space="preserve">Michael J. Wilhelm  </w:t>
      </w:r>
    </w:p>
    <w:p w:rsidR="00733B58" w:rsidRPr="001B4B42" w:rsidP="00733B58" w14:paraId="00D31D89" w14:textId="77777777">
      <w:pPr>
        <w:pStyle w:val="ParaNum"/>
        <w:keepNext/>
        <w:keepLines/>
        <w:numPr>
          <w:ilvl w:val="0"/>
          <w:numId w:val="0"/>
        </w:numPr>
        <w:spacing w:after="0"/>
        <w:ind w:left="3600" w:firstLine="720"/>
        <w:rPr>
          <w:szCs w:val="22"/>
        </w:rPr>
      </w:pPr>
      <w:r w:rsidRPr="001B4B42">
        <w:rPr>
          <w:szCs w:val="22"/>
        </w:rPr>
        <w:t xml:space="preserve">Chief, Policy and Licensing Division </w:t>
      </w:r>
    </w:p>
    <w:p w:rsidR="00733B58" w:rsidRPr="001B4B42" w:rsidP="00733B58" w14:paraId="3E20BFAD" w14:textId="77777777">
      <w:pPr>
        <w:pStyle w:val="ParaNum"/>
        <w:keepNext/>
        <w:keepLines/>
        <w:numPr>
          <w:ilvl w:val="0"/>
          <w:numId w:val="0"/>
        </w:numPr>
        <w:spacing w:after="0"/>
        <w:ind w:left="3600" w:firstLine="720"/>
        <w:rPr>
          <w:szCs w:val="22"/>
        </w:rPr>
      </w:pPr>
      <w:r w:rsidRPr="001B4B42">
        <w:rPr>
          <w:szCs w:val="22"/>
        </w:rPr>
        <w:t>Public Safety and Homeland Security Bureau</w:t>
      </w:r>
    </w:p>
    <w:sectPr w:rsidSect="00AE18B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8B4" w:rsidP="00AE18B4" w14:paraId="361D97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AE18B4" w14:paraId="2851FC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8B4" w:rsidP="00AE18B4" w14:paraId="6EAB167C" w14:textId="77777777">
    <w:pPr>
      <w:pStyle w:val="Footer"/>
      <w:framePr w:wrap="around" w:vAnchor="text" w:hAnchor="margin" w:xAlign="center" w:y="1"/>
    </w:pPr>
    <w:r>
      <w:fldChar w:fldCharType="begin"/>
    </w:r>
    <w:r>
      <w:instrText xml:space="preserve">PAGE  </w:instrText>
    </w:r>
    <w:r>
      <w:fldChar w:fldCharType="separate"/>
    </w:r>
    <w:r w:rsidR="00F93735">
      <w:rPr>
        <w:noProof/>
      </w:rPr>
      <w:t>2</w:t>
    </w:r>
    <w:r>
      <w:fldChar w:fldCharType="end"/>
    </w:r>
  </w:p>
  <w:p w:rsidR="00AE18B4" w14:paraId="348A8DB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8B4" w14:paraId="678354D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7729" w:rsidP="00733B58" w14:paraId="3EAFE3DD" w14:textId="77777777">
      <w:r>
        <w:separator/>
      </w:r>
    </w:p>
  </w:footnote>
  <w:footnote w:type="continuationSeparator" w:id="1">
    <w:p w:rsidR="00637729" w:rsidP="00733B58" w14:paraId="3E86E1D0" w14:textId="77777777">
      <w:r>
        <w:continuationSeparator/>
      </w:r>
    </w:p>
  </w:footnote>
  <w:footnote w:id="2">
    <w:p w:rsidR="00733B58" w:rsidRPr="00CE5A4A" w:rsidP="007717E4" w14:paraId="5F0CB370" w14:textId="7ABEC9A7">
      <w:pPr>
        <w:pStyle w:val="FootnoteText"/>
        <w:rPr>
          <w:b/>
        </w:rPr>
      </w:pPr>
      <w:r w:rsidRPr="00CE5A4A">
        <w:rPr>
          <w:rStyle w:val="FootnoteReference"/>
        </w:rPr>
        <w:footnoteRef/>
      </w:r>
      <w:r w:rsidRPr="00CE5A4A">
        <w:t xml:space="preserve"> </w:t>
      </w:r>
      <w:r w:rsidRPr="00CE5A4A">
        <w:rPr>
          <w:i/>
        </w:rPr>
        <w:t>See</w:t>
      </w:r>
      <w:r w:rsidRPr="00343799" w:rsidR="00343799">
        <w:t xml:space="preserve"> Pierce County Washington Petition for Reconsideration of WPOT795</w:t>
      </w:r>
      <w:r w:rsidR="00762E30">
        <w:t xml:space="preserve"> (components of) </w:t>
      </w:r>
      <w:r w:rsidRPr="00CE5A4A" w:rsidR="00C2593C">
        <w:t>(</w:t>
      </w:r>
      <w:r w:rsidR="0046629D">
        <w:t>filed February 2, 2020</w:t>
      </w:r>
      <w:r w:rsidRPr="00CE5A4A" w:rsidR="00C2593C">
        <w:t>)</w:t>
      </w:r>
      <w:r w:rsidRPr="00CE5A4A">
        <w:t xml:space="preserve">. </w:t>
      </w:r>
    </w:p>
  </w:footnote>
  <w:footnote w:id="3">
    <w:p w:rsidR="000376D8" w:rsidP="000376D8" w14:paraId="17DC2F36" w14:textId="0AC658EA">
      <w:pPr>
        <w:pStyle w:val="FootnoteText"/>
      </w:pPr>
      <w:r>
        <w:rPr>
          <w:rStyle w:val="FootnoteReference"/>
        </w:rPr>
        <w:footnoteRef/>
      </w:r>
      <w:r>
        <w:t xml:space="preserve"> </w:t>
      </w:r>
      <w:r>
        <w:rPr>
          <w:i/>
        </w:rPr>
        <w:t xml:space="preserve">See </w:t>
      </w:r>
      <w:r w:rsidRPr="00CE5A4A">
        <w:t>47 CFR § 1.9</w:t>
      </w:r>
      <w:r>
        <w:t xml:space="preserve">46 </w:t>
      </w:r>
      <w:r w:rsidRPr="00BF0F53">
        <w:t xml:space="preserve">(d) </w:t>
      </w:r>
      <w:r>
        <w:t>(“</w:t>
      </w:r>
      <w:r w:rsidRPr="00BF0F53">
        <w:t>A licensee who commences service or operations within the construction period or meets its coverage or substantial services obligations within the coverage period must notify the Commission by filing FCC Form 601. The notification must be filed within 15 days of the expiration of the applicable construction or coverage period.</w:t>
      </w:r>
    </w:p>
  </w:footnote>
  <w:footnote w:id="4">
    <w:p w:rsidR="008F4BB0" w14:paraId="1AD40ABC" w14:textId="6A328643">
      <w:pPr>
        <w:pStyle w:val="FootnoteText"/>
      </w:pPr>
      <w:r>
        <w:rPr>
          <w:rStyle w:val="FootnoteReference"/>
        </w:rPr>
        <w:footnoteRef/>
      </w:r>
      <w:r>
        <w:t xml:space="preserve"> Petition at 1.</w:t>
      </w:r>
    </w:p>
  </w:footnote>
  <w:footnote w:id="5">
    <w:p w:rsidR="006715C6" w14:paraId="704E848F" w14:textId="73AAE624">
      <w:pPr>
        <w:pStyle w:val="FootnoteText"/>
      </w:pPr>
      <w:r>
        <w:rPr>
          <w:rStyle w:val="FootnoteReference"/>
        </w:rPr>
        <w:footnoteRef/>
      </w:r>
      <w:r>
        <w:t xml:space="preserve"> </w:t>
      </w:r>
      <w:r w:rsidRPr="008C6E48">
        <w:rPr>
          <w:i/>
          <w:iCs/>
        </w:rPr>
        <w:t>See</w:t>
      </w:r>
      <w:r>
        <w:t xml:space="preserve"> Petition at Attachment.</w:t>
      </w:r>
    </w:p>
  </w:footnote>
  <w:footnote w:id="6">
    <w:p w:rsidR="006715C6" w14:paraId="2C5C1C05" w14:textId="62665819">
      <w:pPr>
        <w:pStyle w:val="FootnoteText"/>
      </w:pPr>
      <w:r>
        <w:rPr>
          <w:rStyle w:val="FootnoteReference"/>
        </w:rPr>
        <w:footnoteRef/>
      </w:r>
      <w:r>
        <w:t xml:space="preserve"> Petition at 1 (</w:t>
      </w:r>
      <w:r w:rsidR="007C05B0">
        <w:t>stating that TPU “</w:t>
      </w:r>
      <w:r w:rsidRPr="006715C6">
        <w:t>inadvertently did not include this reciprocating</w:t>
      </w:r>
      <w:r w:rsidR="007C05B0">
        <w:t xml:space="preserve"> Pierce County-Licensed-call.”).</w:t>
      </w:r>
    </w:p>
  </w:footnote>
  <w:footnote w:id="7">
    <w:p w:rsidR="00BE0155" w:rsidRPr="00CE5A4A" w:rsidP="00BE0155" w14:paraId="541963BA" w14:textId="7B3562AD">
      <w:pPr>
        <w:pStyle w:val="FootnoteText"/>
      </w:pPr>
      <w:r w:rsidRPr="00CE5A4A">
        <w:rPr>
          <w:rStyle w:val="FootnoteReference"/>
        </w:rPr>
        <w:footnoteRef/>
      </w:r>
      <w:r w:rsidRPr="00CE5A4A">
        <w:t xml:space="preserve"> </w:t>
      </w:r>
      <w:r w:rsidRPr="00CE5A4A">
        <w:rPr>
          <w:i/>
        </w:rPr>
        <w:t>See</w:t>
      </w:r>
      <w:r w:rsidRPr="00CE5A4A">
        <w:t xml:space="preserve"> </w:t>
      </w:r>
      <w:r w:rsidRPr="000376D8" w:rsidR="00DF690D">
        <w:t xml:space="preserve">Construction/Coverage Deadline, Notice of Termination Pending Status, Reference No. </w:t>
      </w:r>
      <w:r w:rsidR="004A4BEB">
        <w:t>6608933</w:t>
      </w:r>
      <w:r w:rsidRPr="000376D8" w:rsidR="00085A0A">
        <w:t xml:space="preserve"> (</w:t>
      </w:r>
      <w:r w:rsidRPr="000376D8" w:rsidR="009605FE">
        <w:t>dated</w:t>
      </w:r>
      <w:r w:rsidR="004A4BEB">
        <w:t xml:space="preserve"> Jan. 22, 2020</w:t>
      </w:r>
      <w:r w:rsidR="000376D8">
        <w:t>).</w:t>
      </w:r>
    </w:p>
  </w:footnote>
  <w:footnote w:id="8">
    <w:p w:rsidR="00BD76D6" w:rsidRPr="00944497" w:rsidP="00BD76D6" w14:paraId="6D13A671" w14:textId="2594F869">
      <w:pPr>
        <w:pStyle w:val="FootnoteText"/>
        <w:rPr>
          <w:i/>
        </w:rPr>
      </w:pPr>
      <w:r w:rsidRPr="00CE5A4A">
        <w:rPr>
          <w:rStyle w:val="FootnoteReference"/>
        </w:rPr>
        <w:footnoteRef/>
      </w:r>
      <w:r w:rsidRPr="00CE5A4A">
        <w:t xml:space="preserve"> </w:t>
      </w:r>
      <w:r w:rsidRPr="00CE5A4A">
        <w:rPr>
          <w:i/>
        </w:rPr>
        <w:t>See</w:t>
      </w:r>
      <w:r w:rsidRPr="00CE5A4A">
        <w:t xml:space="preserve"> Petition at 1.</w:t>
      </w:r>
      <w:r w:rsidR="00944497">
        <w:t xml:space="preserve">  </w:t>
      </w:r>
      <w:r w:rsidRPr="00944497" w:rsidR="00944497">
        <w:t>Under the Commission’s auto-term process, if a licensee, by the end of the 30-day period for seeking reconsideration does not rebut the presumption that it did not timely meet its construction or coverage requirement, ULS will change the status of the license, location, or frequency to “Terminated,” effective on the date of the construction deadline.</w:t>
      </w:r>
      <w:r w:rsidR="00944497">
        <w:t xml:space="preserve">  </w:t>
      </w:r>
      <w:r w:rsidR="00944497">
        <w:rPr>
          <w:i/>
        </w:rPr>
        <w:t xml:space="preserve">See </w:t>
      </w:r>
      <w:r w:rsidRPr="00CE5A4A" w:rsidR="00944497">
        <w:rPr>
          <w:i/>
        </w:rPr>
        <w:t>Wireless Telecommunications Bureau Announces Deployment Of “Auto-Term,” the Automated Feature in its Universal Licensing System That Identifies Unconstructed Stations Resulting in Automatic Termination of Licenses</w:t>
      </w:r>
      <w:r w:rsidRPr="00CE5A4A" w:rsidR="00944497">
        <w:t>, Public Notice, 21 FCC Rcd 163 (WTB 2006).</w:t>
      </w:r>
      <w:r w:rsidR="00944497">
        <w:t xml:space="preserve">  </w:t>
      </w:r>
      <w:r w:rsidRPr="00944497" w:rsidR="00944497">
        <w:t xml:space="preserve">Given that ULS issued the Notices of Termination Pending Status on </w:t>
      </w:r>
      <w:r w:rsidR="004A4BEB">
        <w:t>January 22, 2020</w:t>
      </w:r>
      <w:r w:rsidR="00944497">
        <w:t xml:space="preserve"> and </w:t>
      </w:r>
      <w:r w:rsidR="00F07947">
        <w:t>Pierce</w:t>
      </w:r>
      <w:r w:rsidRPr="00944497" w:rsidR="00944497">
        <w:t xml:space="preserve"> filed its Petition on </w:t>
      </w:r>
      <w:r w:rsidR="004A4BEB">
        <w:t>February</w:t>
      </w:r>
      <w:r w:rsidR="00A346E7">
        <w:t xml:space="preserve"> </w:t>
      </w:r>
      <w:r w:rsidR="004A4BEB">
        <w:t>2, 2020</w:t>
      </w:r>
      <w:r w:rsidR="00944497">
        <w:t>, its petition is timely</w:t>
      </w:r>
      <w:r w:rsidRPr="00944497" w:rsidR="00944497">
        <w:t xml:space="preserve">.  </w:t>
      </w:r>
    </w:p>
  </w:footnote>
  <w:footnote w:id="9">
    <w:p w:rsidR="00B90558" w:rsidP="00B90558" w14:paraId="3A0BBDF9" w14:textId="77777777">
      <w:pPr>
        <w:pStyle w:val="FootnoteText"/>
      </w:pPr>
      <w:r>
        <w:rPr>
          <w:rStyle w:val="FootnoteReference"/>
        </w:rPr>
        <w:footnoteRef/>
      </w:r>
      <w:r>
        <w:t xml:space="preserve"> </w:t>
      </w:r>
      <w:r w:rsidRPr="00CE5A4A">
        <w:rPr>
          <w:i/>
        </w:rPr>
        <w:t>Id</w:t>
      </w:r>
      <w:r w:rsidRPr="00CE5A4A">
        <w:t>.</w:t>
      </w:r>
    </w:p>
  </w:footnote>
  <w:footnote w:id="10">
    <w:p w:rsidR="00CB2F61" w14:paraId="05E3FBB6" w14:textId="3976FFFF">
      <w:pPr>
        <w:pStyle w:val="FootnoteText"/>
      </w:pPr>
      <w:r>
        <w:rPr>
          <w:rStyle w:val="FootnoteReference"/>
        </w:rPr>
        <w:footnoteRef/>
      </w:r>
      <w:r>
        <w:t xml:space="preserve"> </w:t>
      </w:r>
      <w:r w:rsidRPr="00CE5A4A" w:rsidR="002550D5">
        <w:rPr>
          <w:i/>
        </w:rPr>
        <w:t>Id</w:t>
      </w:r>
      <w:r w:rsidRPr="00CE5A4A" w:rsidR="002550D5">
        <w:t>.</w:t>
      </w:r>
    </w:p>
  </w:footnote>
  <w:footnote w:id="11">
    <w:p w:rsidR="00322702" w14:paraId="3299AFD4" w14:textId="4325B558">
      <w:pPr>
        <w:pStyle w:val="FootnoteText"/>
      </w:pPr>
      <w:r>
        <w:rPr>
          <w:rStyle w:val="FootnoteReference"/>
        </w:rPr>
        <w:footnoteRef/>
      </w:r>
      <w:r>
        <w:t xml:space="preserve"> </w:t>
      </w:r>
      <w:r w:rsidRPr="00322702">
        <w:rPr>
          <w:i/>
          <w:iCs/>
        </w:rPr>
        <w:t>See, e.g.,</w:t>
      </w:r>
      <w:r>
        <w:t xml:space="preserve"> </w:t>
      </w:r>
      <w:r w:rsidRPr="00322702">
        <w:rPr>
          <w:i/>
          <w:iCs/>
        </w:rPr>
        <w:t>Clyde W. Pierce</w:t>
      </w:r>
      <w:r>
        <w:t xml:space="preserve">, Memorandum Opinion and Order, </w:t>
      </w:r>
      <w:r w:rsidRPr="00322702">
        <w:t>4 FCC Rcd 2378</w:t>
      </w:r>
      <w:r>
        <w:t xml:space="preserve"> (1989) (holding that applicant’s detrimental reliance on advice from a consultant concerning a signature requirement did not excuse compliance with the signature compliance rule and that “[p]</w:t>
      </w:r>
      <w:r w:rsidRPr="00322702">
        <w:t>arties</w:t>
      </w:r>
      <w:r w:rsidRPr="00322702">
        <w:t xml:space="preserve"> are charged with knowledge of and are bound by statutes and regulations despite reliance to their detriment</w:t>
      </w:r>
      <w:r>
        <w:t xml:space="preserve"> </w:t>
      </w:r>
      <w:r w:rsidRPr="00322702">
        <w:t>upon incorrect information received from third parties</w:t>
      </w:r>
      <w:r w:rsidRPr="00A84393">
        <w:rPr>
          <w:i/>
          <w:iCs/>
        </w:rPr>
        <w:t xml:space="preserve">.” </w:t>
      </w:r>
      <w:r w:rsidRPr="00A84393" w:rsidR="00A84393">
        <w:rPr>
          <w:i/>
          <w:iCs/>
        </w:rPr>
        <w:t xml:space="preserve"> Cf. Rosner v. Secretary of Health, Ed. and Welfar</w:t>
      </w:r>
      <w:r w:rsidRPr="00A84393" w:rsidR="00A84393">
        <w:t>e, 306 F.</w:t>
      </w:r>
      <w:r w:rsidR="008C6E48">
        <w:t xml:space="preserve"> </w:t>
      </w:r>
      <w:r w:rsidRPr="00A84393" w:rsidR="00A84393">
        <w:t xml:space="preserve">Supp. 853, 855 (S.D.Fla.1970). </w:t>
      </w:r>
      <w:r w:rsidR="00A84393">
        <w:t xml:space="preserve">(Applicant responsible for its </w:t>
      </w:r>
      <w:r w:rsidRPr="00A84393" w:rsidR="00A84393">
        <w:t xml:space="preserve">application and for </w:t>
      </w:r>
      <w:r w:rsidR="00A84393">
        <w:t xml:space="preserve">compliance with </w:t>
      </w:r>
      <w:r w:rsidRPr="00A84393" w:rsidR="00A84393">
        <w:t>Commission rules.</w:t>
      </w:r>
      <w:r w:rsidR="00A84393">
        <w:t>)</w:t>
      </w:r>
    </w:p>
  </w:footnote>
  <w:footnote w:id="12">
    <w:p w:rsidR="00626D2B" w14:paraId="54556959" w14:textId="3F23703D">
      <w:pPr>
        <w:pStyle w:val="FootnoteText"/>
      </w:pPr>
      <w:r>
        <w:rPr>
          <w:rStyle w:val="FootnoteReference"/>
        </w:rPr>
        <w:footnoteRef/>
      </w:r>
      <w:r>
        <w:t xml:space="preserve"> </w:t>
      </w:r>
      <w:r w:rsidRPr="00DE5654" w:rsidR="00DE5654">
        <w:rPr>
          <w:i/>
          <w:iCs/>
        </w:rPr>
        <w:t xml:space="preserve">See </w:t>
      </w:r>
      <w:r w:rsidRPr="00DE5654" w:rsidR="00DE5654">
        <w:rPr>
          <w:i/>
          <w:iCs/>
        </w:rPr>
        <w:t>Instapage</w:t>
      </w:r>
      <w:r w:rsidRPr="00DE5654" w:rsidR="00DE5654">
        <w:rPr>
          <w:i/>
          <w:iCs/>
        </w:rPr>
        <w:t xml:space="preserve"> Network, Ltd</w:t>
      </w:r>
      <w:r w:rsidRPr="00DE5654" w:rsidR="00DE5654">
        <w:t>., Order on Reconsideration, 17 FCC Rcd 19083, 19091-92 (WTB 2002) paras. 16-19 (“[o]</w:t>
      </w:r>
      <w:r w:rsidRPr="00DE5654" w:rsidR="00DE5654">
        <w:t>versight</w:t>
      </w:r>
      <w:r w:rsidRPr="00DE5654" w:rsidR="00DE5654">
        <w:t>,” “[c]</w:t>
      </w:r>
      <w:r w:rsidRPr="00DE5654" w:rsidR="00DE5654">
        <w:t>onfusion</w:t>
      </w:r>
      <w:r w:rsidRPr="00DE5654" w:rsidR="00DE5654">
        <w:t xml:space="preserve">,” and “[b]ad judgment” inadequate to excuse failure to file construction notification). </w:t>
      </w:r>
      <w:r w:rsidRPr="00E268A7" w:rsidR="00E268A7">
        <w:rPr>
          <w:i/>
          <w:iCs/>
        </w:rPr>
        <w:t>See also, Zayo Group, LLC</w:t>
      </w:r>
      <w:r w:rsidR="00E268A7">
        <w:t xml:space="preserve">, </w:t>
      </w:r>
      <w:r w:rsidRPr="00E268A7" w:rsidR="00E268A7">
        <w:t>Order,</w:t>
      </w:r>
      <w:r w:rsidR="00E268A7">
        <w:rPr>
          <w:b/>
          <w:bCs/>
        </w:rPr>
        <w:t xml:space="preserve"> </w:t>
      </w:r>
      <w:r w:rsidRPr="00E268A7" w:rsidR="00E268A7">
        <w:t xml:space="preserve">DA 20-4,___ FCC Rcd ___ (PSHSB Jan. 3, 2020) </w:t>
      </w:r>
      <w:r w:rsidRPr="00E268A7" w:rsidR="00E268A7">
        <w:rPr>
          <w:i/>
          <w:iCs/>
        </w:rPr>
        <w:t>citing Empire Broadcasting</w:t>
      </w:r>
      <w:r w:rsidRPr="00E268A7" w:rsidR="00E268A7">
        <w:t xml:space="preserve">, Memorandum Opinion and Order, 25 FCC 2d 68, 69 (1970) (mere oversight or failure to be aware of the Commission's requirements will not excuse licensee from its obligation to operate in compliance with the Commission's Rules); </w:t>
      </w:r>
      <w:r w:rsidRPr="00E268A7" w:rsidR="00E268A7">
        <w:rPr>
          <w:i/>
          <w:iCs/>
        </w:rPr>
        <w:t>Shared Data Networks</w:t>
      </w:r>
      <w:r w:rsidRPr="00E268A7" w:rsidR="00E268A7">
        <w:t xml:space="preserve">, Notice of Apparent Liability for Forfeiture, 20 FCC Rcd 18184, 18187 (EB 2005) (earth station licensee's lack of awareness of its responsibilities is not a mitigating factor warranting a downward adjustment in a proposed forfeiture amount).  </w:t>
      </w:r>
      <w:r w:rsidRPr="00E268A7" w:rsidR="00E268A7">
        <w:rPr>
          <w:i/>
          <w:iCs/>
        </w:rPr>
        <w:t>See also, Standard Communications Corp</w:t>
      </w:r>
      <w:r w:rsidRPr="00E268A7" w:rsidR="00E268A7">
        <w:t xml:space="preserve">., Memorandum Opinion and Order, 1 FCC Rcd 358 (1986) (stating that “employee acts or omissions, such as clerical errors in failing to file required forms, do not excuse violations”); </w:t>
      </w:r>
      <w:r w:rsidRPr="00E268A7" w:rsidR="00E268A7">
        <w:rPr>
          <w:i/>
          <w:iCs/>
        </w:rPr>
        <w:t>Anderson Communications</w:t>
      </w:r>
      <w:r w:rsidRPr="00E268A7" w:rsidR="00E268A7">
        <w:t xml:space="preserve">, Memorandum Opinion and Order, 16 FCC Rcd 15020, 15021 para. 5 (2001) (“[w]e </w:t>
      </w:r>
      <w:r w:rsidRPr="00E268A7" w:rsidR="00E268A7">
        <w:t>do</w:t>
      </w:r>
      <w:r w:rsidRPr="00E268A7" w:rsidR="00E268A7">
        <w:t xml:space="preserve"> not believe that an inadvertent failure to renew a license in a timely manner is so unique or unusual to warrant a waiver of the rules.”).</w:t>
      </w:r>
    </w:p>
  </w:footnote>
  <w:footnote w:id="13">
    <w:p w:rsidR="00C1768D" w:rsidRPr="00CE5A4A" w:rsidP="00C1768D" w14:paraId="2C579C65" w14:textId="77777777">
      <w:pPr>
        <w:pStyle w:val="FootnoteText"/>
      </w:pPr>
      <w:r w:rsidRPr="00CE5A4A">
        <w:rPr>
          <w:rStyle w:val="FootnoteReference"/>
        </w:rPr>
        <w:footnoteRef/>
      </w:r>
      <w:r w:rsidRPr="00CE5A4A">
        <w:t xml:space="preserve"> 47 CFR § 1.106(c)(2).</w:t>
      </w:r>
    </w:p>
  </w:footnote>
  <w:footnote w:id="14">
    <w:p w:rsidR="00E33B57" w14:paraId="12D4B508" w14:textId="74FD0F67">
      <w:pPr>
        <w:pStyle w:val="FootnoteText"/>
      </w:pPr>
      <w:r w:rsidRPr="00E33B57">
        <w:rPr>
          <w:rStyle w:val="FootnoteReference"/>
          <w:color w:val="000000" w:themeColor="text1"/>
        </w:rPr>
        <w:footnoteRef/>
      </w:r>
      <w:r w:rsidR="0091427A">
        <w:rPr>
          <w:i/>
          <w:iCs/>
        </w:rPr>
        <w:t xml:space="preserve"> </w:t>
      </w:r>
      <w:r w:rsidRPr="0091427A" w:rsidR="000713DC">
        <w:rPr>
          <w:i/>
          <w:iCs/>
        </w:rPr>
        <w:t>See</w:t>
      </w:r>
      <w:r w:rsidRPr="000713DC" w:rsidR="000713DC">
        <w:t xml:space="preserve"> the Commission’s waiver criteria </w:t>
      </w:r>
      <w:r w:rsidR="00B06BCF">
        <w:t>at</w:t>
      </w:r>
      <w:r w:rsidRPr="000713DC" w:rsidR="000713DC">
        <w:t xml:space="preserve"> 47 CFR </w:t>
      </w:r>
      <w:r w:rsidRPr="00CE5A4A" w:rsidR="00B06BCF">
        <w:t>§ </w:t>
      </w:r>
      <w:r w:rsidRPr="000713DC" w:rsidR="000713DC">
        <w:t xml:space="preserve">1.925.  </w:t>
      </w:r>
      <w:r w:rsidRPr="000713DC" w:rsidR="000713DC">
        <w:rPr>
          <w:i/>
          <w:iCs/>
        </w:rPr>
        <w:t>See also WAIT Radio v. FCC</w:t>
      </w:r>
      <w:r w:rsidRPr="000713DC" w:rsidR="000713DC">
        <w:t xml:space="preserve">, 413 F.2d 1153, 1157 (D.C. Cir. 1969), </w:t>
      </w:r>
      <w:r w:rsidRPr="006C428B" w:rsidR="000713DC">
        <w:rPr>
          <w:i/>
          <w:iCs/>
        </w:rPr>
        <w:t>aff'd,</w:t>
      </w:r>
      <w:r w:rsidRPr="000713DC" w:rsidR="000713DC">
        <w:t xml:space="preserve"> 459 F.2d 1203 (1973), </w:t>
      </w:r>
      <w:r w:rsidRPr="000713DC" w:rsidR="000713DC">
        <w:rPr>
          <w:i/>
          <w:iCs/>
        </w:rPr>
        <w:t>cert. denied</w:t>
      </w:r>
      <w:r w:rsidRPr="000713DC" w:rsidR="000713DC">
        <w:t>, 409 U.S. 1027 (1972) (</w:t>
      </w:r>
      <w:r w:rsidRPr="000713DC" w:rsidR="000713DC">
        <w:rPr>
          <w:i/>
          <w:iCs/>
        </w:rPr>
        <w:t>citing</w:t>
      </w:r>
      <w:r w:rsidRPr="000713DC" w:rsidR="000713DC">
        <w:t xml:space="preserve"> </w:t>
      </w:r>
      <w:r w:rsidRPr="000713DC" w:rsidR="000713DC">
        <w:rPr>
          <w:i/>
          <w:iCs/>
        </w:rPr>
        <w:t>Rio Grande Family Radio Fellowship, Inc. v. FCC</w:t>
      </w:r>
      <w:r w:rsidRPr="000713DC" w:rsidR="000713DC">
        <w:t xml:space="preserve">, 406 F.2d 664 (D.C. Cir. 1968)); </w:t>
      </w:r>
      <w:r w:rsidRPr="000713DC" w:rsidR="000713DC">
        <w:rPr>
          <w:i/>
          <w:iCs/>
        </w:rPr>
        <w:t>Birach</w:t>
      </w:r>
      <w:r w:rsidRPr="000713DC" w:rsidR="000713DC">
        <w:rPr>
          <w:i/>
          <w:iCs/>
        </w:rPr>
        <w:t xml:space="preserve">  Broad. Corp</w:t>
      </w:r>
      <w:r w:rsidRPr="000713DC" w:rsidR="000713DC">
        <w:t>., Memorandum Opinion and Order, 18 FCC Rcd 1414, 1415 (2003)</w:t>
      </w:r>
      <w:r w:rsidR="000713DC">
        <w:t>.</w:t>
      </w:r>
    </w:p>
  </w:footnote>
  <w:footnote w:id="15">
    <w:p w:rsidR="00040715" w:rsidRPr="002721ED" w:rsidP="00040715" w14:paraId="5AE649EC" w14:textId="77777777">
      <w:pPr>
        <w:pStyle w:val="FootnoteText"/>
      </w:pPr>
      <w:r>
        <w:rPr>
          <w:rStyle w:val="FootnoteReference"/>
        </w:rPr>
        <w:footnoteRef/>
      </w:r>
      <w:r>
        <w:t xml:space="preserve"> </w:t>
      </w:r>
      <w:r w:rsidRPr="002721ED">
        <w:rPr>
          <w:i/>
        </w:rPr>
        <w:t>See</w:t>
      </w:r>
      <w:r w:rsidRPr="002721ED">
        <w:t xml:space="preserve"> 47 CFR § 1.931.</w:t>
      </w:r>
    </w:p>
    <w:p w:rsidR="00040715" w14:paraId="4C3B4152" w14:textId="4FAEC8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8B4" w:rsidP="00AE18B4" w14:paraId="118EB6A2" w14:textId="5D96933F">
    <w:pPr>
      <w:pStyle w:val="Header"/>
      <w:rPr>
        <w:b w:val="0"/>
      </w:rPr>
    </w:pPr>
    <w:r>
      <w:tab/>
      <w:t>Federal Communications Commission</w:t>
    </w:r>
    <w:r>
      <w:tab/>
      <w:t xml:space="preserve">DA </w:t>
    </w:r>
    <w:r w:rsidR="00B06BCF">
      <w:t>20</w:t>
    </w:r>
    <w:r>
      <w:t>-</w:t>
    </w:r>
    <w:r w:rsidR="006C59BA">
      <w:t>1201</w:t>
    </w:r>
  </w:p>
  <w:p w:rsidR="00AE18B4" w14:paraId="2B012511"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AE18B4" w14:paraId="65F7CA3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18B4" w:rsidP="00AE18B4" w14:paraId="21C0AE16" w14:textId="56B385D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B06BCF">
      <w:rPr>
        <w:spacing w:val="-2"/>
      </w:rPr>
      <w:t>20</w:t>
    </w:r>
    <w:r>
      <w:rPr>
        <w:spacing w:val="-2"/>
      </w:rPr>
      <w:t>-</w:t>
    </w:r>
    <w:r w:rsidR="006C59BA">
      <w:rPr>
        <w:spacing w:val="-2"/>
      </w:rPr>
      <w:t>1201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B285004"/>
    <w:multiLevelType w:val="hybridMultilevel"/>
    <w:tmpl w:val="EE70E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3">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58"/>
    <w:rsid w:val="000006C7"/>
    <w:rsid w:val="00004AA9"/>
    <w:rsid w:val="000062FF"/>
    <w:rsid w:val="00015CF5"/>
    <w:rsid w:val="00015FAC"/>
    <w:rsid w:val="00016372"/>
    <w:rsid w:val="00017FE3"/>
    <w:rsid w:val="00023DF1"/>
    <w:rsid w:val="0002507A"/>
    <w:rsid w:val="00026913"/>
    <w:rsid w:val="00032266"/>
    <w:rsid w:val="00035411"/>
    <w:rsid w:val="000376D8"/>
    <w:rsid w:val="00037D5B"/>
    <w:rsid w:val="000405C3"/>
    <w:rsid w:val="00040715"/>
    <w:rsid w:val="000431C6"/>
    <w:rsid w:val="00047D9E"/>
    <w:rsid w:val="0005031D"/>
    <w:rsid w:val="00054D75"/>
    <w:rsid w:val="000713DC"/>
    <w:rsid w:val="00071AD9"/>
    <w:rsid w:val="00071B5A"/>
    <w:rsid w:val="00073C5B"/>
    <w:rsid w:val="00085A0A"/>
    <w:rsid w:val="000C5A51"/>
    <w:rsid w:val="000D0117"/>
    <w:rsid w:val="000D2817"/>
    <w:rsid w:val="000D3DAC"/>
    <w:rsid w:val="000D41E4"/>
    <w:rsid w:val="000E2871"/>
    <w:rsid w:val="000E4BAC"/>
    <w:rsid w:val="000E7788"/>
    <w:rsid w:val="001066CE"/>
    <w:rsid w:val="00112EF4"/>
    <w:rsid w:val="0011455A"/>
    <w:rsid w:val="0012401D"/>
    <w:rsid w:val="00125E99"/>
    <w:rsid w:val="001310E3"/>
    <w:rsid w:val="00131C92"/>
    <w:rsid w:val="001352B3"/>
    <w:rsid w:val="001409C0"/>
    <w:rsid w:val="00144213"/>
    <w:rsid w:val="00145BEA"/>
    <w:rsid w:val="00147C41"/>
    <w:rsid w:val="001503E6"/>
    <w:rsid w:val="0015509B"/>
    <w:rsid w:val="00166D9C"/>
    <w:rsid w:val="00170486"/>
    <w:rsid w:val="00173F92"/>
    <w:rsid w:val="00174146"/>
    <w:rsid w:val="00177913"/>
    <w:rsid w:val="00187D46"/>
    <w:rsid w:val="001A0629"/>
    <w:rsid w:val="001A1A4C"/>
    <w:rsid w:val="001A226A"/>
    <w:rsid w:val="001A7BC7"/>
    <w:rsid w:val="001A7BC8"/>
    <w:rsid w:val="001B3A00"/>
    <w:rsid w:val="001B4B42"/>
    <w:rsid w:val="001B7C18"/>
    <w:rsid w:val="001C0A01"/>
    <w:rsid w:val="001C222C"/>
    <w:rsid w:val="001D4A1A"/>
    <w:rsid w:val="001E0EB5"/>
    <w:rsid w:val="001E356C"/>
    <w:rsid w:val="001F7260"/>
    <w:rsid w:val="00202DAB"/>
    <w:rsid w:val="00230A13"/>
    <w:rsid w:val="00253117"/>
    <w:rsid w:val="002550D5"/>
    <w:rsid w:val="00261288"/>
    <w:rsid w:val="00263216"/>
    <w:rsid w:val="00265049"/>
    <w:rsid w:val="002721ED"/>
    <w:rsid w:val="00274428"/>
    <w:rsid w:val="00282941"/>
    <w:rsid w:val="0029269D"/>
    <w:rsid w:val="002A0365"/>
    <w:rsid w:val="002A7EE6"/>
    <w:rsid w:val="002C00F8"/>
    <w:rsid w:val="002D05AF"/>
    <w:rsid w:val="002D19FD"/>
    <w:rsid w:val="002F420C"/>
    <w:rsid w:val="003071C2"/>
    <w:rsid w:val="0031108B"/>
    <w:rsid w:val="003146C7"/>
    <w:rsid w:val="00320C3F"/>
    <w:rsid w:val="00322702"/>
    <w:rsid w:val="00340649"/>
    <w:rsid w:val="00343799"/>
    <w:rsid w:val="0034505C"/>
    <w:rsid w:val="00355994"/>
    <w:rsid w:val="00360696"/>
    <w:rsid w:val="00365599"/>
    <w:rsid w:val="00380376"/>
    <w:rsid w:val="003B1C49"/>
    <w:rsid w:val="003B4E3A"/>
    <w:rsid w:val="003B5825"/>
    <w:rsid w:val="003C5745"/>
    <w:rsid w:val="003D51A8"/>
    <w:rsid w:val="003E4412"/>
    <w:rsid w:val="003E79CD"/>
    <w:rsid w:val="003F0F8B"/>
    <w:rsid w:val="00410127"/>
    <w:rsid w:val="00412A75"/>
    <w:rsid w:val="004278FC"/>
    <w:rsid w:val="00432AD8"/>
    <w:rsid w:val="00451C3E"/>
    <w:rsid w:val="00455798"/>
    <w:rsid w:val="00465DE8"/>
    <w:rsid w:val="0046629D"/>
    <w:rsid w:val="0046679D"/>
    <w:rsid w:val="00470875"/>
    <w:rsid w:val="004828C5"/>
    <w:rsid w:val="004842A0"/>
    <w:rsid w:val="00487638"/>
    <w:rsid w:val="0048765C"/>
    <w:rsid w:val="00490025"/>
    <w:rsid w:val="00490471"/>
    <w:rsid w:val="00497596"/>
    <w:rsid w:val="00497C83"/>
    <w:rsid w:val="004A4BEB"/>
    <w:rsid w:val="004A7412"/>
    <w:rsid w:val="004C04EF"/>
    <w:rsid w:val="004C0EB7"/>
    <w:rsid w:val="004C7BD5"/>
    <w:rsid w:val="004D6D4B"/>
    <w:rsid w:val="004D7B96"/>
    <w:rsid w:val="004E1277"/>
    <w:rsid w:val="00500438"/>
    <w:rsid w:val="00504E7E"/>
    <w:rsid w:val="005267E3"/>
    <w:rsid w:val="005273E0"/>
    <w:rsid w:val="00550982"/>
    <w:rsid w:val="005533E1"/>
    <w:rsid w:val="00555C6F"/>
    <w:rsid w:val="00556527"/>
    <w:rsid w:val="00565E93"/>
    <w:rsid w:val="00583E4E"/>
    <w:rsid w:val="00584196"/>
    <w:rsid w:val="005B3E3D"/>
    <w:rsid w:val="005B6304"/>
    <w:rsid w:val="005B63E9"/>
    <w:rsid w:val="005B7681"/>
    <w:rsid w:val="005C48E8"/>
    <w:rsid w:val="005C7258"/>
    <w:rsid w:val="005D1F42"/>
    <w:rsid w:val="00614220"/>
    <w:rsid w:val="00620AAF"/>
    <w:rsid w:val="00622448"/>
    <w:rsid w:val="00626D2B"/>
    <w:rsid w:val="00630074"/>
    <w:rsid w:val="00637729"/>
    <w:rsid w:val="00641A02"/>
    <w:rsid w:val="0064471E"/>
    <w:rsid w:val="00655447"/>
    <w:rsid w:val="00664289"/>
    <w:rsid w:val="00664EF6"/>
    <w:rsid w:val="006715C6"/>
    <w:rsid w:val="006717C4"/>
    <w:rsid w:val="0067724A"/>
    <w:rsid w:val="006A3FE8"/>
    <w:rsid w:val="006B4C65"/>
    <w:rsid w:val="006C428B"/>
    <w:rsid w:val="006C59BA"/>
    <w:rsid w:val="006C7C20"/>
    <w:rsid w:val="006E6CA6"/>
    <w:rsid w:val="006E6CAF"/>
    <w:rsid w:val="006E760B"/>
    <w:rsid w:val="006F5C6F"/>
    <w:rsid w:val="006F7E28"/>
    <w:rsid w:val="00701210"/>
    <w:rsid w:val="00703D9A"/>
    <w:rsid w:val="007060C1"/>
    <w:rsid w:val="007132A7"/>
    <w:rsid w:val="007267A6"/>
    <w:rsid w:val="00733B58"/>
    <w:rsid w:val="0073591F"/>
    <w:rsid w:val="007424D3"/>
    <w:rsid w:val="00742A96"/>
    <w:rsid w:val="00750C73"/>
    <w:rsid w:val="00750EE1"/>
    <w:rsid w:val="0075660E"/>
    <w:rsid w:val="00762E30"/>
    <w:rsid w:val="00765AF4"/>
    <w:rsid w:val="007717E4"/>
    <w:rsid w:val="00773DEB"/>
    <w:rsid w:val="00777FBE"/>
    <w:rsid w:val="0078362C"/>
    <w:rsid w:val="00784FAF"/>
    <w:rsid w:val="00791CD9"/>
    <w:rsid w:val="00793D07"/>
    <w:rsid w:val="00796FA2"/>
    <w:rsid w:val="007A1E13"/>
    <w:rsid w:val="007B1D50"/>
    <w:rsid w:val="007B474F"/>
    <w:rsid w:val="007B4974"/>
    <w:rsid w:val="007C05B0"/>
    <w:rsid w:val="007C33B4"/>
    <w:rsid w:val="007C7110"/>
    <w:rsid w:val="007D7BC7"/>
    <w:rsid w:val="007E43DB"/>
    <w:rsid w:val="007F0B1B"/>
    <w:rsid w:val="007F495A"/>
    <w:rsid w:val="008030CC"/>
    <w:rsid w:val="0081363C"/>
    <w:rsid w:val="00826C1A"/>
    <w:rsid w:val="00832EE9"/>
    <w:rsid w:val="00834CDE"/>
    <w:rsid w:val="00843F7F"/>
    <w:rsid w:val="00844D73"/>
    <w:rsid w:val="00851940"/>
    <w:rsid w:val="0085760C"/>
    <w:rsid w:val="00863CF8"/>
    <w:rsid w:val="00880CB9"/>
    <w:rsid w:val="008819A3"/>
    <w:rsid w:val="008971AC"/>
    <w:rsid w:val="008A11C2"/>
    <w:rsid w:val="008A12B2"/>
    <w:rsid w:val="008B4A1B"/>
    <w:rsid w:val="008B6AFD"/>
    <w:rsid w:val="008B6EEC"/>
    <w:rsid w:val="008B76A2"/>
    <w:rsid w:val="008C42E8"/>
    <w:rsid w:val="008C4A55"/>
    <w:rsid w:val="008C6E48"/>
    <w:rsid w:val="008C7BF3"/>
    <w:rsid w:val="008D3E8D"/>
    <w:rsid w:val="008E0E60"/>
    <w:rsid w:val="008F0794"/>
    <w:rsid w:val="008F4BB0"/>
    <w:rsid w:val="009000C3"/>
    <w:rsid w:val="00900844"/>
    <w:rsid w:val="0091427A"/>
    <w:rsid w:val="00917377"/>
    <w:rsid w:val="00927BBF"/>
    <w:rsid w:val="00931490"/>
    <w:rsid w:val="00944314"/>
    <w:rsid w:val="00944497"/>
    <w:rsid w:val="0095023C"/>
    <w:rsid w:val="00954CBB"/>
    <w:rsid w:val="009605FE"/>
    <w:rsid w:val="009607DA"/>
    <w:rsid w:val="009737CC"/>
    <w:rsid w:val="009816C8"/>
    <w:rsid w:val="009A21BE"/>
    <w:rsid w:val="009A2D97"/>
    <w:rsid w:val="009A6689"/>
    <w:rsid w:val="009B3F39"/>
    <w:rsid w:val="009C365B"/>
    <w:rsid w:val="009D750B"/>
    <w:rsid w:val="009F7D09"/>
    <w:rsid w:val="00A00390"/>
    <w:rsid w:val="00A027DB"/>
    <w:rsid w:val="00A03FE4"/>
    <w:rsid w:val="00A07CE4"/>
    <w:rsid w:val="00A1739D"/>
    <w:rsid w:val="00A17DB5"/>
    <w:rsid w:val="00A229D3"/>
    <w:rsid w:val="00A25A8B"/>
    <w:rsid w:val="00A26232"/>
    <w:rsid w:val="00A26BB0"/>
    <w:rsid w:val="00A26BBC"/>
    <w:rsid w:val="00A31557"/>
    <w:rsid w:val="00A32118"/>
    <w:rsid w:val="00A346E7"/>
    <w:rsid w:val="00A4697F"/>
    <w:rsid w:val="00A47EBD"/>
    <w:rsid w:val="00A6049E"/>
    <w:rsid w:val="00A804C7"/>
    <w:rsid w:val="00A84393"/>
    <w:rsid w:val="00A930EE"/>
    <w:rsid w:val="00A93F40"/>
    <w:rsid w:val="00AA2147"/>
    <w:rsid w:val="00AA3D92"/>
    <w:rsid w:val="00AB34A2"/>
    <w:rsid w:val="00AE18B4"/>
    <w:rsid w:val="00AE23E5"/>
    <w:rsid w:val="00AE52D7"/>
    <w:rsid w:val="00AE5F10"/>
    <w:rsid w:val="00AF46E1"/>
    <w:rsid w:val="00B00F5C"/>
    <w:rsid w:val="00B036F7"/>
    <w:rsid w:val="00B06BCF"/>
    <w:rsid w:val="00B168B2"/>
    <w:rsid w:val="00B27870"/>
    <w:rsid w:val="00B332C9"/>
    <w:rsid w:val="00B37031"/>
    <w:rsid w:val="00B50D20"/>
    <w:rsid w:val="00B5154B"/>
    <w:rsid w:val="00B5649C"/>
    <w:rsid w:val="00B73266"/>
    <w:rsid w:val="00B754AC"/>
    <w:rsid w:val="00B762E6"/>
    <w:rsid w:val="00B764CA"/>
    <w:rsid w:val="00B83786"/>
    <w:rsid w:val="00B87212"/>
    <w:rsid w:val="00B90558"/>
    <w:rsid w:val="00B90F3D"/>
    <w:rsid w:val="00BA2F95"/>
    <w:rsid w:val="00BA498D"/>
    <w:rsid w:val="00BA65E4"/>
    <w:rsid w:val="00BA6FBF"/>
    <w:rsid w:val="00BC11A8"/>
    <w:rsid w:val="00BC2358"/>
    <w:rsid w:val="00BC4319"/>
    <w:rsid w:val="00BD4C8D"/>
    <w:rsid w:val="00BD683A"/>
    <w:rsid w:val="00BD76D6"/>
    <w:rsid w:val="00BE0155"/>
    <w:rsid w:val="00BE4E1E"/>
    <w:rsid w:val="00BF0F53"/>
    <w:rsid w:val="00BF2D35"/>
    <w:rsid w:val="00BF6AC2"/>
    <w:rsid w:val="00C15B9B"/>
    <w:rsid w:val="00C1654B"/>
    <w:rsid w:val="00C16F60"/>
    <w:rsid w:val="00C1768D"/>
    <w:rsid w:val="00C23EFD"/>
    <w:rsid w:val="00C2593C"/>
    <w:rsid w:val="00C32155"/>
    <w:rsid w:val="00C35349"/>
    <w:rsid w:val="00C37598"/>
    <w:rsid w:val="00C458F6"/>
    <w:rsid w:val="00C537DC"/>
    <w:rsid w:val="00C55D30"/>
    <w:rsid w:val="00C7197B"/>
    <w:rsid w:val="00C84E79"/>
    <w:rsid w:val="00C8745D"/>
    <w:rsid w:val="00CA4DAD"/>
    <w:rsid w:val="00CB2235"/>
    <w:rsid w:val="00CB2F61"/>
    <w:rsid w:val="00CB50C8"/>
    <w:rsid w:val="00CB71D1"/>
    <w:rsid w:val="00CC02B3"/>
    <w:rsid w:val="00CD3B6A"/>
    <w:rsid w:val="00CE021F"/>
    <w:rsid w:val="00CE4BC6"/>
    <w:rsid w:val="00CE5A4A"/>
    <w:rsid w:val="00CF5DE7"/>
    <w:rsid w:val="00D05049"/>
    <w:rsid w:val="00D07FE4"/>
    <w:rsid w:val="00D113A8"/>
    <w:rsid w:val="00D26E2C"/>
    <w:rsid w:val="00D366AD"/>
    <w:rsid w:val="00D5610F"/>
    <w:rsid w:val="00D60396"/>
    <w:rsid w:val="00D641D3"/>
    <w:rsid w:val="00D71F6E"/>
    <w:rsid w:val="00D74307"/>
    <w:rsid w:val="00D77805"/>
    <w:rsid w:val="00D82EB5"/>
    <w:rsid w:val="00D87938"/>
    <w:rsid w:val="00D97717"/>
    <w:rsid w:val="00DB1E16"/>
    <w:rsid w:val="00DB7C24"/>
    <w:rsid w:val="00DC3666"/>
    <w:rsid w:val="00DC66CE"/>
    <w:rsid w:val="00DD0CA8"/>
    <w:rsid w:val="00DD45A0"/>
    <w:rsid w:val="00DD4D5F"/>
    <w:rsid w:val="00DD6AC6"/>
    <w:rsid w:val="00DE5654"/>
    <w:rsid w:val="00DE7950"/>
    <w:rsid w:val="00DF690D"/>
    <w:rsid w:val="00E00835"/>
    <w:rsid w:val="00E0748A"/>
    <w:rsid w:val="00E1206B"/>
    <w:rsid w:val="00E268A7"/>
    <w:rsid w:val="00E31799"/>
    <w:rsid w:val="00E33B57"/>
    <w:rsid w:val="00E34018"/>
    <w:rsid w:val="00E415D5"/>
    <w:rsid w:val="00E42EE1"/>
    <w:rsid w:val="00E463D6"/>
    <w:rsid w:val="00E46441"/>
    <w:rsid w:val="00E54D06"/>
    <w:rsid w:val="00E57D24"/>
    <w:rsid w:val="00E62F7B"/>
    <w:rsid w:val="00E67683"/>
    <w:rsid w:val="00E81D9E"/>
    <w:rsid w:val="00E876A6"/>
    <w:rsid w:val="00E90AF0"/>
    <w:rsid w:val="00EA1A59"/>
    <w:rsid w:val="00EB02AE"/>
    <w:rsid w:val="00EB07A6"/>
    <w:rsid w:val="00EC014E"/>
    <w:rsid w:val="00EC2264"/>
    <w:rsid w:val="00ED1910"/>
    <w:rsid w:val="00ED2B03"/>
    <w:rsid w:val="00ED7FCC"/>
    <w:rsid w:val="00EE02AC"/>
    <w:rsid w:val="00EF1231"/>
    <w:rsid w:val="00EF7312"/>
    <w:rsid w:val="00F0676C"/>
    <w:rsid w:val="00F07947"/>
    <w:rsid w:val="00F22511"/>
    <w:rsid w:val="00F30ED5"/>
    <w:rsid w:val="00F37126"/>
    <w:rsid w:val="00F40199"/>
    <w:rsid w:val="00F64CAF"/>
    <w:rsid w:val="00F82BE0"/>
    <w:rsid w:val="00F85056"/>
    <w:rsid w:val="00F872AB"/>
    <w:rsid w:val="00F93735"/>
    <w:rsid w:val="00F971E6"/>
    <w:rsid w:val="00FA0BA2"/>
    <w:rsid w:val="00FA6B51"/>
    <w:rsid w:val="00FB669E"/>
    <w:rsid w:val="00FC7821"/>
    <w:rsid w:val="00FE23A4"/>
    <w:rsid w:val="00FF1C64"/>
    <w:rsid w:val="4439A4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37F9A99-1A48-4C14-92B6-B66A8C1A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3"/>
      </w:numPr>
      <w:spacing w:after="120"/>
      <w:outlineLvl w:val="1"/>
    </w:pPr>
    <w:rPr>
      <w:b/>
    </w:rPr>
  </w:style>
  <w:style w:type="paragraph" w:styleId="Heading3">
    <w:name w:val="heading 3"/>
    <w:basedOn w:val="Normal"/>
    <w:next w:val="ParaNum"/>
    <w:link w:val="Heading3Char"/>
    <w:qFormat/>
    <w:rsid w:val="00733B5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2"/>
      </w:numPr>
      <w:tabs>
        <w:tab w:val="clear" w:pos="1080"/>
        <w:tab w:val="num" w:pos="1440"/>
      </w:tabs>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 w:type="character" w:styleId="Hyperlink">
    <w:name w:val="Hyperlink"/>
    <w:basedOn w:val="DefaultParagraphFont"/>
    <w:uiPriority w:val="99"/>
    <w:unhideWhenUsed/>
    <w:rsid w:val="0085760C"/>
    <w:rPr>
      <w:color w:val="0563C1" w:themeColor="hyperlink"/>
      <w:u w:val="single"/>
    </w:rPr>
  </w:style>
  <w:style w:type="character" w:customStyle="1" w:styleId="UnresolvedMention1">
    <w:name w:val="Unresolved Mention1"/>
    <w:basedOn w:val="DefaultParagraphFont"/>
    <w:uiPriority w:val="99"/>
    <w:semiHidden/>
    <w:unhideWhenUsed/>
    <w:rsid w:val="0085760C"/>
    <w:rPr>
      <w:color w:val="605E5C"/>
      <w:shd w:val="clear" w:color="auto" w:fill="E1DFDD"/>
    </w:rPr>
  </w:style>
  <w:style w:type="character" w:customStyle="1" w:styleId="UnresolvedMention2">
    <w:name w:val="Unresolved Mention2"/>
    <w:basedOn w:val="DefaultParagraphFont"/>
    <w:uiPriority w:val="99"/>
    <w:semiHidden/>
    <w:unhideWhenUsed/>
    <w:rsid w:val="008C4A55"/>
    <w:rPr>
      <w:color w:val="605E5C"/>
      <w:shd w:val="clear" w:color="auto" w:fill="E1DFDD"/>
    </w:rPr>
  </w:style>
  <w:style w:type="character" w:customStyle="1" w:styleId="UnresolvedMention">
    <w:name w:val="Unresolved Mention"/>
    <w:basedOn w:val="DefaultParagraphFont"/>
    <w:uiPriority w:val="99"/>
    <w:semiHidden/>
    <w:unhideWhenUsed/>
    <w:rsid w:val="00E3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