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443906DE"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AC954F4" w14:textId="77777777">
      <w:pPr>
        <w:pStyle w:val="StyleBoldCentered"/>
      </w:pPr>
      <w:r>
        <w:t>F</w:t>
      </w:r>
      <w:r>
        <w:rPr>
          <w:caps w:val="0"/>
        </w:rPr>
        <w:t>ederal Communications Commission</w:t>
      </w:r>
    </w:p>
    <w:p w:rsidR="004C2EE3" w:rsidP="00096D8C" w14:paraId="78CCFA77" w14:textId="77777777">
      <w:pPr>
        <w:pStyle w:val="StyleBoldCentered"/>
      </w:pPr>
      <w:r>
        <w:rPr>
          <w:caps w:val="0"/>
        </w:rPr>
        <w:t>Washington, D.C. 20554</w:t>
      </w:r>
    </w:p>
    <w:p w:rsidR="004C2EE3" w:rsidP="0070224F" w14:paraId="6AB1A1A9" w14:textId="77777777"/>
    <w:p w:rsidR="004C2EE3" w:rsidP="0070224F" w14:paraId="3B93C91B" w14:textId="77777777"/>
    <w:tbl>
      <w:tblPr>
        <w:tblW w:w="0" w:type="auto"/>
        <w:tblLayout w:type="fixed"/>
        <w:tblLook w:val="0000"/>
      </w:tblPr>
      <w:tblGrid>
        <w:gridCol w:w="4698"/>
        <w:gridCol w:w="630"/>
        <w:gridCol w:w="4248"/>
      </w:tblGrid>
      <w:tr w14:paraId="59DD0FD0" w14:textId="77777777" w:rsidTr="181A6998">
        <w:tblPrEx>
          <w:tblW w:w="0" w:type="auto"/>
          <w:tblLayout w:type="fixed"/>
          <w:tblLook w:val="0000"/>
        </w:tblPrEx>
        <w:tc>
          <w:tcPr>
            <w:tcW w:w="4698" w:type="dxa"/>
          </w:tcPr>
          <w:p w:rsidR="004C2EE3" w14:paraId="2F96DC30" w14:textId="77777777">
            <w:pPr>
              <w:tabs>
                <w:tab w:val="center" w:pos="4680"/>
              </w:tabs>
              <w:suppressAutoHyphens/>
              <w:rPr>
                <w:spacing w:val="-2"/>
              </w:rPr>
            </w:pPr>
            <w:r>
              <w:rPr>
                <w:spacing w:val="-2"/>
              </w:rPr>
              <w:t>In the Matter of</w:t>
            </w:r>
          </w:p>
          <w:p w:rsidR="004C2EE3" w14:paraId="4989ECF0" w14:textId="77777777">
            <w:pPr>
              <w:tabs>
                <w:tab w:val="center" w:pos="4680"/>
              </w:tabs>
              <w:suppressAutoHyphens/>
              <w:rPr>
                <w:spacing w:val="-2"/>
              </w:rPr>
            </w:pPr>
          </w:p>
          <w:p w:rsidR="004C2EE3" w:rsidP="007115F7" w14:paraId="4B538250" w14:textId="6E94CF11">
            <w:pPr>
              <w:tabs>
                <w:tab w:val="center" w:pos="4680"/>
              </w:tabs>
              <w:suppressAutoHyphens/>
            </w:pPr>
            <w:r>
              <w:rPr>
                <w:spacing w:val="-2"/>
              </w:rPr>
              <w:t>City of Lorain</w:t>
            </w:r>
            <w:r w:rsidR="15EE4563">
              <w:rPr>
                <w:spacing w:val="-2"/>
              </w:rPr>
              <w:t xml:space="preserve">, </w:t>
            </w:r>
            <w:r w:rsidR="00176C51">
              <w:rPr>
                <w:spacing w:val="-2"/>
              </w:rPr>
              <w:t>Ohio</w:t>
            </w:r>
          </w:p>
          <w:p w:rsidR="00210DF0" w:rsidP="007115F7" w14:paraId="5DBB09B5" w14:textId="77777777">
            <w:pPr>
              <w:tabs>
                <w:tab w:val="center" w:pos="4680"/>
              </w:tabs>
              <w:suppressAutoHyphens/>
              <w:rPr>
                <w:spacing w:val="-2"/>
              </w:rPr>
            </w:pPr>
          </w:p>
          <w:p w:rsidR="00210DF0" w:rsidRPr="007115F7" w:rsidP="007115F7" w14:paraId="6B704C01" w14:textId="77777777">
            <w:pPr>
              <w:tabs>
                <w:tab w:val="center" w:pos="4680"/>
              </w:tabs>
              <w:suppressAutoHyphens/>
              <w:rPr>
                <w:spacing w:val="-2"/>
              </w:rPr>
            </w:pPr>
            <w:r>
              <w:rPr>
                <w:spacing w:val="-2"/>
              </w:rPr>
              <w:t>Request for Waiver of Section 1.949 of the Commission’s Rules</w:t>
            </w:r>
          </w:p>
        </w:tc>
        <w:tc>
          <w:tcPr>
            <w:tcW w:w="630" w:type="dxa"/>
          </w:tcPr>
          <w:p w:rsidR="004C2EE3" w14:paraId="4E20A7BE" w14:textId="77777777">
            <w:pPr>
              <w:tabs>
                <w:tab w:val="center" w:pos="4680"/>
              </w:tabs>
              <w:suppressAutoHyphens/>
              <w:rPr>
                <w:b/>
                <w:spacing w:val="-2"/>
              </w:rPr>
            </w:pPr>
            <w:r>
              <w:rPr>
                <w:b/>
                <w:spacing w:val="-2"/>
              </w:rPr>
              <w:t>)</w:t>
            </w:r>
          </w:p>
          <w:p w:rsidR="004C2EE3" w14:paraId="55CFF4B8" w14:textId="77777777">
            <w:pPr>
              <w:tabs>
                <w:tab w:val="center" w:pos="4680"/>
              </w:tabs>
              <w:suppressAutoHyphens/>
              <w:rPr>
                <w:b/>
                <w:spacing w:val="-2"/>
              </w:rPr>
            </w:pPr>
            <w:r>
              <w:rPr>
                <w:b/>
                <w:spacing w:val="-2"/>
              </w:rPr>
              <w:t>)</w:t>
            </w:r>
          </w:p>
          <w:p w:rsidR="004C2EE3" w14:paraId="25EC28BD" w14:textId="77777777">
            <w:pPr>
              <w:tabs>
                <w:tab w:val="center" w:pos="4680"/>
              </w:tabs>
              <w:suppressAutoHyphens/>
              <w:rPr>
                <w:b/>
                <w:spacing w:val="-2"/>
              </w:rPr>
            </w:pPr>
            <w:r>
              <w:rPr>
                <w:b/>
                <w:spacing w:val="-2"/>
              </w:rPr>
              <w:t>)</w:t>
            </w:r>
          </w:p>
          <w:p w:rsidR="004C2EE3" w14:paraId="6FE391BB" w14:textId="77777777">
            <w:pPr>
              <w:tabs>
                <w:tab w:val="center" w:pos="4680"/>
              </w:tabs>
              <w:suppressAutoHyphens/>
              <w:rPr>
                <w:b/>
                <w:spacing w:val="-2"/>
              </w:rPr>
            </w:pPr>
            <w:r>
              <w:rPr>
                <w:b/>
                <w:spacing w:val="-2"/>
              </w:rPr>
              <w:t>)</w:t>
            </w:r>
          </w:p>
          <w:p w:rsidR="004C2EE3" w:rsidP="00210DF0" w14:paraId="085AA02F" w14:textId="77777777">
            <w:pPr>
              <w:tabs>
                <w:tab w:val="center" w:pos="4680"/>
              </w:tabs>
              <w:suppressAutoHyphens/>
              <w:rPr>
                <w:b/>
                <w:spacing w:val="-2"/>
              </w:rPr>
            </w:pPr>
            <w:r>
              <w:rPr>
                <w:b/>
                <w:spacing w:val="-2"/>
              </w:rPr>
              <w:t>)</w:t>
            </w:r>
          </w:p>
          <w:p w:rsidR="00210DF0" w:rsidRPr="00210DF0" w:rsidP="00210DF0" w14:paraId="17BFD842" w14:textId="77777777">
            <w:pPr>
              <w:tabs>
                <w:tab w:val="center" w:pos="4680"/>
              </w:tabs>
              <w:suppressAutoHyphens/>
              <w:rPr>
                <w:b/>
                <w:spacing w:val="-2"/>
              </w:rPr>
            </w:pPr>
            <w:r>
              <w:rPr>
                <w:b/>
                <w:spacing w:val="-2"/>
              </w:rPr>
              <w:t>)</w:t>
            </w:r>
          </w:p>
        </w:tc>
        <w:tc>
          <w:tcPr>
            <w:tcW w:w="4248" w:type="dxa"/>
          </w:tcPr>
          <w:p w:rsidR="004C2EE3" w14:paraId="35D823C2" w14:textId="77777777">
            <w:pPr>
              <w:tabs>
                <w:tab w:val="center" w:pos="4680"/>
              </w:tabs>
              <w:suppressAutoHyphens/>
              <w:rPr>
                <w:spacing w:val="-2"/>
              </w:rPr>
            </w:pPr>
          </w:p>
          <w:p w:rsidR="004C2EE3" w14:paraId="3FE0A3C4" w14:textId="77777777">
            <w:pPr>
              <w:pStyle w:val="TOAHeading"/>
              <w:tabs>
                <w:tab w:val="center" w:pos="4680"/>
                <w:tab w:val="clear" w:pos="9360"/>
              </w:tabs>
              <w:rPr>
                <w:spacing w:val="-2"/>
              </w:rPr>
            </w:pPr>
          </w:p>
          <w:p w:rsidR="004C2EE3" w14:paraId="27F76B53" w14:textId="77777777">
            <w:pPr>
              <w:tabs>
                <w:tab w:val="center" w:pos="4680"/>
              </w:tabs>
              <w:suppressAutoHyphens/>
              <w:rPr>
                <w:spacing w:val="-2"/>
              </w:rPr>
            </w:pPr>
            <w:r>
              <w:rPr>
                <w:spacing w:val="-2"/>
              </w:rPr>
              <w:t>Call Sign WQKY922</w:t>
            </w:r>
          </w:p>
        </w:tc>
      </w:tr>
    </w:tbl>
    <w:p w:rsidR="004C2EE3" w:rsidP="0070224F" w14:paraId="10B49567" w14:textId="77777777"/>
    <w:p w:rsidR="00841AB1" w:rsidP="00F021FA" w14:paraId="7AD4470A" w14:textId="77777777">
      <w:pPr>
        <w:pStyle w:val="StyleBoldCentered"/>
      </w:pPr>
      <w:r>
        <w:t>Order</w:t>
      </w:r>
    </w:p>
    <w:p w:rsidR="004C2EE3" w14:paraId="3CB6346F" w14:textId="77777777">
      <w:pPr>
        <w:tabs>
          <w:tab w:val="left" w:pos="-720"/>
        </w:tabs>
        <w:suppressAutoHyphens/>
        <w:spacing w:line="227" w:lineRule="auto"/>
        <w:rPr>
          <w:spacing w:val="-2"/>
        </w:rPr>
      </w:pPr>
    </w:p>
    <w:p w:rsidR="004C2EE3" w:rsidP="181A6998" w14:paraId="35064C15" w14:textId="10B5F0B5">
      <w:pPr>
        <w:tabs>
          <w:tab w:val="left" w:pos="720"/>
          <w:tab w:val="right" w:pos="9360"/>
        </w:tabs>
        <w:suppressAutoHyphens/>
        <w:spacing w:line="227" w:lineRule="auto"/>
      </w:pPr>
      <w:r w:rsidRPr="181A6998">
        <w:rPr>
          <w:b/>
          <w:bCs/>
          <w:spacing w:val="-2"/>
        </w:rPr>
        <w:t xml:space="preserve">Adopted:  </w:t>
      </w:r>
      <w:r w:rsidR="00E914C4">
        <w:rPr>
          <w:b/>
          <w:bCs/>
          <w:spacing w:val="-2"/>
        </w:rPr>
        <w:t>October 13, 2020</w:t>
      </w:r>
      <w:r w:rsidR="00E914C4">
        <w:rPr>
          <w:b/>
          <w:bCs/>
          <w:spacing w:val="-2"/>
        </w:rPr>
        <w:tab/>
        <w:t>Released:  October 14, 2020</w:t>
      </w:r>
      <w:bookmarkStart w:id="0" w:name="_GoBack"/>
      <w:bookmarkEnd w:id="0"/>
    </w:p>
    <w:p w:rsidR="00822CE0" w14:paraId="4DA19F97" w14:textId="77777777"/>
    <w:p w:rsidR="004C2EE3" w14:paraId="4C743527" w14:textId="77777777">
      <w:pPr>
        <w:rPr>
          <w:spacing w:val="-2"/>
        </w:rPr>
      </w:pPr>
      <w:r>
        <w:t xml:space="preserve">By </w:t>
      </w:r>
      <w:r w:rsidR="004E4A22">
        <w:t>the</w:t>
      </w:r>
      <w:r w:rsidR="002A2D2E">
        <w:t xml:space="preserve"> </w:t>
      </w:r>
      <w:r w:rsidRPr="00210DF0" w:rsidR="00210DF0">
        <w:rPr>
          <w:spacing w:val="-2"/>
        </w:rPr>
        <w:t>Chief, Policy and Licensing Division, Public Safety and Homeland Security Bureau:</w:t>
      </w:r>
    </w:p>
    <w:p w:rsidR="00822CE0" w14:paraId="2127F615" w14:textId="77777777">
      <w:pPr>
        <w:rPr>
          <w:spacing w:val="-2"/>
        </w:rPr>
      </w:pPr>
    </w:p>
    <w:p w:rsidR="00412FC5" w:rsidP="00210DF0" w14:paraId="15184019" w14:textId="4590E761">
      <w:pPr>
        <w:pStyle w:val="ParaNum"/>
      </w:pPr>
      <w:r w:rsidRPr="00210DF0">
        <w:rPr>
          <w:rFonts w:eastAsiaTheme="minorEastAsia"/>
        </w:rPr>
        <w:t xml:space="preserve">In this Order, we </w:t>
      </w:r>
      <w:r>
        <w:rPr>
          <w:rFonts w:eastAsiaTheme="minorEastAsia"/>
        </w:rPr>
        <w:t>deny</w:t>
      </w:r>
      <w:r w:rsidRPr="00210DF0">
        <w:rPr>
          <w:rFonts w:eastAsiaTheme="minorEastAsia"/>
        </w:rPr>
        <w:t xml:space="preserve"> the </w:t>
      </w:r>
      <w:r>
        <w:rPr>
          <w:rFonts w:eastAsiaTheme="minorEastAsia"/>
        </w:rPr>
        <w:t>City of Lorain’s (</w:t>
      </w:r>
      <w:r w:rsidR="00F53D79">
        <w:rPr>
          <w:rFonts w:eastAsiaTheme="minorEastAsia"/>
        </w:rPr>
        <w:t xml:space="preserve">the City or </w:t>
      </w:r>
      <w:r>
        <w:rPr>
          <w:rFonts w:eastAsiaTheme="minorEastAsia"/>
        </w:rPr>
        <w:t>Lorain)</w:t>
      </w:r>
      <w:r w:rsidRPr="00210DF0">
        <w:rPr>
          <w:rFonts w:eastAsiaTheme="minorEastAsia"/>
        </w:rPr>
        <w:t xml:space="preserve"> waiver request to accept its late-filed renewal application for its license</w:t>
      </w:r>
      <w:r w:rsidR="00AD2462">
        <w:rPr>
          <w:rFonts w:eastAsiaTheme="minorEastAsia"/>
        </w:rPr>
        <w:t xml:space="preserve"> previously</w:t>
      </w:r>
      <w:r w:rsidRPr="00210DF0">
        <w:rPr>
          <w:rFonts w:eastAsiaTheme="minorEastAsia"/>
        </w:rPr>
        <w:t xml:space="preserve"> authorized under call sign W</w:t>
      </w:r>
      <w:r>
        <w:rPr>
          <w:rFonts w:eastAsiaTheme="minorEastAsia"/>
        </w:rPr>
        <w:t>QKY922</w:t>
      </w:r>
      <w:r w:rsidRPr="00210DF0">
        <w:rPr>
          <w:rFonts w:eastAsiaTheme="minorEastAsia"/>
        </w:rPr>
        <w:t>.</w:t>
      </w:r>
      <w:bookmarkStart w:id="1" w:name="co_fnRef_FN_F1_ID0EQAAC_1"/>
      <w:bookmarkEnd w:id="1"/>
      <w:r>
        <w:rPr>
          <w:rStyle w:val="FootnoteReference"/>
          <w:rFonts w:eastAsiaTheme="minorEastAsia"/>
        </w:rPr>
        <w:footnoteReference w:id="3"/>
      </w:r>
      <w:r>
        <w:t xml:space="preserve"> </w:t>
      </w:r>
      <w:r w:rsidR="00015B69">
        <w:t xml:space="preserve"> </w:t>
      </w:r>
      <w:r w:rsidR="00DF5A85">
        <w:t>We also dismiss as moot a related modification application.</w:t>
      </w:r>
      <w:r>
        <w:rPr>
          <w:rStyle w:val="FootnoteReference"/>
        </w:rPr>
        <w:footnoteReference w:id="4"/>
      </w:r>
    </w:p>
    <w:p w:rsidR="00FC5CDF" w:rsidP="00210DF0" w14:paraId="5E5FC8F6" w14:textId="77777777">
      <w:pPr>
        <w:pStyle w:val="ParaNum"/>
      </w:pPr>
      <w:r w:rsidRPr="00FC5CDF">
        <w:t xml:space="preserve">On </w:t>
      </w:r>
      <w:r>
        <w:t>August 5</w:t>
      </w:r>
      <w:r w:rsidRPr="00FC5CDF">
        <w:t>, 201</w:t>
      </w:r>
      <w:r>
        <w:t>9</w:t>
      </w:r>
      <w:r w:rsidRPr="00FC5CDF">
        <w:t xml:space="preserve">, the Bureau reminded </w:t>
      </w:r>
      <w:r>
        <w:t>Lorain</w:t>
      </w:r>
      <w:r w:rsidRPr="00FC5CDF">
        <w:t xml:space="preserve"> to renew its license on or before </w:t>
      </w:r>
      <w:r>
        <w:t>October 30, 2019—</w:t>
      </w:r>
      <w:r w:rsidRPr="00FC5CDF">
        <w:t xml:space="preserve">the expiration of the initial </w:t>
      </w:r>
      <w:r>
        <w:t>10-</w:t>
      </w:r>
      <w:r w:rsidRPr="00FC5CDF">
        <w:t>year license term.</w:t>
      </w:r>
      <w:r>
        <w:rPr>
          <w:vertAlign w:val="superscript"/>
        </w:rPr>
        <w:footnoteReference w:id="5"/>
      </w:r>
      <w:r w:rsidRPr="00FC5CDF">
        <w:t xml:space="preserve">  </w:t>
      </w:r>
      <w:r>
        <w:t>Lorain</w:t>
      </w:r>
      <w:r w:rsidRPr="00FC5CDF">
        <w:t xml:space="preserve">, however, failed to submit a license renewal application and its license expired on </w:t>
      </w:r>
      <w:r>
        <w:t>October</w:t>
      </w:r>
      <w:r w:rsidRPr="00FC5CDF">
        <w:t xml:space="preserve"> </w:t>
      </w:r>
      <w:r>
        <w:t>30, 2019</w:t>
      </w:r>
      <w:r w:rsidRPr="00FC5CDF">
        <w:t>.</w:t>
      </w:r>
      <w:r>
        <w:rPr>
          <w:vertAlign w:val="superscript"/>
        </w:rPr>
        <w:footnoteReference w:id="6"/>
      </w:r>
    </w:p>
    <w:p w:rsidR="00FC5CDF" w:rsidRPr="006063ED" w:rsidP="006063ED" w14:paraId="1BAD62F5" w14:textId="45E7E79B">
      <w:pPr>
        <w:pStyle w:val="ParaNum"/>
        <w:rPr>
          <w:rFonts w:eastAsia="Calibri"/>
        </w:rPr>
      </w:pPr>
      <w:r w:rsidRPr="0041110A">
        <w:t xml:space="preserve">On </w:t>
      </w:r>
      <w:r>
        <w:t>December</w:t>
      </w:r>
      <w:r w:rsidRPr="00CF4971">
        <w:t xml:space="preserve"> </w:t>
      </w:r>
      <w:r>
        <w:t>17</w:t>
      </w:r>
      <w:r w:rsidRPr="00CF4971">
        <w:t>, 201</w:t>
      </w:r>
      <w:r w:rsidR="00F53D79">
        <w:t xml:space="preserve">9, Lorain </w:t>
      </w:r>
      <w:r w:rsidRPr="00CF4971" w:rsidR="00F53D79">
        <w:rPr>
          <w:szCs w:val="22"/>
        </w:rPr>
        <w:t>request</w:t>
      </w:r>
      <w:r w:rsidR="00F53D79">
        <w:rPr>
          <w:szCs w:val="22"/>
        </w:rPr>
        <w:t xml:space="preserve">ed </w:t>
      </w:r>
      <w:r>
        <w:t>a</w:t>
      </w:r>
      <w:r w:rsidRPr="00CF4971">
        <w:t xml:space="preserve"> waiver of Section 1.949 of the Commission’s rules</w:t>
      </w:r>
      <w:r>
        <w:rPr>
          <w:rStyle w:val="FootnoteReference"/>
          <w:szCs w:val="22"/>
        </w:rPr>
        <w:footnoteReference w:id="7"/>
      </w:r>
      <w:r w:rsidRPr="00CF4971">
        <w:t xml:space="preserve"> </w:t>
      </w:r>
      <w:r>
        <w:t>to permit the acceptance of a late-filed</w:t>
      </w:r>
      <w:r w:rsidRPr="00CF4971">
        <w:t xml:space="preserve"> renewal </w:t>
      </w:r>
      <w:r>
        <w:t>application</w:t>
      </w:r>
      <w:r w:rsidRPr="006063ED">
        <w:rPr>
          <w:rFonts w:eastAsia="Calibri"/>
        </w:rPr>
        <w:t>.</w:t>
      </w:r>
      <w:r>
        <w:rPr>
          <w:rStyle w:val="FootnoteReference"/>
          <w:rFonts w:eastAsia="Calibri"/>
          <w:szCs w:val="22"/>
        </w:rPr>
        <w:footnoteReference w:id="8"/>
      </w:r>
      <w:r w:rsidRPr="006063ED">
        <w:rPr>
          <w:rFonts w:eastAsia="Calibri"/>
        </w:rPr>
        <w:t xml:space="preserve">  It explained that</w:t>
      </w:r>
      <w:r w:rsidRPr="006063ED" w:rsidR="006063ED">
        <w:rPr>
          <w:rFonts w:eastAsia="Calibri"/>
        </w:rPr>
        <w:t>:</w:t>
      </w:r>
      <w:r w:rsidRPr="006063ED">
        <w:rPr>
          <w:rFonts w:eastAsia="Calibri"/>
        </w:rPr>
        <w:t xml:space="preserve"> </w:t>
      </w:r>
      <w:r w:rsidRPr="006063ED" w:rsidR="006063ED">
        <w:rPr>
          <w:rFonts w:eastAsia="Calibri"/>
        </w:rPr>
        <w:t>“</w:t>
      </w:r>
      <w:r w:rsidRPr="006063ED" w:rsidR="006063ED">
        <w:rPr>
          <w:rFonts w:eastAsia="Calibri"/>
          <w:szCs w:val="22"/>
        </w:rPr>
        <w:t>In spite of all the best intentions to be aware of FCC regulations and rule changes, we have inadvertently</w:t>
      </w:r>
      <w:r w:rsidR="006063ED">
        <w:rPr>
          <w:rFonts w:eastAsia="Calibri"/>
          <w:szCs w:val="22"/>
        </w:rPr>
        <w:t xml:space="preserve"> </w:t>
      </w:r>
      <w:r w:rsidRPr="006063ED" w:rsidR="006063ED">
        <w:rPr>
          <w:rFonts w:eastAsia="Calibri"/>
          <w:szCs w:val="22"/>
        </w:rPr>
        <w:t>failed to file a timely renewal</w:t>
      </w:r>
      <w:r w:rsidRPr="006063ED">
        <w:rPr>
          <w:rFonts w:eastAsia="Calibri"/>
        </w:rPr>
        <w:t>.</w:t>
      </w:r>
      <w:r w:rsidR="00AD2462">
        <w:rPr>
          <w:rFonts w:eastAsia="Calibri"/>
        </w:rPr>
        <w:t>”</w:t>
      </w:r>
      <w:r>
        <w:rPr>
          <w:rStyle w:val="FootnoteReference"/>
          <w:rFonts w:eastAsia="Calibri"/>
          <w:szCs w:val="22"/>
        </w:rPr>
        <w:footnoteReference w:id="9"/>
      </w:r>
      <w:r w:rsidRPr="006063ED">
        <w:rPr>
          <w:rFonts w:eastAsia="Calibri"/>
        </w:rPr>
        <w:t xml:space="preserve">    </w:t>
      </w:r>
    </w:p>
    <w:p w:rsidR="006063ED" w:rsidRPr="005059B8" w:rsidP="006063ED" w14:paraId="65B9FF75" w14:textId="77777777">
      <w:pPr>
        <w:pStyle w:val="ParaNum"/>
        <w:rPr>
          <w:rFonts w:eastAsia="Calibri"/>
          <w:szCs w:val="22"/>
        </w:rPr>
      </w:pPr>
      <w:r w:rsidRPr="0041110A">
        <w:rPr>
          <w:szCs w:val="22"/>
        </w:rPr>
        <w:t xml:space="preserve">In 1999, the Commission adopted a policy </w:t>
      </w:r>
      <w:r>
        <w:rPr>
          <w:szCs w:val="22"/>
        </w:rPr>
        <w:t xml:space="preserve">for treating </w:t>
      </w:r>
      <w:r w:rsidRPr="0041110A">
        <w:rPr>
          <w:szCs w:val="22"/>
        </w:rPr>
        <w:t>late-filed renewal applications in the wireless services.</w:t>
      </w:r>
      <w:r>
        <w:rPr>
          <w:rStyle w:val="FootnoteReference"/>
          <w:szCs w:val="22"/>
        </w:rPr>
        <w:footnoteReference w:id="10"/>
      </w:r>
      <w:r w:rsidRPr="0041110A">
        <w:rPr>
          <w:szCs w:val="22"/>
        </w:rPr>
        <w:t xml:space="preserve">  Renewal applications filed up to thirty days after the expiration date of the license will be granted </w:t>
      </w:r>
      <w:r w:rsidRPr="0041110A">
        <w:rPr>
          <w:i/>
          <w:szCs w:val="22"/>
        </w:rPr>
        <w:t>nunc pro tunc</w:t>
      </w:r>
      <w:r w:rsidRPr="0041110A">
        <w:rPr>
          <w:szCs w:val="22"/>
        </w:rPr>
        <w:t xml:space="preserve"> if the application is otherwise sufficient, but the licensee may be subject to an enforcement action for untimely filing and unauthorized operation between the expiration of the license and the untimely renewal filing.</w:t>
      </w:r>
      <w:r>
        <w:rPr>
          <w:rStyle w:val="FootnoteReference"/>
          <w:szCs w:val="22"/>
        </w:rPr>
        <w:footnoteReference w:id="11"/>
      </w:r>
      <w:r w:rsidRPr="0041110A">
        <w:rPr>
          <w:szCs w:val="22"/>
        </w:rPr>
        <w:t xml:space="preserve">  Applicants who file renewal applications more than thirty days </w:t>
      </w:r>
      <w:r w:rsidRPr="0041110A">
        <w:rPr>
          <w:szCs w:val="22"/>
        </w:rPr>
        <w:t xml:space="preserve">after the license expiration date may also request that the license be renewed </w:t>
      </w:r>
      <w:r w:rsidRPr="0041110A">
        <w:rPr>
          <w:i/>
          <w:szCs w:val="22"/>
        </w:rPr>
        <w:t>nunc pro tunc</w:t>
      </w:r>
      <w:r w:rsidRPr="0041110A">
        <w:rPr>
          <w:szCs w:val="22"/>
        </w:rPr>
        <w:t>, but such requests will not be routinely granted, will be subject to stricter review, and also may be accompanied by enforcement action, including more significant fines or forfeitures.</w:t>
      </w:r>
      <w:r>
        <w:rPr>
          <w:rStyle w:val="FootnoteReference"/>
          <w:szCs w:val="22"/>
        </w:rPr>
        <w:footnoteReference w:id="12"/>
      </w:r>
      <w:r w:rsidRPr="0041110A">
        <w:rPr>
          <w:szCs w:val="22"/>
        </w:rPr>
        <w:t xml:space="preserve">  In determining whether to grant a late-filed renewal application, we take into consideration all of the facts and circumstances, including the length of the delay in filing, the reasons for the failure to timely file, the potential consequences to the public if the license should terminate, and the performance record of the licensee.</w:t>
      </w:r>
      <w:r>
        <w:rPr>
          <w:rStyle w:val="FootnoteReference"/>
          <w:szCs w:val="22"/>
        </w:rPr>
        <w:footnoteReference w:id="13"/>
      </w:r>
    </w:p>
    <w:p w:rsidR="006063ED" w:rsidP="006063ED" w14:paraId="2B8A1D06" w14:textId="330E8D6B">
      <w:pPr>
        <w:pStyle w:val="ParaNum"/>
      </w:pPr>
      <w:r>
        <w:t>Based on</w:t>
      </w:r>
      <w:r w:rsidRPr="0041110A">
        <w:t xml:space="preserve"> the facts and circumstances</w:t>
      </w:r>
      <w:r>
        <w:t xml:space="preserve"> here</w:t>
      </w:r>
      <w:r w:rsidRPr="0041110A">
        <w:t xml:space="preserve">, </w:t>
      </w:r>
      <w:r>
        <w:t xml:space="preserve">we </w:t>
      </w:r>
      <w:r w:rsidRPr="0041110A">
        <w:t xml:space="preserve">conclude that </w:t>
      </w:r>
      <w:r>
        <w:t>Lorain’s</w:t>
      </w:r>
      <w:r w:rsidRPr="0041110A">
        <w:t xml:space="preserve"> request should be </w:t>
      </w:r>
      <w:r>
        <w:t>denied.</w:t>
      </w:r>
      <w:r w:rsidRPr="0041110A">
        <w:rPr>
          <w:szCs w:val="22"/>
        </w:rPr>
        <w:t xml:space="preserve"> </w:t>
      </w:r>
      <w:r w:rsidRPr="0598D058">
        <w:t xml:space="preserve"> </w:t>
      </w:r>
      <w:r w:rsidR="00460A42">
        <w:t xml:space="preserve">Lorain has presented no justification for its “inadvertent” late filing that would warrant </w:t>
      </w:r>
      <w:r w:rsidRPr="0598D058">
        <w:t>special consideration.</w:t>
      </w:r>
      <w:r>
        <w:rPr>
          <w:rStyle w:val="FootnoteReference"/>
        </w:rPr>
        <w:footnoteReference w:id="14"/>
      </w:r>
      <w:r w:rsidRPr="0598D058">
        <w:t xml:space="preserve">  The Commission also has stated that turnover in recordkeeping personnel, failure to check computer records, or simple forgetfulness are not valid excuses for failure to file a timely renewal application.</w:t>
      </w:r>
      <w:r>
        <w:rPr>
          <w:rStyle w:val="FootnoteReference"/>
        </w:rPr>
        <w:footnoteReference w:id="15"/>
      </w:r>
      <w:r w:rsidRPr="0041110A">
        <w:rPr>
          <w:szCs w:val="22"/>
        </w:rPr>
        <w:t xml:space="preserve">  </w:t>
      </w:r>
    </w:p>
    <w:p w:rsidR="00F53D79" w:rsidP="00F53D79" w14:paraId="6C8829C5" w14:textId="5917280F">
      <w:pPr>
        <w:pStyle w:val="ParaNum"/>
        <w:widowControl/>
      </w:pPr>
      <w:r>
        <w:t xml:space="preserve">If the City desires to continue operating under the parameters formerly set forth under call sign </w:t>
      </w:r>
      <w:r>
        <w:rPr>
          <w:szCs w:val="22"/>
        </w:rPr>
        <w:t>WQKY922</w:t>
      </w:r>
      <w:r>
        <w:t xml:space="preserve">, it </w:t>
      </w:r>
      <w:r w:rsidRPr="00C23EFD">
        <w:t>m</w:t>
      </w:r>
      <w:r>
        <w:t>ust</w:t>
      </w:r>
      <w:r w:rsidRPr="00C23EFD">
        <w:t xml:space="preserve"> file a new, </w:t>
      </w:r>
      <w:r>
        <w:t>properly coordinated</w:t>
      </w:r>
      <w:r w:rsidRPr="00C23EFD">
        <w:t xml:space="preserve"> application.  In addition, if </w:t>
      </w:r>
      <w:r>
        <w:t xml:space="preserve">the City </w:t>
      </w:r>
      <w:r w:rsidRPr="00C23EFD">
        <w:t xml:space="preserve">needs to operate while </w:t>
      </w:r>
      <w:r>
        <w:t>the</w:t>
      </w:r>
      <w:r w:rsidRPr="00C23EFD">
        <w:t xml:space="preserve"> application is pending with the Commission, it m</w:t>
      </w:r>
      <w:r>
        <w:t>ust</w:t>
      </w:r>
      <w:r w:rsidRPr="00C23EFD">
        <w:t xml:space="preserve"> </w:t>
      </w:r>
      <w:r>
        <w:t xml:space="preserve">immediately </w:t>
      </w:r>
      <w:r w:rsidRPr="00C23EFD">
        <w:t xml:space="preserve">file a request for </w:t>
      </w:r>
      <w:r>
        <w:t xml:space="preserve">special temporary authority </w:t>
      </w:r>
      <w:r w:rsidRPr="00C23EFD">
        <w:t xml:space="preserve">in </w:t>
      </w:r>
      <w:r>
        <w:t>accordance with Section 1.931</w:t>
      </w:r>
      <w:r w:rsidRPr="00C23EFD">
        <w:t xml:space="preserve"> of the Commission’s rules.</w:t>
      </w:r>
      <w:r>
        <w:rPr>
          <w:rStyle w:val="FootnoteReference"/>
        </w:rPr>
        <w:footnoteReference w:id="16"/>
      </w:r>
      <w:r>
        <w:t xml:space="preserve"> </w:t>
      </w:r>
    </w:p>
    <w:p w:rsidR="006063ED" w:rsidP="006063ED" w14:paraId="284B75DB" w14:textId="706D50A1">
      <w:pPr>
        <w:pStyle w:val="ParaNum"/>
      </w:pPr>
      <w:r>
        <w:t xml:space="preserve">Accordingly, </w:t>
      </w:r>
      <w:r w:rsidRPr="181A6998">
        <w:rPr>
          <w:b/>
          <w:bCs/>
        </w:rPr>
        <w:t xml:space="preserve">IT IS ORDERED </w:t>
      </w:r>
      <w:r>
        <w:t>pursuant to Section 4(</w:t>
      </w:r>
      <w:r>
        <w:t>i</w:t>
      </w:r>
      <w:r>
        <w:t>) of the Communications Act of 1934, as amended, 47 U.S.C. § 154(</w:t>
      </w:r>
      <w:r>
        <w:t>i</w:t>
      </w:r>
      <w:r>
        <w:t>), and Section 1.925 of the Commission's Rules, 47 CFR § 1.925, that the waiver request submitted by the City of Lorain</w:t>
      </w:r>
      <w:r w:rsidRPr="181A6998">
        <w:rPr>
          <w:rFonts w:eastAsia="Calibri"/>
        </w:rPr>
        <w:t xml:space="preserve"> </w:t>
      </w:r>
      <w:r>
        <w:t xml:space="preserve">on December 17, 2019, IS DENIED.  </w:t>
      </w:r>
    </w:p>
    <w:p w:rsidR="006063ED" w:rsidP="006063ED" w14:paraId="3EB76C6B" w14:textId="408F31A6">
      <w:pPr>
        <w:pStyle w:val="ParaNum"/>
      </w:pPr>
      <w:r w:rsidRPr="181A6998">
        <w:rPr>
          <w:b/>
          <w:bCs/>
        </w:rPr>
        <w:t>IT IS FURTHER ORDERED</w:t>
      </w:r>
      <w:r>
        <w:t xml:space="preserve"> that license</w:t>
      </w:r>
      <w:r>
        <w:t xml:space="preserve"> renewal application, FCC File number 0008917144</w:t>
      </w:r>
      <w:r w:rsidR="1CDD329D">
        <w:t xml:space="preserve"> </w:t>
      </w:r>
      <w:r w:rsidRPr="181A6998" w:rsidR="1CDD329D">
        <w:rPr>
          <w:b/>
          <w:bCs/>
        </w:rPr>
        <w:t>IS DISMISSED.</w:t>
      </w:r>
      <w:r w:rsidR="1CDD329D">
        <w:t xml:space="preserve"> </w:t>
      </w:r>
    </w:p>
    <w:p w:rsidR="006063ED" w:rsidP="006063ED" w14:paraId="1DC71678" w14:textId="77777777">
      <w:pPr>
        <w:pStyle w:val="ParaNum"/>
      </w:pPr>
      <w:r w:rsidRPr="181A6998">
        <w:rPr>
          <w:b/>
          <w:bCs/>
        </w:rPr>
        <w:t>IT IS FURTHER ORDERED</w:t>
      </w:r>
      <w:r>
        <w:t xml:space="preserve"> that the modification application FCC File number 0008917126</w:t>
      </w:r>
      <w:r w:rsidR="00F53D79">
        <w:t xml:space="preserve"> </w:t>
      </w:r>
      <w:r w:rsidRPr="181A6998" w:rsidR="00F53D79">
        <w:rPr>
          <w:b/>
          <w:bCs/>
        </w:rPr>
        <w:t>IS DISMISSED AS MOOT</w:t>
      </w:r>
      <w:r w:rsidR="00F53D79">
        <w:t>.</w:t>
      </w:r>
    </w:p>
    <w:p w:rsidR="006063ED" w:rsidRPr="0041110A" w:rsidP="006063ED" w14:paraId="79B5CC03" w14:textId="77777777">
      <w:pPr>
        <w:pStyle w:val="ParaNum"/>
      </w:pPr>
      <w:r w:rsidRPr="181A6998">
        <w:rPr>
          <w:rFonts w:eastAsia="Calibri"/>
        </w:rPr>
        <w:t>This action is taken under delegated authority pursuant to Sections 0.191 and 0.392 of the</w:t>
      </w:r>
      <w:r>
        <w:t xml:space="preserve"> </w:t>
      </w:r>
      <w:r w:rsidRPr="181A6998">
        <w:rPr>
          <w:rFonts w:eastAsia="Calibri"/>
        </w:rPr>
        <w:t>Commission’s rules, 47 CFR §§ 0.191, 0.392.</w:t>
      </w:r>
    </w:p>
    <w:p w:rsidR="006063ED" w:rsidRPr="00E01933" w:rsidP="006063ED" w14:paraId="4E6087CC" w14:textId="77777777">
      <w:pPr>
        <w:rPr>
          <w:szCs w:val="22"/>
        </w:rPr>
      </w:pPr>
    </w:p>
    <w:p w:rsidR="006063ED" w:rsidRPr="00E01933" w:rsidP="006063ED" w14:paraId="68468EEC" w14:textId="77777777">
      <w:pPr>
        <w:tabs>
          <w:tab w:val="left" w:pos="-1440"/>
          <w:tab w:val="left" w:pos="-720"/>
          <w:tab w:val="left" w:pos="3240"/>
          <w:tab w:val="left" w:pos="3600"/>
          <w:tab w:val="left" w:pos="11970"/>
        </w:tabs>
        <w:suppressAutoHyphens/>
        <w:rPr>
          <w:spacing w:val="-2"/>
          <w:szCs w:val="22"/>
        </w:rPr>
      </w:pPr>
      <w:r w:rsidRPr="00E01933">
        <w:rPr>
          <w:spacing w:val="-2"/>
          <w:szCs w:val="22"/>
        </w:rPr>
        <w:tab/>
      </w:r>
      <w:r w:rsidRPr="00E01933">
        <w:rPr>
          <w:spacing w:val="-2"/>
          <w:szCs w:val="22"/>
        </w:rPr>
        <w:tab/>
        <w:t>FEDERAL COMMUNICATIONS COMMISSION</w:t>
      </w:r>
    </w:p>
    <w:p w:rsidR="006063ED" w:rsidRPr="00E01933" w:rsidP="006063ED" w14:paraId="75E5F090" w14:textId="77777777">
      <w:pPr>
        <w:tabs>
          <w:tab w:val="left" w:pos="-1440"/>
          <w:tab w:val="left" w:pos="-720"/>
        </w:tabs>
        <w:suppressAutoHyphens/>
        <w:ind w:firstLine="3945"/>
        <w:rPr>
          <w:spacing w:val="-2"/>
          <w:szCs w:val="22"/>
        </w:rPr>
      </w:pPr>
    </w:p>
    <w:p w:rsidR="006063ED" w:rsidRPr="00E01933" w:rsidP="006063ED" w14:paraId="114AB5AF" w14:textId="77777777">
      <w:pPr>
        <w:tabs>
          <w:tab w:val="left" w:pos="-1440"/>
          <w:tab w:val="left" w:pos="-720"/>
        </w:tabs>
        <w:suppressAutoHyphens/>
        <w:jc w:val="both"/>
        <w:rPr>
          <w:spacing w:val="-2"/>
          <w:szCs w:val="22"/>
        </w:rPr>
      </w:pPr>
    </w:p>
    <w:p w:rsidR="006063ED" w:rsidRPr="00E01933" w:rsidP="006063ED" w14:paraId="7A28A74E" w14:textId="77777777">
      <w:pPr>
        <w:tabs>
          <w:tab w:val="left" w:pos="-1440"/>
          <w:tab w:val="left" w:pos="-720"/>
        </w:tabs>
        <w:suppressAutoHyphens/>
        <w:jc w:val="both"/>
        <w:rPr>
          <w:spacing w:val="-2"/>
          <w:szCs w:val="22"/>
        </w:rPr>
      </w:pPr>
    </w:p>
    <w:p w:rsidR="006063ED" w:rsidRPr="00E01933" w:rsidP="006063ED" w14:paraId="04A7460A" w14:textId="77777777">
      <w:pPr>
        <w:tabs>
          <w:tab w:val="left" w:pos="-1440"/>
          <w:tab w:val="left" w:pos="-720"/>
        </w:tabs>
        <w:suppressAutoHyphens/>
        <w:jc w:val="both"/>
        <w:rPr>
          <w:spacing w:val="-2"/>
          <w:szCs w:val="22"/>
        </w:rPr>
      </w:pPr>
      <w:r w:rsidRPr="00E01933">
        <w:rPr>
          <w:spacing w:val="-2"/>
          <w:szCs w:val="22"/>
        </w:rPr>
        <w:tab/>
      </w:r>
      <w:r w:rsidRPr="00E01933">
        <w:rPr>
          <w:spacing w:val="-2"/>
          <w:szCs w:val="22"/>
        </w:rPr>
        <w:tab/>
      </w:r>
      <w:r w:rsidRPr="00E01933">
        <w:rPr>
          <w:spacing w:val="-2"/>
          <w:szCs w:val="22"/>
        </w:rPr>
        <w:tab/>
      </w:r>
      <w:r w:rsidRPr="00E01933">
        <w:rPr>
          <w:spacing w:val="-2"/>
          <w:szCs w:val="22"/>
        </w:rPr>
        <w:tab/>
      </w:r>
      <w:r w:rsidRPr="00E01933">
        <w:rPr>
          <w:spacing w:val="-2"/>
          <w:szCs w:val="22"/>
        </w:rPr>
        <w:tab/>
        <w:t xml:space="preserve">Michael J. Wilhelm </w:t>
      </w:r>
    </w:p>
    <w:p w:rsidR="006063ED" w:rsidRPr="00E01933" w:rsidP="006063ED" w14:paraId="203693EC" w14:textId="77777777">
      <w:pPr>
        <w:tabs>
          <w:tab w:val="left" w:pos="-1440"/>
          <w:tab w:val="left" w:pos="-720"/>
        </w:tabs>
        <w:suppressAutoHyphens/>
        <w:jc w:val="both"/>
        <w:rPr>
          <w:spacing w:val="-2"/>
          <w:szCs w:val="22"/>
        </w:rPr>
      </w:pPr>
      <w:r>
        <w:rPr>
          <w:spacing w:val="-2"/>
          <w:szCs w:val="22"/>
        </w:rPr>
        <w:tab/>
      </w:r>
      <w:r>
        <w:rPr>
          <w:spacing w:val="-2"/>
          <w:szCs w:val="22"/>
        </w:rPr>
        <w:tab/>
      </w:r>
      <w:r>
        <w:rPr>
          <w:spacing w:val="-2"/>
          <w:szCs w:val="22"/>
        </w:rPr>
        <w:tab/>
      </w:r>
      <w:r>
        <w:rPr>
          <w:spacing w:val="-2"/>
          <w:szCs w:val="22"/>
        </w:rPr>
        <w:tab/>
      </w:r>
      <w:r>
        <w:rPr>
          <w:spacing w:val="-2"/>
          <w:szCs w:val="22"/>
        </w:rPr>
        <w:tab/>
      </w:r>
      <w:r w:rsidRPr="00E01933">
        <w:rPr>
          <w:spacing w:val="-2"/>
          <w:szCs w:val="22"/>
        </w:rPr>
        <w:t>Chief, Policy and Licensing Division</w:t>
      </w:r>
    </w:p>
    <w:p w:rsidR="006063ED" w:rsidP="006063ED" w14:paraId="68D5979A" w14:textId="77777777">
      <w:pPr>
        <w:tabs>
          <w:tab w:val="left" w:pos="-1440"/>
          <w:tab w:val="left" w:pos="-720"/>
        </w:tabs>
        <w:suppressAutoHyphens/>
        <w:jc w:val="both"/>
        <w:rPr>
          <w:szCs w:val="22"/>
        </w:rPr>
      </w:pPr>
      <w:r w:rsidRPr="00E01933">
        <w:rPr>
          <w:szCs w:val="22"/>
        </w:rPr>
        <w:tab/>
      </w:r>
      <w:r w:rsidRPr="00E01933">
        <w:rPr>
          <w:szCs w:val="22"/>
        </w:rPr>
        <w:tab/>
      </w:r>
      <w:r w:rsidRPr="00E01933">
        <w:rPr>
          <w:szCs w:val="22"/>
        </w:rPr>
        <w:tab/>
      </w:r>
      <w:r w:rsidRPr="00E01933">
        <w:rPr>
          <w:szCs w:val="22"/>
        </w:rPr>
        <w:tab/>
      </w:r>
      <w:r w:rsidRPr="00E01933">
        <w:rPr>
          <w:szCs w:val="22"/>
        </w:rPr>
        <w:tab/>
        <w:t>Public Safety and Homeland Security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B96E91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778D0D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557265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B67A9F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81CFFC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542C9" w14:paraId="582910A4" w14:textId="77777777">
      <w:r>
        <w:separator/>
      </w:r>
    </w:p>
  </w:footnote>
  <w:footnote w:type="continuationSeparator" w:id="1">
    <w:p w:rsidR="00B542C9" w:rsidP="00C721AC" w14:paraId="007AD1D4" w14:textId="77777777">
      <w:pPr>
        <w:spacing w:before="120"/>
        <w:rPr>
          <w:sz w:val="20"/>
        </w:rPr>
      </w:pPr>
      <w:r>
        <w:rPr>
          <w:sz w:val="20"/>
        </w:rPr>
        <w:t xml:space="preserve">(Continued from previous page)  </w:t>
      </w:r>
      <w:r>
        <w:rPr>
          <w:sz w:val="20"/>
        </w:rPr>
        <w:separator/>
      </w:r>
    </w:p>
  </w:footnote>
  <w:footnote w:type="continuationNotice" w:id="2">
    <w:p w:rsidR="00B542C9" w:rsidP="00C721AC" w14:paraId="1161F279" w14:textId="77777777">
      <w:pPr>
        <w:jc w:val="right"/>
        <w:rPr>
          <w:sz w:val="20"/>
        </w:rPr>
      </w:pPr>
      <w:r>
        <w:rPr>
          <w:sz w:val="20"/>
        </w:rPr>
        <w:t>(continued….)</w:t>
      </w:r>
    </w:p>
  </w:footnote>
  <w:footnote w:id="3">
    <w:p w:rsidR="00DF5A85" w14:paraId="7AD14102" w14:textId="77777777">
      <w:pPr>
        <w:pStyle w:val="FootnoteText"/>
      </w:pPr>
      <w:r>
        <w:rPr>
          <w:rStyle w:val="FootnoteReference"/>
        </w:rPr>
        <w:footnoteRef/>
      </w:r>
      <w:r>
        <w:t xml:space="preserve"> </w:t>
      </w:r>
      <w:r w:rsidRPr="00DF5A85">
        <w:rPr>
          <w:i/>
          <w:iCs/>
        </w:rPr>
        <w:t>See</w:t>
      </w:r>
      <w:r>
        <w:t xml:space="preserve"> FCC File No. 0008917144 (dated Dec. 17, 2019) and Letter from Karen M. </w:t>
      </w:r>
      <w:r>
        <w:t>Kruke</w:t>
      </w:r>
      <w:r>
        <w:t>, License Tech., Vasu Communications, Inc. to FCC (dated Dec. 1, 2019) (Waiver Request).</w:t>
      </w:r>
    </w:p>
  </w:footnote>
  <w:footnote w:id="4">
    <w:p w:rsidR="00DF5A85" w:rsidRPr="00DF5A85" w14:paraId="48B7F013" w14:textId="77777777">
      <w:pPr>
        <w:pStyle w:val="FootnoteText"/>
      </w:pPr>
      <w:r>
        <w:rPr>
          <w:rStyle w:val="FootnoteReference"/>
        </w:rPr>
        <w:footnoteRef/>
      </w:r>
      <w:r>
        <w:t xml:space="preserve"> </w:t>
      </w:r>
      <w:r>
        <w:rPr>
          <w:i/>
          <w:iCs/>
        </w:rPr>
        <w:t>See</w:t>
      </w:r>
      <w:r>
        <w:t xml:space="preserve"> FCC File No. 0008917126 (dated Dec. 17, 2019).</w:t>
      </w:r>
    </w:p>
  </w:footnote>
  <w:footnote w:id="5">
    <w:p w:rsidR="00FC5CDF" w:rsidRPr="00CF4971" w:rsidP="00FC5CDF" w14:paraId="5381D69A" w14:textId="77777777">
      <w:pPr>
        <w:pStyle w:val="FootnoteText"/>
        <w:spacing w:line="276" w:lineRule="auto"/>
      </w:pPr>
      <w:r w:rsidRPr="002D1B49">
        <w:rPr>
          <w:rStyle w:val="FootnoteReference"/>
        </w:rPr>
        <w:footnoteRef/>
      </w:r>
      <w:r w:rsidRPr="002D1B49">
        <w:t xml:space="preserve"> </w:t>
      </w:r>
      <w:r w:rsidRPr="005059B8">
        <w:rPr>
          <w:rFonts w:eastAsia="Calibri"/>
          <w:i/>
          <w:iCs/>
        </w:rPr>
        <w:t xml:space="preserve">See </w:t>
      </w:r>
      <w:r w:rsidRPr="005059B8">
        <w:rPr>
          <w:rFonts w:eastAsia="Calibri"/>
        </w:rPr>
        <w:t xml:space="preserve">Renewal Reminder Notice, FCC Reference No. </w:t>
      </w:r>
      <w:r>
        <w:rPr>
          <w:rFonts w:eastAsia="Calibri"/>
        </w:rPr>
        <w:t>6536329</w:t>
      </w:r>
      <w:r w:rsidRPr="005059B8">
        <w:rPr>
          <w:rFonts w:eastAsia="Calibri"/>
        </w:rPr>
        <w:t xml:space="preserve"> (dated </w:t>
      </w:r>
      <w:r>
        <w:rPr>
          <w:rFonts w:eastAsia="Calibri"/>
        </w:rPr>
        <w:t>Aug</w:t>
      </w:r>
      <w:r w:rsidRPr="005059B8">
        <w:rPr>
          <w:rFonts w:eastAsia="Calibri"/>
        </w:rPr>
        <w:t xml:space="preserve">. </w:t>
      </w:r>
      <w:r>
        <w:rPr>
          <w:rFonts w:eastAsia="Calibri"/>
        </w:rPr>
        <w:t>5, 2019</w:t>
      </w:r>
      <w:r w:rsidRPr="005059B8">
        <w:rPr>
          <w:rFonts w:eastAsia="Calibri"/>
        </w:rPr>
        <w:t>).</w:t>
      </w:r>
    </w:p>
  </w:footnote>
  <w:footnote w:id="6">
    <w:p w:rsidR="00FC5CDF" w:rsidP="00FC5CDF" w14:paraId="3712B9A6" w14:textId="77777777">
      <w:pPr>
        <w:pStyle w:val="FootnoteText"/>
      </w:pPr>
      <w:r>
        <w:rPr>
          <w:rStyle w:val="FootnoteReference"/>
        </w:rPr>
        <w:footnoteRef/>
      </w:r>
      <w:r>
        <w:t xml:space="preserve"> 47 CFR § 1.955(a)(1) (“</w:t>
      </w:r>
      <w:r>
        <w:rPr>
          <w:rFonts w:ascii="Open Sans" w:hAnsi="Open Sans"/>
        </w:rPr>
        <w:t>Authorizations automatically terminate, without specific Commission action, on the expiration date specified therein, unless a timely application for renewal is filed.”</w:t>
      </w:r>
      <w:r>
        <w:t>).</w:t>
      </w:r>
    </w:p>
  </w:footnote>
  <w:footnote w:id="7">
    <w:p w:rsidR="00FC5CDF" w:rsidRPr="00CF4971" w:rsidP="00FC5CDF" w14:paraId="6468D7C4" w14:textId="77777777">
      <w:pPr>
        <w:pStyle w:val="FootnoteText"/>
        <w:spacing w:line="276" w:lineRule="auto"/>
      </w:pPr>
      <w:r w:rsidRPr="00CF4971">
        <w:rPr>
          <w:rStyle w:val="FootnoteReference"/>
        </w:rPr>
        <w:footnoteRef/>
      </w:r>
      <w:r w:rsidRPr="00CF4971">
        <w:t xml:space="preserve"> </w:t>
      </w:r>
      <w:r w:rsidRPr="005059B8">
        <w:rPr>
          <w:rFonts w:eastAsia="Calibri"/>
        </w:rPr>
        <w:t>47 CFR § 1.949.</w:t>
      </w:r>
    </w:p>
  </w:footnote>
  <w:footnote w:id="8">
    <w:p w:rsidR="00FC5CDF" w:rsidRPr="00CF4971" w:rsidP="00FC5CDF" w14:paraId="252A5877" w14:textId="77777777">
      <w:pPr>
        <w:pStyle w:val="FootnoteText"/>
        <w:spacing w:line="276" w:lineRule="auto"/>
      </w:pPr>
      <w:r w:rsidRPr="00CF4971">
        <w:rPr>
          <w:rStyle w:val="FootnoteReference"/>
        </w:rPr>
        <w:footnoteRef/>
      </w:r>
      <w:r w:rsidRPr="00CF4971">
        <w:t xml:space="preserve"> </w:t>
      </w:r>
      <w:r w:rsidRPr="005059B8">
        <w:rPr>
          <w:rFonts w:eastAsia="Calibri"/>
          <w:i/>
          <w:iCs/>
        </w:rPr>
        <w:t xml:space="preserve">See </w:t>
      </w:r>
      <w:r w:rsidRPr="005059B8">
        <w:rPr>
          <w:rFonts w:eastAsia="Calibri"/>
        </w:rPr>
        <w:t>Waiver Request.</w:t>
      </w:r>
    </w:p>
  </w:footnote>
  <w:footnote w:id="9">
    <w:p w:rsidR="00FC5CDF" w:rsidP="00FC5CDF" w14:paraId="64909409" w14:textId="77777777">
      <w:pPr>
        <w:pStyle w:val="FootnoteText"/>
      </w:pPr>
      <w:r>
        <w:rPr>
          <w:rStyle w:val="FootnoteReference"/>
        </w:rPr>
        <w:footnoteRef/>
      </w:r>
      <w:r>
        <w:t xml:space="preserve"> </w:t>
      </w:r>
      <w:r w:rsidRPr="009069DD">
        <w:rPr>
          <w:i/>
          <w:iCs/>
        </w:rPr>
        <w:t>Id</w:t>
      </w:r>
      <w:r w:rsidRPr="009069DD">
        <w:t>.</w:t>
      </w:r>
    </w:p>
  </w:footnote>
  <w:footnote w:id="10">
    <w:p w:rsidR="006063ED" w:rsidRPr="00D26737" w:rsidP="006063ED" w14:paraId="198C1010" w14:textId="77777777">
      <w:pPr>
        <w:pStyle w:val="FootnoteText"/>
      </w:pPr>
      <w:r w:rsidRPr="00D26737">
        <w:rPr>
          <w:rStyle w:val="FootnoteReference"/>
        </w:rPr>
        <w:footnoteRef/>
      </w:r>
      <w:r w:rsidRPr="00D26737">
        <w:t xml:space="preserve"> </w:t>
      </w:r>
      <w:r w:rsidRPr="00D26737">
        <w:rPr>
          <w:i/>
        </w:rPr>
        <w:t>See Biennial Regulatory Review – Amendment of Parts 0, 1, 13, 22, 24, 26, 27, 80, 87, 90, 95, and 101 of the Commission’s Rules to Facilitate Development and Use of the Universal Licensing System in the Wireless Telecommunications Service</w:t>
      </w:r>
      <w:r w:rsidRPr="00D26737">
        <w:t>, Memorandum Opinion and Order on Reconsideration, 14 FCC Rcd 11476 (1999) (</w:t>
      </w:r>
      <w:r w:rsidRPr="00D26737">
        <w:rPr>
          <w:i/>
        </w:rPr>
        <w:t>ULS MO&amp;O</w:t>
      </w:r>
      <w:r w:rsidRPr="00D26737">
        <w:t>).</w:t>
      </w:r>
    </w:p>
  </w:footnote>
  <w:footnote w:id="11">
    <w:p w:rsidR="006063ED" w:rsidRPr="00D26737" w:rsidP="006063ED" w14:paraId="2D50F3C8" w14:textId="77777777">
      <w:pPr>
        <w:pStyle w:val="FootnoteText"/>
        <w:jc w:val="both"/>
      </w:pPr>
      <w:r w:rsidRPr="00D26737">
        <w:rPr>
          <w:rStyle w:val="FootnoteReference"/>
        </w:rPr>
        <w:footnoteRef/>
      </w:r>
      <w:r w:rsidRPr="00D26737">
        <w:t xml:space="preserve"> </w:t>
      </w:r>
      <w:r w:rsidRPr="00D26737">
        <w:rPr>
          <w:i/>
        </w:rPr>
        <w:t>See id.</w:t>
      </w:r>
      <w:r w:rsidRPr="00D26737">
        <w:t xml:space="preserve"> at 11485 para. 22.</w:t>
      </w:r>
    </w:p>
  </w:footnote>
  <w:footnote w:id="12">
    <w:p w:rsidR="006063ED" w:rsidRPr="00D26737" w:rsidP="006063ED" w14:paraId="15A4FB74" w14:textId="77777777">
      <w:pPr>
        <w:pStyle w:val="FootnoteText"/>
        <w:jc w:val="both"/>
      </w:pPr>
      <w:r w:rsidRPr="00D26737">
        <w:rPr>
          <w:rStyle w:val="FootnoteReference"/>
        </w:rPr>
        <w:footnoteRef/>
      </w:r>
      <w:r w:rsidRPr="00D26737">
        <w:t xml:space="preserve"> </w:t>
      </w:r>
      <w:r w:rsidRPr="00E50257">
        <w:rPr>
          <w:i/>
        </w:rPr>
        <w:t>Id</w:t>
      </w:r>
      <w:r w:rsidRPr="00E50257">
        <w:t>.</w:t>
      </w:r>
      <w:r>
        <w:t xml:space="preserve"> </w:t>
      </w:r>
    </w:p>
  </w:footnote>
  <w:footnote w:id="13">
    <w:p w:rsidR="006063ED" w:rsidRPr="00D26737" w:rsidP="006063ED" w14:paraId="754F42AA" w14:textId="77777777">
      <w:pPr>
        <w:pStyle w:val="FootnoteText"/>
        <w:jc w:val="both"/>
      </w:pPr>
      <w:r w:rsidRPr="00D26737">
        <w:rPr>
          <w:rStyle w:val="FootnoteReference"/>
        </w:rPr>
        <w:footnoteRef/>
      </w:r>
      <w:r>
        <w:rPr>
          <w:i/>
        </w:rPr>
        <w:t xml:space="preserve"> </w:t>
      </w:r>
      <w:r w:rsidRPr="005C4E5E">
        <w:rPr>
          <w:i/>
        </w:rPr>
        <w:t>Id.</w:t>
      </w:r>
      <w:r>
        <w:t xml:space="preserve"> </w:t>
      </w:r>
    </w:p>
  </w:footnote>
  <w:footnote w:id="14">
    <w:p w:rsidR="006063ED" w:rsidRPr="00D26737" w:rsidP="006063ED" w14:paraId="7CBD766E" w14:textId="77777777">
      <w:pPr>
        <w:pStyle w:val="FootnoteText"/>
      </w:pPr>
      <w:r w:rsidRPr="00D26737">
        <w:rPr>
          <w:rStyle w:val="FootnoteReference"/>
        </w:rPr>
        <w:footnoteRef/>
      </w:r>
      <w:r w:rsidRPr="00D26737">
        <w:t xml:space="preserve"> </w:t>
      </w:r>
      <w:r w:rsidRPr="00D26737">
        <w:rPr>
          <w:i/>
        </w:rPr>
        <w:t>See</w:t>
      </w:r>
      <w:r w:rsidRPr="00D26737">
        <w:t xml:space="preserve"> </w:t>
      </w:r>
      <w:r w:rsidRPr="0041110A">
        <w:rPr>
          <w:i/>
        </w:rPr>
        <w:t>Amendment of Parts 1 and 90 of the Commission’s Rules Concerning the Construction, Licensing and Operation of Private Land Mobile Radio Stations</w:t>
      </w:r>
      <w:r w:rsidRPr="00D26737">
        <w:t xml:space="preserve">, </w:t>
      </w:r>
      <w:r w:rsidRPr="0041110A">
        <w:t>Report and Order</w:t>
      </w:r>
      <w:r w:rsidRPr="00D26737">
        <w:t>, 6 FCC Rcd 7297, 7301 para. 20 (1991).</w:t>
      </w:r>
    </w:p>
  </w:footnote>
  <w:footnote w:id="15">
    <w:p w:rsidR="006063ED" w:rsidRPr="00D26737" w:rsidP="006063ED" w14:paraId="0B7551C6" w14:textId="77777777">
      <w:pPr>
        <w:pStyle w:val="FootnoteText"/>
        <w:jc w:val="both"/>
      </w:pPr>
      <w:r w:rsidRPr="00D26737">
        <w:rPr>
          <w:rStyle w:val="FootnoteReference"/>
        </w:rPr>
        <w:footnoteRef/>
      </w:r>
      <w:r w:rsidRPr="00D26737">
        <w:t xml:space="preserve"> </w:t>
      </w:r>
      <w:r w:rsidRPr="00D26737">
        <w:rPr>
          <w:i/>
        </w:rPr>
        <w:t>See</w:t>
      </w:r>
      <w:r w:rsidRPr="00D26737">
        <w:t xml:space="preserve"> </w:t>
      </w:r>
      <w:r w:rsidRPr="00D26737">
        <w:rPr>
          <w:i/>
        </w:rPr>
        <w:t>ULS MO&amp;O</w:t>
      </w:r>
      <w:r w:rsidRPr="00D26737">
        <w:t>, 14 FCC Rcd</w:t>
      </w:r>
      <w:r w:rsidRPr="00D26737">
        <w:rPr>
          <w:i/>
        </w:rPr>
        <w:t xml:space="preserve"> </w:t>
      </w:r>
      <w:r>
        <w:t>at 11485 and</w:t>
      </w:r>
      <w:r w:rsidRPr="00D26737">
        <w:t xml:space="preserve"> n.21.</w:t>
      </w:r>
    </w:p>
  </w:footnote>
  <w:footnote w:id="16">
    <w:p w:rsidR="00F53D79" w:rsidP="00F53D79" w14:paraId="2ECEDD7E" w14:textId="77777777">
      <w:pPr>
        <w:pStyle w:val="FootnoteText"/>
      </w:pPr>
      <w:r w:rsidRPr="00CE5A4A">
        <w:rPr>
          <w:rStyle w:val="FootnoteReference"/>
        </w:rPr>
        <w:footnoteRef/>
      </w:r>
      <w:r w:rsidRPr="00CE5A4A">
        <w:t xml:space="preserve"> </w:t>
      </w:r>
      <w:r w:rsidRPr="00CE5A4A">
        <w:rPr>
          <w:i/>
        </w:rPr>
        <w:t>See</w:t>
      </w:r>
      <w:r w:rsidRPr="00CE5A4A">
        <w:t xml:space="preserve"> 47 CFR § 1.931.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5648A03" w14:textId="0F6EF9BE">
    <w:pPr>
      <w:pStyle w:val="Header"/>
      <w:rPr>
        <w:b w:val="0"/>
      </w:rPr>
    </w:pPr>
    <w:r>
      <w:tab/>
      <w:t>Federal Communications Commission</w:t>
    </w:r>
    <w:r>
      <w:tab/>
    </w:r>
    <w:r w:rsidR="00F53D79">
      <w:t>DA 20-</w:t>
    </w:r>
    <w:r w:rsidR="00E914C4">
      <w:t>1205</w:t>
    </w:r>
  </w:p>
  <w:p w:rsidR="00D25FB5" w14:paraId="7D0F585F" w14:textId="5D94D3B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0BE390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EDF10C8" w14:textId="082210A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F53D79">
      <w:rPr>
        <w:spacing w:val="-2"/>
      </w:rPr>
      <w:t>DA 20-</w:t>
    </w:r>
    <w:r w:rsidR="00E914C4">
      <w:rPr>
        <w:spacing w:val="-2"/>
      </w:rPr>
      <w:t>1205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DF0"/>
    <w:rsid w:val="00015B69"/>
    <w:rsid w:val="00036039"/>
    <w:rsid w:val="00037F90"/>
    <w:rsid w:val="000875BF"/>
    <w:rsid w:val="00096D8C"/>
    <w:rsid w:val="000C0B65"/>
    <w:rsid w:val="000E05FE"/>
    <w:rsid w:val="000E3D42"/>
    <w:rsid w:val="00122BD5"/>
    <w:rsid w:val="00133F79"/>
    <w:rsid w:val="00176C51"/>
    <w:rsid w:val="00194A66"/>
    <w:rsid w:val="001D6BCF"/>
    <w:rsid w:val="001E01CA"/>
    <w:rsid w:val="00210DF0"/>
    <w:rsid w:val="00275CF5"/>
    <w:rsid w:val="0028301F"/>
    <w:rsid w:val="00285017"/>
    <w:rsid w:val="002A2D2E"/>
    <w:rsid w:val="002C00E8"/>
    <w:rsid w:val="002D1B49"/>
    <w:rsid w:val="00343749"/>
    <w:rsid w:val="003660ED"/>
    <w:rsid w:val="00395D68"/>
    <w:rsid w:val="003B0550"/>
    <w:rsid w:val="003B694F"/>
    <w:rsid w:val="003F171C"/>
    <w:rsid w:val="0041110A"/>
    <w:rsid w:val="00412FC5"/>
    <w:rsid w:val="00422276"/>
    <w:rsid w:val="004242F1"/>
    <w:rsid w:val="00445A00"/>
    <w:rsid w:val="00451B0F"/>
    <w:rsid w:val="00460A42"/>
    <w:rsid w:val="004C2EE3"/>
    <w:rsid w:val="004E4A22"/>
    <w:rsid w:val="005059B8"/>
    <w:rsid w:val="00511968"/>
    <w:rsid w:val="0055614C"/>
    <w:rsid w:val="00566D06"/>
    <w:rsid w:val="005C4E5E"/>
    <w:rsid w:val="005E14C2"/>
    <w:rsid w:val="006063ED"/>
    <w:rsid w:val="00607BA5"/>
    <w:rsid w:val="0061180A"/>
    <w:rsid w:val="0062456A"/>
    <w:rsid w:val="00626EB6"/>
    <w:rsid w:val="00652682"/>
    <w:rsid w:val="00655D03"/>
    <w:rsid w:val="00683388"/>
    <w:rsid w:val="00683F84"/>
    <w:rsid w:val="006A6A81"/>
    <w:rsid w:val="006F7393"/>
    <w:rsid w:val="0070224F"/>
    <w:rsid w:val="007115F7"/>
    <w:rsid w:val="00785689"/>
    <w:rsid w:val="0079754B"/>
    <w:rsid w:val="007A1E6D"/>
    <w:rsid w:val="007B0EB2"/>
    <w:rsid w:val="00810B6F"/>
    <w:rsid w:val="00817081"/>
    <w:rsid w:val="00822CE0"/>
    <w:rsid w:val="00841AB1"/>
    <w:rsid w:val="008A50E8"/>
    <w:rsid w:val="008C68F1"/>
    <w:rsid w:val="009069DD"/>
    <w:rsid w:val="00921803"/>
    <w:rsid w:val="00926503"/>
    <w:rsid w:val="009726D8"/>
    <w:rsid w:val="009D7308"/>
    <w:rsid w:val="009F76DB"/>
    <w:rsid w:val="00A32C3B"/>
    <w:rsid w:val="00A45F4F"/>
    <w:rsid w:val="00A600A9"/>
    <w:rsid w:val="00AA55B7"/>
    <w:rsid w:val="00AA5B9E"/>
    <w:rsid w:val="00AB2407"/>
    <w:rsid w:val="00AB53DF"/>
    <w:rsid w:val="00AD2462"/>
    <w:rsid w:val="00B07E5C"/>
    <w:rsid w:val="00B542C9"/>
    <w:rsid w:val="00B811F7"/>
    <w:rsid w:val="00BA5DC6"/>
    <w:rsid w:val="00BA6196"/>
    <w:rsid w:val="00BC6D8C"/>
    <w:rsid w:val="00C23EFD"/>
    <w:rsid w:val="00C34006"/>
    <w:rsid w:val="00C36B4C"/>
    <w:rsid w:val="00C426B1"/>
    <w:rsid w:val="00C66160"/>
    <w:rsid w:val="00C721AC"/>
    <w:rsid w:val="00C72767"/>
    <w:rsid w:val="00C90D6A"/>
    <w:rsid w:val="00CA247E"/>
    <w:rsid w:val="00CA6D21"/>
    <w:rsid w:val="00CC72B6"/>
    <w:rsid w:val="00CE5A4A"/>
    <w:rsid w:val="00CF4971"/>
    <w:rsid w:val="00D0218D"/>
    <w:rsid w:val="00D25FB5"/>
    <w:rsid w:val="00D26737"/>
    <w:rsid w:val="00D44223"/>
    <w:rsid w:val="00DA2529"/>
    <w:rsid w:val="00DB130A"/>
    <w:rsid w:val="00DB2EBB"/>
    <w:rsid w:val="00DC10A1"/>
    <w:rsid w:val="00DC655F"/>
    <w:rsid w:val="00DD0B59"/>
    <w:rsid w:val="00DD7EBD"/>
    <w:rsid w:val="00DF5A85"/>
    <w:rsid w:val="00DF62B6"/>
    <w:rsid w:val="00E01933"/>
    <w:rsid w:val="00E07225"/>
    <w:rsid w:val="00E50257"/>
    <w:rsid w:val="00E5409F"/>
    <w:rsid w:val="00E914C4"/>
    <w:rsid w:val="00EE6488"/>
    <w:rsid w:val="00F021FA"/>
    <w:rsid w:val="00F53D79"/>
    <w:rsid w:val="00F62E97"/>
    <w:rsid w:val="00F64209"/>
    <w:rsid w:val="00F93BF5"/>
    <w:rsid w:val="00FC5CDF"/>
    <w:rsid w:val="0514C66D"/>
    <w:rsid w:val="0598D058"/>
    <w:rsid w:val="0B99557F"/>
    <w:rsid w:val="1068F947"/>
    <w:rsid w:val="15EE4563"/>
    <w:rsid w:val="181A6998"/>
    <w:rsid w:val="1B599592"/>
    <w:rsid w:val="1CDD329D"/>
    <w:rsid w:val="24E0DD08"/>
    <w:rsid w:val="2BADCB60"/>
    <w:rsid w:val="3B9A5070"/>
    <w:rsid w:val="3C920154"/>
    <w:rsid w:val="4F9D334C"/>
    <w:rsid w:val="56285928"/>
    <w:rsid w:val="7459766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BBFC2E0-AEE3-4222-9D44-81581398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UNDERRUBRIK 1-2 Char,h2 Char"/>
    <w:basedOn w:val="Normal"/>
    <w:next w:val="ParaNum"/>
    <w:autoRedefine/>
    <w:qFormat/>
    <w:rsid w:val="007A1E6D"/>
    <w:pPr>
      <w:keepNext/>
      <w:numPr>
        <w:ilvl w:val="1"/>
        <w:numId w:val="3"/>
      </w:numPr>
      <w:spacing w:after="120"/>
      <w:outlineLvl w:val="1"/>
    </w:pPr>
    <w:rPr>
      <w:b/>
    </w:rPr>
  </w:style>
  <w:style w:type="paragraph" w:styleId="Heading3">
    <w:name w:val="heading 3"/>
    <w:aliases w:val="1,1 Char,3,3 Char,31,31 Char,?? 3,?? 3 Char,Heading 3 Char,Heading 3 Char Char,Heading 3 Char1,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Heading 4 Char Char,Heading 4 Char Char Char,Heading 4 Char Char1,Heading 4 Char1,Heading 4 Char1 Char,Heading 4 Char2"/>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 Char Char,Footnote Text Char1,Footnote Text Char2 Char Char2 Char2 Char Char,Footnote Text Char4 Char Char1 Char Char,Footnote Text Char5 Char,Footnote Text Char5 Char Char"/>
    <w:link w:val="FootnoteTextChar2"/>
    <w:rsid w:val="000E3D42"/>
    <w:pPr>
      <w:spacing w:after="120"/>
    </w:pPr>
  </w:style>
  <w:style w:type="character" w:styleId="FootnoteReference">
    <w:name w:val="footnote reference"/>
    <w:aliases w:val="(NECG) Footnote Reference,Appel note de bas de p,FR,Footnote Reference/,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basedOn w:val="DefaultParagraphFont"/>
    <w:uiPriority w:val="99"/>
    <w:semiHidden/>
    <w:unhideWhenUsed/>
    <w:rsid w:val="00210DF0"/>
    <w:rPr>
      <w:color w:val="605E5C"/>
      <w:shd w:val="clear" w:color="auto" w:fill="E1DFDD"/>
    </w:rPr>
  </w:style>
  <w:style w:type="character" w:customStyle="1" w:styleId="ParaNumChar">
    <w:name w:val="ParaNum Char"/>
    <w:link w:val="ParaNum"/>
    <w:uiPriority w:val="99"/>
    <w:rsid w:val="00FC5CDF"/>
    <w:rPr>
      <w:snapToGrid w:val="0"/>
      <w:kern w:val="28"/>
      <w:sz w:val="22"/>
    </w:rPr>
  </w:style>
  <w:style w:type="character" w:customStyle="1" w:styleId="FootnoteTextChar2">
    <w:name w:val="Footnote Text Char2"/>
    <w:aliases w:val="Footnote Text Char Char Char,Footnote Text Char Char Char Char Char,Footnote Text Char1 Char,Footnote Text Char2 Char Char2 Char2 Char Char Char,Footnote Text Char4 Char Char1 Char Char Char,Footnote Text Char5 Char Char1"/>
    <w:basedOn w:val="DefaultParagraphFont"/>
    <w:link w:val="FootnoteText"/>
    <w:locked/>
    <w:rsid w:val="00FC5CDF"/>
  </w:style>
  <w:style w:type="paragraph" w:styleId="BalloonText">
    <w:name w:val="Balloon Text"/>
    <w:basedOn w:val="Normal"/>
    <w:link w:val="BalloonTextChar"/>
    <w:rsid w:val="00652682"/>
    <w:rPr>
      <w:rFonts w:ascii="Segoe UI" w:hAnsi="Segoe UI" w:cs="Segoe UI"/>
      <w:sz w:val="18"/>
      <w:szCs w:val="18"/>
    </w:rPr>
  </w:style>
  <w:style w:type="character" w:customStyle="1" w:styleId="BalloonTextChar">
    <w:name w:val="Balloon Text Char"/>
    <w:basedOn w:val="DefaultParagraphFont"/>
    <w:link w:val="BalloonText"/>
    <w:rsid w:val="00652682"/>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