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B20363" w:rsidP="00013A8B" w14:paraId="2E8094C3" w14:textId="77777777">
      <w:pPr>
        <w:jc w:val="right"/>
        <w:rPr>
          <w:b/>
          <w:sz w:val="24"/>
        </w:rPr>
      </w:pPr>
      <w:r>
        <w:rPr>
          <w:b/>
          <w:sz w:val="24"/>
        </w:rPr>
        <w:t xml:space="preserve">DA </w:t>
      </w:r>
      <w:r w:rsidR="0033572B">
        <w:rPr>
          <w:b/>
          <w:sz w:val="24"/>
        </w:rPr>
        <w:t>20-1229</w:t>
      </w:r>
    </w:p>
    <w:p w:rsidR="00013A8B" w:rsidRPr="00B20363" w:rsidP="00013A8B" w14:paraId="15D7D9FB" w14:textId="77777777">
      <w:pPr>
        <w:spacing w:before="60"/>
        <w:jc w:val="right"/>
        <w:rPr>
          <w:b/>
          <w:sz w:val="24"/>
        </w:rPr>
      </w:pPr>
      <w:r>
        <w:rPr>
          <w:b/>
          <w:sz w:val="24"/>
        </w:rPr>
        <w:t xml:space="preserve">Released:  </w:t>
      </w:r>
      <w:r w:rsidR="00055749">
        <w:rPr>
          <w:b/>
          <w:sz w:val="24"/>
        </w:rPr>
        <w:t>October 16, 2020</w:t>
      </w:r>
    </w:p>
    <w:p w:rsidR="00013A8B" w:rsidP="00013A8B" w14:paraId="14D21D32" w14:textId="77777777">
      <w:pPr>
        <w:jc w:val="right"/>
        <w:rPr>
          <w:sz w:val="24"/>
        </w:rPr>
      </w:pPr>
    </w:p>
    <w:p w:rsidR="00013A8B" w:rsidRPr="00B20363" w:rsidP="00013A8B" w14:paraId="5BB6C4AE" w14:textId="77777777">
      <w:pPr>
        <w:spacing w:after="240"/>
        <w:jc w:val="center"/>
        <w:rPr>
          <w:rFonts w:ascii="Times New Roman Bold" w:hAnsi="Times New Roman Bold"/>
          <w:b/>
          <w:caps/>
          <w:sz w:val="24"/>
        </w:rPr>
      </w:pPr>
      <w:r>
        <w:rPr>
          <w:rFonts w:ascii="Times New Roman Bold" w:hAnsi="Times New Roman Bold"/>
          <w:b/>
          <w:caps/>
          <w:sz w:val="24"/>
        </w:rPr>
        <w:t xml:space="preserve">PART 90 </w:t>
      </w:r>
      <w:r>
        <w:rPr>
          <w:b/>
          <w:bCs/>
          <w:sz w:val="24"/>
          <w:szCs w:val="24"/>
        </w:rPr>
        <w:t>LICENSEES IN 3650-3700 MHz BAND ARE REQUIRED TO TRANSITION TO CITIZENS BROADBAND RADIO SERVICE BY OCTOBER 17, 2020</w:t>
      </w:r>
    </w:p>
    <w:p w:rsidR="00013A8B" w:rsidP="00013A8B" w14:paraId="0DA425EC" w14:textId="77777777">
      <w:pPr>
        <w:jc w:val="center"/>
        <w:rPr>
          <w:b/>
          <w:sz w:val="24"/>
        </w:rPr>
      </w:pPr>
      <w:r>
        <w:rPr>
          <w:b/>
          <w:sz w:val="24"/>
        </w:rPr>
        <w:t>WT Docket No. 18-353</w:t>
      </w:r>
    </w:p>
    <w:p w:rsidR="00F96F63" w:rsidP="00F96F63" w14:paraId="6D4F98FC" w14:textId="77777777">
      <w:pPr>
        <w:rPr>
          <w:sz w:val="24"/>
        </w:rPr>
      </w:pPr>
    </w:p>
    <w:p w:rsidR="00055749" w:rsidRPr="00294E77" w:rsidP="00055749" w14:paraId="21ACFBFA" w14:textId="36347759">
      <w:pPr>
        <w:tabs>
          <w:tab w:val="num" w:pos="720"/>
        </w:tabs>
        <w:rPr>
          <w:sz w:val="24"/>
          <w:szCs w:val="24"/>
        </w:rPr>
      </w:pPr>
      <w:r>
        <w:rPr>
          <w:sz w:val="24"/>
          <w:szCs w:val="24"/>
        </w:rPr>
        <w:tab/>
        <w:t>With this Public Notice, the Wireless Telecommunications Bureau (Bureau) of the Federal Communications Commission (Commission) reminds p</w:t>
      </w:r>
      <w:r w:rsidRPr="00294E77">
        <w:rPr>
          <w:sz w:val="24"/>
          <w:szCs w:val="24"/>
        </w:rPr>
        <w:t xml:space="preserve">art 90 </w:t>
      </w:r>
      <w:r>
        <w:rPr>
          <w:sz w:val="24"/>
          <w:szCs w:val="24"/>
        </w:rPr>
        <w:t xml:space="preserve">wireless broadband </w:t>
      </w:r>
      <w:r w:rsidRPr="00294E77">
        <w:rPr>
          <w:sz w:val="24"/>
          <w:szCs w:val="24"/>
        </w:rPr>
        <w:t xml:space="preserve">licensees </w:t>
      </w:r>
      <w:r>
        <w:rPr>
          <w:sz w:val="24"/>
          <w:szCs w:val="24"/>
        </w:rPr>
        <w:t>in the 3650-3700 MHz band</w:t>
      </w:r>
      <w:r>
        <w:rPr>
          <w:rStyle w:val="FootnoteReference"/>
          <w:sz w:val="24"/>
          <w:szCs w:val="24"/>
        </w:rPr>
        <w:footnoteReference w:id="3"/>
      </w:r>
      <w:r>
        <w:rPr>
          <w:sz w:val="24"/>
          <w:szCs w:val="24"/>
        </w:rPr>
        <w:t xml:space="preserve"> </w:t>
      </w:r>
      <w:r w:rsidRPr="00294E77">
        <w:rPr>
          <w:sz w:val="24"/>
          <w:szCs w:val="24"/>
        </w:rPr>
        <w:t xml:space="preserve">and other interested parties of the </w:t>
      </w:r>
      <w:r w:rsidRPr="00294E77">
        <w:rPr>
          <w:b/>
          <w:bCs/>
          <w:sz w:val="24"/>
          <w:szCs w:val="24"/>
        </w:rPr>
        <w:t>October 17, 2020</w:t>
      </w:r>
      <w:r w:rsidRPr="00294E77">
        <w:rPr>
          <w:sz w:val="24"/>
          <w:szCs w:val="24"/>
        </w:rPr>
        <w:t xml:space="preserve"> deadline for </w:t>
      </w:r>
      <w:r w:rsidR="004F5CF9">
        <w:rPr>
          <w:sz w:val="24"/>
          <w:szCs w:val="24"/>
        </w:rPr>
        <w:t xml:space="preserve">some </w:t>
      </w:r>
      <w:r w:rsidRPr="00294E77">
        <w:rPr>
          <w:sz w:val="24"/>
          <w:szCs w:val="24"/>
        </w:rPr>
        <w:t xml:space="preserve">licensees to transition their </w:t>
      </w:r>
      <w:r>
        <w:rPr>
          <w:sz w:val="24"/>
          <w:szCs w:val="24"/>
        </w:rPr>
        <w:t>p</w:t>
      </w:r>
      <w:r w:rsidRPr="00294E77">
        <w:rPr>
          <w:sz w:val="24"/>
          <w:szCs w:val="24"/>
        </w:rPr>
        <w:t xml:space="preserve">art 90 operations to </w:t>
      </w:r>
      <w:r>
        <w:rPr>
          <w:sz w:val="24"/>
          <w:szCs w:val="24"/>
        </w:rPr>
        <w:t>p</w:t>
      </w:r>
      <w:r w:rsidRPr="00294E77">
        <w:rPr>
          <w:sz w:val="24"/>
          <w:szCs w:val="24"/>
        </w:rPr>
        <w:t>art 96 operations in the 3650-3700 MHz band.</w:t>
      </w:r>
    </w:p>
    <w:p w:rsidR="00055749" w:rsidRPr="00294E77" w:rsidP="00055749" w14:paraId="044B6630" w14:textId="77777777">
      <w:pPr>
        <w:tabs>
          <w:tab w:val="num" w:pos="720"/>
        </w:tabs>
        <w:rPr>
          <w:sz w:val="24"/>
          <w:szCs w:val="24"/>
        </w:rPr>
      </w:pPr>
    </w:p>
    <w:p w:rsidR="00055749" w:rsidP="00055749" w14:paraId="5B9BF409" w14:textId="5C440B94">
      <w:pPr>
        <w:tabs>
          <w:tab w:val="num" w:pos="720"/>
        </w:tabs>
        <w:rPr>
          <w:sz w:val="24"/>
          <w:szCs w:val="24"/>
        </w:rPr>
      </w:pPr>
      <w:r>
        <w:rPr>
          <w:sz w:val="24"/>
          <w:szCs w:val="24"/>
        </w:rPr>
        <w:tab/>
      </w:r>
      <w:r w:rsidRPr="00294E77">
        <w:rPr>
          <w:sz w:val="24"/>
          <w:szCs w:val="24"/>
        </w:rPr>
        <w:t xml:space="preserve">Many licensees in the 3650-3700 MHz band were required to transition their </w:t>
      </w:r>
      <w:r>
        <w:rPr>
          <w:sz w:val="24"/>
          <w:szCs w:val="24"/>
        </w:rPr>
        <w:t>p</w:t>
      </w:r>
      <w:r w:rsidRPr="00294E77">
        <w:rPr>
          <w:sz w:val="24"/>
          <w:szCs w:val="24"/>
        </w:rPr>
        <w:t xml:space="preserve">art 90 operations to </w:t>
      </w:r>
      <w:r>
        <w:rPr>
          <w:sz w:val="24"/>
          <w:szCs w:val="24"/>
        </w:rPr>
        <w:t xml:space="preserve">part 96 Citizens </w:t>
      </w:r>
      <w:bookmarkStart w:id="0" w:name="_GoBack"/>
      <w:bookmarkEnd w:id="0"/>
      <w:r>
        <w:rPr>
          <w:sz w:val="24"/>
          <w:szCs w:val="24"/>
        </w:rPr>
        <w:t xml:space="preserve">Broadband Radio Service operations </w:t>
      </w:r>
      <w:r w:rsidRPr="00294E77">
        <w:rPr>
          <w:sz w:val="24"/>
          <w:szCs w:val="24"/>
        </w:rPr>
        <w:t>by April 17, 2020.</w:t>
      </w:r>
      <w:r>
        <w:rPr>
          <w:rStyle w:val="FootnoteReference"/>
          <w:sz w:val="24"/>
          <w:szCs w:val="24"/>
        </w:rPr>
        <w:footnoteReference w:id="4"/>
      </w:r>
      <w:r w:rsidRPr="00294E77">
        <w:rPr>
          <w:sz w:val="24"/>
          <w:szCs w:val="24"/>
        </w:rPr>
        <w:t xml:space="preserve"> </w:t>
      </w:r>
      <w:r>
        <w:rPr>
          <w:sz w:val="24"/>
          <w:szCs w:val="24"/>
        </w:rPr>
        <w:t xml:space="preserve"> </w:t>
      </w:r>
      <w:r w:rsidRPr="00294E77">
        <w:rPr>
          <w:sz w:val="24"/>
          <w:szCs w:val="24"/>
        </w:rPr>
        <w:t xml:space="preserve">On March 19, 2020, the </w:t>
      </w:r>
      <w:r>
        <w:rPr>
          <w:sz w:val="24"/>
          <w:szCs w:val="24"/>
        </w:rPr>
        <w:t xml:space="preserve">Bureau </w:t>
      </w:r>
      <w:r w:rsidRPr="00294E77">
        <w:rPr>
          <w:sz w:val="24"/>
          <w:szCs w:val="24"/>
        </w:rPr>
        <w:t xml:space="preserve">extended the deadline to October 17, 2020 for all licensees that would otherwise have had to transition such operations </w:t>
      </w:r>
      <w:r>
        <w:rPr>
          <w:sz w:val="24"/>
          <w:szCs w:val="24"/>
        </w:rPr>
        <w:t xml:space="preserve">on or </w:t>
      </w:r>
      <w:r w:rsidRPr="00294E77">
        <w:rPr>
          <w:sz w:val="24"/>
          <w:szCs w:val="24"/>
        </w:rPr>
        <w:t>between April 17, 2020 and October 17, 2020</w:t>
      </w:r>
      <w:r>
        <w:rPr>
          <w:sz w:val="24"/>
          <w:szCs w:val="24"/>
        </w:rPr>
        <w:t>,</w:t>
      </w:r>
      <w:r w:rsidRPr="00294E77">
        <w:rPr>
          <w:sz w:val="24"/>
          <w:szCs w:val="24"/>
        </w:rPr>
        <w:t xml:space="preserve"> in order to “</w:t>
      </w:r>
      <w:bookmarkStart w:id="1" w:name="_Hlk53045562"/>
      <w:r w:rsidRPr="00294E77">
        <w:rPr>
          <w:sz w:val="24"/>
          <w:szCs w:val="24"/>
        </w:rPr>
        <w:t>facilitate an orderly transition that accommodates the public interest need to maintain access to broadband and essential services during the declared state of national emergency related to the COVID-19 pandemic</w:t>
      </w:r>
      <w:bookmarkEnd w:id="1"/>
      <w:r w:rsidRPr="00294E77">
        <w:rPr>
          <w:sz w:val="24"/>
          <w:szCs w:val="24"/>
        </w:rPr>
        <w:t>.”</w:t>
      </w:r>
      <w:r>
        <w:rPr>
          <w:rStyle w:val="FootnoteReference"/>
          <w:sz w:val="24"/>
          <w:szCs w:val="24"/>
        </w:rPr>
        <w:footnoteReference w:id="5"/>
      </w:r>
    </w:p>
    <w:p w:rsidR="00055749" w:rsidP="00055749" w14:paraId="08EDEABE" w14:textId="77777777">
      <w:pPr>
        <w:tabs>
          <w:tab w:val="num" w:pos="720"/>
        </w:tabs>
        <w:rPr>
          <w:sz w:val="24"/>
          <w:szCs w:val="24"/>
        </w:rPr>
      </w:pPr>
    </w:p>
    <w:p w:rsidR="00055749" w:rsidP="00055749" w14:paraId="2A533CF6" w14:textId="77777777">
      <w:pPr>
        <w:tabs>
          <w:tab w:val="num" w:pos="720"/>
        </w:tabs>
        <w:rPr>
          <w:sz w:val="24"/>
          <w:szCs w:val="24"/>
        </w:rPr>
      </w:pPr>
      <w:r w:rsidRPr="00517078">
        <w:rPr>
          <w:b/>
          <w:bCs/>
          <w:sz w:val="24"/>
          <w:szCs w:val="24"/>
        </w:rPr>
        <w:tab/>
      </w:r>
      <w:r>
        <w:rPr>
          <w:b/>
          <w:bCs/>
          <w:sz w:val="24"/>
          <w:szCs w:val="24"/>
        </w:rPr>
        <w:t xml:space="preserve">The Deadline.  </w:t>
      </w:r>
      <w:r>
        <w:rPr>
          <w:sz w:val="24"/>
          <w:szCs w:val="24"/>
        </w:rPr>
        <w:t xml:space="preserve">Absent further extension, any licensee with a transition deadline that was affected by the Bureau’s </w:t>
      </w:r>
      <w:r>
        <w:rPr>
          <w:i/>
          <w:iCs/>
          <w:sz w:val="24"/>
          <w:szCs w:val="24"/>
        </w:rPr>
        <w:t>Extension Order</w:t>
      </w:r>
      <w:r>
        <w:rPr>
          <w:sz w:val="24"/>
          <w:szCs w:val="24"/>
        </w:rPr>
        <w:t xml:space="preserve"> will be required to complete the transition to part 96 operations or cease operating at non-transitioned sites by October 17, 2020, regardless of when its license terminates.</w:t>
      </w:r>
      <w:r>
        <w:rPr>
          <w:rStyle w:val="FootnoteReference"/>
          <w:sz w:val="24"/>
          <w:szCs w:val="24"/>
        </w:rPr>
        <w:footnoteReference w:id="6"/>
      </w:r>
      <w:r>
        <w:rPr>
          <w:sz w:val="24"/>
          <w:szCs w:val="24"/>
        </w:rPr>
        <w:t xml:space="preserve">  If such a licensee fails to transition to part 96 operations by this point, then:</w:t>
      </w:r>
    </w:p>
    <w:p w:rsidR="00055749" w:rsidP="00055749" w14:paraId="56567D36" w14:textId="77777777">
      <w:pPr>
        <w:tabs>
          <w:tab w:val="num" w:pos="720"/>
        </w:tabs>
        <w:rPr>
          <w:sz w:val="24"/>
          <w:szCs w:val="24"/>
        </w:rPr>
      </w:pPr>
    </w:p>
    <w:p w:rsidR="00055749" w:rsidP="00055749" w14:paraId="4F0E6445" w14:textId="77777777">
      <w:pPr>
        <w:pStyle w:val="ListParagraph"/>
        <w:numPr>
          <w:ilvl w:val="0"/>
          <w:numId w:val="7"/>
        </w:numPr>
        <w:spacing w:after="0" w:line="240" w:lineRule="auto"/>
        <w:rPr>
          <w:rFonts w:ascii="Times New Roman" w:hAnsi="Times New Roman"/>
          <w:sz w:val="24"/>
          <w:szCs w:val="24"/>
        </w:rPr>
      </w:pPr>
      <w:bookmarkStart w:id="2" w:name="_Hlk53574446"/>
      <w:r>
        <w:rPr>
          <w:rFonts w:ascii="Times New Roman" w:hAnsi="Times New Roman"/>
          <w:sz w:val="24"/>
          <w:szCs w:val="24"/>
        </w:rPr>
        <w:t>The licensee’s sites that have not transitioned are no longer authorized (unless a waiver extending the deadline is granted);</w:t>
      </w:r>
    </w:p>
    <w:p w:rsidR="00055749" w:rsidP="00055749" w14:paraId="76299B3B" w14:textId="77777777">
      <w:pPr>
        <w:pStyle w:val="ListParagraph"/>
        <w:spacing w:after="0" w:line="240" w:lineRule="auto"/>
        <w:rPr>
          <w:rFonts w:ascii="Times New Roman" w:hAnsi="Times New Roman"/>
          <w:sz w:val="24"/>
          <w:szCs w:val="24"/>
        </w:rPr>
      </w:pPr>
    </w:p>
    <w:p w:rsidR="00055749" w:rsidP="00055749" w14:paraId="3535236A" w14:textId="77777777">
      <w:pPr>
        <w:pStyle w:val="ListParagraph"/>
        <w:numPr>
          <w:ilvl w:val="0"/>
          <w:numId w:val="7"/>
        </w:numPr>
        <w:spacing w:after="0" w:line="240" w:lineRule="auto"/>
        <w:rPr>
          <w:rFonts w:ascii="Times New Roman" w:hAnsi="Times New Roman"/>
          <w:sz w:val="24"/>
          <w:szCs w:val="24"/>
        </w:rPr>
      </w:pPr>
      <w:bookmarkStart w:id="3" w:name="_Hlk53663628"/>
      <w:r>
        <w:rPr>
          <w:rFonts w:ascii="Times New Roman" w:hAnsi="Times New Roman"/>
          <w:sz w:val="24"/>
          <w:szCs w:val="24"/>
        </w:rPr>
        <w:t xml:space="preserve">The </w:t>
      </w:r>
      <w:r w:rsidRPr="000C389D">
        <w:rPr>
          <w:rFonts w:ascii="Times New Roman" w:hAnsi="Times New Roman"/>
          <w:sz w:val="24"/>
          <w:szCs w:val="24"/>
        </w:rPr>
        <w:t>JavaScript Object Notation</w:t>
      </w:r>
      <w:r>
        <w:rPr>
          <w:rFonts w:ascii="Times New Roman" w:hAnsi="Times New Roman"/>
          <w:sz w:val="24"/>
          <w:szCs w:val="24"/>
        </w:rPr>
        <w:t xml:space="preserve"> (JSON)</w:t>
      </w:r>
      <w:r w:rsidRPr="00517078">
        <w:rPr>
          <w:rFonts w:ascii="Times New Roman" w:hAnsi="Times New Roman"/>
          <w:sz w:val="24"/>
          <w:szCs w:val="24"/>
        </w:rPr>
        <w:t xml:space="preserve"> file of protected contours </w:t>
      </w:r>
      <w:r>
        <w:rPr>
          <w:rFonts w:ascii="Times New Roman" w:hAnsi="Times New Roman"/>
          <w:sz w:val="24"/>
          <w:szCs w:val="24"/>
        </w:rPr>
        <w:t xml:space="preserve">will be </w:t>
      </w:r>
      <w:r w:rsidRPr="00517078">
        <w:rPr>
          <w:rFonts w:ascii="Times New Roman" w:hAnsi="Times New Roman"/>
          <w:sz w:val="24"/>
          <w:szCs w:val="24"/>
        </w:rPr>
        <w:t xml:space="preserve">updated to reflect </w:t>
      </w:r>
      <w:r>
        <w:rPr>
          <w:rFonts w:ascii="Times New Roman" w:hAnsi="Times New Roman"/>
          <w:sz w:val="24"/>
          <w:szCs w:val="24"/>
        </w:rPr>
        <w:t xml:space="preserve">that </w:t>
      </w:r>
      <w:r w:rsidRPr="00627AD2">
        <w:rPr>
          <w:rFonts w:ascii="Times New Roman" w:hAnsi="Times New Roman"/>
          <w:sz w:val="24"/>
          <w:szCs w:val="24"/>
        </w:rPr>
        <w:t xml:space="preserve">the previously protected 3650-3700 part 90 contours </w:t>
      </w:r>
      <w:r>
        <w:rPr>
          <w:rFonts w:ascii="Times New Roman" w:hAnsi="Times New Roman"/>
          <w:sz w:val="24"/>
          <w:szCs w:val="24"/>
        </w:rPr>
        <w:t>are no longer authorized/protected (</w:t>
      </w:r>
      <w:r>
        <w:rPr>
          <w:rFonts w:ascii="Times New Roman" w:hAnsi="Times New Roman"/>
          <w:sz w:val="24"/>
          <w:szCs w:val="24"/>
        </w:rPr>
        <w:t>taking into account</w:t>
      </w:r>
      <w:r>
        <w:rPr>
          <w:rFonts w:ascii="Times New Roman" w:hAnsi="Times New Roman"/>
          <w:sz w:val="24"/>
          <w:szCs w:val="24"/>
        </w:rPr>
        <w:t xml:space="preserve"> any waivers); </w:t>
      </w:r>
      <w:bookmarkEnd w:id="3"/>
      <w:r>
        <w:rPr>
          <w:rFonts w:ascii="Times New Roman" w:hAnsi="Times New Roman"/>
          <w:sz w:val="24"/>
          <w:szCs w:val="24"/>
        </w:rPr>
        <w:t xml:space="preserve">and </w:t>
      </w:r>
      <w:r w:rsidRPr="00517078">
        <w:rPr>
          <w:rFonts w:ascii="Times New Roman" w:hAnsi="Times New Roman"/>
          <w:sz w:val="24"/>
          <w:szCs w:val="24"/>
        </w:rPr>
        <w:t xml:space="preserve">  </w:t>
      </w:r>
    </w:p>
    <w:p w:rsidR="00055749" w:rsidRPr="00517078" w:rsidP="00055749" w14:paraId="529C7272" w14:textId="77777777">
      <w:pPr>
        <w:pStyle w:val="ListParagraph"/>
        <w:spacing w:after="0" w:line="240" w:lineRule="auto"/>
        <w:rPr>
          <w:rFonts w:ascii="Times New Roman" w:hAnsi="Times New Roman"/>
          <w:sz w:val="24"/>
          <w:szCs w:val="24"/>
        </w:rPr>
      </w:pPr>
    </w:p>
    <w:p w:rsidR="00055749" w:rsidRPr="00517078" w:rsidP="00055749" w14:paraId="56DF708E" w14:textId="77777777">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Spectrum Access System (SAS) Administrators should use the updated JSON file going forward and report any unauthorized use of the 3650-3700 MHz band if an interference situation cannot be addressed between parties.</w:t>
      </w:r>
    </w:p>
    <w:bookmarkEnd w:id="2"/>
    <w:p w:rsidR="00055749" w:rsidP="00055749" w14:paraId="54EDDC10" w14:textId="77777777">
      <w:pPr>
        <w:tabs>
          <w:tab w:val="num" w:pos="720"/>
        </w:tabs>
        <w:rPr>
          <w:sz w:val="24"/>
          <w:szCs w:val="24"/>
        </w:rPr>
      </w:pPr>
    </w:p>
    <w:p w:rsidR="00055749" w:rsidRPr="000C396F" w:rsidP="00055749" w14:paraId="442041E8" w14:textId="77777777">
      <w:pPr>
        <w:ind w:firstLine="720"/>
        <w:rPr>
          <w:sz w:val="24"/>
          <w:szCs w:val="24"/>
        </w:rPr>
      </w:pPr>
      <w:r w:rsidRPr="000C396F">
        <w:rPr>
          <w:b/>
          <w:bCs/>
          <w:sz w:val="24"/>
          <w:szCs w:val="24"/>
        </w:rPr>
        <w:t>Requests for Further Extension.</w:t>
      </w:r>
      <w:r w:rsidRPr="000C396F">
        <w:rPr>
          <w:sz w:val="24"/>
          <w:szCs w:val="24"/>
        </w:rPr>
        <w:t xml:space="preserve">  We note that </w:t>
      </w:r>
      <w:r w:rsidRPr="000C396F">
        <w:rPr>
          <w:sz w:val="24"/>
          <w:szCs w:val="24"/>
        </w:rPr>
        <w:t>a number of</w:t>
      </w:r>
      <w:r w:rsidRPr="000C396F">
        <w:rPr>
          <w:sz w:val="24"/>
          <w:szCs w:val="24"/>
        </w:rPr>
        <w:t xml:space="preserve"> licensees sought a further extension of the transition period beyond October 17, 2020.</w:t>
      </w:r>
      <w:r>
        <w:rPr>
          <w:sz w:val="24"/>
          <w:szCs w:val="24"/>
          <w:vertAlign w:val="superscript"/>
        </w:rPr>
        <w:footnoteReference w:id="7"/>
      </w:r>
      <w:r w:rsidRPr="000C396F">
        <w:rPr>
          <w:sz w:val="24"/>
          <w:szCs w:val="24"/>
        </w:rPr>
        <w:t xml:space="preserve">  The requests have been evaluated on a case-by-case basis, consistent with the Commission’s usual practices,</w:t>
      </w:r>
      <w:r>
        <w:rPr>
          <w:sz w:val="24"/>
          <w:szCs w:val="24"/>
          <w:vertAlign w:val="superscript"/>
        </w:rPr>
        <w:footnoteReference w:id="8"/>
      </w:r>
      <w:r w:rsidRPr="000C396F">
        <w:rPr>
          <w:sz w:val="24"/>
          <w:szCs w:val="24"/>
        </w:rPr>
        <w:t xml:space="preserve"> and are resolved in a separate order.</w:t>
      </w:r>
      <w:r>
        <w:rPr>
          <w:sz w:val="24"/>
          <w:szCs w:val="24"/>
          <w:vertAlign w:val="superscript"/>
        </w:rPr>
        <w:footnoteReference w:id="9"/>
      </w:r>
      <w:r w:rsidRPr="000C396F">
        <w:rPr>
          <w:sz w:val="24"/>
          <w:szCs w:val="24"/>
        </w:rPr>
        <w:t xml:space="preserve">  </w:t>
      </w:r>
    </w:p>
    <w:p w:rsidR="00055749" w:rsidP="00055749" w14:paraId="248D30EF" w14:textId="77777777">
      <w:pPr>
        <w:tabs>
          <w:tab w:val="num" w:pos="720"/>
        </w:tabs>
        <w:rPr>
          <w:sz w:val="24"/>
          <w:szCs w:val="24"/>
        </w:rPr>
      </w:pPr>
    </w:p>
    <w:p w:rsidR="00055749" w:rsidRPr="00517078" w:rsidP="00055749" w14:paraId="579AF785" w14:textId="77777777">
      <w:pPr>
        <w:tabs>
          <w:tab w:val="num" w:pos="720"/>
        </w:tabs>
        <w:jc w:val="center"/>
        <w:rPr>
          <w:b/>
          <w:bCs/>
          <w:sz w:val="24"/>
          <w:szCs w:val="24"/>
        </w:rPr>
      </w:pPr>
      <w:r w:rsidRPr="00517078">
        <w:rPr>
          <w:b/>
          <w:bCs/>
          <w:sz w:val="24"/>
          <w:szCs w:val="24"/>
        </w:rPr>
        <w:t>-FCC-</w:t>
      </w:r>
    </w:p>
    <w:p w:rsidR="00930ECF" w:rsidRPr="00930ECF" w:rsidP="00F96F63" w14:paraId="6F169A15"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EBC243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2C700C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72B6BE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49EE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448CD" w14:paraId="2A3220CD" w14:textId="77777777">
      <w:r>
        <w:separator/>
      </w:r>
    </w:p>
  </w:footnote>
  <w:footnote w:type="continuationSeparator" w:id="1">
    <w:p w:rsidR="00E448CD" w14:paraId="74B3974F" w14:textId="77777777">
      <w:pPr>
        <w:rPr>
          <w:sz w:val="20"/>
        </w:rPr>
      </w:pPr>
      <w:r>
        <w:rPr>
          <w:sz w:val="20"/>
        </w:rPr>
        <w:t xml:space="preserve">(Continued from previous page)  </w:t>
      </w:r>
      <w:r>
        <w:rPr>
          <w:sz w:val="20"/>
        </w:rPr>
        <w:separator/>
      </w:r>
    </w:p>
  </w:footnote>
  <w:footnote w:type="continuationNotice" w:id="2">
    <w:p w:rsidR="00E448CD" w:rsidP="00910F12" w14:paraId="02592966" w14:textId="77777777">
      <w:pPr>
        <w:jc w:val="right"/>
        <w:rPr>
          <w:sz w:val="20"/>
        </w:rPr>
      </w:pPr>
      <w:r>
        <w:rPr>
          <w:sz w:val="20"/>
        </w:rPr>
        <w:t>(continued….)</w:t>
      </w:r>
    </w:p>
  </w:footnote>
  <w:footnote w:id="3">
    <w:p w:rsidR="00055749" w:rsidRPr="00972786" w:rsidP="00055749" w14:paraId="43EB79B7" w14:textId="77777777">
      <w:pPr>
        <w:pStyle w:val="FootnoteText"/>
      </w:pPr>
      <w:r w:rsidRPr="00972786">
        <w:rPr>
          <w:rStyle w:val="FootnoteReference"/>
        </w:rPr>
        <w:footnoteRef/>
      </w:r>
      <w:r w:rsidRPr="00972786">
        <w:t xml:space="preserve"> </w:t>
      </w:r>
      <w:r w:rsidRPr="00972786">
        <w:rPr>
          <w:i/>
          <w:iCs/>
        </w:rPr>
        <w:t>See</w:t>
      </w:r>
      <w:r w:rsidRPr="00972786">
        <w:t xml:space="preserve"> 40 CFR § 90.1307(a).</w:t>
      </w:r>
    </w:p>
  </w:footnote>
  <w:footnote w:id="4">
    <w:p w:rsidR="00055749" w:rsidRPr="00517078" w:rsidP="00055749" w14:paraId="3BA930E8" w14:textId="77777777">
      <w:pPr>
        <w:pStyle w:val="FootnoteText"/>
      </w:pPr>
      <w:r w:rsidRPr="00F76567">
        <w:rPr>
          <w:rStyle w:val="FootnoteReference"/>
        </w:rPr>
        <w:footnoteRef/>
      </w:r>
      <w:r w:rsidRPr="00517078">
        <w:t xml:space="preserve"> </w:t>
      </w:r>
      <w:r w:rsidRPr="00517078">
        <w:rPr>
          <w:i/>
          <w:iCs/>
        </w:rPr>
        <w:t>See</w:t>
      </w:r>
      <w:r w:rsidRPr="00517078">
        <w:t xml:space="preserve"> </w:t>
      </w:r>
      <w:r w:rsidRPr="00517078">
        <w:rPr>
          <w:i/>
          <w:iCs/>
        </w:rPr>
        <w:t>The</w:t>
      </w:r>
      <w:r w:rsidRPr="00517078">
        <w:rPr>
          <w:i/>
          <w:iCs/>
        </w:rPr>
        <w:t xml:space="preserve"> Wireless Internet Service Providers Association and the Utilities Technology Council Request for Waiver of Sections 90.1307(c) and (d) and Sections 90.1338(a) and (b) of the Commission’s Rules</w:t>
      </w:r>
      <w:r w:rsidRPr="00517078">
        <w:t xml:space="preserve">, Order, 35 FCC </w:t>
      </w:r>
      <w:r w:rsidRPr="00517078">
        <w:t>Rcd</w:t>
      </w:r>
      <w:r w:rsidRPr="00517078">
        <w:t xml:space="preserve"> 2750 paras. 5, 12-14 (2020) (</w:t>
      </w:r>
      <w:r>
        <w:rPr>
          <w:i/>
          <w:iCs/>
        </w:rPr>
        <w:t>Extension Order</w:t>
      </w:r>
      <w:r w:rsidRPr="00517078">
        <w:t>);</w:t>
      </w:r>
      <w:r>
        <w:t xml:space="preserve"> </w:t>
      </w:r>
      <w:r w:rsidRPr="00517078">
        <w:rPr>
          <w:i/>
          <w:iCs/>
        </w:rPr>
        <w:t xml:space="preserve">Amendment of the Commission’s Rules </w:t>
      </w:r>
      <w:r w:rsidRPr="00517078">
        <w:rPr>
          <w:i/>
          <w:iCs/>
        </w:rPr>
        <w:t>with Regard to</w:t>
      </w:r>
      <w:r w:rsidRPr="00517078">
        <w:rPr>
          <w:i/>
          <w:iCs/>
        </w:rPr>
        <w:t xml:space="preserve"> Commercial Operations in the 3550-3650 MHz Band</w:t>
      </w:r>
      <w:r>
        <w:t xml:space="preserve">, Report and Order and Second Further Notice of Proposed Rulemaking, 30 FCC </w:t>
      </w:r>
      <w:r>
        <w:t>Rcd</w:t>
      </w:r>
      <w:r>
        <w:t xml:space="preserve"> 3959. 4070-80, paras. 387-412 (2015)</w:t>
      </w:r>
      <w:r w:rsidRPr="00517078">
        <w:t xml:space="preserve">.  </w:t>
      </w:r>
      <w:r w:rsidRPr="00517078">
        <w:rPr>
          <w:i/>
          <w:iCs/>
        </w:rPr>
        <w:t>See also</w:t>
      </w:r>
      <w:r w:rsidRPr="00517078">
        <w:t xml:space="preserve"> 47 CFR §§ 90.1307, 90.1311, 90.1338.</w:t>
      </w:r>
    </w:p>
  </w:footnote>
  <w:footnote w:id="5">
    <w:p w:rsidR="00055749" w:rsidRPr="00517078" w:rsidP="00055749" w14:paraId="64C5FC6F" w14:textId="77777777">
      <w:pPr>
        <w:pStyle w:val="FootnoteText"/>
      </w:pPr>
      <w:r w:rsidRPr="00517078">
        <w:rPr>
          <w:rStyle w:val="FootnoteReference"/>
        </w:rPr>
        <w:footnoteRef/>
      </w:r>
      <w:r w:rsidRPr="00517078">
        <w:t xml:space="preserve"> </w:t>
      </w:r>
      <w:r>
        <w:t xml:space="preserve">Specifically, the Bureau temporarily waived the requirements in sections 90.1307, 90.1311, 90.1338, and 96.21 of the Commission’s rules to allow affected licensees to transition by the new deadline of October 17, 2020.  </w:t>
      </w:r>
      <w:r w:rsidRPr="00517078">
        <w:rPr>
          <w:i/>
          <w:iCs/>
        </w:rPr>
        <w:t>Extension Order</w:t>
      </w:r>
      <w:r w:rsidRPr="00517078">
        <w:t xml:space="preserve">, </w:t>
      </w:r>
      <w:r>
        <w:t xml:space="preserve">35 FCC </w:t>
      </w:r>
      <w:r>
        <w:t>Rcd</w:t>
      </w:r>
      <w:r>
        <w:t xml:space="preserve"> 2750-51, 2054, </w:t>
      </w:r>
      <w:r w:rsidRPr="00517078">
        <w:t>para</w:t>
      </w:r>
      <w:r>
        <w:t>s</w:t>
      </w:r>
      <w:r w:rsidRPr="00517078">
        <w:t xml:space="preserve">. </w:t>
      </w:r>
      <w:r>
        <w:t>1-2, 9</w:t>
      </w:r>
      <w:r w:rsidRPr="00517078">
        <w:t>.</w:t>
      </w:r>
    </w:p>
  </w:footnote>
  <w:footnote w:id="6">
    <w:p w:rsidR="00055749" w:rsidRPr="0007747C" w:rsidP="00055749" w14:paraId="1A722B75" w14:textId="7CB8D897">
      <w:pPr>
        <w:pStyle w:val="FootnoteText"/>
      </w:pPr>
      <w:r w:rsidRPr="0007747C">
        <w:rPr>
          <w:rStyle w:val="FootnoteReference"/>
        </w:rPr>
        <w:footnoteRef/>
      </w:r>
      <w:r w:rsidRPr="0007747C">
        <w:t xml:space="preserve"> </w:t>
      </w:r>
      <w:r>
        <w:t xml:space="preserve">All licensees must operate in accordance with the Commission’s </w:t>
      </w:r>
      <w:r w:rsidR="00460754">
        <w:t>p</w:t>
      </w:r>
      <w:r>
        <w:t xml:space="preserve">art 96 rules at the conclusion of their transition periods.  </w:t>
      </w:r>
      <w:r w:rsidRPr="00517078">
        <w:rPr>
          <w:i/>
          <w:iCs/>
        </w:rPr>
        <w:t>See, e.g</w:t>
      </w:r>
      <w:r>
        <w:t xml:space="preserve">., </w:t>
      </w:r>
      <w:r>
        <w:rPr>
          <w:i/>
          <w:iCs/>
        </w:rPr>
        <w:t>i</w:t>
      </w:r>
      <w:r w:rsidRPr="0007747C">
        <w:rPr>
          <w:i/>
          <w:iCs/>
        </w:rPr>
        <w:t>d.</w:t>
      </w:r>
      <w:r>
        <w:rPr>
          <w:i/>
          <w:iCs/>
        </w:rPr>
        <w:t xml:space="preserve"> </w:t>
      </w:r>
      <w:r w:rsidRPr="0007747C">
        <w:t>at 27</w:t>
      </w:r>
      <w:r>
        <w:t>55</w:t>
      </w:r>
      <w:r w:rsidRPr="0007747C">
        <w:t xml:space="preserve">, para. </w:t>
      </w:r>
      <w:r w:rsidR="00460754">
        <w:t>12</w:t>
      </w:r>
      <w:r w:rsidRPr="0007747C">
        <w:t>.</w:t>
      </w:r>
    </w:p>
  </w:footnote>
  <w:footnote w:id="7">
    <w:p w:rsidR="00055749" w:rsidRPr="00C80A38" w:rsidP="00B12BC6" w14:paraId="28F9E805" w14:textId="3000B0A5">
      <w:pPr>
        <w:pStyle w:val="Footer"/>
        <w:spacing w:after="120"/>
        <w:rPr>
          <w:rFonts w:cs="Calibri"/>
          <w:sz w:val="20"/>
        </w:rPr>
      </w:pPr>
      <w:r w:rsidRPr="00C80A38">
        <w:rPr>
          <w:rStyle w:val="FootnoteReference"/>
          <w:sz w:val="20"/>
        </w:rPr>
        <w:footnoteRef/>
      </w:r>
      <w:r w:rsidRPr="00C80A38">
        <w:rPr>
          <w:sz w:val="20"/>
        </w:rPr>
        <w:t xml:space="preserve"> </w:t>
      </w:r>
      <w:r w:rsidRPr="00C80A38">
        <w:rPr>
          <w:i/>
          <w:iCs/>
          <w:sz w:val="20"/>
        </w:rPr>
        <w:t>See, e.g</w:t>
      </w:r>
      <w:r w:rsidRPr="00C80A38">
        <w:rPr>
          <w:sz w:val="20"/>
        </w:rPr>
        <w:t>.,</w:t>
      </w:r>
      <w:r w:rsidRPr="00C80A38">
        <w:rPr>
          <w:i/>
          <w:iCs/>
          <w:sz w:val="20"/>
        </w:rPr>
        <w:t xml:space="preserve"> </w:t>
      </w:r>
      <w:r w:rsidRPr="00C80A38" w:rsidR="00C80A38">
        <w:rPr>
          <w:sz w:val="20"/>
        </w:rPr>
        <w:t xml:space="preserve">Southeast Colorado Power </w:t>
      </w:r>
      <w:r w:rsidRPr="00C80A38" w:rsidR="00C80A38">
        <w:rPr>
          <w:sz w:val="20"/>
        </w:rPr>
        <w:t>Ass’n</w:t>
      </w:r>
      <w:r w:rsidRPr="00C80A38" w:rsidR="00C80A38">
        <w:rPr>
          <w:sz w:val="20"/>
        </w:rPr>
        <w:t xml:space="preserve">, Petition for Waiver, ULS File No. 0009218036 (filed Sept. 10, 2020); </w:t>
      </w:r>
      <w:r w:rsidRPr="00C80A38" w:rsidR="00C80A38">
        <w:rPr>
          <w:sz w:val="20"/>
        </w:rPr>
        <w:t>SmarterBroadband</w:t>
      </w:r>
      <w:r w:rsidRPr="00C80A38" w:rsidR="00C80A38">
        <w:rPr>
          <w:sz w:val="20"/>
        </w:rPr>
        <w:t>, Inc., Request for Limited Waiver, ULS File No. 0009250640 (filed Oct. 5, 2020).</w:t>
      </w:r>
    </w:p>
  </w:footnote>
  <w:footnote w:id="8">
    <w:p w:rsidR="00055749" w:rsidP="00B12BC6" w14:paraId="1646CA5B" w14:textId="59D1EEC3">
      <w:pPr>
        <w:pStyle w:val="FootnoteText"/>
      </w:pPr>
      <w:r w:rsidRPr="00C80A38">
        <w:rPr>
          <w:rStyle w:val="FootnoteReference"/>
          <w:sz w:val="20"/>
        </w:rPr>
        <w:footnoteRef/>
      </w:r>
      <w:r w:rsidRPr="00C80A38">
        <w:t xml:space="preserve"> </w:t>
      </w:r>
      <w:r w:rsidRPr="00C80A38">
        <w:rPr>
          <w:i/>
          <w:iCs/>
        </w:rPr>
        <w:t>Extension Order</w:t>
      </w:r>
      <w:r w:rsidRPr="00C80A38">
        <w:t>, 35</w:t>
      </w:r>
      <w:r>
        <w:t xml:space="preserve"> FCC </w:t>
      </w:r>
      <w:r>
        <w:t>Rcd</w:t>
      </w:r>
      <w:r>
        <w:t xml:space="preserve"> </w:t>
      </w:r>
      <w:r w:rsidR="00F76DDF">
        <w:t xml:space="preserve">at </w:t>
      </w:r>
      <w:r>
        <w:t xml:space="preserve">2755, para. 10.  </w:t>
      </w:r>
      <w:r>
        <w:rPr>
          <w:i/>
          <w:iCs/>
        </w:rPr>
        <w:t>See also</w:t>
      </w:r>
      <w:r>
        <w:t xml:space="preserve"> 47 CFR §§ 1.3, 1.925.</w:t>
      </w:r>
    </w:p>
  </w:footnote>
  <w:footnote w:id="9">
    <w:p w:rsidR="00055749" w:rsidP="00055749" w14:paraId="34CDC3ED" w14:textId="30B6AAE4">
      <w:pPr>
        <w:pStyle w:val="FootnoteText"/>
        <w:rPr>
          <w:rFonts w:ascii="Calibri" w:hAnsi="Calibri"/>
        </w:rPr>
      </w:pPr>
      <w:r w:rsidRPr="000C396F">
        <w:rPr>
          <w:rStyle w:val="FootnoteReference"/>
        </w:rPr>
        <w:footnoteRef/>
      </w:r>
      <w:r w:rsidRPr="000C396F">
        <w:t xml:space="preserve"> </w:t>
      </w:r>
      <w:r w:rsidRPr="000C396F">
        <w:rPr>
          <w:i/>
          <w:iCs/>
        </w:rPr>
        <w:t>See Requests for Waiver of Sections 90.1307(c) and (d) and Sections 90.1338(a) and (b) of the Commission’s Rules</w:t>
      </w:r>
      <w:r w:rsidRPr="000C396F">
        <w:t xml:space="preserve">, </w:t>
      </w:r>
      <w:r w:rsidR="00951488">
        <w:t xml:space="preserve">WT Docket No. 18-353, </w:t>
      </w:r>
      <w:r w:rsidRPr="000C396F">
        <w:t xml:space="preserve">Order, DA </w:t>
      </w:r>
      <w:r w:rsidR="00BC051E">
        <w:t>20-1230</w:t>
      </w:r>
      <w:r w:rsidRPr="000C396F">
        <w:t xml:space="preserve"> (</w:t>
      </w:r>
      <w:r w:rsidR="00F27D86">
        <w:t xml:space="preserve">WTB, </w:t>
      </w:r>
      <w:r w:rsidRPr="000C396F">
        <w:t>rel. Oct. 1</w:t>
      </w:r>
      <w:r>
        <w:t>6</w:t>
      </w:r>
      <w:r w:rsidRPr="000C396F">
        <w:t>,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477BEC7" w14:textId="774116E7">
    <w:pPr>
      <w:tabs>
        <w:tab w:val="center" w:pos="4680"/>
        <w:tab w:val="right" w:pos="9360"/>
      </w:tabs>
    </w:pPr>
    <w:r w:rsidRPr="009838BC">
      <w:rPr>
        <w:b/>
      </w:rPr>
      <w:tab/>
      <w:t>Federal Communications Commission</w:t>
    </w:r>
    <w:r w:rsidRPr="009838BC">
      <w:rPr>
        <w:b/>
      </w:rPr>
      <w:tab/>
    </w:r>
    <w:r w:rsidR="00DD4B95">
      <w:rPr>
        <w:b/>
      </w:rPr>
      <w:t>DA 20-1229</w:t>
    </w:r>
  </w:p>
  <w:p w:rsidR="009838BC" w:rsidRPr="009838BC" w:rsidP="009838BC" w14:paraId="10DEB163"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4A47D55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BE2D209"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019D74D3" w14:textId="77777777">
                <w:pPr>
                  <w:rPr>
                    <w:rFonts w:ascii="Arial" w:hAnsi="Arial"/>
                    <w:b/>
                  </w:rPr>
                </w:pPr>
                <w:r>
                  <w:rPr>
                    <w:rFonts w:ascii="Arial" w:hAnsi="Arial"/>
                    <w:b/>
                  </w:rPr>
                  <w:t>Federal Communications Commission</w:t>
                </w:r>
              </w:p>
              <w:p w:rsidR="009838BC" w:rsidP="009838BC" w14:paraId="10977D1A"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EA6F5A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17A05A0B"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1B11B141" w14:textId="77777777">
                <w:pPr>
                  <w:spacing w:before="40"/>
                  <w:jc w:val="right"/>
                  <w:rPr>
                    <w:rFonts w:ascii="Arial" w:hAnsi="Arial"/>
                    <w:b/>
                    <w:sz w:val="16"/>
                  </w:rPr>
                </w:pPr>
                <w:r>
                  <w:rPr>
                    <w:rFonts w:ascii="Arial" w:hAnsi="Arial"/>
                    <w:b/>
                    <w:sz w:val="16"/>
                  </w:rPr>
                  <w:t>News Media Information 202 / 418-0500</w:t>
                </w:r>
              </w:p>
              <w:p w:rsidR="009838BC" w:rsidP="009838BC" w14:paraId="10C9C22D" w14:textId="77777777">
                <w:pPr>
                  <w:jc w:val="right"/>
                  <w:rPr>
                    <w:rFonts w:ascii="Arial" w:hAnsi="Arial"/>
                    <w:b/>
                    <w:sz w:val="16"/>
                  </w:rPr>
                </w:pPr>
                <w:r>
                  <w:rPr>
                    <w:rFonts w:ascii="Arial" w:hAnsi="Arial"/>
                    <w:b/>
                    <w:sz w:val="16"/>
                  </w:rPr>
                  <w:t xml:space="preserve">Internet: </w:t>
                </w:r>
                <w:bookmarkStart w:id="4" w:name="_Hlt233824"/>
                <w:hyperlink r:id="rId2" w:history="1">
                  <w:r w:rsidRPr="00D216CD">
                    <w:rPr>
                      <w:rStyle w:val="Hyperlink"/>
                      <w:rFonts w:ascii="Arial" w:hAnsi="Arial"/>
                      <w:b/>
                      <w:sz w:val="16"/>
                    </w:rPr>
                    <w:t>h</w:t>
                  </w:r>
                  <w:bookmarkEnd w:id="4"/>
                  <w:r w:rsidRPr="00D216CD">
                    <w:rPr>
                      <w:rStyle w:val="Hyperlink"/>
                      <w:rFonts w:ascii="Arial" w:hAnsi="Arial"/>
                      <w:b/>
                      <w:sz w:val="16"/>
                    </w:rPr>
                    <w:t>ttps://www.fcc.gov</w:t>
                  </w:r>
                </w:hyperlink>
              </w:p>
              <w:p w:rsidR="009838BC" w:rsidP="009838BC" w14:paraId="272AF2FB" w14:textId="77777777">
                <w:pPr>
                  <w:jc w:val="right"/>
                </w:pPr>
                <w:r>
                  <w:rPr>
                    <w:rFonts w:ascii="Arial" w:hAnsi="Arial"/>
                    <w:b/>
                    <w:sz w:val="16"/>
                  </w:rPr>
                  <w:t>TTY: 1-888-835-5322</w:t>
                </w:r>
              </w:p>
            </w:txbxContent>
          </v:textbox>
        </v:shape>
      </w:pict>
    </w:r>
  </w:p>
  <w:p w:rsidR="006F7393" w:rsidRPr="009838BC" w:rsidP="009838BC" w14:paraId="7DAB295D"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5D4F54"/>
    <w:multiLevelType w:val="hybridMultilevel"/>
    <w:tmpl w:val="3B8CB4B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49"/>
    <w:rsid w:val="000072CE"/>
    <w:rsid w:val="00013A8B"/>
    <w:rsid w:val="00021445"/>
    <w:rsid w:val="00036039"/>
    <w:rsid w:val="00037F90"/>
    <w:rsid w:val="00055749"/>
    <w:rsid w:val="0007747C"/>
    <w:rsid w:val="000875BF"/>
    <w:rsid w:val="00096D8C"/>
    <w:rsid w:val="000C0B65"/>
    <w:rsid w:val="000C389D"/>
    <w:rsid w:val="000C396F"/>
    <w:rsid w:val="000E3D42"/>
    <w:rsid w:val="000E5884"/>
    <w:rsid w:val="00122BD5"/>
    <w:rsid w:val="001979D9"/>
    <w:rsid w:val="001D6BCF"/>
    <w:rsid w:val="001E01CA"/>
    <w:rsid w:val="002060D9"/>
    <w:rsid w:val="00226822"/>
    <w:rsid w:val="00260594"/>
    <w:rsid w:val="00285017"/>
    <w:rsid w:val="00294E77"/>
    <w:rsid w:val="002A2D2E"/>
    <w:rsid w:val="002E5DB7"/>
    <w:rsid w:val="0033572B"/>
    <w:rsid w:val="00343749"/>
    <w:rsid w:val="00357D50"/>
    <w:rsid w:val="003925DC"/>
    <w:rsid w:val="003A49E5"/>
    <w:rsid w:val="003B0550"/>
    <w:rsid w:val="003B694F"/>
    <w:rsid w:val="003F171C"/>
    <w:rsid w:val="00412FC5"/>
    <w:rsid w:val="00422276"/>
    <w:rsid w:val="004242F1"/>
    <w:rsid w:val="00445A00"/>
    <w:rsid w:val="00451B0F"/>
    <w:rsid w:val="00460754"/>
    <w:rsid w:val="0046125F"/>
    <w:rsid w:val="00466629"/>
    <w:rsid w:val="00487524"/>
    <w:rsid w:val="00496106"/>
    <w:rsid w:val="004C12D0"/>
    <w:rsid w:val="004C2EE3"/>
    <w:rsid w:val="004E4A22"/>
    <w:rsid w:val="004F5CF9"/>
    <w:rsid w:val="00511968"/>
    <w:rsid w:val="00517078"/>
    <w:rsid w:val="0055614C"/>
    <w:rsid w:val="00607BA5"/>
    <w:rsid w:val="00626EB6"/>
    <w:rsid w:val="00627AD2"/>
    <w:rsid w:val="006353A3"/>
    <w:rsid w:val="00655D03"/>
    <w:rsid w:val="00683F84"/>
    <w:rsid w:val="006A6A81"/>
    <w:rsid w:val="006E26AF"/>
    <w:rsid w:val="006F7393"/>
    <w:rsid w:val="0070224F"/>
    <w:rsid w:val="007115F7"/>
    <w:rsid w:val="00785689"/>
    <w:rsid w:val="0079754B"/>
    <w:rsid w:val="007A1E6D"/>
    <w:rsid w:val="008076D3"/>
    <w:rsid w:val="00822CE0"/>
    <w:rsid w:val="00837C62"/>
    <w:rsid w:val="00841AB1"/>
    <w:rsid w:val="008C22FD"/>
    <w:rsid w:val="00910F12"/>
    <w:rsid w:val="00926503"/>
    <w:rsid w:val="00930ECF"/>
    <w:rsid w:val="00951488"/>
    <w:rsid w:val="00972786"/>
    <w:rsid w:val="0097537E"/>
    <w:rsid w:val="009838BC"/>
    <w:rsid w:val="00A45F4F"/>
    <w:rsid w:val="00A600A9"/>
    <w:rsid w:val="00A866AC"/>
    <w:rsid w:val="00AA55B7"/>
    <w:rsid w:val="00AA5B9E"/>
    <w:rsid w:val="00AB2407"/>
    <w:rsid w:val="00AB53DF"/>
    <w:rsid w:val="00B07E5C"/>
    <w:rsid w:val="00B11163"/>
    <w:rsid w:val="00B12BC6"/>
    <w:rsid w:val="00B20363"/>
    <w:rsid w:val="00B326E3"/>
    <w:rsid w:val="00B811F7"/>
    <w:rsid w:val="00BA5DC6"/>
    <w:rsid w:val="00BA6196"/>
    <w:rsid w:val="00BC051E"/>
    <w:rsid w:val="00BC6D8C"/>
    <w:rsid w:val="00BD17CC"/>
    <w:rsid w:val="00C16AF2"/>
    <w:rsid w:val="00C228F3"/>
    <w:rsid w:val="00C34006"/>
    <w:rsid w:val="00C426B1"/>
    <w:rsid w:val="00C80A38"/>
    <w:rsid w:val="00C82B6B"/>
    <w:rsid w:val="00C90D6A"/>
    <w:rsid w:val="00CC72B6"/>
    <w:rsid w:val="00CE5AD9"/>
    <w:rsid w:val="00D0218D"/>
    <w:rsid w:val="00D216CD"/>
    <w:rsid w:val="00DA2529"/>
    <w:rsid w:val="00DB130A"/>
    <w:rsid w:val="00DC10A1"/>
    <w:rsid w:val="00DC655F"/>
    <w:rsid w:val="00DD4B95"/>
    <w:rsid w:val="00DD7EBD"/>
    <w:rsid w:val="00DF62B6"/>
    <w:rsid w:val="00E07225"/>
    <w:rsid w:val="00E155B7"/>
    <w:rsid w:val="00E448CD"/>
    <w:rsid w:val="00E5409F"/>
    <w:rsid w:val="00EC0185"/>
    <w:rsid w:val="00F021FA"/>
    <w:rsid w:val="00F27D86"/>
    <w:rsid w:val="00F57ACA"/>
    <w:rsid w:val="00F62E97"/>
    <w:rsid w:val="00F64209"/>
    <w:rsid w:val="00F76DDF"/>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338DFA4-8E41-4DF2-B729-9A214628B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uiPriority w:val="99"/>
    <w:semiHidden/>
    <w:rsid w:val="000E3D42"/>
    <w:pPr>
      <w:spacing w:after="120"/>
    </w:pPr>
  </w:style>
  <w:style w:type="character" w:styleId="FootnoteReference">
    <w:name w:val="footnote reference"/>
    <w:uiPriority w:val="99"/>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link w:val="FootnoteText"/>
    <w:uiPriority w:val="99"/>
    <w:semiHidden/>
    <w:rsid w:val="00055749"/>
  </w:style>
  <w:style w:type="paragraph" w:styleId="ListParagraph">
    <w:name w:val="List Paragraph"/>
    <w:basedOn w:val="Normal"/>
    <w:uiPriority w:val="34"/>
    <w:qFormat/>
    <w:rsid w:val="00055749"/>
    <w:pPr>
      <w:widowControl/>
      <w:spacing w:after="160" w:line="259" w:lineRule="auto"/>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