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C52E6E">
      <w:pPr>
        <w:jc w:val="center"/>
        <w:rPr>
          <w:b/>
          <w:szCs w:val="22"/>
        </w:rPr>
      </w:pPr>
      <w:bookmarkStart w:id="0" w:name="_GoBack"/>
      <w:bookmarkEnd w:id="0"/>
      <w:r w:rsidRPr="00C52E6E">
        <w:rPr>
          <w:b/>
          <w:kern w:val="0"/>
          <w:szCs w:val="22"/>
        </w:rPr>
        <w:t>Before</w:t>
      </w:r>
      <w:r w:rsidRPr="00C52E6E">
        <w:rPr>
          <w:b/>
          <w:szCs w:val="22"/>
        </w:rPr>
        <w:t xml:space="preserve"> the</w:t>
      </w:r>
    </w:p>
    <w:p w:rsidR="00921803" w:rsidRPr="00C52E6E" w:rsidP="00921803">
      <w:pPr>
        <w:pStyle w:val="StyleBoldCentered"/>
        <w:rPr>
          <w:rFonts w:ascii="Times New Roman" w:hAnsi="Times New Roman"/>
        </w:rPr>
      </w:pPr>
      <w:r w:rsidRPr="00C52E6E">
        <w:rPr>
          <w:rFonts w:ascii="Times New Roman" w:hAnsi="Times New Roman"/>
        </w:rPr>
        <w:t>F</w:t>
      </w:r>
      <w:r w:rsidRPr="00C52E6E">
        <w:rPr>
          <w:rFonts w:ascii="Times New Roman" w:hAnsi="Times New Roman"/>
          <w:caps w:val="0"/>
        </w:rPr>
        <w:t>ederal Communications Commission</w:t>
      </w:r>
    </w:p>
    <w:p w:rsidR="004C2EE3" w:rsidRPr="00C52E6E" w:rsidP="00096D8C">
      <w:pPr>
        <w:pStyle w:val="StyleBoldCentered"/>
        <w:rPr>
          <w:rFonts w:ascii="Times New Roman" w:hAnsi="Times New Roman"/>
        </w:rPr>
      </w:pPr>
      <w:r w:rsidRPr="00C52E6E">
        <w:rPr>
          <w:rFonts w:ascii="Times New Roman" w:hAnsi="Times New Roman"/>
          <w:caps w:val="0"/>
        </w:rPr>
        <w:t>Washington, D.C. 20554</w:t>
      </w:r>
    </w:p>
    <w:p w:rsidR="004C2EE3" w:rsidRPr="00C52E6E" w:rsidP="0070224F">
      <w:pPr>
        <w:rPr>
          <w:szCs w:val="22"/>
        </w:rPr>
      </w:pPr>
    </w:p>
    <w:p w:rsidR="004C2EE3" w:rsidRPr="00C52E6E"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C52E6E">
            <w:pPr>
              <w:tabs>
                <w:tab w:val="center" w:pos="4680"/>
              </w:tabs>
              <w:suppressAutoHyphens/>
              <w:rPr>
                <w:spacing w:val="-2"/>
                <w:szCs w:val="22"/>
              </w:rPr>
            </w:pPr>
            <w:r w:rsidRPr="00C52E6E">
              <w:rPr>
                <w:spacing w:val="-2"/>
                <w:szCs w:val="22"/>
              </w:rPr>
              <w:t>In the Matter of</w:t>
            </w:r>
          </w:p>
          <w:p w:rsidR="004C2EE3" w:rsidRPr="00C52E6E">
            <w:pPr>
              <w:tabs>
                <w:tab w:val="center" w:pos="4680"/>
              </w:tabs>
              <w:suppressAutoHyphens/>
              <w:rPr>
                <w:spacing w:val="-2"/>
                <w:szCs w:val="22"/>
              </w:rPr>
            </w:pPr>
          </w:p>
          <w:p w:rsidR="00FF611C" w:rsidRPr="00C52E6E" w:rsidP="00FF611C">
            <w:pPr>
              <w:tabs>
                <w:tab w:val="center" w:pos="4680"/>
              </w:tabs>
              <w:suppressAutoHyphens/>
              <w:rPr>
                <w:spacing w:val="-2"/>
                <w:szCs w:val="22"/>
              </w:rPr>
            </w:pPr>
            <w:r w:rsidRPr="00C52E6E">
              <w:rPr>
                <w:spacing w:val="-2"/>
                <w:szCs w:val="22"/>
              </w:rPr>
              <w:t xml:space="preserve">Requests for Waiver of Sections 90.1307(c) </w:t>
            </w:r>
            <w:r w:rsidRPr="00C52E6E">
              <w:rPr>
                <w:spacing w:val="-2"/>
                <w:szCs w:val="22"/>
              </w:rPr>
              <w:tab/>
              <w:t xml:space="preserve">       and (d) and Sections 90.1338(a) and (b) of the </w:t>
            </w:r>
            <w:r w:rsidRPr="00C52E6E">
              <w:rPr>
                <w:spacing w:val="-2"/>
                <w:szCs w:val="22"/>
              </w:rPr>
              <w:tab/>
              <w:t xml:space="preserve">       </w:t>
            </w:r>
          </w:p>
          <w:p w:rsidR="004C2EE3" w:rsidRPr="00C52E6E" w:rsidP="00FF611C">
            <w:pPr>
              <w:tabs>
                <w:tab w:val="center" w:pos="4680"/>
              </w:tabs>
              <w:suppressAutoHyphens/>
              <w:rPr>
                <w:spacing w:val="-2"/>
                <w:szCs w:val="22"/>
              </w:rPr>
            </w:pPr>
            <w:r w:rsidRPr="00C52E6E">
              <w:rPr>
                <w:spacing w:val="-2"/>
                <w:szCs w:val="22"/>
              </w:rPr>
              <w:t>Commission’s Rules</w:t>
            </w:r>
          </w:p>
        </w:tc>
        <w:tc>
          <w:tcPr>
            <w:tcW w:w="630" w:type="dxa"/>
          </w:tcPr>
          <w:p w:rsidR="004C2EE3" w:rsidRPr="00C52E6E">
            <w:pPr>
              <w:tabs>
                <w:tab w:val="center" w:pos="4680"/>
              </w:tabs>
              <w:suppressAutoHyphens/>
              <w:rPr>
                <w:b/>
                <w:spacing w:val="-2"/>
                <w:szCs w:val="22"/>
              </w:rPr>
            </w:pPr>
            <w:r w:rsidRPr="00C52E6E">
              <w:rPr>
                <w:b/>
                <w:spacing w:val="-2"/>
                <w:szCs w:val="22"/>
              </w:rPr>
              <w:t>)</w:t>
            </w:r>
          </w:p>
          <w:p w:rsidR="004C2EE3" w:rsidRPr="00C52E6E">
            <w:pPr>
              <w:tabs>
                <w:tab w:val="center" w:pos="4680"/>
              </w:tabs>
              <w:suppressAutoHyphens/>
              <w:rPr>
                <w:b/>
                <w:spacing w:val="-2"/>
                <w:szCs w:val="22"/>
              </w:rPr>
            </w:pPr>
            <w:r w:rsidRPr="00C52E6E">
              <w:rPr>
                <w:b/>
                <w:spacing w:val="-2"/>
                <w:szCs w:val="22"/>
              </w:rPr>
              <w:t>)</w:t>
            </w:r>
          </w:p>
          <w:p w:rsidR="004C2EE3" w:rsidRPr="00C52E6E">
            <w:pPr>
              <w:tabs>
                <w:tab w:val="center" w:pos="4680"/>
              </w:tabs>
              <w:suppressAutoHyphens/>
              <w:rPr>
                <w:b/>
                <w:spacing w:val="-2"/>
                <w:szCs w:val="22"/>
              </w:rPr>
            </w:pPr>
            <w:r w:rsidRPr="00C52E6E">
              <w:rPr>
                <w:b/>
                <w:spacing w:val="-2"/>
                <w:szCs w:val="22"/>
              </w:rPr>
              <w:t>)</w:t>
            </w:r>
          </w:p>
          <w:p w:rsidR="004C2EE3" w:rsidRPr="00C52E6E">
            <w:pPr>
              <w:tabs>
                <w:tab w:val="center" w:pos="4680"/>
              </w:tabs>
              <w:suppressAutoHyphens/>
              <w:rPr>
                <w:b/>
                <w:spacing w:val="-2"/>
                <w:szCs w:val="22"/>
              </w:rPr>
            </w:pPr>
            <w:r w:rsidRPr="00C52E6E">
              <w:rPr>
                <w:b/>
                <w:spacing w:val="-2"/>
                <w:szCs w:val="22"/>
              </w:rPr>
              <w:t>)</w:t>
            </w:r>
          </w:p>
          <w:p w:rsidR="004C2EE3" w:rsidRPr="00C52E6E">
            <w:pPr>
              <w:tabs>
                <w:tab w:val="center" w:pos="4680"/>
              </w:tabs>
              <w:suppressAutoHyphens/>
              <w:rPr>
                <w:b/>
                <w:spacing w:val="-2"/>
                <w:szCs w:val="22"/>
              </w:rPr>
            </w:pPr>
            <w:r w:rsidRPr="00C52E6E">
              <w:rPr>
                <w:b/>
                <w:spacing w:val="-2"/>
                <w:szCs w:val="22"/>
              </w:rPr>
              <w:t>)</w:t>
            </w:r>
          </w:p>
          <w:p w:rsidR="004C2EE3" w:rsidRPr="00C52E6E">
            <w:pPr>
              <w:tabs>
                <w:tab w:val="center" w:pos="4680"/>
              </w:tabs>
              <w:suppressAutoHyphens/>
              <w:rPr>
                <w:b/>
                <w:spacing w:val="-2"/>
                <w:szCs w:val="22"/>
              </w:rPr>
            </w:pPr>
            <w:r w:rsidRPr="00C52E6E">
              <w:rPr>
                <w:b/>
                <w:spacing w:val="-2"/>
                <w:szCs w:val="22"/>
              </w:rPr>
              <w:t>)</w:t>
            </w:r>
          </w:p>
        </w:tc>
        <w:tc>
          <w:tcPr>
            <w:tcW w:w="4248" w:type="dxa"/>
          </w:tcPr>
          <w:p w:rsidR="004C2EE3" w:rsidRPr="00C52E6E">
            <w:pPr>
              <w:tabs>
                <w:tab w:val="center" w:pos="4680"/>
              </w:tabs>
              <w:suppressAutoHyphens/>
              <w:rPr>
                <w:spacing w:val="-2"/>
                <w:szCs w:val="22"/>
              </w:rPr>
            </w:pPr>
          </w:p>
          <w:p w:rsidR="004C2EE3" w:rsidRPr="00C52E6E">
            <w:pPr>
              <w:pStyle w:val="TOAHeading"/>
              <w:tabs>
                <w:tab w:val="center" w:pos="4680"/>
                <w:tab w:val="clear" w:pos="9360"/>
              </w:tabs>
              <w:rPr>
                <w:spacing w:val="-2"/>
                <w:szCs w:val="22"/>
              </w:rPr>
            </w:pPr>
          </w:p>
          <w:p w:rsidR="004C2EE3" w:rsidRPr="00C52E6E">
            <w:pPr>
              <w:tabs>
                <w:tab w:val="center" w:pos="4680"/>
              </w:tabs>
              <w:suppressAutoHyphens/>
              <w:rPr>
                <w:spacing w:val="-2"/>
                <w:szCs w:val="22"/>
              </w:rPr>
            </w:pPr>
            <w:r w:rsidRPr="00C52E6E">
              <w:rPr>
                <w:spacing w:val="-2"/>
                <w:szCs w:val="22"/>
              </w:rPr>
              <w:t xml:space="preserve">WT Docket No. </w:t>
            </w:r>
            <w:r w:rsidRPr="00C52E6E" w:rsidR="0032549C">
              <w:rPr>
                <w:spacing w:val="-2"/>
                <w:szCs w:val="22"/>
              </w:rPr>
              <w:t>18-353</w:t>
            </w:r>
          </w:p>
        </w:tc>
      </w:tr>
    </w:tbl>
    <w:p w:rsidR="004C2EE3" w:rsidRPr="00C52E6E" w:rsidP="0070224F">
      <w:pPr>
        <w:rPr>
          <w:szCs w:val="22"/>
        </w:rPr>
      </w:pPr>
    </w:p>
    <w:p w:rsidR="00841AB1" w:rsidRPr="00C52E6E" w:rsidP="00F021FA">
      <w:pPr>
        <w:pStyle w:val="StyleBoldCentered"/>
        <w:rPr>
          <w:rFonts w:ascii="Times New Roman" w:hAnsi="Times New Roman"/>
        </w:rPr>
      </w:pPr>
      <w:r w:rsidRPr="00C52E6E">
        <w:rPr>
          <w:rFonts w:ascii="Times New Roman" w:hAnsi="Times New Roman"/>
        </w:rPr>
        <w:t>Order</w:t>
      </w:r>
    </w:p>
    <w:p w:rsidR="004C2EE3" w:rsidRPr="00C52E6E">
      <w:pPr>
        <w:tabs>
          <w:tab w:val="left" w:pos="-720"/>
        </w:tabs>
        <w:suppressAutoHyphens/>
        <w:spacing w:line="227" w:lineRule="auto"/>
        <w:rPr>
          <w:spacing w:val="-2"/>
          <w:szCs w:val="22"/>
        </w:rPr>
      </w:pPr>
    </w:p>
    <w:p w:rsidR="004C2EE3" w:rsidRPr="00C52E6E" w:rsidP="00133F79">
      <w:pPr>
        <w:tabs>
          <w:tab w:val="left" w:pos="720"/>
          <w:tab w:val="right" w:pos="9360"/>
        </w:tabs>
        <w:suppressAutoHyphens/>
        <w:spacing w:line="227" w:lineRule="auto"/>
        <w:rPr>
          <w:spacing w:val="-2"/>
          <w:szCs w:val="22"/>
        </w:rPr>
      </w:pPr>
      <w:r w:rsidRPr="00C52E6E">
        <w:rPr>
          <w:b/>
          <w:spacing w:val="-2"/>
          <w:szCs w:val="22"/>
        </w:rPr>
        <w:t xml:space="preserve">Adopted:  </w:t>
      </w:r>
      <w:r w:rsidRPr="00C52E6E" w:rsidR="00790B13">
        <w:rPr>
          <w:b/>
          <w:spacing w:val="-2"/>
          <w:szCs w:val="22"/>
        </w:rPr>
        <w:t>October 16, 2020</w:t>
      </w:r>
      <w:r w:rsidRPr="00C52E6E">
        <w:rPr>
          <w:b/>
          <w:spacing w:val="-2"/>
          <w:szCs w:val="22"/>
        </w:rPr>
        <w:tab/>
      </w:r>
      <w:r w:rsidRPr="00C52E6E" w:rsidR="00822CE0">
        <w:rPr>
          <w:b/>
          <w:spacing w:val="-2"/>
          <w:szCs w:val="22"/>
        </w:rPr>
        <w:t>Released</w:t>
      </w:r>
      <w:r w:rsidRPr="00C52E6E">
        <w:rPr>
          <w:b/>
          <w:spacing w:val="-2"/>
          <w:szCs w:val="22"/>
        </w:rPr>
        <w:t>:</w:t>
      </w:r>
      <w:r w:rsidRPr="00C52E6E" w:rsidR="00822CE0">
        <w:rPr>
          <w:b/>
          <w:spacing w:val="-2"/>
          <w:szCs w:val="22"/>
        </w:rPr>
        <w:t xml:space="preserve"> </w:t>
      </w:r>
      <w:r w:rsidRPr="00C52E6E">
        <w:rPr>
          <w:b/>
          <w:spacing w:val="-2"/>
          <w:szCs w:val="22"/>
        </w:rPr>
        <w:t xml:space="preserve"> </w:t>
      </w:r>
      <w:r w:rsidRPr="00C52E6E" w:rsidR="00790B13">
        <w:rPr>
          <w:b/>
          <w:spacing w:val="-2"/>
          <w:szCs w:val="22"/>
        </w:rPr>
        <w:t>October 16, 2020</w:t>
      </w:r>
    </w:p>
    <w:p w:rsidR="00822CE0" w:rsidRPr="00C52E6E">
      <w:pPr>
        <w:rPr>
          <w:szCs w:val="22"/>
        </w:rPr>
      </w:pPr>
    </w:p>
    <w:p w:rsidR="004C2EE3" w:rsidRPr="00C52E6E">
      <w:pPr>
        <w:rPr>
          <w:spacing w:val="-2"/>
          <w:szCs w:val="22"/>
        </w:rPr>
      </w:pPr>
      <w:r w:rsidRPr="00C52E6E">
        <w:rPr>
          <w:szCs w:val="22"/>
        </w:rPr>
        <w:t xml:space="preserve">By </w:t>
      </w:r>
      <w:r w:rsidRPr="00C52E6E" w:rsidR="004E4A22">
        <w:rPr>
          <w:szCs w:val="22"/>
        </w:rPr>
        <w:t>the</w:t>
      </w:r>
      <w:r w:rsidRPr="00C52E6E" w:rsidR="002A2D2E">
        <w:rPr>
          <w:szCs w:val="22"/>
        </w:rPr>
        <w:t xml:space="preserve"> </w:t>
      </w:r>
      <w:r w:rsidRPr="00C52E6E" w:rsidR="00FF611C">
        <w:rPr>
          <w:spacing w:val="-2"/>
          <w:szCs w:val="22"/>
        </w:rPr>
        <w:t>Chief, Wireless Telecommunications Bureau</w:t>
      </w:r>
    </w:p>
    <w:p w:rsidR="00822CE0" w:rsidRPr="00C52E6E">
      <w:pPr>
        <w:rPr>
          <w:spacing w:val="-2"/>
          <w:szCs w:val="22"/>
        </w:rPr>
      </w:pPr>
    </w:p>
    <w:p w:rsidR="00FF611C" w:rsidRPr="00C52E6E" w:rsidP="00FF611C">
      <w:pPr>
        <w:pStyle w:val="ListParagraph"/>
        <w:numPr>
          <w:ilvl w:val="0"/>
          <w:numId w:val="7"/>
        </w:numPr>
        <w:spacing w:after="120"/>
        <w:ind w:hanging="540"/>
        <w:contextualSpacing w:val="0"/>
        <w:rPr>
          <w:rFonts w:ascii="Times New Roman" w:hAnsi="Times New Roman"/>
          <w:b/>
          <w:bCs/>
        </w:rPr>
      </w:pPr>
      <w:r w:rsidRPr="00C52E6E">
        <w:rPr>
          <w:rFonts w:ascii="Times New Roman" w:hAnsi="Times New Roman"/>
          <w:b/>
          <w:bCs/>
        </w:rPr>
        <w:t>INTRODUCTION</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rPr>
        <w:t>By this Order, the Wireless Telecommunications Bureau (Bureau) of the Federal Communications Commission (Commission) grants requests for waiver of the requirements in sections 90.1307, 90.1311, 90.1338, and 96.21 of the Commission’s rules to allow the wireless broadband licensees identified in Appendices A and B additional time to transition their part 90 operations to part 96 operations in the 3650-3700 MHz band.</w:t>
      </w:r>
      <w:r>
        <w:rPr>
          <w:rStyle w:val="FootnoteReference"/>
          <w:sz w:val="22"/>
        </w:rPr>
        <w:footnoteReference w:id="3"/>
      </w:r>
      <w:r w:rsidRPr="00C52E6E">
        <w:rPr>
          <w:rFonts w:ascii="Times New Roman" w:hAnsi="Times New Roman"/>
        </w:rPr>
        <w:t xml:space="preserve">  Each of these requests satisfies the three prongs articulated in the Bureau’s </w:t>
      </w:r>
      <w:r w:rsidRPr="00C52E6E">
        <w:rPr>
          <w:rFonts w:ascii="Times New Roman" w:hAnsi="Times New Roman"/>
          <w:i/>
          <w:iCs/>
        </w:rPr>
        <w:t>Extension Order</w:t>
      </w:r>
      <w:r w:rsidRPr="00C52E6E">
        <w:rPr>
          <w:rFonts w:ascii="Times New Roman" w:hAnsi="Times New Roman"/>
        </w:rPr>
        <w:t xml:space="preserve"> and otherwise meets the Commission’s high bar for relief.</w:t>
      </w:r>
      <w:r>
        <w:rPr>
          <w:rStyle w:val="FootnoteReference"/>
          <w:sz w:val="22"/>
        </w:rPr>
        <w:footnoteReference w:id="4"/>
      </w:r>
      <w:r w:rsidRPr="00C52E6E">
        <w:rPr>
          <w:rFonts w:ascii="Times New Roman" w:hAnsi="Times New Roman"/>
        </w:rPr>
        <w:t xml:space="preserve">  Given the circumstances that caused delays for these licensees, and in the interest of keeping their customers connected amidst “a series of disruptions to the economic, educational, medical, and civic life of our country”</w:t>
      </w:r>
      <w:r>
        <w:rPr>
          <w:rStyle w:val="FootnoteReference"/>
          <w:sz w:val="22"/>
        </w:rPr>
        <w:footnoteReference w:id="5"/>
      </w:r>
      <w:r w:rsidRPr="00C52E6E">
        <w:rPr>
          <w:rFonts w:ascii="Times New Roman" w:hAnsi="Times New Roman"/>
        </w:rPr>
        <w:t xml:space="preserve"> that are unique and unprecedented in modern history, we find good cause to again extend, for limited periods of time, the deadline for these licensees to complete their transition to part 96-based operations.</w:t>
      </w:r>
      <w:r>
        <w:rPr>
          <w:rStyle w:val="FootnoteReference"/>
          <w:sz w:val="22"/>
        </w:rPr>
        <w:footnoteReference w:id="6"/>
      </w:r>
      <w:r w:rsidRPr="00C52E6E">
        <w:rPr>
          <w:rFonts w:ascii="Times New Roman" w:hAnsi="Times New Roman"/>
        </w:rPr>
        <w:t xml:space="preserve">  The individual waiver requests we grant, to the extent described herein, are listed in Appendices A and B.</w:t>
      </w:r>
    </w:p>
    <w:p w:rsidR="00C52E6E" w:rsidRPr="00C52E6E" w:rsidP="00C52E6E">
      <w:pPr>
        <w:pStyle w:val="ListParagraph"/>
        <w:spacing w:after="120" w:line="240" w:lineRule="auto"/>
        <w:ind w:left="634"/>
        <w:contextualSpacing w:val="0"/>
        <w:rPr>
          <w:rFonts w:ascii="Times New Roman" w:hAnsi="Times New Roman"/>
        </w:rPr>
      </w:pPr>
    </w:p>
    <w:p w:rsidR="00FF611C" w:rsidRPr="00C52E6E" w:rsidP="00FF611C">
      <w:pPr>
        <w:pStyle w:val="ListParagraph"/>
        <w:numPr>
          <w:ilvl w:val="0"/>
          <w:numId w:val="7"/>
        </w:numPr>
        <w:spacing w:after="120"/>
        <w:contextualSpacing w:val="0"/>
        <w:rPr>
          <w:rFonts w:ascii="Times New Roman" w:hAnsi="Times New Roman"/>
          <w:b/>
          <w:bCs/>
        </w:rPr>
      </w:pPr>
      <w:r w:rsidRPr="00C52E6E">
        <w:rPr>
          <w:rFonts w:ascii="Times New Roman" w:hAnsi="Times New Roman"/>
          <w:b/>
          <w:bCs/>
        </w:rPr>
        <w:t>BACKGROUND</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rPr>
        <w:t>In 2015, the Commission adopted rules for commercial use of the 3550-3700 MHz band that allow dynamic spectrum sharing through a three-tiered access and authorization framework to coordinate shared federal and non-federal use of the band among incumbents, Priority Access Licenses (PAL) and General Authorized Access (GAA) users.</w:t>
      </w:r>
      <w:r>
        <w:rPr>
          <w:rStyle w:val="FootnoteReference"/>
          <w:sz w:val="22"/>
        </w:rPr>
        <w:footnoteReference w:id="7"/>
      </w:r>
      <w:r w:rsidRPr="00C52E6E">
        <w:rPr>
          <w:rFonts w:ascii="Times New Roman" w:hAnsi="Times New Roman"/>
        </w:rPr>
        <w:t xml:space="preserve">  Incumbent users comprise the highest priority tier and receive protection from all other users; they include federal users, Fixed Satellite Service earth stations and, for a finite period, grandfathered terrestrial wireless broadband licensees in the 3650-3700 MHz band.</w:t>
      </w:r>
      <w:r>
        <w:rPr>
          <w:rStyle w:val="FootnoteReference"/>
          <w:sz w:val="22"/>
        </w:rPr>
        <w:footnoteReference w:id="8"/>
      </w:r>
      <w:r w:rsidRPr="00C52E6E">
        <w:rPr>
          <w:rFonts w:ascii="Times New Roman" w:hAnsi="Times New Roman"/>
        </w:rPr>
        <w:t xml:space="preserve">  Operations under the new framework already have commenced, and automated frequency coordinators, known as Spectrum Access System Administrators, facilitate sharing between and among the tiers of users.</w:t>
      </w:r>
      <w:r>
        <w:rPr>
          <w:rStyle w:val="FootnoteReference"/>
          <w:sz w:val="22"/>
        </w:rPr>
        <w:footnoteReference w:id="9"/>
      </w:r>
      <w:r w:rsidRPr="00C52E6E">
        <w:rPr>
          <w:rFonts w:ascii="Times New Roman" w:hAnsi="Times New Roman"/>
        </w:rPr>
        <w:t xml:space="preserve">  </w:t>
      </w:r>
    </w:p>
    <w:p w:rsidR="00FF611C" w:rsidRPr="00C52E6E" w:rsidP="00FF611C">
      <w:pPr>
        <w:pStyle w:val="ParaNum"/>
        <w:numPr>
          <w:ilvl w:val="0"/>
          <w:numId w:val="8"/>
        </w:numPr>
        <w:ind w:left="0" w:firstLine="720"/>
        <w:rPr>
          <w:szCs w:val="22"/>
        </w:rPr>
      </w:pPr>
      <w:r w:rsidRPr="00C52E6E">
        <w:rPr>
          <w:szCs w:val="22"/>
        </w:rPr>
        <w:t xml:space="preserve">In the </w:t>
      </w:r>
      <w:r w:rsidRPr="00C52E6E">
        <w:rPr>
          <w:i/>
          <w:iCs/>
          <w:szCs w:val="22"/>
        </w:rPr>
        <w:t>2015 Report and Order</w:t>
      </w:r>
      <w:r w:rsidRPr="00C52E6E">
        <w:rPr>
          <w:szCs w:val="22"/>
        </w:rPr>
        <w:t>, the Commission also adopted a transition period for certain part 90 incumbent grandfathered wireless broadband licensees in the 3650-3700 MHz band to transition to part 96 rules.</w:t>
      </w:r>
      <w:r>
        <w:rPr>
          <w:rStyle w:val="FootnoteReference"/>
          <w:sz w:val="22"/>
          <w:szCs w:val="22"/>
        </w:rPr>
        <w:footnoteReference w:id="10"/>
      </w:r>
      <w:r w:rsidRPr="00C52E6E">
        <w:rPr>
          <w:szCs w:val="22"/>
        </w:rPr>
        <w:t xml:space="preserve">  Wireless broadband licensees in the 3650-3700 MHz band operate under part 90, subpart Z, on a nationwide, non-exclusive basis.</w:t>
      </w:r>
      <w:r>
        <w:rPr>
          <w:rStyle w:val="FootnoteReference"/>
          <w:sz w:val="22"/>
          <w:szCs w:val="22"/>
        </w:rPr>
        <w:footnoteReference w:id="11"/>
      </w:r>
      <w:r w:rsidRPr="00C52E6E">
        <w:rPr>
          <w:szCs w:val="22"/>
        </w:rPr>
        <w:t xml:space="preserve">  Consistent with the Commission’s rules and the </w:t>
      </w:r>
      <w:r w:rsidRPr="00C52E6E">
        <w:rPr>
          <w:i/>
          <w:iCs/>
          <w:szCs w:val="22"/>
        </w:rPr>
        <w:t>Extension Order</w:t>
      </w:r>
      <w:r w:rsidRPr="00C52E6E">
        <w:rPr>
          <w:szCs w:val="22"/>
        </w:rPr>
        <w:t>, the transition periods for 3650-3700 MHz band wireless broadband licensees end between October 17, 2020 and January 8, 2023, depending on the grant and expiration dates of each individual license.</w:t>
      </w:r>
      <w:r>
        <w:rPr>
          <w:rStyle w:val="FootnoteReference"/>
          <w:sz w:val="22"/>
          <w:szCs w:val="22"/>
        </w:rPr>
        <w:footnoteReference w:id="12"/>
      </w:r>
      <w:r w:rsidRPr="00C52E6E">
        <w:rPr>
          <w:szCs w:val="22"/>
        </w:rPr>
        <w:t xml:space="preserve">  </w:t>
      </w:r>
    </w:p>
    <w:p w:rsidR="00FF611C" w:rsidRPr="00C52E6E" w:rsidP="00EC3BBD">
      <w:pPr>
        <w:pStyle w:val="ParaNum"/>
        <w:widowControl/>
        <w:numPr>
          <w:ilvl w:val="0"/>
          <w:numId w:val="8"/>
        </w:numPr>
        <w:ind w:left="0" w:firstLine="720"/>
        <w:rPr>
          <w:szCs w:val="22"/>
        </w:rPr>
      </w:pPr>
      <w:r w:rsidRPr="00C52E6E">
        <w:rPr>
          <w:szCs w:val="22"/>
        </w:rPr>
        <w:t>To qualify as a grandfathered wireless broadband licensee, the licensee must have registered its stations on or before April 17, 2015, and the registered stations must have been “constructed, in service, and fully compliant with the rules in Part 90, subpart Z as of April 17, 2016.”</w:t>
      </w:r>
      <w:r>
        <w:rPr>
          <w:rStyle w:val="FootnoteReference"/>
          <w:sz w:val="22"/>
          <w:szCs w:val="22"/>
        </w:rPr>
        <w:footnoteReference w:id="13"/>
      </w:r>
      <w:r w:rsidRPr="00C52E6E">
        <w:rPr>
          <w:szCs w:val="22"/>
        </w:rPr>
        <w:t xml:space="preserve">  During the transition period, grandfathered licensees are granted incumbent status with respect to Citizens Broadband Radio Service operations in their protection zones.</w:t>
      </w:r>
      <w:r>
        <w:rPr>
          <w:rStyle w:val="FootnoteReference"/>
          <w:sz w:val="22"/>
          <w:szCs w:val="22"/>
        </w:rPr>
        <w:footnoteReference w:id="14"/>
      </w:r>
      <w:r w:rsidRPr="00C52E6E">
        <w:rPr>
          <w:szCs w:val="22"/>
        </w:rPr>
        <w:t xml:space="preserve">  Non-grandfathered licensees, i.e., part 90 licensees that did not apply for grandfathered status or did not have qualifying sites, have the right to operate at existing registered sites under part 90 (on a non-exclusive, unprotected basis) until the date for which each licensee would have qualified for grandfathered status had they applied.</w:t>
      </w:r>
      <w:r>
        <w:rPr>
          <w:rStyle w:val="FootnoteReference"/>
          <w:sz w:val="22"/>
          <w:szCs w:val="22"/>
        </w:rPr>
        <w:footnoteReference w:id="15"/>
      </w:r>
      <w:r w:rsidRPr="00C52E6E">
        <w:rPr>
          <w:szCs w:val="22"/>
        </w:rPr>
        <w:t xml:space="preserve">  For most of these licensees, this date is the same as the end of their license term.  For any license issued or renewed after </w:t>
      </w:r>
      <w:r w:rsidRPr="00C52E6E">
        <w:rPr>
          <w:szCs w:val="22"/>
        </w:rPr>
        <w:t>January 8, 2013, grandfathered status (and the right to operate under part 90) initially extended only until April 17, 2020—and was later extended —regardless of when each license terminates.</w:t>
      </w:r>
      <w:r>
        <w:rPr>
          <w:rStyle w:val="FootnoteReference"/>
          <w:sz w:val="22"/>
          <w:szCs w:val="22"/>
        </w:rPr>
        <w:footnoteReference w:id="16"/>
      </w:r>
      <w:r w:rsidRPr="00C52E6E">
        <w:rPr>
          <w:szCs w:val="22"/>
        </w:rPr>
        <w:t xml:space="preserve">  </w:t>
      </w:r>
    </w:p>
    <w:p w:rsidR="00FF611C" w:rsidRPr="00C52E6E" w:rsidP="00FF611C">
      <w:pPr>
        <w:pStyle w:val="ParaNum"/>
        <w:numPr>
          <w:ilvl w:val="0"/>
          <w:numId w:val="8"/>
        </w:numPr>
        <w:ind w:left="0" w:firstLine="720"/>
        <w:rPr>
          <w:szCs w:val="22"/>
        </w:rPr>
      </w:pPr>
      <w:r w:rsidRPr="00C52E6E">
        <w:rPr>
          <w:szCs w:val="22"/>
        </w:rPr>
        <w:t>Specifically, in March 2020, the Bureau extended this deadline by six months to October 17, 2020.  It found that this extension was warranted by “the evolving and unpredictable nature of the [COVID-19] pandemic, and its potential to cause delays for even diligent licensees.”</w:t>
      </w:r>
      <w:r>
        <w:rPr>
          <w:rStyle w:val="FootnoteReference"/>
          <w:sz w:val="22"/>
          <w:szCs w:val="22"/>
        </w:rPr>
        <w:footnoteReference w:id="17"/>
      </w:r>
      <w:r w:rsidRPr="00C52E6E">
        <w:rPr>
          <w:szCs w:val="22"/>
        </w:rPr>
        <w:t xml:space="preserve">  The Bureau noted that licensees seeking a further extension of the transition period would be required to “‘plead with particularity the facts and circumstances which warrant such action’”</w:t>
      </w:r>
      <w:r>
        <w:rPr>
          <w:rStyle w:val="FootnoteReference"/>
          <w:sz w:val="22"/>
          <w:szCs w:val="22"/>
        </w:rPr>
        <w:footnoteReference w:id="18"/>
      </w:r>
      <w:r w:rsidRPr="00C52E6E">
        <w:rPr>
          <w:szCs w:val="22"/>
        </w:rPr>
        <w:t xml:space="preserve"> and would be expected to “describe: (1) the licensee’s good faith efforts to purchase, install, and test the necessary upgrades or equipment required to operate their networks pursuant to part 96 prior to the transition deadline; (2) the unique or unusual circumstances that prevented them from completing the part 96 transition by October 17, 2020; and (3) the specific steps—including the time required to complete those steps—that the licensee will take to complete its transition expeditiously.”</w:t>
      </w:r>
      <w:r w:rsidRPr="00C52E6E">
        <w:rPr>
          <w:rStyle w:val="FootnoteReference"/>
          <w:sz w:val="22"/>
          <w:szCs w:val="22"/>
        </w:rPr>
        <w:t xml:space="preserve"> </w:t>
      </w:r>
      <w:r>
        <w:rPr>
          <w:rStyle w:val="FootnoteReference"/>
          <w:sz w:val="22"/>
          <w:szCs w:val="22"/>
        </w:rPr>
        <w:footnoteReference w:id="19"/>
      </w:r>
      <w:r w:rsidRPr="00C52E6E">
        <w:rPr>
          <w:szCs w:val="22"/>
        </w:rPr>
        <w:t xml:space="preserve">  The Bureau also reminded licensees that “‘an applicant for waiver faces a high hurdle even at the starting gate.’”</w:t>
      </w:r>
      <w:r>
        <w:rPr>
          <w:rStyle w:val="FootnoteReference"/>
          <w:sz w:val="22"/>
          <w:szCs w:val="22"/>
        </w:rPr>
        <w:footnoteReference w:id="20"/>
      </w:r>
      <w:r w:rsidRPr="00C52E6E">
        <w:rPr>
          <w:szCs w:val="22"/>
        </w:rPr>
        <w:t xml:space="preserve"> </w:t>
      </w:r>
    </w:p>
    <w:p w:rsidR="00FF611C" w:rsidRPr="00C52E6E" w:rsidP="00FF611C">
      <w:pPr>
        <w:pStyle w:val="ListParagraph"/>
        <w:numPr>
          <w:ilvl w:val="0"/>
          <w:numId w:val="7"/>
        </w:numPr>
        <w:spacing w:after="120"/>
        <w:contextualSpacing w:val="0"/>
        <w:rPr>
          <w:rFonts w:ascii="Times New Roman" w:hAnsi="Times New Roman"/>
          <w:b/>
          <w:bCs/>
        </w:rPr>
      </w:pPr>
      <w:r w:rsidRPr="00C52E6E">
        <w:rPr>
          <w:rFonts w:ascii="Times New Roman" w:hAnsi="Times New Roman"/>
          <w:b/>
          <w:bCs/>
        </w:rPr>
        <w:t>DISCUSSION</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b/>
          <w:bCs/>
        </w:rPr>
        <w:t xml:space="preserve"> </w:t>
      </w:r>
      <w:r w:rsidRPr="00C52E6E">
        <w:rPr>
          <w:rFonts w:ascii="Times New Roman" w:hAnsi="Times New Roman"/>
        </w:rPr>
        <w:t>The Commission may waive any of its rules for good cause shown and where a request establishes that unique or unusual factual circumstances warrant relief.</w:t>
      </w:r>
      <w:r>
        <w:rPr>
          <w:rStyle w:val="FootnoteReference"/>
          <w:sz w:val="22"/>
        </w:rPr>
        <w:footnoteReference w:id="21"/>
      </w:r>
      <w:r w:rsidRPr="00C52E6E">
        <w:rPr>
          <w:rFonts w:ascii="Times New Roman" w:hAnsi="Times New Roman"/>
        </w:rPr>
        <w:t xml:space="preserve">  We find good cause to waive the requirements in sections 90.1307, 90.1311, 90.1338, and 96.21 of the Commission’s rules</w:t>
      </w:r>
      <w:r>
        <w:rPr>
          <w:rStyle w:val="FootnoteReference"/>
          <w:sz w:val="22"/>
        </w:rPr>
        <w:footnoteReference w:id="22"/>
      </w:r>
      <w:r w:rsidRPr="00C52E6E">
        <w:rPr>
          <w:rFonts w:ascii="Times New Roman" w:hAnsi="Times New Roman"/>
        </w:rPr>
        <w:t xml:space="preserve"> for the wireless broadband licensees listed in Appendices A and B.  Specifically, we find that it would serve the public interest to grant a limited, 60-day extension (to December 16, 2020) to the licensees listed in Appendix A and a limited, 120-day extension (to February 14, 2021) to the licensees listed in Appendix B to transition their part 90 operations to part 96 operations.  </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rPr>
        <w:t xml:space="preserve">Each of these licensees submitted a waiver request before October 17, 2020 and made an individual showing that addressed the specific circumstances described in the </w:t>
      </w:r>
      <w:r w:rsidRPr="00C52E6E">
        <w:rPr>
          <w:rFonts w:ascii="Times New Roman" w:hAnsi="Times New Roman"/>
          <w:i/>
          <w:iCs/>
        </w:rPr>
        <w:t>Extension Order</w:t>
      </w:r>
      <w:r w:rsidRPr="00C52E6E">
        <w:rPr>
          <w:rFonts w:ascii="Times New Roman" w:hAnsi="Times New Roman"/>
        </w:rPr>
        <w:t>.</w:t>
      </w:r>
      <w:r>
        <w:rPr>
          <w:rStyle w:val="FootnoteReference"/>
          <w:sz w:val="22"/>
        </w:rPr>
        <w:footnoteReference w:id="23"/>
      </w:r>
      <w:r w:rsidRPr="00C52E6E">
        <w:rPr>
          <w:rFonts w:ascii="Times New Roman" w:hAnsi="Times New Roman"/>
        </w:rPr>
        <w:t xml:space="preserve">  During their applicable extension periods, licensees will be permitted to continue operating consistent with their current status (i.e., grandfathered or non-grandfathered).</w:t>
      </w:r>
      <w:r>
        <w:rPr>
          <w:rStyle w:val="FootnoteReference"/>
          <w:sz w:val="22"/>
        </w:rPr>
        <w:footnoteReference w:id="24"/>
      </w:r>
      <w:r w:rsidRPr="00C52E6E">
        <w:rPr>
          <w:rFonts w:ascii="Times New Roman" w:hAnsi="Times New Roman"/>
        </w:rPr>
        <w:t xml:space="preserve">  All 3650-3700 MHz band licensees listed in Appendix A are required to complete the transition of their part 90 operations to part 96 rules or cease operating at non-transitioned sites by December 16, 2020, and licensees listed in Appendix B are required to do the same no later than February 14, 2021.  Consistent with the Commission’s usual practices, the Bureau performed a case-by-case review of each request.</w:t>
      </w:r>
      <w:r>
        <w:rPr>
          <w:rStyle w:val="FootnoteReference"/>
          <w:sz w:val="22"/>
        </w:rPr>
        <w:footnoteReference w:id="25"/>
      </w:r>
      <w:r w:rsidRPr="00C52E6E">
        <w:rPr>
          <w:rFonts w:ascii="Times New Roman" w:hAnsi="Times New Roman"/>
        </w:rPr>
        <w:t xml:space="preserve">  </w:t>
      </w:r>
      <w:r w:rsidRPr="00C52E6E">
        <w:rPr>
          <w:rStyle w:val="FootnoteReference"/>
          <w:sz w:val="22"/>
        </w:rPr>
        <w:t xml:space="preserve"> </w:t>
      </w:r>
      <w:r w:rsidRPr="00C52E6E">
        <w:rPr>
          <w:rFonts w:ascii="Times New Roman" w:hAnsi="Times New Roman"/>
        </w:rPr>
        <w:t xml:space="preserve"> </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i/>
          <w:iCs/>
        </w:rPr>
        <w:t>Good Faith Efforts</w:t>
      </w:r>
      <w:r w:rsidRPr="00C52E6E">
        <w:rPr>
          <w:rFonts w:ascii="Times New Roman" w:hAnsi="Times New Roman"/>
        </w:rPr>
        <w:t xml:space="preserve">.  The licensees’ requests describe in varying detail their good faith efforts to complete the transition from part 90 to part 96 operations.  The efforts described include, but are </w:t>
      </w:r>
      <w:r w:rsidRPr="00C52E6E">
        <w:rPr>
          <w:rFonts w:ascii="Times New Roman" w:hAnsi="Times New Roman"/>
        </w:rPr>
        <w:t>not limited to: placing orders for required equipment; making staffing decisions to facilitate the transition, such as hiring additional workers to install equipment; starting customer premise equipment replacement installations; and successfully programming new equipment.</w:t>
      </w:r>
      <w:r>
        <w:rPr>
          <w:rStyle w:val="FootnoteReference"/>
          <w:sz w:val="22"/>
        </w:rPr>
        <w:footnoteReference w:id="26"/>
      </w:r>
      <w:r w:rsidRPr="00C52E6E">
        <w:rPr>
          <w:rFonts w:ascii="Times New Roman" w:hAnsi="Times New Roman"/>
        </w:rPr>
        <w:t xml:space="preserve">  </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rPr>
        <w:t>For example, JAB Wireless, Inc., on behalf of its license-holding subsidiaries (collectively, Rise Broadband) explains that, notwithstanding its having ordered (and received) some equipment and having changed out more than 50% of its access points and nearly 70% of its customer premise equipment, it will need additional time to complete the transition.</w:t>
      </w:r>
      <w:r>
        <w:rPr>
          <w:rStyle w:val="FootnoteReference"/>
          <w:sz w:val="22"/>
        </w:rPr>
        <w:footnoteReference w:id="27"/>
      </w:r>
      <w:r w:rsidRPr="00C52E6E">
        <w:rPr>
          <w:rFonts w:ascii="Times New Roman" w:hAnsi="Times New Roman"/>
        </w:rPr>
        <w:t xml:space="preserve">  Rise Broadband requested an additional 90 days, until January 15, 2021, by which to complete the transition.  Other actors have taken some steps toward meeting the transition deadline, but not acted in a manner that merits additional relief beyond 120 days.  For example, Neptuno Media, Inc. (Neptuno) requests an extension until April 17, 2021, to meet the transition deadline.</w:t>
      </w:r>
      <w:r>
        <w:rPr>
          <w:rStyle w:val="FootnoteReference"/>
          <w:sz w:val="22"/>
        </w:rPr>
        <w:footnoteReference w:id="28"/>
      </w:r>
      <w:r w:rsidRPr="00C52E6E">
        <w:rPr>
          <w:rFonts w:ascii="Times New Roman" w:hAnsi="Times New Roman"/>
        </w:rPr>
        <w:t xml:space="preserve">  Neptuno only recently identified and selected a manufacturer to supply equipment for its transition, has not yet finalized agreements with contractor teams for deployment of CPE points, or commenced deployment of tower technicians to migrate access points.</w:t>
      </w:r>
      <w:r>
        <w:rPr>
          <w:rStyle w:val="FootnoteReference"/>
          <w:sz w:val="22"/>
        </w:rPr>
        <w:footnoteReference w:id="29"/>
      </w:r>
      <w:r w:rsidRPr="00C52E6E">
        <w:rPr>
          <w:rFonts w:ascii="Times New Roman" w:hAnsi="Times New Roman"/>
        </w:rPr>
        <w:t xml:space="preserve">  We do not agree that an extension of six months is warranted based on these facts.</w:t>
      </w:r>
      <w:r>
        <w:rPr>
          <w:rStyle w:val="FootnoteReference"/>
          <w:sz w:val="22"/>
        </w:rPr>
        <w:footnoteReference w:id="30"/>
      </w:r>
      <w:r w:rsidRPr="00C52E6E">
        <w:rPr>
          <w:rFonts w:ascii="Times New Roman" w:hAnsi="Times New Roman"/>
        </w:rPr>
        <w:t xml:space="preserve">    </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i/>
          <w:iCs/>
        </w:rPr>
        <w:t xml:space="preserve">Unique and Unusual Circumstances. </w:t>
      </w:r>
      <w:r w:rsidRPr="00C52E6E">
        <w:rPr>
          <w:rFonts w:ascii="Times New Roman" w:hAnsi="Times New Roman"/>
        </w:rPr>
        <w:t xml:space="preserve"> Each of the licensees requesting waivers described in varying detail the unique and unusual intervening circumstances, events or other factors that prevented them from timely completing the transition.  For example, licensees explained that restrictions and safety precautions related to the COVID-19 pandemic posed a significant barrier to operations and, in some cases, caused a halt to transition plans.</w:t>
      </w:r>
      <w:r>
        <w:rPr>
          <w:rStyle w:val="FootnoteReference"/>
          <w:sz w:val="22"/>
        </w:rPr>
        <w:footnoteReference w:id="31"/>
      </w:r>
      <w:r w:rsidRPr="00C52E6E">
        <w:rPr>
          <w:rFonts w:ascii="Times New Roman" w:hAnsi="Times New Roman"/>
        </w:rPr>
        <w:t xml:space="preserve">  Meanwhile, an increased demand for broadband forced some licensees to divert resources to accommodate new service requests and increase capacity to existing sites in order to allow new and existing customers to work, go to school, and procure healthcare from home.</w:t>
      </w:r>
      <w:r>
        <w:rPr>
          <w:rStyle w:val="FootnoteReference"/>
          <w:sz w:val="22"/>
        </w:rPr>
        <w:footnoteReference w:id="32"/>
      </w:r>
      <w:r w:rsidRPr="00C52E6E">
        <w:rPr>
          <w:rFonts w:ascii="Times New Roman" w:hAnsi="Times New Roman"/>
        </w:rPr>
        <w:t xml:space="preserve">  In addition, many licensees did not learn until late 2019 or early 2020 that their existing equipment is not part 96 compliant, and their filings describe the individual challenges encountered in procuring new equipment.</w:t>
      </w:r>
      <w:r>
        <w:rPr>
          <w:rStyle w:val="FootnoteReference"/>
          <w:sz w:val="22"/>
        </w:rPr>
        <w:footnoteReference w:id="33"/>
      </w:r>
      <w:r w:rsidRPr="00C52E6E">
        <w:rPr>
          <w:rFonts w:ascii="Times New Roman" w:hAnsi="Times New Roman"/>
        </w:rPr>
        <w:t xml:space="preserve">  Licensees asserted that the process of ordering, receiving, programing, and installing replacement equipment could not be completed by the October 17, 2020 deadline.  They advised that equipment was often delivered late, and, in some cases, has not arrived yet because demand for part 96 </w:t>
      </w:r>
      <w:r w:rsidRPr="00C52E6E">
        <w:rPr>
          <w:rFonts w:ascii="Times New Roman" w:hAnsi="Times New Roman"/>
        </w:rPr>
        <w:t>equipment exceeds supply.</w:t>
      </w:r>
      <w:r>
        <w:rPr>
          <w:rStyle w:val="FootnoteReference"/>
          <w:sz w:val="22"/>
        </w:rPr>
        <w:footnoteReference w:id="34"/>
      </w:r>
      <w:r w:rsidRPr="00C52E6E">
        <w:rPr>
          <w:rFonts w:ascii="Times New Roman" w:hAnsi="Times New Roman"/>
        </w:rPr>
        <w:t xml:space="preserve">  The COVID-19 pandemic has interrupted the supply chain by hampering vendor manufacturing capabilities and by causing a surge in shipping delays.</w:t>
      </w:r>
      <w:r>
        <w:rPr>
          <w:rStyle w:val="FootnoteReference"/>
          <w:sz w:val="22"/>
        </w:rPr>
        <w:footnoteReference w:id="35"/>
      </w:r>
      <w:r w:rsidRPr="00C52E6E">
        <w:rPr>
          <w:rFonts w:ascii="Times New Roman" w:hAnsi="Times New Roman"/>
        </w:rPr>
        <w:t xml:space="preserve">  Moreover, several licensees were impacted by natural disasters, including wildfires and hurricanes, that halted or impaired operations and required resource diversion.</w:t>
      </w:r>
      <w:r>
        <w:rPr>
          <w:rStyle w:val="FootnoteReference"/>
          <w:sz w:val="22"/>
        </w:rPr>
        <w:footnoteReference w:id="36"/>
      </w:r>
      <w:r w:rsidRPr="00C52E6E">
        <w:rPr>
          <w:rFonts w:ascii="Times New Roman" w:hAnsi="Times New Roman"/>
        </w:rPr>
        <w:t xml:space="preserve">    </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i/>
          <w:iCs/>
        </w:rPr>
        <w:t xml:space="preserve">Specific Steps.  </w:t>
      </w:r>
      <w:r w:rsidRPr="00C52E6E">
        <w:rPr>
          <w:rFonts w:ascii="Times New Roman" w:hAnsi="Times New Roman"/>
        </w:rPr>
        <w:t>The licensees also explained the specific steps that they will take to complete the transition expeditiously from part 90 to part 96 operations.  For instance, the licensees described what equipment they still need to replace, when they expect to be able to replace it, how they plan to hire additional employees and contractors to increase workload capacity, and what they will do to respond to potential delays caused by events like severe weather and employee illness.</w:t>
      </w:r>
      <w:r>
        <w:rPr>
          <w:rStyle w:val="FootnoteReference"/>
          <w:sz w:val="22"/>
        </w:rPr>
        <w:footnoteReference w:id="37"/>
      </w:r>
      <w:r w:rsidRPr="00C52E6E">
        <w:rPr>
          <w:rFonts w:ascii="Times New Roman" w:hAnsi="Times New Roman"/>
        </w:rPr>
        <w:t xml:space="preserve"> </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rPr>
        <w:t>We find that, in several cases, licensees are likely to be able to complete the remaining transition steps earlier than their requested extension periods.  For example, Colorado Central Telecom, Inc. requested a waiver until December 31, 2020, notwithstanding the fact that it received replacement CPE hardware in late August</w:t>
      </w:r>
      <w:r w:rsidR="001C7243">
        <w:rPr>
          <w:rFonts w:ascii="Times New Roman" w:hAnsi="Times New Roman"/>
        </w:rPr>
        <w:t>,</w:t>
      </w:r>
      <w:r w:rsidRPr="00C52E6E">
        <w:rPr>
          <w:rFonts w:ascii="Times New Roman" w:hAnsi="Times New Roman"/>
        </w:rPr>
        <w:t xml:space="preserve"> merely stating—without further detail—that it “fully expects that its Part 96 transition will be completed by December 31, 2020.”</w:t>
      </w:r>
      <w:r>
        <w:rPr>
          <w:rStyle w:val="FootnoteReference"/>
          <w:sz w:val="22"/>
        </w:rPr>
        <w:footnoteReference w:id="38"/>
      </w:r>
      <w:r w:rsidRPr="00C52E6E">
        <w:rPr>
          <w:rFonts w:ascii="Times New Roman" w:hAnsi="Times New Roman"/>
        </w:rPr>
        <w:t xml:space="preserve">  Visionary Communications, Inc. and SkyWex Industries, LLC (collectively, Visonary) have similarly requested an extension until December 31, 2020 to complete the transition and outlined several steps that they will take during November and December to complete the transition.</w:t>
      </w:r>
      <w:r>
        <w:rPr>
          <w:rStyle w:val="FootnoteReference"/>
          <w:sz w:val="22"/>
        </w:rPr>
        <w:footnoteReference w:id="39"/>
      </w:r>
      <w:r w:rsidRPr="00C52E6E">
        <w:rPr>
          <w:rFonts w:ascii="Times New Roman" w:hAnsi="Times New Roman"/>
        </w:rPr>
        <w:t xml:space="preserve">  Visionary does not explain with specificity what actions would fall in the last 1</w:t>
      </w:r>
      <w:r w:rsidR="001C7243">
        <w:rPr>
          <w:rFonts w:ascii="Times New Roman" w:hAnsi="Times New Roman"/>
        </w:rPr>
        <w:t>5</w:t>
      </w:r>
      <w:r w:rsidRPr="00C52E6E">
        <w:rPr>
          <w:rFonts w:ascii="Times New Roman" w:hAnsi="Times New Roman"/>
        </w:rPr>
        <w:t xml:space="preserve"> days of the month and we are doubtful that the necessary work could not be completed prior to December 16.</w:t>
      </w:r>
      <w:r>
        <w:rPr>
          <w:rStyle w:val="FootnoteReference"/>
          <w:sz w:val="22"/>
        </w:rPr>
        <w:footnoteReference w:id="40"/>
      </w:r>
      <w:r w:rsidRPr="00C52E6E">
        <w:rPr>
          <w:rFonts w:ascii="Times New Roman" w:hAnsi="Times New Roman"/>
        </w:rPr>
        <w:t xml:space="preserve">   </w:t>
      </w:r>
    </w:p>
    <w:p w:rsidR="00FF611C"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rPr>
        <w:t xml:space="preserve">In conclusion, we find that the limited extensions of time we grant in this Order strike an appropriate balance between affording licensees additional time to complete their transitions to part 96-compliant equipment (in light of their good faith efforts to date and unique circumstances, as presented in their waiver requests) while encouraging licensees to act with appropriate diligence and not creating incentives for undue delay. </w:t>
      </w:r>
    </w:p>
    <w:p w:rsidR="006466F9" w:rsidRPr="00C52E6E" w:rsidP="006466F9">
      <w:pPr>
        <w:pStyle w:val="ListParagraph"/>
        <w:spacing w:after="120" w:line="240" w:lineRule="auto"/>
        <w:ind w:left="634"/>
        <w:contextualSpacing w:val="0"/>
        <w:rPr>
          <w:rFonts w:ascii="Times New Roman" w:hAnsi="Times New Roman"/>
        </w:rPr>
      </w:pPr>
    </w:p>
    <w:p w:rsidR="00FF611C" w:rsidRPr="00C52E6E" w:rsidP="00FF611C">
      <w:pPr>
        <w:pStyle w:val="ListParagraph"/>
        <w:numPr>
          <w:ilvl w:val="0"/>
          <w:numId w:val="7"/>
        </w:numPr>
        <w:spacing w:after="120"/>
        <w:contextualSpacing w:val="0"/>
        <w:rPr>
          <w:rFonts w:ascii="Times New Roman" w:hAnsi="Times New Roman"/>
          <w:b/>
          <w:bCs/>
        </w:rPr>
      </w:pPr>
      <w:r w:rsidRPr="00C52E6E">
        <w:rPr>
          <w:rFonts w:ascii="Times New Roman" w:hAnsi="Times New Roman"/>
          <w:b/>
          <w:bCs/>
        </w:rPr>
        <w:t>ORDERING CLAUSES</w:t>
      </w:r>
    </w:p>
    <w:p w:rsidR="00FF611C" w:rsidRPr="00C52E6E" w:rsidP="00FF611C">
      <w:pPr>
        <w:pStyle w:val="ListParagraph"/>
        <w:numPr>
          <w:ilvl w:val="0"/>
          <w:numId w:val="8"/>
        </w:numPr>
        <w:spacing w:after="120" w:line="240" w:lineRule="auto"/>
        <w:ind w:left="0" w:firstLine="634"/>
        <w:contextualSpacing w:val="0"/>
        <w:rPr>
          <w:rFonts w:ascii="Times New Roman" w:hAnsi="Times New Roman"/>
        </w:rPr>
      </w:pPr>
      <w:r w:rsidRPr="00C52E6E">
        <w:rPr>
          <w:rFonts w:ascii="Times New Roman" w:hAnsi="Times New Roman"/>
        </w:rPr>
        <w:t xml:space="preserve">Accordingly, pursuant to Sections 1, 2, 4(i), 4(j), 302a, 303, 304, 307(e), 308(a), and 316 of the Communications Act, as amended, 47 U.S.C. §§ 151, 152, 154(i), 154(j), 302a, 303, 304, 307(e), 308(a), and 316, and Sections 0.131, 0.331, 1.3, and 1.925 of the Commission’s rules, 47 CFR.§§ 0.131, 0.331, 1.3, and 1.925, the waiver requests listed in Appendices A and B are GRANTED to the extent described above and are otherwise DENIED.  The part 90 wireless broadband licensees listed in Appendix A are hereby granted a limited waiver of the transition period in Sections 90.1307, 90.1311, 90.1338, and 96.21 of the Commission’s rules, 47 CFR §§ 90.1307, 90.1338(a), and 96.21, until December 16, 2020.  The part 90 wireless broadband licensees listed in Appendix B are hereby granted a limited waiver of the transition period in Sections 90.1307, 90.1311, 90.1338, and 96.21 of the Commission’s rules, 47 CFR §§ 90.1307, 90.1338(a), and 96.21, until February 14, 2021.  The expiration date of affected licenses will be modified, where necessary, to reflect this limited waiver. </w:t>
      </w:r>
    </w:p>
    <w:p w:rsidR="00FF611C" w:rsidP="00FF611C">
      <w:pPr>
        <w:spacing w:after="120"/>
        <w:rPr>
          <w:szCs w:val="22"/>
        </w:rPr>
      </w:pPr>
    </w:p>
    <w:p w:rsidR="00152B9A" w:rsidP="0017296B">
      <w:r>
        <w:tab/>
      </w:r>
      <w:r>
        <w:tab/>
      </w:r>
      <w:r>
        <w:tab/>
      </w:r>
      <w:r>
        <w:tab/>
      </w:r>
      <w:r>
        <w:tab/>
      </w:r>
      <w:r>
        <w:tab/>
        <w:t>FEDERAL COMMUNICATIONS COMMISSION</w:t>
      </w:r>
    </w:p>
    <w:p w:rsidR="00152B9A" w:rsidP="0017296B"/>
    <w:p w:rsidR="00152B9A" w:rsidP="0017296B"/>
    <w:p w:rsidR="00152B9A" w:rsidP="0017296B"/>
    <w:p w:rsidR="00152B9A" w:rsidP="0017296B"/>
    <w:p w:rsidR="00152B9A" w:rsidP="0017296B">
      <w:r>
        <w:tab/>
      </w:r>
      <w:r>
        <w:tab/>
      </w:r>
      <w:r>
        <w:tab/>
      </w:r>
      <w:r>
        <w:tab/>
      </w:r>
      <w:r>
        <w:tab/>
      </w:r>
      <w:r>
        <w:tab/>
        <w:t>Donald K. Stockdale</w:t>
      </w:r>
    </w:p>
    <w:p w:rsidR="00152B9A" w:rsidP="00152B9A">
      <w:pPr>
        <w:ind w:left="4320"/>
      </w:pPr>
      <w:r>
        <w:t>Chief</w:t>
      </w:r>
    </w:p>
    <w:p w:rsidR="00152B9A" w:rsidP="0017296B">
      <w:r>
        <w:tab/>
      </w:r>
      <w:r>
        <w:tab/>
      </w:r>
      <w:r>
        <w:tab/>
      </w:r>
      <w:r>
        <w:tab/>
      </w:r>
      <w:r>
        <w:tab/>
      </w:r>
      <w:r>
        <w:tab/>
        <w:t>Wireless Telecommunications Bureau</w:t>
      </w:r>
    </w:p>
    <w:p w:rsidR="00FF611C" w:rsidRPr="00C52E6E" w:rsidP="00FF611C">
      <w:pPr>
        <w:rPr>
          <w:b/>
          <w:bCs/>
          <w:szCs w:val="22"/>
        </w:rPr>
        <w:sectPr w:rsidSect="006D3551">
          <w:headerReference w:type="default" r:id="rId5"/>
          <w:footerReference w:type="default" r:id="rId6"/>
          <w:headerReference w:type="first" r:id="rId7"/>
          <w:pgSz w:w="12240" w:h="15840" w:code="1"/>
          <w:pgMar w:top="1440" w:right="1440" w:bottom="1440" w:left="1440" w:header="720" w:footer="720" w:gutter="0"/>
          <w:cols w:space="720"/>
          <w:titlePg/>
          <w:docGrid w:linePitch="360"/>
        </w:sectPr>
      </w:pPr>
    </w:p>
    <w:p w:rsidR="00FF611C" w:rsidRPr="00C52E6E" w:rsidP="00FF611C">
      <w:pPr>
        <w:jc w:val="center"/>
        <w:rPr>
          <w:b/>
          <w:bCs/>
          <w:szCs w:val="22"/>
        </w:rPr>
      </w:pPr>
      <w:r w:rsidRPr="00C52E6E">
        <w:rPr>
          <w:b/>
          <w:bCs/>
          <w:szCs w:val="22"/>
        </w:rPr>
        <w:t>APPENDIX A</w:t>
      </w:r>
    </w:p>
    <w:p w:rsidR="00FF611C" w:rsidRPr="00C52E6E" w:rsidP="00FF611C">
      <w:pPr>
        <w:jc w:val="center"/>
        <w:rPr>
          <w:b/>
          <w:bCs/>
          <w:szCs w:val="22"/>
        </w:rPr>
      </w:pPr>
      <w:r w:rsidRPr="00C52E6E">
        <w:rPr>
          <w:b/>
          <w:bCs/>
          <w:szCs w:val="22"/>
        </w:rPr>
        <w:t>Transition Date Extended to December 16, 2020</w:t>
      </w:r>
    </w:p>
    <w:p w:rsidR="00E04AAC" w:rsidRPr="00C52E6E" w:rsidP="00FF611C">
      <w:pPr>
        <w:jc w:val="center"/>
        <w:rPr>
          <w:b/>
          <w:bCs/>
          <w:szCs w:val="22"/>
        </w:rPr>
      </w:pPr>
    </w:p>
    <w:tbl>
      <w:tblPr>
        <w:tblStyle w:val="TableGrid"/>
        <w:tblW w:w="0" w:type="auto"/>
        <w:jc w:val="center"/>
        <w:tblCellMar>
          <w:left w:w="115" w:type="dxa"/>
          <w:right w:w="115" w:type="dxa"/>
        </w:tblCellMar>
        <w:tblLook w:val="04A0"/>
      </w:tblPr>
      <w:tblGrid>
        <w:gridCol w:w="1975"/>
        <w:gridCol w:w="1784"/>
        <w:gridCol w:w="5591"/>
      </w:tblGrid>
      <w:tr w:rsidTr="009B2F5B">
        <w:tblPrEx>
          <w:tblW w:w="0" w:type="auto"/>
          <w:jc w:val="center"/>
          <w:tblCellMar>
            <w:left w:w="115" w:type="dxa"/>
            <w:right w:w="115" w:type="dxa"/>
          </w:tblCellMar>
          <w:tblLook w:val="04A0"/>
        </w:tblPrEx>
        <w:trPr>
          <w:trHeight w:val="496"/>
          <w:jc w:val="center"/>
        </w:trPr>
        <w:tc>
          <w:tcPr>
            <w:tcW w:w="1975" w:type="dxa"/>
            <w:noWrap/>
          </w:tcPr>
          <w:p w:rsidR="00FF611C" w:rsidRPr="00C52E6E" w:rsidP="009B2F5B">
            <w:pPr>
              <w:jc w:val="center"/>
              <w:rPr>
                <w:rFonts w:ascii="Times New Roman" w:hAnsi="Times New Roman"/>
                <w:b/>
                <w:bCs/>
              </w:rPr>
            </w:pPr>
            <w:bookmarkStart w:id="1" w:name="_Hlk53665250"/>
            <w:r w:rsidRPr="00C52E6E">
              <w:rPr>
                <w:rFonts w:ascii="Times New Roman" w:hAnsi="Times New Roman"/>
                <w:b/>
                <w:bCs/>
              </w:rPr>
              <w:t>ULS File Number</w:t>
            </w:r>
          </w:p>
        </w:tc>
        <w:tc>
          <w:tcPr>
            <w:tcW w:w="1784" w:type="dxa"/>
          </w:tcPr>
          <w:p w:rsidR="00FF611C" w:rsidRPr="00C52E6E" w:rsidP="009B2F5B">
            <w:pPr>
              <w:jc w:val="center"/>
              <w:rPr>
                <w:rFonts w:ascii="Times New Roman" w:hAnsi="Times New Roman"/>
                <w:b/>
                <w:bCs/>
              </w:rPr>
            </w:pPr>
            <w:r w:rsidRPr="00C52E6E">
              <w:rPr>
                <w:rFonts w:ascii="Times New Roman" w:hAnsi="Times New Roman"/>
                <w:b/>
                <w:bCs/>
              </w:rPr>
              <w:t>Call Sign</w:t>
            </w:r>
          </w:p>
        </w:tc>
        <w:tc>
          <w:tcPr>
            <w:tcW w:w="5591" w:type="dxa"/>
            <w:noWrap/>
          </w:tcPr>
          <w:p w:rsidR="00FF611C" w:rsidRPr="00C52E6E" w:rsidP="009B2F5B">
            <w:pPr>
              <w:jc w:val="center"/>
              <w:rPr>
                <w:rFonts w:ascii="Times New Roman" w:hAnsi="Times New Roman"/>
                <w:b/>
                <w:bCs/>
              </w:rPr>
            </w:pPr>
            <w:r w:rsidRPr="00C52E6E">
              <w:rPr>
                <w:rFonts w:ascii="Times New Roman" w:hAnsi="Times New Roman"/>
                <w:b/>
                <w:bCs/>
              </w:rPr>
              <w:t>Licensee</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0009243713</w:t>
            </w:r>
          </w:p>
        </w:tc>
        <w:tc>
          <w:tcPr>
            <w:tcW w:w="1784" w:type="dxa"/>
            <w:shd w:val="clear" w:color="FFFFFF" w:fill="FFFFFF"/>
          </w:tcPr>
          <w:p w:rsidR="00FF611C" w:rsidRPr="00C52E6E" w:rsidP="009B2F5B">
            <w:pPr>
              <w:rPr>
                <w:rFonts w:ascii="Times New Roman" w:hAnsi="Times New Roman"/>
              </w:rPr>
            </w:pPr>
            <w:r w:rsidRPr="00C52E6E">
              <w:rPr>
                <w:rFonts w:ascii="Times New Roman" w:hAnsi="Times New Roman"/>
                <w:color w:val="000000"/>
              </w:rPr>
              <w:t xml:space="preserve">     WQLU282</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Southern Ohio Communication Services, Inc.</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0009260419</w:t>
            </w:r>
          </w:p>
        </w:tc>
        <w:tc>
          <w:tcPr>
            <w:tcW w:w="1784" w:type="dxa"/>
            <w:shd w:val="clear" w:color="FFFFFF" w:fill="FFFFFF"/>
          </w:tcPr>
          <w:p w:rsidR="00FF611C" w:rsidRPr="00C52E6E" w:rsidP="009B2F5B">
            <w:pPr>
              <w:jc w:val="center"/>
              <w:rPr>
                <w:rFonts w:ascii="Times New Roman" w:hAnsi="Times New Roman"/>
              </w:rPr>
            </w:pPr>
            <w:r w:rsidRPr="00C52E6E">
              <w:rPr>
                <w:rFonts w:ascii="Times New Roman" w:hAnsi="Times New Roman"/>
                <w:color w:val="000000"/>
              </w:rPr>
              <w:t>WQLN535</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Q-Wireless, LLC</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0009260171</w:t>
            </w:r>
          </w:p>
        </w:tc>
        <w:tc>
          <w:tcPr>
            <w:tcW w:w="1784" w:type="dxa"/>
            <w:shd w:val="clear" w:color="FFFFFF" w:fill="FFFFFF"/>
          </w:tcPr>
          <w:p w:rsidR="00FF611C" w:rsidRPr="00C52E6E" w:rsidP="009B2F5B">
            <w:pPr>
              <w:jc w:val="center"/>
              <w:rPr>
                <w:rFonts w:ascii="Times New Roman" w:hAnsi="Times New Roman"/>
              </w:rPr>
            </w:pPr>
            <w:r w:rsidRPr="00C52E6E">
              <w:rPr>
                <w:rFonts w:ascii="Times New Roman" w:hAnsi="Times New Roman"/>
                <w:color w:val="000000"/>
              </w:rPr>
              <w:t>WQNB971</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W.A.T.C.H. TV Company</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0009259590</w:t>
            </w:r>
          </w:p>
        </w:tc>
        <w:tc>
          <w:tcPr>
            <w:tcW w:w="1784" w:type="dxa"/>
            <w:shd w:val="clear" w:color="FFFFFF" w:fill="FFFFFF"/>
          </w:tcPr>
          <w:p w:rsidR="00FF611C" w:rsidRPr="00C52E6E" w:rsidP="009B2F5B">
            <w:pPr>
              <w:jc w:val="center"/>
              <w:rPr>
                <w:rFonts w:ascii="Times New Roman" w:hAnsi="Times New Roman"/>
              </w:rPr>
            </w:pPr>
            <w:r w:rsidRPr="00C52E6E">
              <w:rPr>
                <w:rFonts w:ascii="Times New Roman" w:hAnsi="Times New Roman"/>
                <w:color w:val="000000"/>
              </w:rPr>
              <w:t>WQIX997</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Virginia Everywhere, LLC</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0009242630</w:t>
            </w:r>
          </w:p>
        </w:tc>
        <w:tc>
          <w:tcPr>
            <w:tcW w:w="1784" w:type="dxa"/>
            <w:shd w:val="clear" w:color="FFFFFF" w:fill="FFFFFF"/>
          </w:tcPr>
          <w:p w:rsidR="00FF611C" w:rsidRPr="00C52E6E" w:rsidP="009B2F5B">
            <w:pPr>
              <w:jc w:val="center"/>
              <w:rPr>
                <w:rFonts w:ascii="Times New Roman" w:hAnsi="Times New Roman"/>
              </w:rPr>
            </w:pPr>
            <w:r w:rsidRPr="00C52E6E">
              <w:rPr>
                <w:rFonts w:ascii="Times New Roman" w:hAnsi="Times New Roman"/>
                <w:color w:val="000000"/>
              </w:rPr>
              <w:t>WQTJ623</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Colorado Central Telecom Inc.</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0009219129</w:t>
            </w:r>
          </w:p>
        </w:tc>
        <w:tc>
          <w:tcPr>
            <w:tcW w:w="1784" w:type="dxa"/>
            <w:shd w:val="clear" w:color="FFFFFF" w:fill="FFFFFF"/>
          </w:tcPr>
          <w:p w:rsidR="00FF611C" w:rsidRPr="00C52E6E" w:rsidP="009B2F5B">
            <w:pPr>
              <w:jc w:val="center"/>
              <w:rPr>
                <w:rFonts w:ascii="Times New Roman" w:hAnsi="Times New Roman"/>
              </w:rPr>
            </w:pPr>
            <w:r w:rsidRPr="00C52E6E">
              <w:rPr>
                <w:rFonts w:ascii="Times New Roman" w:hAnsi="Times New Roman"/>
                <w:color w:val="000000"/>
              </w:rPr>
              <w:t>WQIS540</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SkyWerx Industries, LLC</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0009219184</w:t>
            </w:r>
          </w:p>
        </w:tc>
        <w:tc>
          <w:tcPr>
            <w:tcW w:w="1784" w:type="dxa"/>
            <w:shd w:val="clear" w:color="FFFFFF" w:fill="FFFFFF"/>
          </w:tcPr>
          <w:p w:rsidR="00FF611C" w:rsidRPr="00C52E6E" w:rsidP="009B2F5B">
            <w:pPr>
              <w:jc w:val="center"/>
              <w:rPr>
                <w:rFonts w:ascii="Times New Roman" w:hAnsi="Times New Roman"/>
              </w:rPr>
            </w:pPr>
            <w:r w:rsidRPr="00C52E6E">
              <w:rPr>
                <w:rFonts w:ascii="Times New Roman" w:hAnsi="Times New Roman"/>
                <w:color w:val="000000"/>
              </w:rPr>
              <w:t>WQJK717</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Visionary Communications, Inc</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0009256689</w:t>
            </w:r>
          </w:p>
        </w:tc>
        <w:tc>
          <w:tcPr>
            <w:tcW w:w="1784" w:type="dxa"/>
            <w:shd w:val="clear" w:color="FFFFFF" w:fill="FFFFFF"/>
          </w:tcPr>
          <w:p w:rsidR="00FF611C" w:rsidRPr="00C52E6E" w:rsidP="009B2F5B">
            <w:pPr>
              <w:jc w:val="center"/>
              <w:rPr>
                <w:rFonts w:ascii="Times New Roman" w:hAnsi="Times New Roman"/>
              </w:rPr>
            </w:pPr>
            <w:r w:rsidRPr="00C52E6E">
              <w:rPr>
                <w:rFonts w:ascii="Times New Roman" w:hAnsi="Times New Roman"/>
                <w:color w:val="000000"/>
              </w:rPr>
              <w:t>WQKR607</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ACS Wireless License Sub, LLC</w:t>
            </w:r>
          </w:p>
        </w:tc>
      </w:tr>
      <w:tr w:rsidTr="009B2F5B">
        <w:tblPrEx>
          <w:tblW w:w="0" w:type="auto"/>
          <w:jc w:val="center"/>
          <w:tblCellMar>
            <w:left w:w="115" w:type="dxa"/>
            <w:right w:w="115" w:type="dxa"/>
          </w:tblCellMar>
          <w:tblLook w:val="04A0"/>
        </w:tblPrEx>
        <w:trPr>
          <w:trHeight w:val="496"/>
          <w:jc w:val="center"/>
        </w:trPr>
        <w:tc>
          <w:tcPr>
            <w:tcW w:w="1975" w:type="dxa"/>
            <w:noWrap/>
            <w:hideMark/>
          </w:tcPr>
          <w:p w:rsidR="00FF611C" w:rsidRPr="00C52E6E" w:rsidP="009B2F5B">
            <w:pPr>
              <w:jc w:val="center"/>
              <w:rPr>
                <w:rFonts w:ascii="Times New Roman" w:hAnsi="Times New Roman"/>
              </w:rPr>
            </w:pPr>
            <w:r w:rsidRPr="00C52E6E">
              <w:rPr>
                <w:rFonts w:ascii="Times New Roman" w:hAnsi="Times New Roman"/>
              </w:rPr>
              <w:t>0009261361</w:t>
            </w:r>
          </w:p>
        </w:tc>
        <w:tc>
          <w:tcPr>
            <w:tcW w:w="1784" w:type="dxa"/>
            <w:shd w:val="clear" w:color="auto" w:fill="auto"/>
          </w:tcPr>
          <w:p w:rsidR="00FF611C" w:rsidRPr="00C52E6E" w:rsidP="009B2F5B">
            <w:pPr>
              <w:jc w:val="center"/>
              <w:rPr>
                <w:rFonts w:ascii="Times New Roman" w:hAnsi="Times New Roman"/>
              </w:rPr>
            </w:pPr>
            <w:r w:rsidRPr="00C52E6E">
              <w:rPr>
                <w:rFonts w:ascii="Times New Roman" w:hAnsi="Times New Roman"/>
                <w:color w:val="000000"/>
              </w:rPr>
              <w:t>WQLX338</w:t>
            </w:r>
          </w:p>
        </w:tc>
        <w:tc>
          <w:tcPr>
            <w:tcW w:w="5591" w:type="dxa"/>
            <w:noWrap/>
            <w:hideMark/>
          </w:tcPr>
          <w:p w:rsidR="00FF611C" w:rsidRPr="00C52E6E" w:rsidP="009B2F5B">
            <w:pPr>
              <w:jc w:val="center"/>
              <w:rPr>
                <w:rFonts w:ascii="Times New Roman" w:hAnsi="Times New Roman"/>
              </w:rPr>
            </w:pPr>
            <w:r w:rsidRPr="00C52E6E">
              <w:rPr>
                <w:rFonts w:ascii="Times New Roman" w:hAnsi="Times New Roman"/>
              </w:rPr>
              <w:t>Internet Communications Inc.</w:t>
            </w:r>
          </w:p>
        </w:tc>
      </w:tr>
      <w:bookmarkEnd w:id="1"/>
    </w:tbl>
    <w:p w:rsidR="00FF611C" w:rsidRPr="00C52E6E" w:rsidP="00FF611C">
      <w:pPr>
        <w:jc w:val="center"/>
        <w:rPr>
          <w:b/>
          <w:bCs/>
          <w:szCs w:val="22"/>
        </w:rPr>
      </w:pPr>
    </w:p>
    <w:p w:rsidR="00FF611C" w:rsidRPr="00C52E6E" w:rsidP="00FF611C">
      <w:pPr>
        <w:rPr>
          <w:b/>
          <w:bCs/>
          <w:szCs w:val="22"/>
        </w:rPr>
      </w:pPr>
      <w:r w:rsidRPr="00C52E6E">
        <w:rPr>
          <w:b/>
          <w:bCs/>
          <w:szCs w:val="22"/>
        </w:rPr>
        <w:br w:type="page"/>
      </w:r>
    </w:p>
    <w:p w:rsidR="00FF611C" w:rsidRPr="00C52E6E" w:rsidP="00A35A89">
      <w:pPr>
        <w:jc w:val="center"/>
        <w:rPr>
          <w:b/>
          <w:bCs/>
          <w:szCs w:val="22"/>
        </w:rPr>
      </w:pPr>
      <w:r>
        <w:rPr>
          <w:b/>
          <w:bCs/>
          <w:szCs w:val="22"/>
        </w:rPr>
        <w:t>APPENDIX</w:t>
      </w:r>
      <w:r w:rsidRPr="00C52E6E">
        <w:rPr>
          <w:b/>
          <w:bCs/>
          <w:szCs w:val="22"/>
        </w:rPr>
        <w:t xml:space="preserve"> B</w:t>
      </w:r>
      <w:r w:rsidR="00A35A89">
        <w:rPr>
          <w:b/>
          <w:bCs/>
          <w:szCs w:val="22"/>
        </w:rPr>
        <w:t xml:space="preserve"> </w:t>
      </w:r>
    </w:p>
    <w:p w:rsidR="00FF611C" w:rsidP="00A35A89">
      <w:pPr>
        <w:jc w:val="center"/>
        <w:rPr>
          <w:b/>
          <w:bCs/>
          <w:szCs w:val="22"/>
        </w:rPr>
      </w:pPr>
      <w:r w:rsidRPr="00C52E6E">
        <w:rPr>
          <w:b/>
          <w:bCs/>
          <w:szCs w:val="22"/>
        </w:rPr>
        <w:t>Transition Date Extended to February 14, 2021</w:t>
      </w:r>
    </w:p>
    <w:p w:rsidR="00A35A89" w:rsidRPr="00C52E6E" w:rsidP="00A35A89">
      <w:pPr>
        <w:jc w:val="center"/>
        <w:rPr>
          <w:b/>
          <w:bCs/>
          <w:szCs w:val="22"/>
        </w:rPr>
      </w:pPr>
    </w:p>
    <w:tbl>
      <w:tblPr>
        <w:tblStyle w:val="TableGrid"/>
        <w:tblW w:w="0" w:type="auto"/>
        <w:tblInd w:w="-7" w:type="dxa"/>
        <w:tblLook w:val="04A0"/>
      </w:tblPr>
      <w:tblGrid>
        <w:gridCol w:w="1975"/>
        <w:gridCol w:w="1784"/>
        <w:gridCol w:w="5591"/>
      </w:tblGrid>
      <w:tr w:rsidTr="00FF611C">
        <w:tblPrEx>
          <w:tblW w:w="0" w:type="auto"/>
          <w:tblInd w:w="-7" w:type="dxa"/>
          <w:tblLook w:val="04A0"/>
        </w:tblPrEx>
        <w:trPr>
          <w:trHeight w:val="360"/>
          <w:tblHeader/>
        </w:trPr>
        <w:tc>
          <w:tcPr>
            <w:tcW w:w="1975" w:type="dxa"/>
          </w:tcPr>
          <w:p w:rsidR="00FF611C" w:rsidRPr="00C52E6E" w:rsidP="009B2F5B">
            <w:pPr>
              <w:spacing w:after="120"/>
              <w:jc w:val="center"/>
              <w:rPr>
                <w:rFonts w:ascii="Times New Roman" w:hAnsi="Times New Roman"/>
                <w:b/>
                <w:bCs/>
              </w:rPr>
            </w:pPr>
            <w:bookmarkStart w:id="2" w:name="_Hlk53721904"/>
            <w:r w:rsidRPr="00C52E6E">
              <w:rPr>
                <w:rFonts w:ascii="Times New Roman" w:hAnsi="Times New Roman"/>
                <w:b/>
                <w:bCs/>
              </w:rPr>
              <w:t>ULS File Number</w:t>
            </w:r>
          </w:p>
        </w:tc>
        <w:tc>
          <w:tcPr>
            <w:tcW w:w="1784" w:type="dxa"/>
            <w:noWrap/>
          </w:tcPr>
          <w:p w:rsidR="00FF611C" w:rsidRPr="00C52E6E" w:rsidP="009B2F5B">
            <w:pPr>
              <w:spacing w:after="120"/>
              <w:jc w:val="center"/>
              <w:rPr>
                <w:rFonts w:ascii="Times New Roman" w:hAnsi="Times New Roman"/>
                <w:b/>
                <w:bCs/>
              </w:rPr>
            </w:pPr>
            <w:r w:rsidRPr="00C52E6E">
              <w:rPr>
                <w:rFonts w:ascii="Times New Roman" w:hAnsi="Times New Roman"/>
                <w:b/>
                <w:bCs/>
              </w:rPr>
              <w:t>Call Sign</w:t>
            </w:r>
          </w:p>
        </w:tc>
        <w:tc>
          <w:tcPr>
            <w:tcW w:w="5591" w:type="dxa"/>
            <w:noWrap/>
          </w:tcPr>
          <w:p w:rsidR="00FF611C" w:rsidRPr="00C52E6E" w:rsidP="009B2F5B">
            <w:pPr>
              <w:spacing w:after="120"/>
              <w:jc w:val="center"/>
              <w:rPr>
                <w:rFonts w:ascii="Times New Roman" w:hAnsi="Times New Roman"/>
                <w:b/>
                <w:bCs/>
              </w:rPr>
            </w:pPr>
            <w:r w:rsidRPr="00C52E6E">
              <w:rPr>
                <w:rFonts w:ascii="Times New Roman" w:hAnsi="Times New Roman"/>
                <w:b/>
                <w:bCs/>
              </w:rPr>
              <w:t>Licensee</w:t>
            </w:r>
          </w:p>
        </w:tc>
      </w:tr>
      <w:bookmarkEnd w:id="2"/>
      <w:tr w:rsidTr="00FF611C">
        <w:tblPrEx>
          <w:tblW w:w="0" w:type="auto"/>
          <w:tblInd w:w="-7" w:type="dxa"/>
          <w:tblLook w:val="04A0"/>
        </w:tblPrEx>
        <w:trPr>
          <w:trHeight w:val="360"/>
          <w:tblHeader/>
        </w:trPr>
        <w:tc>
          <w:tcPr>
            <w:tcW w:w="1975" w:type="dxa"/>
          </w:tcPr>
          <w:p w:rsidR="00FF611C" w:rsidRPr="00C52E6E" w:rsidP="00FF611C">
            <w:pPr>
              <w:jc w:val="center"/>
              <w:rPr>
                <w:rFonts w:ascii="Times New Roman" w:hAnsi="Times New Roman"/>
              </w:rPr>
            </w:pPr>
            <w:r w:rsidRPr="00C52E6E">
              <w:rPr>
                <w:rFonts w:ascii="Times New Roman" w:hAnsi="Times New Roman"/>
              </w:rPr>
              <w:t>0009236244</w:t>
            </w:r>
          </w:p>
        </w:tc>
        <w:tc>
          <w:tcPr>
            <w:tcW w:w="1784" w:type="dxa"/>
            <w:noWrap/>
            <w:hideMark/>
          </w:tcPr>
          <w:p w:rsidR="00FF611C" w:rsidRPr="00C52E6E" w:rsidP="00FF611C">
            <w:pPr>
              <w:rPr>
                <w:rFonts w:ascii="Times New Roman" w:hAnsi="Times New Roman"/>
              </w:rPr>
            </w:pPr>
            <w:r w:rsidRPr="00C52E6E">
              <w:rPr>
                <w:rFonts w:ascii="Times New Roman" w:hAnsi="Times New Roman"/>
              </w:rPr>
              <w:t xml:space="preserve">     WQLL491</w:t>
            </w:r>
          </w:p>
          <w:p w:rsidR="00FF611C" w:rsidRPr="00C52E6E" w:rsidP="00FF611C">
            <w:pPr>
              <w:rPr>
                <w:rFonts w:ascii="Times New Roman" w:hAnsi="Times New Roman"/>
              </w:rPr>
            </w:pPr>
          </w:p>
        </w:tc>
        <w:tc>
          <w:tcPr>
            <w:tcW w:w="5591" w:type="dxa"/>
            <w:noWrap/>
            <w:hideMark/>
          </w:tcPr>
          <w:p w:rsidR="00FF611C" w:rsidRPr="00C52E6E" w:rsidP="00FF611C">
            <w:pPr>
              <w:jc w:val="center"/>
              <w:rPr>
                <w:rFonts w:ascii="Times New Roman" w:hAnsi="Times New Roman"/>
              </w:rPr>
            </w:pPr>
            <w:r w:rsidRPr="00C52E6E">
              <w:rPr>
                <w:rFonts w:ascii="Times New Roman" w:hAnsi="Times New Roman"/>
              </w:rPr>
              <w:t>Worrell Enterprises LLC</w:t>
            </w:r>
          </w:p>
        </w:tc>
      </w:tr>
      <w:tr w:rsidTr="00FF611C">
        <w:tblPrEx>
          <w:tblW w:w="0" w:type="auto"/>
          <w:tblInd w:w="-7" w:type="dxa"/>
          <w:tblLook w:val="04A0"/>
        </w:tblPrEx>
        <w:trPr>
          <w:trHeight w:val="360"/>
          <w:tblHeader/>
        </w:trPr>
        <w:tc>
          <w:tcPr>
            <w:tcW w:w="1975" w:type="dxa"/>
          </w:tcPr>
          <w:p w:rsidR="00561B8F" w:rsidRPr="00C52E6E" w:rsidP="00FF611C">
            <w:pPr>
              <w:jc w:val="center"/>
              <w:rPr>
                <w:rFonts w:ascii="Times New Roman" w:hAnsi="Times New Roman"/>
              </w:rPr>
            </w:pPr>
            <w:r w:rsidRPr="00C52E6E">
              <w:rPr>
                <w:rFonts w:ascii="Times New Roman" w:hAnsi="Times New Roman"/>
              </w:rPr>
              <w:t>0009258859</w:t>
            </w:r>
          </w:p>
        </w:tc>
        <w:tc>
          <w:tcPr>
            <w:tcW w:w="1784" w:type="dxa"/>
            <w:noWrap/>
          </w:tcPr>
          <w:p w:rsidR="00561B8F" w:rsidRPr="00C52E6E" w:rsidP="00FF611C">
            <w:pPr>
              <w:rPr>
                <w:rFonts w:ascii="Times New Roman" w:hAnsi="Times New Roman"/>
              </w:rPr>
            </w:pPr>
            <w:r w:rsidRPr="00C52E6E">
              <w:rPr>
                <w:rFonts w:ascii="Times New Roman" w:hAnsi="Times New Roman"/>
              </w:rPr>
              <w:t xml:space="preserve">     WQKF909</w:t>
            </w:r>
          </w:p>
        </w:tc>
        <w:tc>
          <w:tcPr>
            <w:tcW w:w="5591" w:type="dxa"/>
            <w:noWrap/>
          </w:tcPr>
          <w:p w:rsidR="00561B8F" w:rsidRPr="00C52E6E" w:rsidP="00FF611C">
            <w:pPr>
              <w:jc w:val="center"/>
              <w:rPr>
                <w:rFonts w:ascii="Times New Roman" w:hAnsi="Times New Roman"/>
              </w:rPr>
            </w:pPr>
            <w:r w:rsidRPr="00C52E6E">
              <w:rPr>
                <w:rFonts w:ascii="Times New Roman" w:hAnsi="Times New Roman"/>
              </w:rPr>
              <w:t>Cloudburst9 LLC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0009252825</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WQIG223</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Softcom Internet Communications,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0009226208</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WQKM394</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Arizona Public Service Company</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0009237301</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WQHW752</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Neptunomedia,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0009247011</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WQLL480</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Cal-Ore Communications</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0009260889</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WQHX870</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Olson, Donna J</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0009218036</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WQOA482</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Southeast Colorado Power Association</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0009249140</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WQLB653</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North Coast Wireless Communications LLC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0009250640</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WQLM532</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SmarterBroadband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0009258883</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WQJT704</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Country Wireless LLC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0009261808</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WQKH680</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Minnesota Valley TV Improvement Corporation</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0009228727</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WQIP473</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Air Canopy Internet Services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0009228752</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WQJI704</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Air Canopy Internet Services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0009228831</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WQJC234</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Digis, LLC.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0009228880</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WQLU285</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Essex Telcom,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0009228869</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WQJA669</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Essex Telecom,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0009229003</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WQLX341</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Essex Telecom,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0009228898</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WQJC216</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LP Broadband</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0009228971</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WQJC241</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LP Broadband</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0009228893</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WQIX998</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LP Broadband,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0009228944</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WQJC236</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LP Broadband,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0009228978</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WQJE591</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LP Broadband,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0009228986</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WQJM423</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LP Broadband, Inc.</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0009229216</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WQUQ272</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Rhino Communications</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0009229241</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WQIU804</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Skybeam Acquisition Corporation</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0009229259</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WQJA664</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Skybeam Acquisition Corporation</w:t>
            </w:r>
          </w:p>
        </w:tc>
      </w:tr>
      <w:tr w:rsidTr="00FF611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0009229280</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WQJA665</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Skybeam Acquisition Corporation</w:t>
            </w:r>
          </w:p>
        </w:tc>
      </w:tr>
    </w:tbl>
    <w:p w:rsidR="00E04AAC" w:rsidRPr="00C52E6E">
      <w:pPr>
        <w:rPr>
          <w:szCs w:val="22"/>
        </w:rPr>
      </w:pPr>
      <w:r w:rsidRPr="00C52E6E">
        <w:rPr>
          <w:szCs w:val="22"/>
        </w:rPr>
        <w:br w:type="page"/>
      </w:r>
    </w:p>
    <w:tbl>
      <w:tblPr>
        <w:tblStyle w:val="TableGrid"/>
        <w:tblW w:w="0" w:type="auto"/>
        <w:tblInd w:w="-7" w:type="dxa"/>
        <w:tblLook w:val="04A0"/>
      </w:tblPr>
      <w:tblGrid>
        <w:gridCol w:w="1975"/>
        <w:gridCol w:w="1784"/>
        <w:gridCol w:w="5591"/>
      </w:tblGrid>
      <w:tr w:rsidTr="009B2F5B">
        <w:tblPrEx>
          <w:tblW w:w="0" w:type="auto"/>
          <w:tblInd w:w="-7" w:type="dxa"/>
          <w:tblLook w:val="04A0"/>
        </w:tblPrEx>
        <w:trPr>
          <w:trHeight w:val="360"/>
          <w:tblHeader/>
        </w:trPr>
        <w:tc>
          <w:tcPr>
            <w:tcW w:w="1975" w:type="dxa"/>
          </w:tcPr>
          <w:p w:rsidR="00E04AAC" w:rsidRPr="00C52E6E" w:rsidP="009B2F5B">
            <w:pPr>
              <w:spacing w:after="120"/>
              <w:jc w:val="center"/>
              <w:rPr>
                <w:rFonts w:ascii="Times New Roman" w:hAnsi="Times New Roman"/>
                <w:b/>
                <w:bCs/>
              </w:rPr>
            </w:pPr>
            <w:r w:rsidRPr="00C52E6E">
              <w:rPr>
                <w:rFonts w:ascii="Times New Roman" w:hAnsi="Times New Roman"/>
                <w:b/>
                <w:bCs/>
              </w:rPr>
              <w:t>ULS File Number</w:t>
            </w:r>
          </w:p>
        </w:tc>
        <w:tc>
          <w:tcPr>
            <w:tcW w:w="1784" w:type="dxa"/>
            <w:noWrap/>
          </w:tcPr>
          <w:p w:rsidR="00E04AAC" w:rsidRPr="00C52E6E" w:rsidP="009B2F5B">
            <w:pPr>
              <w:spacing w:after="120"/>
              <w:jc w:val="center"/>
              <w:rPr>
                <w:rFonts w:ascii="Times New Roman" w:hAnsi="Times New Roman"/>
                <w:b/>
                <w:bCs/>
              </w:rPr>
            </w:pPr>
            <w:r w:rsidRPr="00C52E6E">
              <w:rPr>
                <w:rFonts w:ascii="Times New Roman" w:hAnsi="Times New Roman"/>
                <w:b/>
                <w:bCs/>
              </w:rPr>
              <w:t>Call Sign</w:t>
            </w:r>
          </w:p>
        </w:tc>
        <w:tc>
          <w:tcPr>
            <w:tcW w:w="5591" w:type="dxa"/>
            <w:noWrap/>
          </w:tcPr>
          <w:p w:rsidR="00E04AAC" w:rsidRPr="00C52E6E" w:rsidP="009B2F5B">
            <w:pPr>
              <w:spacing w:after="120"/>
              <w:jc w:val="center"/>
              <w:rPr>
                <w:rFonts w:ascii="Times New Roman" w:hAnsi="Times New Roman"/>
                <w:b/>
                <w:bCs/>
              </w:rPr>
            </w:pPr>
            <w:r w:rsidRPr="00C52E6E">
              <w:rPr>
                <w:rFonts w:ascii="Times New Roman" w:hAnsi="Times New Roman"/>
                <w:b/>
                <w:bCs/>
              </w:rPr>
              <w:t>Licensee</w:t>
            </w:r>
          </w:p>
        </w:tc>
      </w:tr>
      <w:tr w:rsidTr="00E04AA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0009229294</w:t>
            </w:r>
          </w:p>
        </w:tc>
        <w:tc>
          <w:tcPr>
            <w:tcW w:w="1784" w:type="dxa"/>
            <w:noWrap/>
          </w:tcPr>
          <w:p w:rsidR="00FF611C" w:rsidRPr="00C52E6E" w:rsidP="00FF611C">
            <w:pPr>
              <w:spacing w:after="120"/>
              <w:jc w:val="center"/>
              <w:rPr>
                <w:rFonts w:ascii="Times New Roman" w:hAnsi="Times New Roman"/>
              </w:rPr>
            </w:pPr>
            <w:r w:rsidRPr="00C52E6E">
              <w:rPr>
                <w:rFonts w:ascii="Times New Roman" w:hAnsi="Times New Roman"/>
              </w:rPr>
              <w:t>WQMC623</w:t>
            </w:r>
          </w:p>
        </w:tc>
        <w:tc>
          <w:tcPr>
            <w:tcW w:w="5591" w:type="dxa"/>
            <w:noWrap/>
          </w:tcPr>
          <w:p w:rsidR="00FF611C" w:rsidRPr="00C52E6E" w:rsidP="00FF611C">
            <w:pPr>
              <w:spacing w:after="120"/>
              <w:jc w:val="center"/>
              <w:rPr>
                <w:rFonts w:ascii="Times New Roman" w:hAnsi="Times New Roman"/>
              </w:rPr>
            </w:pPr>
            <w:r w:rsidRPr="00C52E6E">
              <w:rPr>
                <w:rFonts w:ascii="Times New Roman" w:hAnsi="Times New Roman"/>
              </w:rPr>
              <w:t>Skybeam Acquisition Corporation</w:t>
            </w:r>
          </w:p>
        </w:tc>
      </w:tr>
      <w:tr w:rsidTr="00E04AAC">
        <w:tblPrEx>
          <w:tblW w:w="0" w:type="auto"/>
          <w:tblInd w:w="-7" w:type="dxa"/>
          <w:tblLook w:val="04A0"/>
        </w:tblPrEx>
        <w:trPr>
          <w:trHeight w:val="360"/>
          <w:tblHeader/>
        </w:trPr>
        <w:tc>
          <w:tcPr>
            <w:tcW w:w="1975" w:type="dxa"/>
          </w:tcPr>
          <w:p w:rsidR="00FF611C" w:rsidRPr="00C52E6E" w:rsidP="00FF611C">
            <w:pPr>
              <w:spacing w:after="120"/>
              <w:jc w:val="center"/>
              <w:rPr>
                <w:rFonts w:ascii="Times New Roman" w:hAnsi="Times New Roman"/>
              </w:rPr>
            </w:pPr>
            <w:r w:rsidRPr="00C52E6E">
              <w:rPr>
                <w:rFonts w:ascii="Times New Roman" w:hAnsi="Times New Roman"/>
              </w:rPr>
              <w:t>0009261192</w:t>
            </w:r>
          </w:p>
        </w:tc>
        <w:tc>
          <w:tcPr>
            <w:tcW w:w="1784" w:type="dxa"/>
            <w:noWrap/>
            <w:hideMark/>
          </w:tcPr>
          <w:p w:rsidR="00FF611C" w:rsidRPr="00C52E6E" w:rsidP="00FF611C">
            <w:pPr>
              <w:spacing w:after="120"/>
              <w:jc w:val="center"/>
              <w:rPr>
                <w:rFonts w:ascii="Times New Roman" w:hAnsi="Times New Roman"/>
              </w:rPr>
            </w:pPr>
            <w:r w:rsidRPr="00C52E6E">
              <w:rPr>
                <w:rFonts w:ascii="Times New Roman" w:hAnsi="Times New Roman"/>
              </w:rPr>
              <w:t>WQQI560</w:t>
            </w:r>
          </w:p>
        </w:tc>
        <w:tc>
          <w:tcPr>
            <w:tcW w:w="5591" w:type="dxa"/>
            <w:noWrap/>
            <w:hideMark/>
          </w:tcPr>
          <w:p w:rsidR="00FF611C" w:rsidRPr="00C52E6E" w:rsidP="00FF611C">
            <w:pPr>
              <w:spacing w:after="120"/>
              <w:jc w:val="center"/>
              <w:rPr>
                <w:rFonts w:ascii="Times New Roman" w:hAnsi="Times New Roman"/>
              </w:rPr>
            </w:pPr>
            <w:r w:rsidRPr="00C52E6E">
              <w:rPr>
                <w:rFonts w:ascii="Times New Roman" w:hAnsi="Times New Roman"/>
              </w:rPr>
              <w:t>Williamson Enterprise, LLC dba Winchester Wireless</w:t>
            </w:r>
          </w:p>
        </w:tc>
      </w:tr>
      <w:tr w:rsidTr="00E04AAC">
        <w:tblPrEx>
          <w:tblW w:w="0" w:type="auto"/>
          <w:tblInd w:w="-7" w:type="dxa"/>
          <w:tblLook w:val="04A0"/>
        </w:tblPrEx>
        <w:trPr>
          <w:trHeight w:val="360"/>
          <w:tblHeader/>
        </w:trPr>
        <w:tc>
          <w:tcPr>
            <w:tcW w:w="1975" w:type="dxa"/>
          </w:tcPr>
          <w:p w:rsidR="00790B13" w:rsidRPr="00C52E6E" w:rsidP="00FF611C">
            <w:pPr>
              <w:spacing w:after="120"/>
              <w:jc w:val="center"/>
              <w:rPr>
                <w:rFonts w:ascii="Times New Roman" w:hAnsi="Times New Roman"/>
              </w:rPr>
            </w:pPr>
            <w:r w:rsidRPr="00C52E6E">
              <w:rPr>
                <w:rFonts w:ascii="Times New Roman" w:hAnsi="Times New Roman"/>
              </w:rPr>
              <w:t>0009262950</w:t>
            </w:r>
          </w:p>
        </w:tc>
        <w:tc>
          <w:tcPr>
            <w:tcW w:w="1784" w:type="dxa"/>
            <w:noWrap/>
          </w:tcPr>
          <w:p w:rsidR="00790B13" w:rsidRPr="00C52E6E" w:rsidP="00FF611C">
            <w:pPr>
              <w:spacing w:after="120"/>
              <w:jc w:val="center"/>
              <w:rPr>
                <w:rFonts w:ascii="Times New Roman" w:hAnsi="Times New Roman"/>
              </w:rPr>
            </w:pPr>
            <w:r w:rsidRPr="00C52E6E">
              <w:rPr>
                <w:rFonts w:ascii="Times New Roman" w:hAnsi="Times New Roman"/>
              </w:rPr>
              <w:t>WQSG754</w:t>
            </w:r>
          </w:p>
        </w:tc>
        <w:tc>
          <w:tcPr>
            <w:tcW w:w="5591" w:type="dxa"/>
            <w:noWrap/>
          </w:tcPr>
          <w:p w:rsidR="00790B13" w:rsidRPr="00C52E6E" w:rsidP="00FF611C">
            <w:pPr>
              <w:spacing w:after="120"/>
              <w:jc w:val="center"/>
              <w:rPr>
                <w:rFonts w:ascii="Times New Roman" w:hAnsi="Times New Roman"/>
              </w:rPr>
            </w:pPr>
            <w:r w:rsidRPr="00C52E6E">
              <w:rPr>
                <w:rFonts w:ascii="Times New Roman" w:hAnsi="Times New Roman"/>
              </w:rPr>
              <w:t>Avangrid Networks, Inc.</w:t>
            </w:r>
          </w:p>
        </w:tc>
      </w:tr>
      <w:tr w:rsidTr="00E04AAC">
        <w:tblPrEx>
          <w:tblW w:w="0" w:type="auto"/>
          <w:tblInd w:w="-7" w:type="dxa"/>
          <w:tblLook w:val="04A0"/>
        </w:tblPrEx>
        <w:trPr>
          <w:trHeight w:val="360"/>
          <w:tblHeader/>
        </w:trPr>
        <w:tc>
          <w:tcPr>
            <w:tcW w:w="1975" w:type="dxa"/>
          </w:tcPr>
          <w:p w:rsidR="00790B13" w:rsidRPr="00C52E6E" w:rsidP="00FF611C">
            <w:pPr>
              <w:spacing w:after="120"/>
              <w:jc w:val="center"/>
              <w:rPr>
                <w:rFonts w:ascii="Times New Roman" w:hAnsi="Times New Roman"/>
              </w:rPr>
            </w:pPr>
            <w:r w:rsidRPr="00C52E6E">
              <w:rPr>
                <w:rFonts w:ascii="Times New Roman" w:hAnsi="Times New Roman"/>
              </w:rPr>
              <w:t>0009262621</w:t>
            </w:r>
          </w:p>
        </w:tc>
        <w:tc>
          <w:tcPr>
            <w:tcW w:w="1784" w:type="dxa"/>
            <w:noWrap/>
          </w:tcPr>
          <w:p w:rsidR="00790B13" w:rsidRPr="00C52E6E" w:rsidP="00FF611C">
            <w:pPr>
              <w:spacing w:after="120"/>
              <w:jc w:val="center"/>
              <w:rPr>
                <w:rFonts w:ascii="Times New Roman" w:hAnsi="Times New Roman"/>
              </w:rPr>
            </w:pPr>
            <w:r w:rsidRPr="00C52E6E">
              <w:rPr>
                <w:rFonts w:ascii="Times New Roman" w:hAnsi="Times New Roman"/>
              </w:rPr>
              <w:t>WQMQ231</w:t>
            </w:r>
          </w:p>
        </w:tc>
        <w:tc>
          <w:tcPr>
            <w:tcW w:w="5591" w:type="dxa"/>
            <w:noWrap/>
          </w:tcPr>
          <w:p w:rsidR="00790B13" w:rsidRPr="00C52E6E" w:rsidP="00FF611C">
            <w:pPr>
              <w:spacing w:after="120"/>
              <w:jc w:val="center"/>
              <w:rPr>
                <w:rFonts w:ascii="Times New Roman" w:hAnsi="Times New Roman"/>
              </w:rPr>
            </w:pPr>
            <w:r w:rsidRPr="00C52E6E">
              <w:rPr>
                <w:rFonts w:ascii="Times New Roman" w:hAnsi="Times New Roman"/>
              </w:rPr>
              <w:t>Exelon Energy</w:t>
            </w:r>
          </w:p>
        </w:tc>
      </w:tr>
      <w:tr w:rsidTr="00E04AAC">
        <w:tblPrEx>
          <w:tblW w:w="0" w:type="auto"/>
          <w:tblInd w:w="-7" w:type="dxa"/>
          <w:tblLook w:val="04A0"/>
        </w:tblPrEx>
        <w:trPr>
          <w:trHeight w:val="360"/>
          <w:tblHeader/>
        </w:trPr>
        <w:tc>
          <w:tcPr>
            <w:tcW w:w="1975" w:type="dxa"/>
          </w:tcPr>
          <w:p w:rsidR="00E04AAC" w:rsidRPr="00C52E6E" w:rsidP="00FF611C">
            <w:pPr>
              <w:spacing w:after="120"/>
              <w:jc w:val="center"/>
              <w:rPr>
                <w:rFonts w:ascii="Times New Roman" w:hAnsi="Times New Roman"/>
              </w:rPr>
            </w:pPr>
            <w:r w:rsidRPr="00C52E6E">
              <w:rPr>
                <w:rFonts w:ascii="Times New Roman" w:hAnsi="Times New Roman"/>
              </w:rPr>
              <w:t>0009263037</w:t>
            </w:r>
          </w:p>
        </w:tc>
        <w:tc>
          <w:tcPr>
            <w:tcW w:w="1784" w:type="dxa"/>
            <w:noWrap/>
          </w:tcPr>
          <w:p w:rsidR="00E04AAC" w:rsidRPr="00C52E6E" w:rsidP="00FF611C">
            <w:pPr>
              <w:spacing w:after="120"/>
              <w:jc w:val="center"/>
              <w:rPr>
                <w:rFonts w:ascii="Times New Roman" w:hAnsi="Times New Roman"/>
              </w:rPr>
            </w:pPr>
            <w:r w:rsidRPr="00C52E6E">
              <w:rPr>
                <w:rFonts w:ascii="Times New Roman" w:hAnsi="Times New Roman"/>
              </w:rPr>
              <w:t>WQVI978</w:t>
            </w:r>
          </w:p>
        </w:tc>
        <w:tc>
          <w:tcPr>
            <w:tcW w:w="5591" w:type="dxa"/>
            <w:noWrap/>
          </w:tcPr>
          <w:p w:rsidR="00E04AAC" w:rsidRPr="00C52E6E" w:rsidP="00FF611C">
            <w:pPr>
              <w:spacing w:after="120"/>
              <w:jc w:val="center"/>
              <w:rPr>
                <w:rFonts w:ascii="Times New Roman" w:hAnsi="Times New Roman"/>
              </w:rPr>
            </w:pPr>
            <w:r w:rsidRPr="00C52E6E">
              <w:rPr>
                <w:rFonts w:ascii="Times New Roman" w:hAnsi="Times New Roman"/>
              </w:rPr>
              <w:t>Texoma Broadband Services, LLC</w:t>
            </w:r>
          </w:p>
        </w:tc>
      </w:tr>
    </w:tbl>
    <w:p w:rsidR="00FF611C" w:rsidRPr="00C52E6E" w:rsidP="00FF611C">
      <w:pPr>
        <w:rPr>
          <w:szCs w:val="22"/>
        </w:rPr>
      </w:pPr>
    </w:p>
    <w:p w:rsidR="00412FC5" w:rsidRPr="00C52E6E" w:rsidP="00FF611C">
      <w:pPr>
        <w:pStyle w:val="Heading1"/>
        <w:numPr>
          <w:ilvl w:val="0"/>
          <w:numId w:val="0"/>
        </w:numPr>
        <w:rPr>
          <w:rFonts w:ascii="Times New Roman" w:hAnsi="Times New Roman"/>
          <w:szCs w:val="22"/>
        </w:rPr>
      </w:pPr>
    </w:p>
    <w:sectPr w:rsidSect="00FF611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5539633"/>
      <w:docPartObj>
        <w:docPartGallery w:val="Page Numbers (Bottom of Page)"/>
        <w:docPartUnique/>
      </w:docPartObj>
    </w:sdtPr>
    <w:sdtEndPr>
      <w:rPr>
        <w:noProof/>
      </w:rPr>
    </w:sdtEndPr>
    <w:sdtContent>
      <w:p w:rsidR="00EC3B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3BB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11C">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3A1D">
      <w:r>
        <w:separator/>
      </w:r>
    </w:p>
  </w:footnote>
  <w:footnote w:type="continuationSeparator" w:id="1">
    <w:p w:rsidR="00613A1D" w:rsidP="00C721AC">
      <w:pPr>
        <w:spacing w:before="120"/>
        <w:rPr>
          <w:sz w:val="20"/>
        </w:rPr>
      </w:pPr>
      <w:r>
        <w:rPr>
          <w:sz w:val="20"/>
        </w:rPr>
        <w:t xml:space="preserve">(Continued from previous page)  </w:t>
      </w:r>
      <w:r>
        <w:rPr>
          <w:sz w:val="20"/>
        </w:rPr>
        <w:separator/>
      </w:r>
    </w:p>
  </w:footnote>
  <w:footnote w:type="continuationNotice" w:id="2">
    <w:p w:rsidR="00613A1D" w:rsidP="00C721AC">
      <w:pPr>
        <w:jc w:val="right"/>
        <w:rPr>
          <w:sz w:val="20"/>
        </w:rPr>
      </w:pPr>
      <w:r>
        <w:rPr>
          <w:sz w:val="20"/>
        </w:rPr>
        <w:t>(continued….)</w:t>
      </w:r>
    </w:p>
  </w:footnote>
  <w:footnote w:id="3">
    <w:p w:rsidR="00FF611C" w:rsidRPr="00D51412" w:rsidP="00FF611C">
      <w:pPr>
        <w:pStyle w:val="FootnoteText"/>
      </w:pPr>
      <w:r w:rsidRPr="000E012C">
        <w:rPr>
          <w:rStyle w:val="FootnoteReference"/>
        </w:rPr>
        <w:footnoteRef/>
      </w:r>
      <w:r w:rsidRPr="00992F6B">
        <w:t xml:space="preserve"> </w:t>
      </w:r>
      <w:r w:rsidRPr="00617499">
        <w:t xml:space="preserve">47 CFR §§ 90.1307, 90.1311, </w:t>
      </w:r>
      <w:r w:rsidRPr="00EF460E">
        <w:t xml:space="preserve">90.1338, and 96.21.  </w:t>
      </w:r>
      <w:r w:rsidRPr="00D51412">
        <w:rPr>
          <w:i/>
          <w:iCs/>
        </w:rPr>
        <w:t>See also</w:t>
      </w:r>
      <w:r w:rsidRPr="00992F6B">
        <w:t xml:space="preserve"> 47 CFR § 1.3 (allowing any </w:t>
      </w:r>
      <w:r w:rsidRPr="00617499">
        <w:t>provision of the Commissio</w:t>
      </w:r>
      <w:r w:rsidRPr="00EF460E">
        <w:t>n’</w:t>
      </w:r>
      <w:r w:rsidRPr="00B4233C">
        <w:t xml:space="preserve">s rules </w:t>
      </w:r>
      <w:r w:rsidRPr="00D51412">
        <w:t xml:space="preserve">to be waived upon a showing of good cause); </w:t>
      </w:r>
      <w:r w:rsidRPr="00D51412">
        <w:rPr>
          <w:i/>
          <w:iCs/>
        </w:rPr>
        <w:t>The Wireless Internet Service Providers Association and the Utilities Technology Council Request for Waiver of Sections 90.1307(c) and (d) and Sections 90.1338(a) and (b) of the Commission’s Rules</w:t>
      </w:r>
      <w:r w:rsidRPr="00D51412">
        <w:t>, Order, 35 FCC Rcd 2750, 2754-2755</w:t>
      </w:r>
      <w:r w:rsidR="00E13E3E">
        <w:t>,</w:t>
      </w:r>
      <w:r w:rsidRPr="00D51412">
        <w:t xml:space="preserve"> paras. 1-2, 9 (2020) (</w:t>
      </w:r>
      <w:r w:rsidRPr="00D51412">
        <w:rPr>
          <w:i/>
          <w:iCs/>
        </w:rPr>
        <w:t>Extension Order</w:t>
      </w:r>
      <w:r w:rsidRPr="00D51412">
        <w:t xml:space="preserve">); </w:t>
      </w:r>
      <w:r w:rsidRPr="00D51412">
        <w:rPr>
          <w:i/>
          <w:iCs/>
        </w:rPr>
        <w:t>Amendment of the Commission’s Rules with Regard to Commercial Operations in the 3550-3650 MHz Band</w:t>
      </w:r>
      <w:r w:rsidRPr="00D51412">
        <w:t>, Report and Order and Second Further Notice of Proposed Rulemaking, 30 FCC Rcd 3959, 4071-80, paras. 387-412 (2015) (</w:t>
      </w:r>
      <w:r w:rsidRPr="00D51412">
        <w:rPr>
          <w:i/>
          <w:iCs/>
        </w:rPr>
        <w:t>2015 Report and Order</w:t>
      </w:r>
      <w:r w:rsidRPr="00D51412">
        <w:t xml:space="preserve">). </w:t>
      </w:r>
    </w:p>
  </w:footnote>
  <w:footnote w:id="4">
    <w:p w:rsidR="00FF611C" w:rsidRPr="00D51412" w:rsidP="00FF611C">
      <w:pPr>
        <w:pStyle w:val="FootnoteText"/>
      </w:pPr>
      <w:r w:rsidRPr="00992F6B">
        <w:rPr>
          <w:rStyle w:val="FootnoteReference"/>
        </w:rPr>
        <w:footnoteRef/>
      </w:r>
      <w:r w:rsidRPr="00992F6B">
        <w:t xml:space="preserve"> </w:t>
      </w:r>
      <w:r w:rsidRPr="00617499">
        <w:rPr>
          <w:i/>
          <w:iCs/>
        </w:rPr>
        <w:t>Extension Order</w:t>
      </w:r>
      <w:r w:rsidRPr="00617499">
        <w:t xml:space="preserve">, 35 FCC Rcd </w:t>
      </w:r>
      <w:r w:rsidRPr="00EF460E">
        <w:t>at 2054, para. 11</w:t>
      </w:r>
      <w:r w:rsidRPr="00B4233C">
        <w:t xml:space="preserve">; </w:t>
      </w:r>
      <w:r w:rsidRPr="00AA1014">
        <w:rPr>
          <w:i/>
          <w:iCs/>
        </w:rPr>
        <w:t>see also, e.g</w:t>
      </w:r>
      <w:r w:rsidRPr="00B4233C">
        <w:t xml:space="preserve">., </w:t>
      </w:r>
      <w:r w:rsidRPr="00E13E3E">
        <w:rPr>
          <w:i/>
          <w:iCs/>
        </w:rPr>
        <w:t>WAIT Radio v. FCC</w:t>
      </w:r>
      <w:r w:rsidRPr="00B4233C">
        <w:t>, 4</w:t>
      </w:r>
      <w:r w:rsidRPr="00D51412">
        <w:t xml:space="preserve">18 F.2d 1153. 1157 (D.C. Cir. 1969), </w:t>
      </w:r>
      <w:r w:rsidRPr="00D51412">
        <w:rPr>
          <w:i/>
          <w:iCs/>
        </w:rPr>
        <w:t>cert denied</w:t>
      </w:r>
      <w:r w:rsidRPr="00992F6B">
        <w:t>, 409 U.S. 1027 (1972)</w:t>
      </w:r>
      <w:r w:rsidRPr="00617499">
        <w:t xml:space="preserve"> (noting that “</w:t>
      </w:r>
      <w:r w:rsidRPr="00EF460E">
        <w:t>an applicant for w</w:t>
      </w:r>
      <w:r w:rsidRPr="00B4233C">
        <w:t xml:space="preserve">aiver </w:t>
      </w:r>
      <w:r w:rsidRPr="00D51412">
        <w:t>faces a high hurdle even at the starting gate”).</w:t>
      </w:r>
    </w:p>
  </w:footnote>
  <w:footnote w:id="5">
    <w:p w:rsidR="00FF611C" w:rsidRPr="00D51412" w:rsidP="00FF611C">
      <w:pPr>
        <w:pStyle w:val="FootnoteText"/>
      </w:pPr>
      <w:r w:rsidRPr="00992F6B">
        <w:rPr>
          <w:rStyle w:val="FootnoteReference"/>
        </w:rPr>
        <w:footnoteRef/>
      </w:r>
      <w:r w:rsidRPr="00992F6B">
        <w:t xml:space="preserve"> </w:t>
      </w:r>
      <w:r w:rsidRPr="00617499">
        <w:rPr>
          <w:i/>
          <w:iCs/>
        </w:rPr>
        <w:t>See</w:t>
      </w:r>
      <w:r w:rsidRPr="00617499">
        <w:t xml:space="preserve"> Press Release, FCC, Chairman Pai Launches the Keep Americans Connected Pledge (Mar. 13, 2020), https://www.fcc.gov/document/chairman-pai-launches-keep-americans-connected-pledge</w:t>
      </w:r>
      <w:r w:rsidRPr="00D51412">
        <w:t>.</w:t>
      </w:r>
    </w:p>
  </w:footnote>
  <w:footnote w:id="6">
    <w:p w:rsidR="00FF611C" w:rsidP="00FF611C">
      <w:pPr>
        <w:pStyle w:val="FootnoteText"/>
      </w:pPr>
      <w:r>
        <w:rPr>
          <w:rStyle w:val="FootnoteReference"/>
        </w:rPr>
        <w:footnoteRef/>
      </w:r>
      <w:r>
        <w:t xml:space="preserve"> </w:t>
      </w:r>
      <w:r w:rsidRPr="00AC7020">
        <w:rPr>
          <w:i/>
          <w:iCs/>
        </w:rPr>
        <w:t>Se</w:t>
      </w:r>
      <w:r>
        <w:rPr>
          <w:i/>
          <w:iCs/>
        </w:rPr>
        <w:t xml:space="preserve">e </w:t>
      </w:r>
      <w:r w:rsidRPr="00AC7020">
        <w:t>Letter from Louis Peraertz, Vice President of Policy, WISPA, to Marlene H. Dortch, Secretary, FCC, WT Docket No. 18-353, at 1-2 (filed Oct. 15, 2020) (explaining that “the conditions that led to the Bureau’s grant of waiver in March remain in October”).</w:t>
      </w:r>
    </w:p>
  </w:footnote>
  <w:footnote w:id="7">
    <w:p w:rsidR="00FF611C" w:rsidRPr="00D51412" w:rsidP="00FF611C">
      <w:pPr>
        <w:pStyle w:val="FootnoteText"/>
      </w:pPr>
      <w:r w:rsidRPr="00992F6B">
        <w:rPr>
          <w:rStyle w:val="FootnoteReference"/>
        </w:rPr>
        <w:footnoteRef/>
      </w:r>
      <w:r w:rsidRPr="00992F6B">
        <w:t xml:space="preserve"> </w:t>
      </w:r>
      <w:r w:rsidRPr="00617499">
        <w:rPr>
          <w:i/>
          <w:iCs/>
        </w:rPr>
        <w:t xml:space="preserve">See 2015 Report and Order, </w:t>
      </w:r>
      <w:r w:rsidRPr="00EF460E">
        <w:t>30 FCC Rcd at</w:t>
      </w:r>
      <w:r w:rsidRPr="00B4233C">
        <w:t xml:space="preserve"> 3962, para. 4</w:t>
      </w:r>
      <w:r w:rsidRPr="00D51412">
        <w:t xml:space="preserve">. </w:t>
      </w:r>
    </w:p>
  </w:footnote>
  <w:footnote w:id="8">
    <w:p w:rsidR="00FF611C" w:rsidRPr="00D51412" w:rsidP="00FF611C">
      <w:pPr>
        <w:pStyle w:val="FootnoteText"/>
      </w:pPr>
      <w:r w:rsidRPr="00992F6B">
        <w:rPr>
          <w:rStyle w:val="FootnoteReference"/>
        </w:rPr>
        <w:footnoteRef/>
      </w:r>
      <w:r w:rsidRPr="00992F6B">
        <w:t xml:space="preserve"> </w:t>
      </w:r>
      <w:r w:rsidRPr="00617499">
        <w:rPr>
          <w:i/>
          <w:iCs/>
        </w:rPr>
        <w:t xml:space="preserve">See </w:t>
      </w:r>
      <w:r w:rsidRPr="00D51412">
        <w:t>47 CFR § 96.3.</w:t>
      </w:r>
    </w:p>
  </w:footnote>
  <w:footnote w:id="9">
    <w:p w:rsidR="00FF611C" w:rsidRPr="00D51412" w:rsidP="00FF611C">
      <w:pPr>
        <w:pStyle w:val="FootnoteText"/>
      </w:pPr>
      <w:r w:rsidRPr="00D51412">
        <w:rPr>
          <w:rStyle w:val="FootnoteReference"/>
        </w:rPr>
        <w:footnoteRef/>
      </w:r>
      <w:r w:rsidRPr="00D51412">
        <w:t xml:space="preserve"> </w:t>
      </w:r>
      <w:r w:rsidRPr="00992F6B">
        <w:rPr>
          <w:i/>
          <w:iCs/>
        </w:rPr>
        <w:t xml:space="preserve">See </w:t>
      </w:r>
      <w:r>
        <w:t xml:space="preserve">47 </w:t>
      </w:r>
      <w:r w:rsidRPr="00D51412">
        <w:t>CFR §§ 96.15, 96.67</w:t>
      </w:r>
      <w:r>
        <w:t xml:space="preserve">; </w:t>
      </w:r>
      <w:r w:rsidRPr="00617499">
        <w:rPr>
          <w:i/>
          <w:iCs/>
        </w:rPr>
        <w:t>Extension Order,</w:t>
      </w:r>
      <w:r w:rsidRPr="00EF460E">
        <w:t xml:space="preserve"> 35 FCC Rcd at 2751, para. 4.</w:t>
      </w:r>
      <w:r w:rsidRPr="00B4233C">
        <w:t xml:space="preserve"> </w:t>
      </w:r>
      <w:r w:rsidRPr="00D51412">
        <w:t xml:space="preserve"> </w:t>
      </w:r>
    </w:p>
  </w:footnote>
  <w:footnote w:id="10">
    <w:p w:rsidR="00FF611C" w:rsidRPr="00D51412" w:rsidP="00FF611C">
      <w:pPr>
        <w:pStyle w:val="FootnoteText"/>
      </w:pPr>
      <w:r w:rsidRPr="00992F6B">
        <w:rPr>
          <w:rStyle w:val="FootnoteReference"/>
        </w:rPr>
        <w:footnoteRef/>
      </w:r>
      <w:r w:rsidRPr="00992F6B">
        <w:t xml:space="preserve"> </w:t>
      </w:r>
      <w:r w:rsidRPr="00617499">
        <w:rPr>
          <w:i/>
          <w:iCs/>
        </w:rPr>
        <w:t xml:space="preserve">See </w:t>
      </w:r>
      <w:r>
        <w:rPr>
          <w:i/>
        </w:rPr>
        <w:t>2015 Report and Order</w:t>
      </w:r>
      <w:r>
        <w:t>, 30 FCC Rcd</w:t>
      </w:r>
      <w:r>
        <w:rPr>
          <w:i/>
        </w:rPr>
        <w:t xml:space="preserve"> </w:t>
      </w:r>
      <w:r>
        <w:t xml:space="preserve">at 4071-80, paras. 387-412.  </w:t>
      </w:r>
      <w:r>
        <w:rPr>
          <w:i/>
        </w:rPr>
        <w:t xml:space="preserve">See also </w:t>
      </w:r>
      <w:r>
        <w:t xml:space="preserve">47 CFR §§ 90.1307, </w:t>
      </w:r>
      <w:r w:rsidRPr="00F465F5">
        <w:t xml:space="preserve">90.1311, </w:t>
      </w:r>
      <w:r>
        <w:t>90.1338.</w:t>
      </w:r>
    </w:p>
  </w:footnote>
  <w:footnote w:id="11">
    <w:p w:rsidR="00FF611C" w:rsidRPr="00617499" w:rsidP="00FF611C">
      <w:pPr>
        <w:pStyle w:val="FootnoteText"/>
      </w:pPr>
      <w:r w:rsidRPr="00992F6B">
        <w:rPr>
          <w:rStyle w:val="FootnoteReference"/>
        </w:rPr>
        <w:footnoteRef/>
      </w:r>
      <w:r w:rsidRPr="00992F6B">
        <w:t xml:space="preserve"> 47 CFR § 90.1307(a).</w:t>
      </w:r>
    </w:p>
  </w:footnote>
  <w:footnote w:id="12">
    <w:p w:rsidR="00FF611C" w:rsidRPr="00D51412" w:rsidP="00FF611C">
      <w:pPr>
        <w:pStyle w:val="FootnoteText"/>
      </w:pPr>
      <w:r w:rsidRPr="00992F6B">
        <w:rPr>
          <w:rStyle w:val="FootnoteReference"/>
        </w:rPr>
        <w:footnoteRef/>
      </w:r>
      <w:r w:rsidRPr="00992F6B">
        <w:t xml:space="preserve"> To ensure customers are able to stay connected to broadband and essential services during the declared state of national emergency because of the COVID-19 pandemic, all licensees i</w:t>
      </w:r>
      <w:r w:rsidRPr="00617499">
        <w:t>n the 3650-3700 MHz band that would have had to transition from part 90 to part 96 rules between April 17, 2020 a</w:t>
      </w:r>
      <w:r w:rsidRPr="00EF460E">
        <w:t xml:space="preserve">nd October 17, 2020 must now transition by October 17, 2020.  </w:t>
      </w:r>
      <w:r w:rsidRPr="00B4233C">
        <w:rPr>
          <w:i/>
          <w:iCs/>
        </w:rPr>
        <w:t>See Extension</w:t>
      </w:r>
      <w:r w:rsidRPr="00D51412">
        <w:rPr>
          <w:i/>
          <w:iCs/>
        </w:rPr>
        <w:t xml:space="preserve"> Order</w:t>
      </w:r>
      <w:r w:rsidRPr="00D51412">
        <w:t xml:space="preserve">, 35 FCC Rcd at 2750, para. 1; </w:t>
      </w:r>
      <w:r w:rsidRPr="00D51412">
        <w:rPr>
          <w:i/>
          <w:iCs/>
        </w:rPr>
        <w:t>see also</w:t>
      </w:r>
      <w:r w:rsidRPr="00D51412">
        <w:t xml:space="preserve"> 47 CFR </w:t>
      </w:r>
      <w:r w:rsidR="0013385A">
        <w:t>§</w:t>
      </w:r>
      <w:r w:rsidRPr="00D51412">
        <w:t xml:space="preserve">§ 90.1307, 90.1311, 90.1338. </w:t>
      </w:r>
    </w:p>
  </w:footnote>
  <w:footnote w:id="13">
    <w:p w:rsidR="00FF611C" w:rsidRPr="00617499" w:rsidP="00FF611C">
      <w:pPr>
        <w:pStyle w:val="FootnoteText"/>
      </w:pPr>
      <w:r w:rsidRPr="00992F6B">
        <w:rPr>
          <w:rStyle w:val="FootnoteReference"/>
        </w:rPr>
        <w:footnoteRef/>
      </w:r>
      <w:r w:rsidRPr="00992F6B">
        <w:t xml:space="preserve"> 47 CFR § 90.1338(a).</w:t>
      </w:r>
    </w:p>
  </w:footnote>
  <w:footnote w:id="14">
    <w:p w:rsidR="00FF611C" w:rsidRPr="00B4233C" w:rsidP="00FF611C">
      <w:pPr>
        <w:pStyle w:val="FootnoteText"/>
      </w:pPr>
      <w:r w:rsidRPr="00992F6B">
        <w:rPr>
          <w:rStyle w:val="FootnoteReference"/>
        </w:rPr>
        <w:footnoteRef/>
      </w:r>
      <w:r w:rsidRPr="00992F6B">
        <w:t xml:space="preserve"> </w:t>
      </w:r>
      <w:r w:rsidRPr="00617499">
        <w:rPr>
          <w:i/>
          <w:iCs/>
        </w:rPr>
        <w:t>See</w:t>
      </w:r>
      <w:r w:rsidRPr="00617499">
        <w:t xml:space="preserve"> </w:t>
      </w:r>
      <w:r w:rsidRPr="00EF460E">
        <w:rPr>
          <w:i/>
          <w:iCs/>
        </w:rPr>
        <w:t>2015 Report and Order</w:t>
      </w:r>
      <w:r w:rsidRPr="00EF460E">
        <w:t>, 30 FCC Rcd at 4076, para. 402.</w:t>
      </w:r>
    </w:p>
  </w:footnote>
  <w:footnote w:id="15">
    <w:p w:rsidR="00FF611C" w:rsidRPr="00B4233C" w:rsidP="00FF611C">
      <w:pPr>
        <w:pStyle w:val="FootnoteText"/>
      </w:pPr>
      <w:r w:rsidRPr="00992F6B">
        <w:rPr>
          <w:rStyle w:val="FootnoteReference"/>
        </w:rPr>
        <w:footnoteRef/>
      </w:r>
      <w:r w:rsidRPr="00992F6B">
        <w:t xml:space="preserve"> </w:t>
      </w:r>
      <w:r w:rsidRPr="00617499">
        <w:rPr>
          <w:i/>
          <w:iCs/>
        </w:rPr>
        <w:t xml:space="preserve">See </w:t>
      </w:r>
      <w:r w:rsidRPr="00191E7F">
        <w:rPr>
          <w:i/>
          <w:iCs/>
        </w:rPr>
        <w:t xml:space="preserve">Wireless Telecommunications Bureau Announces Filing Window </w:t>
      </w:r>
      <w:r w:rsidRPr="00F87D3B">
        <w:rPr>
          <w:i/>
          <w:iCs/>
        </w:rPr>
        <w:t>a</w:t>
      </w:r>
      <w:r w:rsidRPr="00191E7F">
        <w:rPr>
          <w:i/>
          <w:iCs/>
        </w:rPr>
        <w:t xml:space="preserve">nd Procedures </w:t>
      </w:r>
      <w:r w:rsidRPr="00F87D3B">
        <w:rPr>
          <w:i/>
          <w:iCs/>
        </w:rPr>
        <w:t>f</w:t>
      </w:r>
      <w:r w:rsidRPr="00191E7F">
        <w:rPr>
          <w:i/>
          <w:iCs/>
        </w:rPr>
        <w:t>or 3650-3700 M</w:t>
      </w:r>
      <w:r>
        <w:rPr>
          <w:i/>
          <w:iCs/>
        </w:rPr>
        <w:t>H</w:t>
      </w:r>
      <w:r w:rsidRPr="00191E7F">
        <w:rPr>
          <w:i/>
          <w:iCs/>
        </w:rPr>
        <w:t xml:space="preserve">z Band Licensees </w:t>
      </w:r>
      <w:r w:rsidRPr="00F87D3B">
        <w:rPr>
          <w:i/>
          <w:iCs/>
        </w:rPr>
        <w:t>t</w:t>
      </w:r>
      <w:r w:rsidRPr="00191E7F">
        <w:rPr>
          <w:i/>
          <w:iCs/>
        </w:rPr>
        <w:t xml:space="preserve">o File Supplemental Information Necessary </w:t>
      </w:r>
      <w:r w:rsidRPr="00F87D3B">
        <w:rPr>
          <w:i/>
          <w:iCs/>
        </w:rPr>
        <w:t>f</w:t>
      </w:r>
      <w:r w:rsidRPr="00191E7F">
        <w:rPr>
          <w:i/>
          <w:iCs/>
        </w:rPr>
        <w:t>or Creating Grandfathered Wireless Protection Zones</w:t>
      </w:r>
      <w:r w:rsidRPr="00F87D3B">
        <w:t>,</w:t>
      </w:r>
      <w:r>
        <w:t xml:space="preserve"> GN Docket No. 12-354, Public Notice, 32 FCC Rcd 2977 (WTB 2017); </w:t>
      </w:r>
      <w:r w:rsidRPr="00617499">
        <w:rPr>
          <w:i/>
          <w:iCs/>
        </w:rPr>
        <w:t>Extension Order</w:t>
      </w:r>
      <w:r w:rsidRPr="00EF460E">
        <w:t>, 35 FCC Rcd at 2752-53, para. 5.</w:t>
      </w:r>
    </w:p>
  </w:footnote>
  <w:footnote w:id="16">
    <w:p w:rsidR="00FF611C" w:rsidRPr="00EF460E" w:rsidP="00FF611C">
      <w:pPr>
        <w:pStyle w:val="FootnoteText"/>
      </w:pPr>
      <w:r w:rsidRPr="00992F6B">
        <w:rPr>
          <w:rStyle w:val="FootnoteReference"/>
        </w:rPr>
        <w:footnoteRef/>
      </w:r>
      <w:r w:rsidRPr="00992F6B">
        <w:t xml:space="preserve"> </w:t>
      </w:r>
      <w:r w:rsidRPr="00484DF6">
        <w:rPr>
          <w:i/>
          <w:iCs/>
        </w:rPr>
        <w:t xml:space="preserve">See generally 2015 Report and Order, </w:t>
      </w:r>
      <w:r w:rsidRPr="00AA1014">
        <w:t>30 FCC Rcd at 4075-76, paras. 399-412.</w:t>
      </w:r>
      <w:r w:rsidRPr="00484DF6">
        <w:rPr>
          <w:i/>
          <w:iCs/>
        </w:rPr>
        <w:t xml:space="preserve">    </w:t>
      </w:r>
      <w:r>
        <w:t xml:space="preserve"> </w:t>
      </w:r>
    </w:p>
  </w:footnote>
  <w:footnote w:id="17">
    <w:p w:rsidR="00FF611C" w:rsidRPr="00D51412" w:rsidP="00FF611C">
      <w:pPr>
        <w:pStyle w:val="FootnoteText"/>
      </w:pPr>
      <w:r w:rsidRPr="00D51412">
        <w:rPr>
          <w:rStyle w:val="FootnoteReference"/>
        </w:rPr>
        <w:footnoteRef/>
      </w:r>
      <w:r w:rsidRPr="00D51412">
        <w:t xml:space="preserve"> </w:t>
      </w:r>
      <w:r>
        <w:rPr>
          <w:i/>
          <w:iCs/>
        </w:rPr>
        <w:t xml:space="preserve">Extension </w:t>
      </w:r>
      <w:r w:rsidRPr="00AA1014">
        <w:t>Order</w:t>
      </w:r>
      <w:r>
        <w:t xml:space="preserve">, 35 FCC Rcd </w:t>
      </w:r>
      <w:r w:rsidRPr="00D51412">
        <w:t>at 2</w:t>
      </w:r>
      <w:r w:rsidR="0013385A">
        <w:t>0</w:t>
      </w:r>
      <w:r w:rsidRPr="00D51412">
        <w:t>52-53, para. 5.</w:t>
      </w:r>
    </w:p>
  </w:footnote>
  <w:footnote w:id="18">
    <w:p w:rsidR="00FF611C" w:rsidRPr="00D51412" w:rsidP="00FF611C">
      <w:pPr>
        <w:pStyle w:val="FootnoteText"/>
      </w:pPr>
      <w:r w:rsidRPr="00992F6B">
        <w:rPr>
          <w:rStyle w:val="FootnoteReference"/>
        </w:rPr>
        <w:footnoteRef/>
      </w:r>
      <w:r w:rsidRPr="00992F6B">
        <w:t xml:space="preserve"> </w:t>
      </w:r>
      <w:r w:rsidRPr="00617499">
        <w:rPr>
          <w:i/>
          <w:iCs/>
        </w:rPr>
        <w:t>See Extension Order</w:t>
      </w:r>
      <w:r w:rsidRPr="00EF460E">
        <w:t>, 35 FCC Rcd at</w:t>
      </w:r>
      <w:r w:rsidRPr="00B4233C">
        <w:t xml:space="preserve"> 2054, para. 11</w:t>
      </w:r>
      <w:r w:rsidRPr="00D51412">
        <w:t xml:space="preserve"> (quoting </w:t>
      </w:r>
      <w:r w:rsidRPr="00D51412">
        <w:rPr>
          <w:i/>
          <w:iCs/>
        </w:rPr>
        <w:t>Rio Grande Family Radio Fellowship, Inc. v. FCC</w:t>
      </w:r>
      <w:r w:rsidRPr="00D51412">
        <w:t xml:space="preserve">, 406 F.2d 664, 666 (D.C. Cir. 1968)). </w:t>
      </w:r>
    </w:p>
  </w:footnote>
  <w:footnote w:id="19">
    <w:p w:rsidR="00FF611C" w:rsidRPr="00EF460E" w:rsidP="00FF611C">
      <w:pPr>
        <w:pStyle w:val="FootnoteText"/>
      </w:pPr>
      <w:r w:rsidRPr="00992F6B">
        <w:rPr>
          <w:rStyle w:val="FootnoteReference"/>
        </w:rPr>
        <w:footnoteRef/>
      </w:r>
      <w:r w:rsidRPr="00992F6B">
        <w:t xml:space="preserve"> </w:t>
      </w:r>
      <w:r w:rsidRPr="00617499">
        <w:rPr>
          <w:i/>
          <w:iCs/>
        </w:rPr>
        <w:t>Id</w:t>
      </w:r>
      <w:r w:rsidRPr="00617499">
        <w:t xml:space="preserve">. </w:t>
      </w:r>
    </w:p>
  </w:footnote>
  <w:footnote w:id="20">
    <w:p w:rsidR="00FF611C" w:rsidRPr="00D51412" w:rsidP="00FF611C">
      <w:pPr>
        <w:pStyle w:val="FootnoteText"/>
      </w:pPr>
      <w:r w:rsidRPr="00992F6B">
        <w:rPr>
          <w:rStyle w:val="FootnoteReference"/>
        </w:rPr>
        <w:footnoteRef/>
      </w:r>
      <w:r w:rsidRPr="00992F6B">
        <w:t xml:space="preserve"> </w:t>
      </w:r>
      <w:r w:rsidRPr="00617499">
        <w:rPr>
          <w:i/>
          <w:iCs/>
        </w:rPr>
        <w:t xml:space="preserve">See </w:t>
      </w:r>
      <w:r w:rsidR="00981774">
        <w:rPr>
          <w:i/>
          <w:iCs/>
        </w:rPr>
        <w:t>id.</w:t>
      </w:r>
      <w:r w:rsidRPr="00D51412">
        <w:t xml:space="preserve"> (quoting </w:t>
      </w:r>
      <w:r>
        <w:rPr>
          <w:i/>
          <w:iCs/>
        </w:rPr>
        <w:t>WAIT Radio</w:t>
      </w:r>
      <w:r w:rsidRPr="00D51412">
        <w:rPr>
          <w:i/>
          <w:iCs/>
        </w:rPr>
        <w:t xml:space="preserve"> v. FCC</w:t>
      </w:r>
      <w:r w:rsidRPr="00D51412">
        <w:t xml:space="preserve">, </w:t>
      </w:r>
      <w:r>
        <w:t>418</w:t>
      </w:r>
      <w:r w:rsidRPr="00D51412">
        <w:t xml:space="preserve"> F.2d </w:t>
      </w:r>
      <w:r>
        <w:t>1153, 1157</w:t>
      </w:r>
      <w:r w:rsidRPr="00D51412">
        <w:t xml:space="preserve"> (D.C. Cir. 196</w:t>
      </w:r>
      <w:r>
        <w:t>9</w:t>
      </w:r>
      <w:r w:rsidRPr="00D51412">
        <w:t>)</w:t>
      </w:r>
      <w:r>
        <w:t xml:space="preserve">, </w:t>
      </w:r>
      <w:r>
        <w:rPr>
          <w:i/>
          <w:iCs/>
        </w:rPr>
        <w:t>cert denied</w:t>
      </w:r>
      <w:r>
        <w:t>, 409 U.S. 1027 (1972)</w:t>
      </w:r>
      <w:r w:rsidRPr="00D51412">
        <w:t xml:space="preserve">). </w:t>
      </w:r>
    </w:p>
  </w:footnote>
  <w:footnote w:id="21">
    <w:p w:rsidR="00FF611C" w:rsidRPr="00617499" w:rsidP="00FF611C">
      <w:pPr>
        <w:pStyle w:val="FootnoteText"/>
      </w:pPr>
      <w:r w:rsidRPr="00992F6B">
        <w:rPr>
          <w:rStyle w:val="FootnoteReference"/>
        </w:rPr>
        <w:footnoteRef/>
      </w:r>
      <w:r w:rsidRPr="00992F6B">
        <w:t xml:space="preserve"> </w:t>
      </w:r>
      <w:r w:rsidRPr="00617499">
        <w:t>47 CFR §</w:t>
      </w:r>
      <w:r>
        <w:t>§</w:t>
      </w:r>
      <w:r w:rsidRPr="00617499">
        <w:t xml:space="preserve"> 1.3</w:t>
      </w:r>
      <w:r>
        <w:t>, 1.925</w:t>
      </w:r>
      <w:r w:rsidRPr="00617499">
        <w:t>.</w:t>
      </w:r>
    </w:p>
  </w:footnote>
  <w:footnote w:id="22">
    <w:p w:rsidR="00FF611C" w:rsidRPr="00617499" w:rsidP="00FF611C">
      <w:pPr>
        <w:pStyle w:val="FootnoteText"/>
      </w:pPr>
      <w:r w:rsidRPr="00992F6B">
        <w:rPr>
          <w:rStyle w:val="FootnoteReference"/>
        </w:rPr>
        <w:footnoteRef/>
      </w:r>
      <w:r w:rsidRPr="00992F6B">
        <w:t xml:space="preserve"> </w:t>
      </w:r>
      <w:r w:rsidRPr="00617499">
        <w:rPr>
          <w:i/>
          <w:iCs/>
        </w:rPr>
        <w:t>Id.</w:t>
      </w:r>
      <w:r w:rsidRPr="00617499">
        <w:t xml:space="preserve"> at §§ 90.1307, 90.1311, and 90.1338.</w:t>
      </w:r>
    </w:p>
  </w:footnote>
  <w:footnote w:id="23">
    <w:p w:rsidR="00FF611C" w:rsidP="00FF611C">
      <w:pPr>
        <w:pStyle w:val="FootnoteText"/>
      </w:pPr>
      <w:r>
        <w:rPr>
          <w:rStyle w:val="FootnoteReference"/>
        </w:rPr>
        <w:footnoteRef/>
      </w:r>
      <w:r>
        <w:t xml:space="preserve"> </w:t>
      </w:r>
      <w:r w:rsidRPr="00A300C2">
        <w:rPr>
          <w:i/>
          <w:iCs/>
        </w:rPr>
        <w:t>See Extension Order</w:t>
      </w:r>
      <w:r>
        <w:t>, 35 FCC Rcd at 2054, para. 11</w:t>
      </w:r>
    </w:p>
  </w:footnote>
  <w:footnote w:id="24">
    <w:p w:rsidR="00FF611C" w:rsidRPr="00E95F6F" w:rsidP="00FF611C">
      <w:pPr>
        <w:pStyle w:val="FootnoteText"/>
      </w:pPr>
      <w:r w:rsidRPr="00A22845">
        <w:rPr>
          <w:rStyle w:val="FootnoteReference"/>
        </w:rPr>
        <w:footnoteRef/>
      </w:r>
      <w:r w:rsidRPr="00A22845">
        <w:t xml:space="preserve"> Specifically, grandfathered licensees may continue to operate within their designated protection zones and operational frequencies consistent with the technical rules in part 90, subpart Z; non-grandfathered licensees may continue to operate at existing registered sites under part 90 on a non-exclusive and unprotected basis.</w:t>
      </w:r>
    </w:p>
  </w:footnote>
  <w:footnote w:id="25">
    <w:p w:rsidR="00FF611C" w:rsidRPr="00D51412" w:rsidP="00FF611C">
      <w:pPr>
        <w:pStyle w:val="FootnoteText"/>
      </w:pPr>
      <w:r w:rsidRPr="00D51412">
        <w:rPr>
          <w:rStyle w:val="FootnoteReference"/>
        </w:rPr>
        <w:footnoteRef/>
      </w:r>
      <w:r w:rsidRPr="00D51412">
        <w:t xml:space="preserve"> </w:t>
      </w:r>
      <w:r w:rsidRPr="00D51412">
        <w:rPr>
          <w:i/>
          <w:iCs/>
        </w:rPr>
        <w:t>See</w:t>
      </w:r>
      <w:r w:rsidRPr="00D51412">
        <w:t xml:space="preserve"> </w:t>
      </w:r>
      <w:r w:rsidRPr="00992F6B">
        <w:rPr>
          <w:i/>
          <w:iCs/>
        </w:rPr>
        <w:t>Extension Order</w:t>
      </w:r>
      <w:r w:rsidRPr="00617499">
        <w:t>, 35 FCC Rcd at 2054, para. 1</w:t>
      </w:r>
      <w:r w:rsidRPr="00EF460E">
        <w:t>0</w:t>
      </w:r>
    </w:p>
  </w:footnote>
  <w:footnote w:id="26">
    <w:p w:rsidR="00FF611C" w:rsidP="00FF611C">
      <w:pPr>
        <w:pStyle w:val="FootnoteText"/>
      </w:pPr>
      <w:r>
        <w:rPr>
          <w:rStyle w:val="FootnoteReference"/>
        </w:rPr>
        <w:footnoteRef/>
      </w:r>
      <w:r>
        <w:t xml:space="preserve"> </w:t>
      </w:r>
      <w:r w:rsidRPr="00A300C2">
        <w:rPr>
          <w:i/>
          <w:iCs/>
        </w:rPr>
        <w:t>See, e.g</w:t>
      </w:r>
      <w:r>
        <w:t xml:space="preserve">., SmarterBroadband, Inc., Request for Limited Waiver, ULS File No. 0009250640 (filed Oct. 5, 2020); Virginia Everywhere, LLC dba All Points Broadband, Request for Limited Waiver, ULS File No. </w:t>
      </w:r>
      <w:r w:rsidRPr="00DF4FB3">
        <w:t xml:space="preserve">0009259590 </w:t>
      </w:r>
      <w:r>
        <w:t xml:space="preserve">(filed </w:t>
      </w:r>
      <w:r w:rsidR="00981774">
        <w:t xml:space="preserve">Oct. </w:t>
      </w:r>
      <w:r>
        <w:t xml:space="preserve">13, 2020); Q-Wireless, LLC, Request for Limited Waiver, ULS File No. </w:t>
      </w:r>
      <w:r w:rsidRPr="00DF4FB3">
        <w:t xml:space="preserve">0009260419 </w:t>
      </w:r>
      <w:r>
        <w:t xml:space="preserve">(filed </w:t>
      </w:r>
      <w:r w:rsidR="00981774">
        <w:t>Oct.</w:t>
      </w:r>
      <w:r>
        <w:t xml:space="preserve"> 13, 2020).</w:t>
      </w:r>
    </w:p>
  </w:footnote>
  <w:footnote w:id="27">
    <w:p w:rsidR="00FF611C" w:rsidP="00FF611C">
      <w:pPr>
        <w:pStyle w:val="FootnoteText"/>
      </w:pPr>
      <w:r>
        <w:rPr>
          <w:rStyle w:val="FootnoteReference"/>
        </w:rPr>
        <w:footnoteRef/>
      </w:r>
      <w:r>
        <w:t xml:space="preserve"> </w:t>
      </w:r>
      <w:r w:rsidRPr="00A22845">
        <w:rPr>
          <w:i/>
          <w:iCs/>
        </w:rPr>
        <w:t>See, e.g</w:t>
      </w:r>
      <w:r>
        <w:t>., JAB Wireless, Inc., on behalf of LP Broadband, Inc., Petition for Limited Waiver at iii-v, ULS File No. 0009228893 (filed Sept. 18, 2020).</w:t>
      </w:r>
      <w:r w:rsidRPr="00CC6894">
        <w:t xml:space="preserve">  </w:t>
      </w:r>
    </w:p>
  </w:footnote>
  <w:footnote w:id="28">
    <w:p w:rsidR="00FF611C" w:rsidP="00FF611C">
      <w:pPr>
        <w:pStyle w:val="FootnoteText"/>
      </w:pPr>
      <w:r>
        <w:rPr>
          <w:rStyle w:val="FootnoteReference"/>
        </w:rPr>
        <w:footnoteRef/>
      </w:r>
      <w:r>
        <w:t xml:space="preserve"> </w:t>
      </w:r>
      <w:r w:rsidRPr="00A22845">
        <w:rPr>
          <w:i/>
          <w:iCs/>
        </w:rPr>
        <w:t>See, e.g</w:t>
      </w:r>
      <w:r>
        <w:t xml:space="preserve">., Neptuno Media, Inc. d/b/a Neptuno Networks, Request </w:t>
      </w:r>
      <w:r w:rsidR="0013385A">
        <w:t>f</w:t>
      </w:r>
      <w:r>
        <w:t>or Waiver, ULS File No. 0009237301 (filed Sept. 23, 2020).</w:t>
      </w:r>
      <w:r w:rsidRPr="00CC6894">
        <w:t xml:space="preserve">  </w:t>
      </w:r>
    </w:p>
  </w:footnote>
  <w:footnote w:id="29">
    <w:p w:rsidR="00FF611C" w:rsidP="00FF611C">
      <w:pPr>
        <w:pStyle w:val="FootnoteText"/>
      </w:pPr>
      <w:r>
        <w:rPr>
          <w:rStyle w:val="FootnoteReference"/>
        </w:rPr>
        <w:footnoteRef/>
      </w:r>
      <w:r>
        <w:t xml:space="preserve"> </w:t>
      </w:r>
      <w:r w:rsidRPr="00A22845">
        <w:rPr>
          <w:i/>
          <w:iCs/>
        </w:rPr>
        <w:t>See, e.g</w:t>
      </w:r>
      <w:r>
        <w:t xml:space="preserve">., Neptuno Media, Inc. d/b/a Neptuno Networks, Request </w:t>
      </w:r>
      <w:r w:rsidR="0013385A">
        <w:t>f</w:t>
      </w:r>
      <w:r>
        <w:t>or Waiver</w:t>
      </w:r>
      <w:r w:rsidR="0013385A">
        <w:t xml:space="preserve"> at 5, 8-9</w:t>
      </w:r>
      <w:r>
        <w:t>, ULS File No. 0009237301 (filed Sept. 23, 2020).</w:t>
      </w:r>
      <w:r w:rsidRPr="00CC6894">
        <w:t xml:space="preserve">  </w:t>
      </w:r>
    </w:p>
  </w:footnote>
  <w:footnote w:id="30">
    <w:p w:rsidR="00FF611C" w:rsidP="00FF611C">
      <w:pPr>
        <w:pStyle w:val="FootnoteText"/>
      </w:pPr>
      <w:r>
        <w:rPr>
          <w:rStyle w:val="FootnoteReference"/>
        </w:rPr>
        <w:footnoteRef/>
      </w:r>
      <w:r>
        <w:t xml:space="preserve"> We deny in part other requests for longer extensions for similar reasons.  For example, Worrell Enterprises LLC (Wave2Net) requests a six-month extension of time but provides no details on its efforts to secure part 96 equipment other than to say that it “is diligently working with its vendors . . . to obtain the required equipment, and [ ] will, upon receipt, immediately commence sourcing and testing the Part-96 compatible equipment, as well as registering with the SAS.”  Worrell Enterprises LLC, Petition for Waiver</w:t>
      </w:r>
      <w:r w:rsidR="00A46EBC">
        <w:t xml:space="preserve"> at 6-7</w:t>
      </w:r>
      <w:r>
        <w:t xml:space="preserve">, ULS File No. </w:t>
      </w:r>
      <w:r w:rsidRPr="00446BB7">
        <w:t>0009236244</w:t>
      </w:r>
      <w:r>
        <w:t xml:space="preserve"> (filed Sept. 23, 2020).  We find no justification in support of requests for much longer periods of time.  </w:t>
      </w:r>
      <w:r>
        <w:rPr>
          <w:i/>
          <w:iCs/>
        </w:rPr>
        <w:t>See, e.g.</w:t>
      </w:r>
      <w:r>
        <w:t xml:space="preserve">, Southeast Colorado Power Ass’n, Petition for Waiver, ULS File No. 0009218036 (filed Sept. 10, 2020) (requesting “a short waiver, up to and including </w:t>
      </w:r>
      <w:r w:rsidRPr="008B0CA7">
        <w:rPr>
          <w:i/>
          <w:iCs/>
        </w:rPr>
        <w:t>October 17, 2021</w:t>
      </w:r>
      <w:r>
        <w:t xml:space="preserve">” of the transition deadline) (emphasis added).    </w:t>
      </w:r>
    </w:p>
  </w:footnote>
  <w:footnote w:id="31">
    <w:p w:rsidR="00FF611C" w:rsidP="00FF611C">
      <w:pPr>
        <w:pStyle w:val="FootnoteText"/>
      </w:pPr>
      <w:r>
        <w:rPr>
          <w:rStyle w:val="FootnoteReference"/>
        </w:rPr>
        <w:footnoteRef/>
      </w:r>
      <w:r>
        <w:t xml:space="preserve"> </w:t>
      </w:r>
      <w:r w:rsidRPr="00A22845">
        <w:rPr>
          <w:i/>
          <w:iCs/>
        </w:rPr>
        <w:t>See, e.g</w:t>
      </w:r>
      <w:r>
        <w:t>., Southeast Colorado Power Ass’n, Petition for Waiver, ULS File No. 0009218036 (filed Sept. 10, 2020).</w:t>
      </w:r>
      <w:r w:rsidRPr="00446BB7">
        <w:t xml:space="preserve"> </w:t>
      </w:r>
    </w:p>
  </w:footnote>
  <w:footnote w:id="32">
    <w:p w:rsidR="00FF611C" w:rsidP="00FF611C">
      <w:pPr>
        <w:pStyle w:val="FootnoteText"/>
      </w:pPr>
      <w:r>
        <w:rPr>
          <w:rStyle w:val="FootnoteReference"/>
        </w:rPr>
        <w:footnoteRef/>
      </w:r>
      <w:r>
        <w:t xml:space="preserve"> </w:t>
      </w:r>
      <w:r w:rsidRPr="00A22845">
        <w:rPr>
          <w:i/>
          <w:iCs/>
        </w:rPr>
        <w:t>See, e.g</w:t>
      </w:r>
      <w:r>
        <w:t xml:space="preserve">., Worrell Enterprises LLC, Petition for Waiver, ULS File No. </w:t>
      </w:r>
      <w:r w:rsidRPr="00446BB7">
        <w:t>0009236244</w:t>
      </w:r>
      <w:r>
        <w:t xml:space="preserve"> (filed Sept. 23, 2020).</w:t>
      </w:r>
      <w:r w:rsidRPr="00446BB7">
        <w:t xml:space="preserve">  </w:t>
      </w:r>
    </w:p>
  </w:footnote>
  <w:footnote w:id="33">
    <w:p w:rsidR="00FF611C" w:rsidP="00FF611C">
      <w:pPr>
        <w:pStyle w:val="FootnoteText"/>
      </w:pPr>
      <w:r>
        <w:rPr>
          <w:rStyle w:val="FootnoteReference"/>
        </w:rPr>
        <w:footnoteRef/>
      </w:r>
      <w:r>
        <w:t xml:space="preserve"> </w:t>
      </w:r>
      <w:r w:rsidRPr="00A22845">
        <w:rPr>
          <w:i/>
          <w:iCs/>
        </w:rPr>
        <w:t>See, e.g</w:t>
      </w:r>
      <w:r>
        <w:t xml:space="preserve">., Softcom Internet Comm’ns, Inc., Request for Limited Waiver, ULS File No. </w:t>
      </w:r>
      <w:r w:rsidRPr="00CC6894">
        <w:t>0009252825</w:t>
      </w:r>
      <w:r>
        <w:t xml:space="preserve"> (filed Oct. 6, 2020).</w:t>
      </w:r>
      <w:r w:rsidRPr="00CC6894">
        <w:t xml:space="preserve">  </w:t>
      </w:r>
    </w:p>
  </w:footnote>
  <w:footnote w:id="34">
    <w:p w:rsidR="00FF611C" w:rsidP="00FF611C">
      <w:pPr>
        <w:pStyle w:val="FootnoteText"/>
      </w:pPr>
      <w:r>
        <w:rPr>
          <w:rStyle w:val="FootnoteReference"/>
        </w:rPr>
        <w:footnoteRef/>
      </w:r>
      <w:r>
        <w:t xml:space="preserve"> </w:t>
      </w:r>
      <w:r w:rsidRPr="00A22845">
        <w:rPr>
          <w:i/>
          <w:iCs/>
        </w:rPr>
        <w:t>See, e.g</w:t>
      </w:r>
      <w:r>
        <w:t xml:space="preserve">., Southern Ohio Comm’n Servs., Request for Limited Waiver, ULS File No. </w:t>
      </w:r>
      <w:r w:rsidRPr="000F7396">
        <w:t xml:space="preserve">0009243713 </w:t>
      </w:r>
      <w:r>
        <w:t>(filed Sept. 29, 2020); North Coast Wireless Comm’ns, LLC, Request for Waiver, ULS File No.</w:t>
      </w:r>
      <w:r w:rsidRPr="00555DBD">
        <w:t xml:space="preserve"> 0009249140</w:t>
      </w:r>
      <w:r>
        <w:t xml:space="preserve"> (filed Oct. 2, 2020). </w:t>
      </w:r>
    </w:p>
  </w:footnote>
  <w:footnote w:id="35">
    <w:p w:rsidR="00FF611C" w:rsidP="00FF611C">
      <w:pPr>
        <w:pStyle w:val="FootnoteText"/>
      </w:pPr>
      <w:r>
        <w:rPr>
          <w:rStyle w:val="FootnoteReference"/>
        </w:rPr>
        <w:footnoteRef/>
      </w:r>
      <w:r>
        <w:t xml:space="preserve"> </w:t>
      </w:r>
      <w:r w:rsidRPr="00A22845">
        <w:rPr>
          <w:i/>
          <w:iCs/>
        </w:rPr>
        <w:t>See, e.g</w:t>
      </w:r>
      <w:r>
        <w:t>.,</w:t>
      </w:r>
      <w:r w:rsidRPr="008F1D27">
        <w:t xml:space="preserve"> </w:t>
      </w:r>
      <w:r>
        <w:t>Visionary Commc’n Inc. and SkyWerx Industries, LLC, Request for Waiver, ULS File No. 0009219129 (filed Sept. 11, 2020); Colorado Central Telecom, Inc., Petition for Waiver, ULS File No. 0009242630 (filed Sept. 28, 2020).</w:t>
      </w:r>
    </w:p>
  </w:footnote>
  <w:footnote w:id="36">
    <w:p w:rsidR="00FF611C" w:rsidP="00FF611C">
      <w:pPr>
        <w:pStyle w:val="FootnoteText"/>
      </w:pPr>
      <w:r>
        <w:rPr>
          <w:rStyle w:val="FootnoteReference"/>
        </w:rPr>
        <w:footnoteRef/>
      </w:r>
      <w:r>
        <w:t xml:space="preserve"> </w:t>
      </w:r>
      <w:r w:rsidRPr="00A22845">
        <w:rPr>
          <w:i/>
          <w:iCs/>
        </w:rPr>
        <w:t>See, e.g</w:t>
      </w:r>
      <w:r>
        <w:t xml:space="preserve">., Arizona Pub. Serv., Petition for Waiver, ULS File No.0009226208 (filed Sept. 17, 2020); Donna J. Olson, Petition for Waiver, ULS File No. </w:t>
      </w:r>
      <w:r w:rsidRPr="00555DBD">
        <w:t>0009260889</w:t>
      </w:r>
      <w:r>
        <w:t xml:space="preserve"> (filed Oct. 13, 2020); Cal-Ore </w:t>
      </w:r>
      <w:r w:rsidR="00E31EE6">
        <w:t>Comm’n</w:t>
      </w:r>
      <w:r>
        <w:t xml:space="preserve">, Inc., </w:t>
      </w:r>
      <w:r w:rsidR="00462BAB">
        <w:t xml:space="preserve">Petition for Temporary Waiver, </w:t>
      </w:r>
      <w:r>
        <w:t xml:space="preserve">ULS File No. </w:t>
      </w:r>
      <w:r w:rsidRPr="00555DBD">
        <w:t>000924701</w:t>
      </w:r>
      <w:r w:rsidR="00537E31">
        <w:t>1</w:t>
      </w:r>
      <w:r>
        <w:t xml:space="preserve"> (filed Oct. 1, 2020).</w:t>
      </w:r>
    </w:p>
  </w:footnote>
  <w:footnote w:id="37">
    <w:p w:rsidR="00FF611C" w:rsidP="00FF611C">
      <w:pPr>
        <w:pStyle w:val="FootnoteText"/>
      </w:pPr>
      <w:r>
        <w:rPr>
          <w:rStyle w:val="FootnoteReference"/>
        </w:rPr>
        <w:footnoteRef/>
      </w:r>
      <w:r>
        <w:t xml:space="preserve"> </w:t>
      </w:r>
      <w:r w:rsidRPr="00A300C2">
        <w:rPr>
          <w:i/>
          <w:iCs/>
        </w:rPr>
        <w:t>See, e.g</w:t>
      </w:r>
      <w:r>
        <w:t>.,</w:t>
      </w:r>
      <w:r w:rsidRPr="008F1D27">
        <w:t xml:space="preserve"> </w:t>
      </w:r>
      <w:r>
        <w:t xml:space="preserve">JAB Wireless, Inc., on behalf of Air Canopy Internet Servs., Petition for Limited Waiver, ULS File No. 0009228727 (filed Sept. 18, 2020); W.A.T.C.H. TV Company, Request for Limited Waiver, ULS File No. </w:t>
      </w:r>
      <w:r w:rsidRPr="00DF4FB3">
        <w:t>0009260171</w:t>
      </w:r>
      <w:r>
        <w:t xml:space="preserve"> (filed Oct</w:t>
      </w:r>
      <w:r w:rsidR="0032549C">
        <w:t>.</w:t>
      </w:r>
      <w:r>
        <w:t xml:space="preserve"> 13, 2020).</w:t>
      </w:r>
    </w:p>
  </w:footnote>
  <w:footnote w:id="38">
    <w:p w:rsidR="00FF611C" w:rsidP="00FF611C">
      <w:pPr>
        <w:pStyle w:val="FootnoteText"/>
      </w:pPr>
      <w:r>
        <w:rPr>
          <w:rStyle w:val="FootnoteReference"/>
        </w:rPr>
        <w:footnoteRef/>
      </w:r>
      <w:r>
        <w:t xml:space="preserve"> Colorado Central Telecom, Inc., Petition for Waiver at 2, 7, ULS File No. 0009242630 (filed Sept. 28, 2020).</w:t>
      </w:r>
    </w:p>
  </w:footnote>
  <w:footnote w:id="39">
    <w:p w:rsidR="00FF611C" w:rsidP="00FF611C">
      <w:pPr>
        <w:pStyle w:val="FootnoteText"/>
      </w:pPr>
      <w:r>
        <w:rPr>
          <w:rStyle w:val="FootnoteReference"/>
        </w:rPr>
        <w:footnoteRef/>
      </w:r>
      <w:r>
        <w:t xml:space="preserve"> Visionary Commc’n Inc. and SkyWerx Industries, LLC, Request for Waiver</w:t>
      </w:r>
      <w:r w:rsidR="00A46EBC">
        <w:t xml:space="preserve"> at 13-14</w:t>
      </w:r>
      <w:r>
        <w:t xml:space="preserve">, ULS File Nos. 0009219129 and 0009219184 (filed Sept. 11, 2020); </w:t>
      </w:r>
      <w:r>
        <w:rPr>
          <w:i/>
          <w:iCs/>
        </w:rPr>
        <w:t xml:space="preserve">see also </w:t>
      </w:r>
      <w:r>
        <w:t xml:space="preserve">ACS Wireless License Sub., LLC, Alaska </w:t>
      </w:r>
      <w:r w:rsidR="00E31EE6">
        <w:t xml:space="preserve">Comm’ns, Petition for </w:t>
      </w:r>
      <w:r>
        <w:t>Extension of License Term and Waiver of Commission Rules</w:t>
      </w:r>
      <w:r w:rsidR="00A46EBC">
        <w:t xml:space="preserve"> at 1</w:t>
      </w:r>
      <w:r>
        <w:t>, ULS File No. 000956689 (filed Oct. 9, 2020) (seeking relief to continue operating Wireless Broadband Service radios “until they are replaced, which will occur no later than the end of 2020.”).</w:t>
      </w:r>
    </w:p>
  </w:footnote>
  <w:footnote w:id="40">
    <w:p w:rsidR="00FF611C" w:rsidP="00FF611C">
      <w:pPr>
        <w:pStyle w:val="FootnoteText"/>
      </w:pPr>
      <w:r>
        <w:rPr>
          <w:rStyle w:val="FootnoteReference"/>
        </w:rPr>
        <w:footnoteRef/>
      </w:r>
      <w:r>
        <w:t xml:space="preserve"> Indeed, it is worth noting that, in its initial waiver request filed earlier this year, Visionary “stated its belief that it would take until April 17, 2021 to complete the transition process.”  Visionary Commc’n Inc. and SkyWerx Industries, LLC, Request for Waiver</w:t>
      </w:r>
      <w:r w:rsidR="00A46EBC">
        <w:t xml:space="preserve"> at 6</w:t>
      </w:r>
      <w:r>
        <w:t>, ULS File Nos. 0009219129 and 0009219184</w:t>
      </w:r>
      <w:r w:rsidR="00A46EBC">
        <w:t xml:space="preserve"> </w:t>
      </w:r>
      <w:r>
        <w:t xml:space="preserve">(filed Sept. 11,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11C" w:rsidRPr="00F40CAA" w:rsidP="00F40CAA">
    <w:pPr>
      <w:pBdr>
        <w:bottom w:val="single" w:sz="12" w:space="1" w:color="auto"/>
      </w:pBdr>
      <w:tabs>
        <w:tab w:val="left" w:pos="720"/>
        <w:tab w:val="left" w:pos="1440"/>
        <w:tab w:val="left" w:pos="2160"/>
        <w:tab w:val="left" w:pos="2880"/>
        <w:tab w:val="left" w:pos="3600"/>
        <w:tab w:val="left" w:pos="4320"/>
        <w:tab w:val="center" w:pos="4680"/>
        <w:tab w:val="left" w:pos="5040"/>
        <w:tab w:val="left" w:pos="5760"/>
        <w:tab w:val="left" w:pos="6480"/>
        <w:tab w:val="right" w:pos="9360"/>
      </w:tabs>
      <w:rPr>
        <w:b/>
        <w:bCs/>
      </w:rPr>
    </w:pPr>
    <w:r>
      <w:rPr>
        <w:b/>
        <w:bCs/>
      </w:rPr>
      <w:tab/>
    </w:r>
    <w:r>
      <w:rPr>
        <w:b/>
        <w:bCs/>
      </w:rPr>
      <w:tab/>
    </w:r>
    <w:r>
      <w:rPr>
        <w:b/>
        <w:bCs/>
      </w:rPr>
      <w:tab/>
    </w:r>
    <w:r>
      <w:rPr>
        <w:b/>
        <w:bCs/>
      </w:rPr>
      <w:tab/>
      <w:t>Federal Communications Commission</w:t>
    </w:r>
    <w:r>
      <w:rPr>
        <w:b/>
        <w:bCs/>
      </w:rPr>
      <w:tab/>
    </w:r>
    <w:r>
      <w:rPr>
        <w:b/>
        <w:bCs/>
      </w:rPr>
      <w:tab/>
      <w:t xml:space="preserve">DA </w:t>
    </w:r>
    <w:r w:rsidR="0020680D">
      <w:rPr>
        <w:b/>
        <w:bCs/>
      </w:rPr>
      <w:t>20-1230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99F" w:rsidRPr="00F40CAA" w:rsidP="00DF299F">
    <w:pPr>
      <w:pBdr>
        <w:bottom w:val="single" w:sz="12" w:space="1" w:color="auto"/>
      </w:pBdr>
      <w:tabs>
        <w:tab w:val="left" w:pos="720"/>
        <w:tab w:val="left" w:pos="1440"/>
        <w:tab w:val="left" w:pos="2160"/>
        <w:tab w:val="left" w:pos="2880"/>
        <w:tab w:val="left" w:pos="3600"/>
        <w:tab w:val="left" w:pos="4320"/>
        <w:tab w:val="center" w:pos="4680"/>
        <w:tab w:val="left" w:pos="5040"/>
        <w:tab w:val="left" w:pos="5760"/>
        <w:tab w:val="left" w:pos="6480"/>
        <w:tab w:val="right" w:pos="9360"/>
      </w:tabs>
      <w:rPr>
        <w:b/>
        <w:bCs/>
      </w:rPr>
    </w:pPr>
    <w:r>
      <w:rPr>
        <w:b/>
        <w:bCs/>
      </w:rPr>
      <w:tab/>
    </w:r>
    <w:r>
      <w:rPr>
        <w:b/>
        <w:bCs/>
      </w:rPr>
      <w:tab/>
    </w:r>
    <w:r>
      <w:rPr>
        <w:b/>
        <w:bCs/>
      </w:rPr>
      <w:tab/>
    </w:r>
    <w:r>
      <w:rPr>
        <w:b/>
        <w:bCs/>
      </w:rPr>
      <w:tab/>
      <w:t>Federal Communications Commission</w:t>
    </w:r>
    <w:r>
      <w:rPr>
        <w:b/>
        <w:bCs/>
      </w:rPr>
      <w:tab/>
    </w:r>
    <w:r>
      <w:rPr>
        <w:b/>
        <w:bCs/>
      </w:rPr>
      <w:tab/>
      <w:t xml:space="preserve">DA </w:t>
    </w:r>
    <w:r w:rsidRPr="0020680D" w:rsidR="0020680D">
      <w:rPr>
        <w:b/>
        <w:bCs/>
      </w:rPr>
      <w:t>20</w:t>
    </w:r>
    <w:r w:rsidRPr="0020680D">
      <w:rPr>
        <w:b/>
        <w:bCs/>
      </w:rPr>
      <w:t>-</w:t>
    </w:r>
    <w:r w:rsidRPr="0020680D" w:rsidR="0020680D">
      <w:rPr>
        <w:b/>
        <w:bCs/>
      </w:rPr>
      <w:t>1230</w:t>
    </w:r>
  </w:p>
  <w:p w:rsidR="00DF2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E1561">
      <w:t>DA 20-1230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E1561">
      <w:t>DA 20-1230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DD7FD2"/>
    <w:multiLevelType w:val="hybridMultilevel"/>
    <w:tmpl w:val="FB627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FA70B9"/>
    <w:multiLevelType w:val="hybridMultilevel"/>
    <w:tmpl w:val="5100DBC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1C"/>
    <w:rsid w:val="00036039"/>
    <w:rsid w:val="00037F90"/>
    <w:rsid w:val="000875BF"/>
    <w:rsid w:val="00096D8C"/>
    <w:rsid w:val="000A0E6C"/>
    <w:rsid w:val="000C0B65"/>
    <w:rsid w:val="000E05FE"/>
    <w:rsid w:val="000E3D42"/>
    <w:rsid w:val="000F7396"/>
    <w:rsid w:val="00122BD5"/>
    <w:rsid w:val="0013385A"/>
    <w:rsid w:val="00133F79"/>
    <w:rsid w:val="00152B9A"/>
    <w:rsid w:val="0017296B"/>
    <w:rsid w:val="00191E7F"/>
    <w:rsid w:val="00194A66"/>
    <w:rsid w:val="001C7243"/>
    <w:rsid w:val="001D6BCF"/>
    <w:rsid w:val="001E01CA"/>
    <w:rsid w:val="0020680D"/>
    <w:rsid w:val="00263E99"/>
    <w:rsid w:val="00275CF5"/>
    <w:rsid w:val="0028301F"/>
    <w:rsid w:val="00285017"/>
    <w:rsid w:val="002A2D2E"/>
    <w:rsid w:val="002C00E8"/>
    <w:rsid w:val="0032549C"/>
    <w:rsid w:val="00343749"/>
    <w:rsid w:val="003660ED"/>
    <w:rsid w:val="003B0550"/>
    <w:rsid w:val="003B694F"/>
    <w:rsid w:val="003E268A"/>
    <w:rsid w:val="003F171C"/>
    <w:rsid w:val="00412FC5"/>
    <w:rsid w:val="00422276"/>
    <w:rsid w:val="004242F1"/>
    <w:rsid w:val="00445A00"/>
    <w:rsid w:val="00446BB7"/>
    <w:rsid w:val="00451B0F"/>
    <w:rsid w:val="00462BAB"/>
    <w:rsid w:val="00484DF6"/>
    <w:rsid w:val="004C2EE3"/>
    <w:rsid w:val="004E1561"/>
    <w:rsid w:val="004E4A22"/>
    <w:rsid w:val="00511968"/>
    <w:rsid w:val="00537E31"/>
    <w:rsid w:val="00555DBD"/>
    <w:rsid w:val="0055614C"/>
    <w:rsid w:val="00561B8F"/>
    <w:rsid w:val="00566D06"/>
    <w:rsid w:val="005B54D0"/>
    <w:rsid w:val="005E14C2"/>
    <w:rsid w:val="005E1593"/>
    <w:rsid w:val="00607BA5"/>
    <w:rsid w:val="0061180A"/>
    <w:rsid w:val="00613A1D"/>
    <w:rsid w:val="00617499"/>
    <w:rsid w:val="00626EB6"/>
    <w:rsid w:val="006466F9"/>
    <w:rsid w:val="00655D03"/>
    <w:rsid w:val="00683388"/>
    <w:rsid w:val="00683F84"/>
    <w:rsid w:val="006A6A81"/>
    <w:rsid w:val="006F7393"/>
    <w:rsid w:val="0070224F"/>
    <w:rsid w:val="007115F7"/>
    <w:rsid w:val="00785689"/>
    <w:rsid w:val="00790B13"/>
    <w:rsid w:val="0079754B"/>
    <w:rsid w:val="007A1E6D"/>
    <w:rsid w:val="007B0EB2"/>
    <w:rsid w:val="00810B6F"/>
    <w:rsid w:val="00822CE0"/>
    <w:rsid w:val="00841AB1"/>
    <w:rsid w:val="008B0CA7"/>
    <w:rsid w:val="008C68F1"/>
    <w:rsid w:val="008F1D27"/>
    <w:rsid w:val="00921803"/>
    <w:rsid w:val="00926503"/>
    <w:rsid w:val="009726D8"/>
    <w:rsid w:val="00981774"/>
    <w:rsid w:val="00992F6B"/>
    <w:rsid w:val="009B2F5B"/>
    <w:rsid w:val="009D7308"/>
    <w:rsid w:val="009F76DB"/>
    <w:rsid w:val="00A22845"/>
    <w:rsid w:val="00A300C2"/>
    <w:rsid w:val="00A32C3B"/>
    <w:rsid w:val="00A35A89"/>
    <w:rsid w:val="00A446AF"/>
    <w:rsid w:val="00A45F4F"/>
    <w:rsid w:val="00A46EBC"/>
    <w:rsid w:val="00A600A9"/>
    <w:rsid w:val="00A65BE5"/>
    <w:rsid w:val="00AA1014"/>
    <w:rsid w:val="00AA55B7"/>
    <w:rsid w:val="00AA5B9E"/>
    <w:rsid w:val="00AB2407"/>
    <w:rsid w:val="00AB53DF"/>
    <w:rsid w:val="00AC7020"/>
    <w:rsid w:val="00B07E5C"/>
    <w:rsid w:val="00B4233C"/>
    <w:rsid w:val="00B811F7"/>
    <w:rsid w:val="00BA5DC6"/>
    <w:rsid w:val="00BA6196"/>
    <w:rsid w:val="00BC6D8C"/>
    <w:rsid w:val="00C34006"/>
    <w:rsid w:val="00C36B4C"/>
    <w:rsid w:val="00C426B1"/>
    <w:rsid w:val="00C52E6E"/>
    <w:rsid w:val="00C66160"/>
    <w:rsid w:val="00C721AC"/>
    <w:rsid w:val="00C90D6A"/>
    <w:rsid w:val="00CA247E"/>
    <w:rsid w:val="00CA6D21"/>
    <w:rsid w:val="00CC6894"/>
    <w:rsid w:val="00CC72B6"/>
    <w:rsid w:val="00D0218D"/>
    <w:rsid w:val="00D25FB5"/>
    <w:rsid w:val="00D44223"/>
    <w:rsid w:val="00D51412"/>
    <w:rsid w:val="00DA2529"/>
    <w:rsid w:val="00DB130A"/>
    <w:rsid w:val="00DB2EBB"/>
    <w:rsid w:val="00DC10A1"/>
    <w:rsid w:val="00DC655F"/>
    <w:rsid w:val="00DD0B59"/>
    <w:rsid w:val="00DD7EBD"/>
    <w:rsid w:val="00DF299F"/>
    <w:rsid w:val="00DF4FB3"/>
    <w:rsid w:val="00DF62B6"/>
    <w:rsid w:val="00E04AAC"/>
    <w:rsid w:val="00E07225"/>
    <w:rsid w:val="00E1269E"/>
    <w:rsid w:val="00E13E3E"/>
    <w:rsid w:val="00E31EE6"/>
    <w:rsid w:val="00E5409F"/>
    <w:rsid w:val="00E87A4F"/>
    <w:rsid w:val="00E95F6F"/>
    <w:rsid w:val="00EB09D7"/>
    <w:rsid w:val="00EB322E"/>
    <w:rsid w:val="00EC3BBD"/>
    <w:rsid w:val="00EE6488"/>
    <w:rsid w:val="00EF460E"/>
    <w:rsid w:val="00F021FA"/>
    <w:rsid w:val="00F40CAA"/>
    <w:rsid w:val="00F465F5"/>
    <w:rsid w:val="00F62E97"/>
    <w:rsid w:val="00F64209"/>
    <w:rsid w:val="00F87D3B"/>
    <w:rsid w:val="00F93BF5"/>
    <w:rsid w:val="00FF61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FB362B-6B08-429B-BE7E-D8B46D06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9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FF611C"/>
    <w:pPr>
      <w:widowControl/>
      <w:spacing w:after="160" w:line="259" w:lineRule="auto"/>
      <w:ind w:left="720"/>
      <w:contextualSpacing/>
    </w:pPr>
    <w:rPr>
      <w:rFonts w:ascii="Calibri" w:eastAsia="Calibri" w:hAnsi="Calibri"/>
      <w:snapToGrid/>
      <w:kern w:val="0"/>
      <w:szCs w:val="22"/>
    </w:rPr>
  </w:style>
  <w:style w:type="character" w:customStyle="1" w:styleId="FootnoteTextChar">
    <w:name w:val="Footnote Text Char"/>
    <w:link w:val="FootnoteText"/>
    <w:rsid w:val="00FF611C"/>
  </w:style>
  <w:style w:type="table" w:styleId="TableGrid">
    <w:name w:val="Table Grid"/>
    <w:basedOn w:val="TableNormal"/>
    <w:uiPriority w:val="39"/>
    <w:rsid w:val="00FF61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1B8F"/>
    <w:rPr>
      <w:rFonts w:ascii="Segoe UI" w:hAnsi="Segoe UI" w:cs="Segoe UI"/>
      <w:sz w:val="18"/>
      <w:szCs w:val="18"/>
    </w:rPr>
  </w:style>
  <w:style w:type="character" w:customStyle="1" w:styleId="BalloonTextChar">
    <w:name w:val="Balloon Text Char"/>
    <w:basedOn w:val="DefaultParagraphFont"/>
    <w:link w:val="BalloonText"/>
    <w:rsid w:val="00561B8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9</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Hicks</dc:creator>
  <cp:lastModifiedBy>WTB</cp:lastModifiedBy>
  <cp:revision>2</cp:revision>
  <dcterms:created xsi:type="dcterms:W3CDTF">2020-10-16T19:58:00Z</dcterms:created>
  <dcterms:modified xsi:type="dcterms:W3CDTF">2020-10-16T19:58:00Z</dcterms:modified>
</cp:coreProperties>
</file>