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02EC982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994C077" w14:textId="77777777">
      <w:pPr>
        <w:pStyle w:val="StyleBoldCentered"/>
      </w:pPr>
      <w:r>
        <w:t>F</w:t>
      </w:r>
      <w:r>
        <w:rPr>
          <w:caps w:val="0"/>
        </w:rPr>
        <w:t>ederal Communications Commission</w:t>
      </w:r>
    </w:p>
    <w:p w:rsidR="004C2EE3" w:rsidP="00096D8C" w14:paraId="6AA881F4" w14:textId="77777777">
      <w:pPr>
        <w:pStyle w:val="StyleBoldCentered"/>
      </w:pPr>
      <w:r>
        <w:rPr>
          <w:caps w:val="0"/>
        </w:rPr>
        <w:t>Washington, D.C. 20554</w:t>
      </w:r>
    </w:p>
    <w:p w:rsidR="004C2EE3" w:rsidP="0070224F" w14:paraId="5D8E4D9F" w14:textId="77777777"/>
    <w:p w:rsidR="004C2EE3" w:rsidP="0070224F" w14:paraId="3744C0C0" w14:textId="77777777"/>
    <w:tbl>
      <w:tblPr>
        <w:tblW w:w="0" w:type="auto"/>
        <w:tblLayout w:type="fixed"/>
        <w:tblLook w:val="0000"/>
      </w:tblPr>
      <w:tblGrid>
        <w:gridCol w:w="4698"/>
        <w:gridCol w:w="630"/>
        <w:gridCol w:w="4248"/>
      </w:tblGrid>
      <w:tr w14:paraId="13DA1B52" w14:textId="77777777">
        <w:tblPrEx>
          <w:tblW w:w="0" w:type="auto"/>
          <w:tblLayout w:type="fixed"/>
          <w:tblLook w:val="0000"/>
        </w:tblPrEx>
        <w:tc>
          <w:tcPr>
            <w:tcW w:w="4698" w:type="dxa"/>
          </w:tcPr>
          <w:p w:rsidR="004C2EE3" w14:paraId="63A3667B" w14:textId="77777777">
            <w:pPr>
              <w:tabs>
                <w:tab w:val="center" w:pos="4680"/>
              </w:tabs>
              <w:suppressAutoHyphens/>
              <w:rPr>
                <w:spacing w:val="-2"/>
              </w:rPr>
            </w:pPr>
            <w:r>
              <w:rPr>
                <w:spacing w:val="-2"/>
              </w:rPr>
              <w:t>In the Matter of</w:t>
            </w:r>
          </w:p>
          <w:p w:rsidR="004C2EE3" w14:paraId="0E9F69A2" w14:textId="77777777">
            <w:pPr>
              <w:tabs>
                <w:tab w:val="center" w:pos="4680"/>
              </w:tabs>
              <w:suppressAutoHyphens/>
              <w:rPr>
                <w:spacing w:val="-2"/>
              </w:rPr>
            </w:pPr>
          </w:p>
          <w:p w:rsidR="004C2EE3" w:rsidP="007115F7" w14:paraId="58B1E859" w14:textId="12B24C8C">
            <w:pPr>
              <w:tabs>
                <w:tab w:val="center" w:pos="4680"/>
              </w:tabs>
              <w:suppressAutoHyphens/>
              <w:rPr>
                <w:spacing w:val="-2"/>
              </w:rPr>
            </w:pPr>
            <w:r>
              <w:rPr>
                <w:spacing w:val="-2"/>
              </w:rPr>
              <w:t>WiFi</w:t>
            </w:r>
            <w:r>
              <w:rPr>
                <w:spacing w:val="-2"/>
              </w:rPr>
              <w:t xml:space="preserve"> Services Caribbean, </w:t>
            </w:r>
            <w:r w:rsidR="003B189A">
              <w:rPr>
                <w:spacing w:val="-2"/>
              </w:rPr>
              <w:t>Inc.</w:t>
            </w:r>
          </w:p>
          <w:p w:rsidR="003B189A" w:rsidRPr="007115F7" w:rsidP="007115F7" w14:paraId="14A42360" w14:textId="22710BB4">
            <w:pPr>
              <w:tabs>
                <w:tab w:val="center" w:pos="4680"/>
              </w:tabs>
              <w:suppressAutoHyphens/>
              <w:rPr>
                <w:spacing w:val="-2"/>
              </w:rPr>
            </w:pPr>
            <w:r>
              <w:rPr>
                <w:spacing w:val="-2"/>
              </w:rPr>
              <w:t>San Juan, Puerto Rico</w:t>
            </w:r>
          </w:p>
        </w:tc>
        <w:tc>
          <w:tcPr>
            <w:tcW w:w="630" w:type="dxa"/>
          </w:tcPr>
          <w:p w:rsidR="004C2EE3" w14:paraId="77EDE433" w14:textId="77777777">
            <w:pPr>
              <w:tabs>
                <w:tab w:val="center" w:pos="4680"/>
              </w:tabs>
              <w:suppressAutoHyphens/>
              <w:rPr>
                <w:b/>
                <w:spacing w:val="-2"/>
              </w:rPr>
            </w:pPr>
            <w:r>
              <w:rPr>
                <w:b/>
                <w:spacing w:val="-2"/>
              </w:rPr>
              <w:t>)</w:t>
            </w:r>
          </w:p>
          <w:p w:rsidR="004C2EE3" w14:paraId="7C587FEB" w14:textId="77777777">
            <w:pPr>
              <w:tabs>
                <w:tab w:val="center" w:pos="4680"/>
              </w:tabs>
              <w:suppressAutoHyphens/>
              <w:rPr>
                <w:b/>
                <w:spacing w:val="-2"/>
              </w:rPr>
            </w:pPr>
            <w:r>
              <w:rPr>
                <w:b/>
                <w:spacing w:val="-2"/>
              </w:rPr>
              <w:t>)</w:t>
            </w:r>
          </w:p>
          <w:p w:rsidR="004C2EE3" w14:paraId="6A306343" w14:textId="77777777">
            <w:pPr>
              <w:tabs>
                <w:tab w:val="center" w:pos="4680"/>
              </w:tabs>
              <w:suppressAutoHyphens/>
              <w:rPr>
                <w:b/>
                <w:spacing w:val="-2"/>
              </w:rPr>
            </w:pPr>
            <w:r>
              <w:rPr>
                <w:b/>
                <w:spacing w:val="-2"/>
              </w:rPr>
              <w:t>)</w:t>
            </w:r>
          </w:p>
          <w:p w:rsidR="004C2EE3" w14:paraId="5D5CFC25" w14:textId="77777777">
            <w:pPr>
              <w:tabs>
                <w:tab w:val="center" w:pos="4680"/>
              </w:tabs>
              <w:suppressAutoHyphens/>
              <w:rPr>
                <w:b/>
                <w:spacing w:val="-2"/>
              </w:rPr>
            </w:pPr>
            <w:r>
              <w:rPr>
                <w:b/>
                <w:spacing w:val="-2"/>
              </w:rPr>
              <w:t>)</w:t>
            </w:r>
          </w:p>
          <w:p w:rsidR="004C2EE3" w14:paraId="53420C7B" w14:textId="77777777">
            <w:pPr>
              <w:tabs>
                <w:tab w:val="center" w:pos="4680"/>
              </w:tabs>
              <w:suppressAutoHyphens/>
              <w:rPr>
                <w:b/>
                <w:spacing w:val="-2"/>
              </w:rPr>
            </w:pPr>
            <w:r>
              <w:rPr>
                <w:b/>
                <w:spacing w:val="-2"/>
              </w:rPr>
              <w:t>)</w:t>
            </w:r>
          </w:p>
          <w:p w:rsidR="004C2EE3" w:rsidRPr="00664A81" w14:paraId="144FA56D" w14:textId="142ABA23">
            <w:pPr>
              <w:tabs>
                <w:tab w:val="center" w:pos="4680"/>
              </w:tabs>
              <w:suppressAutoHyphens/>
              <w:rPr>
                <w:b/>
                <w:spacing w:val="-2"/>
              </w:rPr>
            </w:pPr>
            <w:r>
              <w:rPr>
                <w:b/>
                <w:spacing w:val="-2"/>
              </w:rPr>
              <w:t>)</w:t>
            </w:r>
          </w:p>
        </w:tc>
        <w:tc>
          <w:tcPr>
            <w:tcW w:w="4248" w:type="dxa"/>
          </w:tcPr>
          <w:p w:rsidR="004C2EE3" w14:paraId="4E8A13B3" w14:textId="77777777">
            <w:pPr>
              <w:tabs>
                <w:tab w:val="center" w:pos="4680"/>
              </w:tabs>
              <w:suppressAutoHyphens/>
              <w:rPr>
                <w:spacing w:val="-2"/>
              </w:rPr>
            </w:pPr>
          </w:p>
          <w:p w:rsidR="004C2EE3" w14:paraId="22229059" w14:textId="77777777">
            <w:pPr>
              <w:pStyle w:val="TOAHeading"/>
              <w:tabs>
                <w:tab w:val="center" w:pos="4680"/>
                <w:tab w:val="clear" w:pos="9360"/>
              </w:tabs>
              <w:rPr>
                <w:spacing w:val="-2"/>
              </w:rPr>
            </w:pPr>
          </w:p>
          <w:p w:rsidR="004C2EE3" w14:paraId="1A16975E" w14:textId="77777777">
            <w:pPr>
              <w:tabs>
                <w:tab w:val="center" w:pos="4680"/>
              </w:tabs>
              <w:suppressAutoHyphens/>
              <w:rPr>
                <w:spacing w:val="-2"/>
              </w:rPr>
            </w:pPr>
            <w:r>
              <w:rPr>
                <w:spacing w:val="-2"/>
              </w:rPr>
              <w:t>File No.: EB-FIELDSCR-19-00028514</w:t>
            </w:r>
          </w:p>
          <w:p w:rsidR="003039B0" w14:paraId="55EDEDAE" w14:textId="77777777">
            <w:pPr>
              <w:tabs>
                <w:tab w:val="center" w:pos="4680"/>
              </w:tabs>
              <w:suppressAutoHyphens/>
              <w:rPr>
                <w:spacing w:val="-2"/>
              </w:rPr>
            </w:pPr>
            <w:r>
              <w:rPr>
                <w:spacing w:val="-2"/>
              </w:rPr>
              <w:t xml:space="preserve">NAL/Acct. No.:  </w:t>
            </w:r>
            <w:r w:rsidR="00664A81">
              <w:rPr>
                <w:spacing w:val="-2"/>
              </w:rPr>
              <w:t>202032020004</w:t>
            </w:r>
          </w:p>
          <w:p w:rsidR="00664A81" w14:paraId="23086367" w14:textId="7CC18A41">
            <w:pPr>
              <w:tabs>
                <w:tab w:val="center" w:pos="4680"/>
              </w:tabs>
              <w:suppressAutoHyphens/>
              <w:rPr>
                <w:spacing w:val="-2"/>
              </w:rPr>
            </w:pPr>
            <w:r>
              <w:rPr>
                <w:spacing w:val="-2"/>
              </w:rPr>
              <w:t>FRN:  0022942296</w:t>
            </w:r>
          </w:p>
        </w:tc>
      </w:tr>
    </w:tbl>
    <w:p w:rsidR="004C2EE3" w:rsidP="0070224F" w14:paraId="3156D568" w14:textId="77777777"/>
    <w:p w:rsidR="00841AB1" w:rsidP="00F021FA" w14:paraId="6B45CE98" w14:textId="5AF92DCA">
      <w:pPr>
        <w:pStyle w:val="StyleBoldCentered"/>
      </w:pPr>
      <w:r>
        <w:t>Forfeiture Order</w:t>
      </w:r>
    </w:p>
    <w:p w:rsidR="004C2EE3" w14:paraId="701398EC" w14:textId="77777777">
      <w:pPr>
        <w:tabs>
          <w:tab w:val="left" w:pos="-720"/>
        </w:tabs>
        <w:suppressAutoHyphens/>
        <w:spacing w:line="227" w:lineRule="auto"/>
        <w:rPr>
          <w:spacing w:val="-2"/>
        </w:rPr>
      </w:pPr>
    </w:p>
    <w:p w:rsidR="004C2EE3" w:rsidP="00133F79" w14:paraId="3ADE91BE" w14:textId="37F340CD">
      <w:pPr>
        <w:tabs>
          <w:tab w:val="left" w:pos="720"/>
          <w:tab w:val="right" w:pos="9360"/>
        </w:tabs>
        <w:suppressAutoHyphens/>
        <w:spacing w:line="227" w:lineRule="auto"/>
        <w:rPr>
          <w:spacing w:val="-2"/>
        </w:rPr>
      </w:pPr>
      <w:r>
        <w:rPr>
          <w:b/>
          <w:spacing w:val="-2"/>
        </w:rPr>
        <w:t xml:space="preserve">Adopted:  </w:t>
      </w:r>
      <w:r w:rsidR="0083421F">
        <w:rPr>
          <w:b/>
          <w:spacing w:val="-2"/>
        </w:rPr>
        <w:t>October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3421F">
        <w:rPr>
          <w:b/>
          <w:spacing w:val="-2"/>
        </w:rPr>
        <w:t>October 26, 2020</w:t>
      </w:r>
      <w:bookmarkStart w:id="0" w:name="_GoBack"/>
      <w:bookmarkEnd w:id="0"/>
    </w:p>
    <w:p w:rsidR="00822CE0" w14:paraId="0789F12E" w14:textId="77777777"/>
    <w:p w:rsidR="004C2EE3" w14:paraId="51F62C4E" w14:textId="6F579F68">
      <w:pPr>
        <w:rPr>
          <w:spacing w:val="-2"/>
        </w:rPr>
      </w:pPr>
      <w:r>
        <w:t xml:space="preserve">By </w:t>
      </w:r>
      <w:r w:rsidR="004E4A22">
        <w:t>the</w:t>
      </w:r>
      <w:r w:rsidR="002A2D2E">
        <w:t xml:space="preserve"> </w:t>
      </w:r>
      <w:r w:rsidR="00D4351A">
        <w:t xml:space="preserve">Regional Director, Region Two, </w:t>
      </w:r>
      <w:r w:rsidR="00155B83">
        <w:rPr>
          <w:spacing w:val="-2"/>
        </w:rPr>
        <w:t>Enforcement Bureau</w:t>
      </w:r>
      <w:r>
        <w:rPr>
          <w:spacing w:val="-2"/>
        </w:rPr>
        <w:t>:</w:t>
      </w:r>
    </w:p>
    <w:p w:rsidR="00822CE0" w14:paraId="6C0E87D2" w14:textId="77777777">
      <w:pPr>
        <w:rPr>
          <w:spacing w:val="-2"/>
        </w:rPr>
      </w:pPr>
    </w:p>
    <w:p w:rsidR="00412FC5" w:rsidP="00C36B4C" w14:paraId="047D7B2E" w14:textId="039E4FF2">
      <w:pPr>
        <w:pStyle w:val="Heading1"/>
      </w:pPr>
      <w:r>
        <w:t>Introduction</w:t>
      </w:r>
    </w:p>
    <w:p w:rsidR="00DB6508" w:rsidP="00DB28A8" w14:paraId="6B6DA84A" w14:textId="03958B83">
      <w:pPr>
        <w:pStyle w:val="ParaNum"/>
        <w:tabs>
          <w:tab w:val="clear" w:pos="1080"/>
        </w:tabs>
      </w:pPr>
      <w:r w:rsidRPr="00603735">
        <w:t xml:space="preserve">The Federal Aviation Administration (FAA) uses terminal doppler weather radar stations to detect wind shear and other dangerous weather conditions near airports.  Interference to these radar stations is unacceptable and, in certain circumstances, could be potentially life threatening.  </w:t>
      </w:r>
      <w:r w:rsidR="0045788D">
        <w:t>On April 22, 2020, t</w:t>
      </w:r>
      <w:r w:rsidRPr="00603735">
        <w:t xml:space="preserve">he Enforcement Bureau (Bureau) </w:t>
      </w:r>
      <w:r w:rsidR="0045788D">
        <w:t xml:space="preserve">issued a </w:t>
      </w:r>
      <w:r w:rsidR="0045788D">
        <w:rPr>
          <w:i/>
          <w:iCs/>
        </w:rPr>
        <w:t>Notice of Apparent Liability</w:t>
      </w:r>
      <w:r w:rsidR="0045788D">
        <w:t xml:space="preserve"> (</w:t>
      </w:r>
      <w:r w:rsidR="0045788D">
        <w:rPr>
          <w:i/>
          <w:iCs/>
        </w:rPr>
        <w:t>Notice</w:t>
      </w:r>
      <w:r w:rsidR="0045788D">
        <w:t xml:space="preserve">) against </w:t>
      </w:r>
      <w:r w:rsidR="00DB0109">
        <w:t>WiFi</w:t>
      </w:r>
      <w:r w:rsidR="00DB0109">
        <w:t xml:space="preserve"> Services Caribbean, Inc. (</w:t>
      </w:r>
      <w:r w:rsidR="00F703BA">
        <w:t>WiFi</w:t>
      </w:r>
      <w:r w:rsidR="00F703BA">
        <w:t xml:space="preserve"> Services</w:t>
      </w:r>
      <w:r w:rsidR="00DB0109">
        <w:t>)</w:t>
      </w:r>
      <w:r w:rsidRPr="00603735">
        <w:t xml:space="preserve"> </w:t>
      </w:r>
      <w:r w:rsidR="0045788D">
        <w:t xml:space="preserve">for </w:t>
      </w:r>
      <w:r w:rsidRPr="00603735">
        <w:t>apparently operat</w:t>
      </w:r>
      <w:r w:rsidR="0045788D">
        <w:t>ing</w:t>
      </w:r>
      <w:r w:rsidRPr="00603735">
        <w:t xml:space="preserve"> </w:t>
      </w:r>
      <w:r w:rsidRPr="003E7FF1">
        <w:t>two Unlicensed National Information Infrastructure (U-</w:t>
      </w:r>
      <w:r w:rsidRPr="003E7FF1">
        <w:t>NII</w:t>
      </w:r>
      <w:r w:rsidRPr="003E7FF1">
        <w:t>)</w:t>
      </w:r>
      <w:r w:rsidRPr="0007236F">
        <w:t xml:space="preserve"> </w:t>
      </w:r>
      <w:r w:rsidRPr="00603735">
        <w:t xml:space="preserve">devices in an unauthorized manner, </w:t>
      </w:r>
      <w:r w:rsidR="00452C74">
        <w:t>and</w:t>
      </w:r>
      <w:r w:rsidRPr="00603735">
        <w:t xml:space="preserve"> caus</w:t>
      </w:r>
      <w:r w:rsidR="0045788D">
        <w:t>ing</w:t>
      </w:r>
      <w:r w:rsidRPr="00603735">
        <w:t xml:space="preserve"> interference to an FAA terminal doppler weather radar station in San Juan, Puerto Rico</w:t>
      </w:r>
      <w:r w:rsidR="00452C74">
        <w:t>, in violation of the Commission’s rules</w:t>
      </w:r>
      <w:r w:rsidRPr="00603735">
        <w:t>.  The Bureau proposed a $25,000 fine for those apparent statutory and regulatory violations.</w:t>
      </w:r>
      <w:r>
        <w:rPr>
          <w:rStyle w:val="FootnoteReference"/>
        </w:rPr>
        <w:footnoteReference w:id="3"/>
      </w:r>
      <w:r w:rsidRPr="00603735">
        <w:t xml:space="preserve">  </w:t>
      </w:r>
      <w:r w:rsidR="00270984">
        <w:t>WiFi</w:t>
      </w:r>
      <w:r w:rsidR="00270984">
        <w:t xml:space="preserve"> Services</w:t>
      </w:r>
      <w:r w:rsidRPr="00603735">
        <w:t xml:space="preserve"> does not dispute the Bureau’s </w:t>
      </w:r>
      <w:r w:rsidR="0007236F">
        <w:t xml:space="preserve">factual </w:t>
      </w:r>
      <w:r w:rsidRPr="00603735">
        <w:t xml:space="preserve">findings regarding its operations, but instead requests the cancellation or reduction of the proposed fine.  After reviewing </w:t>
      </w:r>
      <w:r w:rsidR="00D104AA">
        <w:t xml:space="preserve">the record in this matter, including </w:t>
      </w:r>
      <w:r w:rsidR="000179E5">
        <w:t>WiFi</w:t>
      </w:r>
      <w:r w:rsidR="000179E5">
        <w:t xml:space="preserve"> Services</w:t>
      </w:r>
      <w:r w:rsidR="0007236F">
        <w:t>’</w:t>
      </w:r>
      <w:r w:rsidRPr="00603735">
        <w:t xml:space="preserve"> financial condition, we find that reducing the forfeiture to </w:t>
      </w:r>
      <w:r w:rsidR="00841306">
        <w:t>$20,000</w:t>
      </w:r>
      <w:r w:rsidRPr="00603735">
        <w:t xml:space="preserve"> is appropriate </w:t>
      </w:r>
      <w:r w:rsidR="00452C74">
        <w:t>here</w:t>
      </w:r>
      <w:r w:rsidRPr="00603735">
        <w:t>.</w:t>
      </w:r>
    </w:p>
    <w:p w:rsidR="00DB6508" w:rsidP="00703DBF" w14:paraId="78D7E76E" w14:textId="3D210BF2">
      <w:pPr>
        <w:pStyle w:val="Heading1"/>
      </w:pPr>
      <w:r>
        <w:t>Background</w:t>
      </w:r>
    </w:p>
    <w:p w:rsidR="00DB28A8" w:rsidP="005C7657" w14:paraId="14DEADAC" w14:textId="6C41C718">
      <w:pPr>
        <w:pStyle w:val="ParaNum"/>
        <w:widowControl/>
        <w:tabs>
          <w:tab w:val="clear" w:pos="1080"/>
          <w:tab w:val="num" w:pos="1440"/>
        </w:tabs>
      </w:pPr>
      <w:r>
        <w:rPr>
          <w:i/>
          <w:iCs/>
        </w:rPr>
        <w:t xml:space="preserve">Legal Framework.  </w:t>
      </w:r>
      <w:r>
        <w:t xml:space="preserve">Section 301 of the </w:t>
      </w:r>
      <w:r>
        <w:t>Communications Act of 1934, as amended (</w:t>
      </w:r>
      <w:r>
        <w:t>Act</w:t>
      </w:r>
      <w:r>
        <w:t>)</w:t>
      </w:r>
      <w:r>
        <w:t xml:space="preserve"> states that “[n]o person shall use or operate any apparatus for the transmission of energy or communications or signals by radio” within the United States or its territories without a license granted by the Commission.</w:t>
      </w:r>
      <w:r>
        <w:rPr>
          <w:rStyle w:val="FootnoteReference"/>
        </w:rPr>
        <w:footnoteReference w:id="4"/>
      </w:r>
      <w:r>
        <w:t xml:space="preserve">  Part 15 of the Commission’s rules provides an exception to this general section 301 license requirement and sets forth conditions under which such devices (intentional radiators) may operate without an individual license.</w:t>
      </w:r>
      <w:r>
        <w:rPr>
          <w:rStyle w:val="FootnoteReference"/>
        </w:rPr>
        <w:footnoteReference w:id="5"/>
      </w:r>
      <w:r>
        <w:t xml:space="preserve">  Pursuant to section 15.1(b) of the Commission’s rules, however, “operation of an intentional . . . radiator that is not in accordance with the regulations in this part </w:t>
      </w:r>
      <w:r w:rsidRPr="00DB28A8">
        <w:rPr>
          <w:i/>
        </w:rPr>
        <w:t>must be licensed</w:t>
      </w:r>
      <w:r>
        <w:t>. . . .”</w:t>
      </w:r>
      <w:r>
        <w:rPr>
          <w:rStyle w:val="FootnoteReference"/>
        </w:rPr>
        <w:footnoteReference w:id="6"/>
      </w:r>
      <w:r>
        <w:t xml:space="preserve">  In order to avoid interference to the FAA’s terminal doppler weather radar installations, the Commission requires, pursuant to section 15.407(h)(2) of its rules, that U-</w:t>
      </w:r>
      <w:r>
        <w:t>NII</w:t>
      </w:r>
      <w:r>
        <w:t xml:space="preserve"> devices operating in the 5.25 – 5.35 GHz (U-NII-2A) and 5.47 – 5.725 GHz (U-NII-2C) bands have Dynamic Frequency </w:t>
      </w:r>
      <w:r>
        <w:t>Selection radar detection functionality, which allows them to detect the presence of radar systems and automatically avoid operating on the same channel as those nearby radar systems.</w:t>
      </w:r>
      <w:r>
        <w:rPr>
          <w:rStyle w:val="FootnoteReference"/>
        </w:rPr>
        <w:footnoteReference w:id="7"/>
      </w:r>
      <w:r>
        <w:t xml:space="preserve">  </w:t>
      </w:r>
    </w:p>
    <w:p w:rsidR="008E6938" w:rsidP="00C863E5" w14:paraId="77B9F94B" w14:textId="5188951E">
      <w:pPr>
        <w:pStyle w:val="ParaNum"/>
        <w:tabs>
          <w:tab w:val="clear" w:pos="1080"/>
        </w:tabs>
      </w:pPr>
      <w:r>
        <w:rPr>
          <w:i/>
          <w:iCs/>
        </w:rPr>
        <w:t xml:space="preserve">Factual Background.  </w:t>
      </w:r>
      <w:r w:rsidR="0045788D">
        <w:t xml:space="preserve">In the </w:t>
      </w:r>
      <w:r w:rsidRPr="00AC6BCF" w:rsidR="0045788D">
        <w:rPr>
          <w:i/>
          <w:iCs/>
        </w:rPr>
        <w:t>Notice</w:t>
      </w:r>
      <w:r w:rsidR="0045788D">
        <w:t>, t</w:t>
      </w:r>
      <w:r>
        <w:t>he Bureau propos</w:t>
      </w:r>
      <w:r w:rsidR="0045788D">
        <w:t>ed</w:t>
      </w:r>
      <w:r>
        <w:t xml:space="preserve"> a $25,000 forfeiture </w:t>
      </w:r>
      <w:r w:rsidR="0045788D">
        <w:t xml:space="preserve">against </w:t>
      </w:r>
      <w:r w:rsidR="00270984">
        <w:t>WiFi</w:t>
      </w:r>
      <w:r w:rsidR="00270984">
        <w:t xml:space="preserve"> Services</w:t>
      </w:r>
      <w:r>
        <w:rPr>
          <w:rStyle w:val="FootnoteReference"/>
        </w:rPr>
        <w:footnoteReference w:id="8"/>
      </w:r>
      <w:r w:rsidR="0045788D">
        <w:t xml:space="preserve"> </w:t>
      </w:r>
      <w:r>
        <w:t>for apparent willful violations of section 301 of the Act,</w:t>
      </w:r>
      <w:r>
        <w:rPr>
          <w:rStyle w:val="FootnoteReference"/>
        </w:rPr>
        <w:footnoteReference w:id="9"/>
      </w:r>
      <w:r>
        <w:t xml:space="preserve"> and sections 15.1(b) and 15.407(h)(2) of the Commission’s rules.</w:t>
      </w:r>
      <w:r>
        <w:rPr>
          <w:rStyle w:val="FootnoteReference"/>
        </w:rPr>
        <w:footnoteReference w:id="10"/>
      </w:r>
      <w:r>
        <w:t xml:space="preserve">  </w:t>
      </w:r>
      <w:r w:rsidR="00270984">
        <w:t xml:space="preserve">Specifically, the Bureau stated that its agent observed that </w:t>
      </w:r>
      <w:r w:rsidR="00270984">
        <w:t>WiFi</w:t>
      </w:r>
      <w:r w:rsidR="00270984">
        <w:t xml:space="preserve"> Services had configured its two Ubiquiti devices (Stations) in a manner that disabled Dynamic Frequency Selection,</w:t>
      </w:r>
      <w:r>
        <w:rPr>
          <w:rStyle w:val="FootnoteReference"/>
        </w:rPr>
        <w:footnoteReference w:id="11"/>
      </w:r>
      <w:r w:rsidR="00270984">
        <w:t xml:space="preserve"> meaning that the Stations were not configured to automatically detect the presence of the FAA’s nearby terminal doppler weather radar station in San Juan, Puerto Rico, </w:t>
      </w:r>
      <w:r w:rsidR="003D4DED">
        <w:t>or</w:t>
      </w:r>
      <w:r w:rsidR="00270984">
        <w:t xml:space="preserve"> configure</w:t>
      </w:r>
      <w:r w:rsidR="003D4DED">
        <w:t>d</w:t>
      </w:r>
      <w:r w:rsidR="00270984">
        <w:t xml:space="preserve"> to operate on an alternate channel to avoid causing interference to the radar station.  Because the Stations operated without Dynamic Frequency Selection enabled, the Bureau found that </w:t>
      </w:r>
      <w:r w:rsidR="00270984">
        <w:t>WiFi</w:t>
      </w:r>
      <w:r w:rsidR="00270984">
        <w:t xml:space="preserve"> Services required a license from the Commission to operate the Stations in the manner observed</w:t>
      </w:r>
      <w:r w:rsidR="003D4DED">
        <w:t>, which it did not have</w:t>
      </w:r>
      <w:r w:rsidR="00270984">
        <w:t xml:space="preserve">.  </w:t>
      </w:r>
    </w:p>
    <w:p w:rsidR="00DB6508" w:rsidP="00C863E5" w14:paraId="37D41A6E" w14:textId="5BA5E6AC">
      <w:pPr>
        <w:pStyle w:val="ParaNum"/>
        <w:tabs>
          <w:tab w:val="clear" w:pos="1080"/>
        </w:tabs>
      </w:pPr>
      <w:r>
        <w:t xml:space="preserve">On </w:t>
      </w:r>
      <w:r w:rsidR="009363C0">
        <w:t>May 22, 2020</w:t>
      </w:r>
      <w:r>
        <w:t xml:space="preserve">, </w:t>
      </w:r>
      <w:r w:rsidR="00270984">
        <w:t>WiFi</w:t>
      </w:r>
      <w:r w:rsidR="00270984">
        <w:t xml:space="preserve"> Services</w:t>
      </w:r>
      <w:r w:rsidR="00B77417">
        <w:t xml:space="preserve"> </w:t>
      </w:r>
      <w:r w:rsidR="009363C0">
        <w:t xml:space="preserve">submitted </w:t>
      </w:r>
      <w:r>
        <w:t xml:space="preserve">a response to the </w:t>
      </w:r>
      <w:r w:rsidRPr="00FF7FAF">
        <w:rPr>
          <w:i/>
        </w:rPr>
        <w:t>Notice</w:t>
      </w:r>
      <w:r>
        <w:t>.</w:t>
      </w:r>
      <w:r>
        <w:rPr>
          <w:rStyle w:val="FootnoteReference"/>
        </w:rPr>
        <w:footnoteReference w:id="12"/>
      </w:r>
      <w:r>
        <w:t xml:space="preserve">  </w:t>
      </w:r>
      <w:r w:rsidR="00270984">
        <w:t>WiFi</w:t>
      </w:r>
      <w:r w:rsidR="00270984">
        <w:t xml:space="preserve"> Services</w:t>
      </w:r>
      <w:r>
        <w:t xml:space="preserve"> </w:t>
      </w:r>
      <w:r w:rsidR="0088063A">
        <w:t xml:space="preserve">does </w:t>
      </w:r>
      <w:r>
        <w:t>not contest the Bureau’s allegations that it operated two U-</w:t>
      </w:r>
      <w:r>
        <w:t>NII</w:t>
      </w:r>
      <w:r>
        <w:t xml:space="preserve"> devices with Dynamic Frequency Selection disabled.</w:t>
      </w:r>
      <w:r>
        <w:rPr>
          <w:rStyle w:val="FootnoteReference"/>
        </w:rPr>
        <w:footnoteReference w:id="13"/>
      </w:r>
      <w:r>
        <w:t xml:space="preserve">  Instead, </w:t>
      </w:r>
      <w:r w:rsidR="00270984">
        <w:t>WiFi</w:t>
      </w:r>
      <w:r w:rsidR="00270984">
        <w:t xml:space="preserve"> Services</w:t>
      </w:r>
      <w:r w:rsidR="00325AB2">
        <w:t>:</w:t>
      </w:r>
      <w:r>
        <w:t xml:space="preserve"> </w:t>
      </w:r>
      <w:r w:rsidR="00325AB2">
        <w:t xml:space="preserve"> </w:t>
      </w:r>
      <w:r w:rsidR="00B31E77">
        <w:t>(a)</w:t>
      </w:r>
      <w:r w:rsidR="0095095A">
        <w:t> </w:t>
      </w:r>
      <w:r w:rsidR="00B31C89">
        <w:t xml:space="preserve">seeks </w:t>
      </w:r>
      <w:r>
        <w:t xml:space="preserve">cancellation or reduction of the forfeiture proposed in the </w:t>
      </w:r>
      <w:r>
        <w:rPr>
          <w:i/>
          <w:iCs/>
        </w:rPr>
        <w:t>Notice</w:t>
      </w:r>
      <w:r>
        <w:t xml:space="preserve"> based on claims that its violations </w:t>
      </w:r>
      <w:r w:rsidR="00325AB2">
        <w:t xml:space="preserve">of </w:t>
      </w:r>
      <w:r>
        <w:t>section 301 of the Act and sections 15.1(b) and 15.407(h)(2) of the Commission’s rules were n</w:t>
      </w:r>
      <w:r w:rsidR="00A30CAC">
        <w:t xml:space="preserve">either </w:t>
      </w:r>
      <w:r>
        <w:t>willful</w:t>
      </w:r>
      <w:r w:rsidR="00A30CAC">
        <w:t xml:space="preserve"> nor repeated</w:t>
      </w:r>
      <w:r w:rsidR="00F20440">
        <w:t>, (b)</w:t>
      </w:r>
      <w:r w:rsidR="0095095A">
        <w:t> </w:t>
      </w:r>
      <w:r w:rsidR="00F20440">
        <w:t>oppose</w:t>
      </w:r>
      <w:r w:rsidR="00B31C89">
        <w:t>s</w:t>
      </w:r>
      <w:r w:rsidR="00F20440">
        <w:t xml:space="preserve"> the Bureau’s upward adjustment for egregious conduct, and (c)</w:t>
      </w:r>
      <w:r w:rsidR="0095095A">
        <w:t> </w:t>
      </w:r>
      <w:r w:rsidR="00B31C89">
        <w:t xml:space="preserve">seeks </w:t>
      </w:r>
      <w:r w:rsidR="00F20440">
        <w:t xml:space="preserve">a reduction of the forfeiture based on the </w:t>
      </w:r>
      <w:r w:rsidR="00C7520D">
        <w:t xml:space="preserve">company’s </w:t>
      </w:r>
      <w:r w:rsidR="00325AB2">
        <w:t>in</w:t>
      </w:r>
      <w:r w:rsidR="00C7520D">
        <w:t xml:space="preserve">ability to pay the forfeiture proposed in the </w:t>
      </w:r>
      <w:r w:rsidR="00C7520D">
        <w:rPr>
          <w:i/>
          <w:iCs/>
        </w:rPr>
        <w:t>Notice</w:t>
      </w:r>
      <w:r w:rsidR="00C7520D">
        <w:t>.</w:t>
      </w:r>
      <w:r>
        <w:rPr>
          <w:rStyle w:val="FootnoteReference"/>
        </w:rPr>
        <w:footnoteReference w:id="14"/>
      </w:r>
      <w:r>
        <w:t xml:space="preserve">  On </w:t>
      </w:r>
      <w:r w:rsidR="000C346E">
        <w:t>June 18, 2020</w:t>
      </w:r>
      <w:r>
        <w:t xml:space="preserve">, the Bureau requested additional information from </w:t>
      </w:r>
      <w:r w:rsidR="00270984">
        <w:t>WiFi</w:t>
      </w:r>
      <w:r w:rsidR="00270984">
        <w:t xml:space="preserve"> Services</w:t>
      </w:r>
      <w:r>
        <w:t xml:space="preserve"> to support its claim that it </w:t>
      </w:r>
      <w:r w:rsidR="002670C4">
        <w:t xml:space="preserve">lacks </w:t>
      </w:r>
      <w:r>
        <w:t xml:space="preserve">the financial resources to pay the forfeiture proposed in the </w:t>
      </w:r>
      <w:r>
        <w:rPr>
          <w:i/>
          <w:iCs/>
        </w:rPr>
        <w:t>Notice</w:t>
      </w:r>
      <w:r>
        <w:t>.</w:t>
      </w:r>
      <w:r>
        <w:rPr>
          <w:rStyle w:val="FootnoteReference"/>
        </w:rPr>
        <w:footnoteReference w:id="15"/>
      </w:r>
      <w:r>
        <w:t xml:space="preserve">  On </w:t>
      </w:r>
      <w:r w:rsidR="000C346E">
        <w:t>July 21, 2020</w:t>
      </w:r>
      <w:r w:rsidR="00A30CAC">
        <w:t>,</w:t>
      </w:r>
      <w:r>
        <w:t xml:space="preserve"> </w:t>
      </w:r>
      <w:r w:rsidR="00270984">
        <w:t>WiFi</w:t>
      </w:r>
      <w:r w:rsidR="00270984">
        <w:t xml:space="preserve"> Services</w:t>
      </w:r>
      <w:r w:rsidR="00A30CAC">
        <w:t xml:space="preserve"> </w:t>
      </w:r>
      <w:r>
        <w:t>supplemented the Response with the additional information that the Bureau requested.</w:t>
      </w:r>
      <w:r>
        <w:rPr>
          <w:rStyle w:val="FootnoteReference"/>
        </w:rPr>
        <w:footnoteReference w:id="16"/>
      </w:r>
    </w:p>
    <w:p w:rsidR="00DB6508" w:rsidP="00703DBF" w14:paraId="7C9DDD15" w14:textId="0B7D34AD">
      <w:pPr>
        <w:pStyle w:val="Heading1"/>
      </w:pPr>
      <w:r>
        <w:t>Discussion</w:t>
      </w:r>
    </w:p>
    <w:p w:rsidR="00DB6508" w:rsidP="00252A24" w14:paraId="5D5A8393" w14:textId="77AF583C">
      <w:pPr>
        <w:pStyle w:val="ParaNum"/>
        <w:widowControl/>
        <w:tabs>
          <w:tab w:val="clear" w:pos="1080"/>
          <w:tab w:val="num" w:pos="1440"/>
        </w:tabs>
      </w:pPr>
      <w:r>
        <w:t>The Bureau proposed a forfeiture in this case in accordance with section 503(b) of the Act,</w:t>
      </w:r>
      <w:r>
        <w:rPr>
          <w:rStyle w:val="FootnoteReference"/>
        </w:rPr>
        <w:footnoteReference w:id="17"/>
      </w:r>
      <w:r>
        <w:t xml:space="preserve"> section 1.80 of the Commission’s rules,</w:t>
      </w:r>
      <w:r>
        <w:rPr>
          <w:rStyle w:val="FootnoteReference"/>
        </w:rPr>
        <w:footnoteReference w:id="18"/>
      </w:r>
      <w:r>
        <w:t xml:space="preserve"> and the Commission’s </w:t>
      </w:r>
      <w:r w:rsidRPr="00C863E5">
        <w:rPr>
          <w:i/>
        </w:rPr>
        <w:t>Forfeiture Policy Statement</w:t>
      </w:r>
      <w:r>
        <w:t>.</w:t>
      </w:r>
      <w:r>
        <w:rPr>
          <w:rStyle w:val="FootnoteReference"/>
        </w:rPr>
        <w:footnoteReference w:id="19"/>
      </w:r>
      <w:r>
        <w:t xml:space="preserve">  </w:t>
      </w:r>
      <w:r>
        <w:t>When we assess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20"/>
      </w:r>
      <w:r>
        <w:t xml:space="preserve">  We have fully considered </w:t>
      </w:r>
      <w:r w:rsidR="00ED29B2">
        <w:t xml:space="preserve">the </w:t>
      </w:r>
      <w:r>
        <w:t xml:space="preserve">Response and Supplemental Response and find that </w:t>
      </w:r>
      <w:r w:rsidR="00A92144">
        <w:t>a</w:t>
      </w:r>
      <w:r>
        <w:t xml:space="preserve"> reduction of the forfeiture </w:t>
      </w:r>
      <w:r w:rsidR="00A92144">
        <w:t xml:space="preserve">to $20,000 </w:t>
      </w:r>
      <w:r>
        <w:t xml:space="preserve">is warranted. </w:t>
      </w:r>
    </w:p>
    <w:p w:rsidR="00A31FD4" w:rsidP="00A31FD4" w14:paraId="2533D61B" w14:textId="307DADA2">
      <w:pPr>
        <w:pStyle w:val="ParaNum"/>
        <w:tabs>
          <w:tab w:val="clear" w:pos="1080"/>
          <w:tab w:val="num" w:pos="1440"/>
        </w:tabs>
      </w:pPr>
      <w:bookmarkStart w:id="2" w:name="_Ref47688247"/>
      <w:r>
        <w:rPr>
          <w:i/>
          <w:iCs/>
        </w:rPr>
        <w:t>Liability.</w:t>
      </w:r>
      <w:r>
        <w:t xml:space="preserve">  </w:t>
      </w:r>
      <w:r w:rsidR="001B2245">
        <w:t>WiFi</w:t>
      </w:r>
      <w:r w:rsidR="001B2245">
        <w:t xml:space="preserve"> Services’ </w:t>
      </w:r>
      <w:r w:rsidR="00D815BE">
        <w:t>failure to ensure that Dynamic Frequency Select</w:t>
      </w:r>
      <w:r>
        <w:t>ion</w:t>
      </w:r>
      <w:r w:rsidR="00D815BE">
        <w:t xml:space="preserve"> was enabled on the </w:t>
      </w:r>
      <w:r w:rsidR="00447612">
        <w:t>Stations</w:t>
      </w:r>
      <w:r w:rsidR="001B2245">
        <w:t>, which it does not contest,</w:t>
      </w:r>
      <w:r w:rsidR="00D815BE">
        <w:t xml:space="preserve"> was willful.  </w:t>
      </w:r>
      <w:r w:rsidR="000002F8">
        <w:t>For a violation t</w:t>
      </w:r>
      <w:r w:rsidR="00D815BE">
        <w:t>o be</w:t>
      </w:r>
      <w:r w:rsidR="00B442A6">
        <w:t xml:space="preserve"> considered</w:t>
      </w:r>
      <w:r w:rsidR="00D815BE">
        <w:t xml:space="preserve"> </w:t>
      </w:r>
      <w:r w:rsidR="000002F8">
        <w:t>“</w:t>
      </w:r>
      <w:r w:rsidR="00D815BE">
        <w:t>willful</w:t>
      </w:r>
      <w:r w:rsidR="000002F8">
        <w:t>”</w:t>
      </w:r>
      <w:r w:rsidR="00D815BE">
        <w:t>, the violator must consciously commit or omit certain actions and need not be aware that such actions violate the Act or the Commission’s rules.</w:t>
      </w:r>
      <w:r>
        <w:rPr>
          <w:rStyle w:val="FootnoteReference"/>
        </w:rPr>
        <w:footnoteReference w:id="21"/>
      </w:r>
      <w:r w:rsidR="00D815BE">
        <w:t xml:space="preserve">  Here, </w:t>
      </w:r>
      <w:r w:rsidR="00270984">
        <w:t>WiFi</w:t>
      </w:r>
      <w:r w:rsidR="00270984">
        <w:t xml:space="preserve"> Services</w:t>
      </w:r>
      <w:r w:rsidR="00D815BE">
        <w:t xml:space="preserve"> </w:t>
      </w:r>
      <w:r w:rsidR="0089774C">
        <w:t xml:space="preserve">took the conscious and deliberate step of enabling the </w:t>
      </w:r>
      <w:r w:rsidR="006A59A6">
        <w:t xml:space="preserve">non-standard </w:t>
      </w:r>
      <w:r w:rsidR="0089774C">
        <w:t xml:space="preserve">“Compliance Test” </w:t>
      </w:r>
      <w:r w:rsidR="005D32F6">
        <w:t xml:space="preserve">country code </w:t>
      </w:r>
      <w:r w:rsidR="001B1704">
        <w:t xml:space="preserve">on the </w:t>
      </w:r>
      <w:r w:rsidR="006A59A6">
        <w:t>Stations</w:t>
      </w:r>
      <w:r w:rsidR="00F347D5">
        <w:t xml:space="preserve">, thereby placing the devices </w:t>
      </w:r>
      <w:r w:rsidR="001B1704">
        <w:t xml:space="preserve">in </w:t>
      </w:r>
      <w:r w:rsidR="00F347D5">
        <w:t xml:space="preserve">an operating mode in </w:t>
      </w:r>
      <w:r w:rsidR="00074832">
        <w:t xml:space="preserve">which the </w:t>
      </w:r>
      <w:r w:rsidR="00653A57">
        <w:t>S</w:t>
      </w:r>
      <w:r w:rsidR="00074832">
        <w:t>tations did not automatically observe</w:t>
      </w:r>
      <w:r w:rsidR="00FD4DC8">
        <w:t xml:space="preserve"> the Commission’s </w:t>
      </w:r>
      <w:r w:rsidR="00074832">
        <w:t>requirement to enable</w:t>
      </w:r>
      <w:r w:rsidR="00AB0224">
        <w:t xml:space="preserve"> Dynamic Frequency Selection </w:t>
      </w:r>
      <w:r w:rsidR="00074832">
        <w:t xml:space="preserve">when </w:t>
      </w:r>
      <w:r w:rsidR="00526557">
        <w:t xml:space="preserve">configured to operate </w:t>
      </w:r>
      <w:r w:rsidR="00074832">
        <w:t>in the U-NII-2C band</w:t>
      </w:r>
      <w:r w:rsidR="00B05458">
        <w:t>.</w:t>
      </w:r>
      <w:r w:rsidR="00D815BE">
        <w:t xml:space="preserve">  </w:t>
      </w:r>
      <w:r w:rsidR="00B442A6">
        <w:t>Thus, w</w:t>
      </w:r>
      <w:r w:rsidR="000002F8">
        <w:t xml:space="preserve">e </w:t>
      </w:r>
      <w:r w:rsidR="00514099">
        <w:t>reject</w:t>
      </w:r>
      <w:r w:rsidR="000002F8">
        <w:t xml:space="preserve"> </w:t>
      </w:r>
      <w:r w:rsidR="00270984">
        <w:t>WiFi</w:t>
      </w:r>
      <w:r w:rsidR="00270984">
        <w:t xml:space="preserve"> Services</w:t>
      </w:r>
      <w:r w:rsidR="000002F8">
        <w:t xml:space="preserve">’ argument that its failure to ensure that Dynamic Frequency Selection was enabled on the Stations was merely inadvertent and therefore not willful. </w:t>
      </w:r>
      <w:r w:rsidR="00B442A6">
        <w:t xml:space="preserve"> </w:t>
      </w:r>
      <w:r w:rsidR="00D815BE">
        <w:t xml:space="preserve">Accordingly, </w:t>
      </w:r>
      <w:r w:rsidR="00270984">
        <w:t>WiFi</w:t>
      </w:r>
      <w:r w:rsidR="00270984">
        <w:t xml:space="preserve"> Services</w:t>
      </w:r>
      <w:r w:rsidR="00152621">
        <w:t>’</w:t>
      </w:r>
      <w:r w:rsidR="00D815BE">
        <w:t xml:space="preserve"> conduct was willful within the meaning of the Act</w:t>
      </w:r>
      <w:r w:rsidR="005F543D">
        <w:t>,</w:t>
      </w:r>
      <w:r w:rsidR="004E3535">
        <w:t xml:space="preserve"> and we find </w:t>
      </w:r>
      <w:r w:rsidR="004E3535">
        <w:t>WiFi</w:t>
      </w:r>
      <w:r w:rsidR="004E3535">
        <w:t xml:space="preserve"> Services liable for violating section 301 of the Act and section</w:t>
      </w:r>
      <w:r w:rsidR="00514099">
        <w:t>s 15.1(b)</w:t>
      </w:r>
      <w:r w:rsidR="004E3535">
        <w:t xml:space="preserve"> </w:t>
      </w:r>
      <w:r w:rsidR="00514099">
        <w:t>and 15.407(h)(2)</w:t>
      </w:r>
      <w:r w:rsidR="004E3535">
        <w:t xml:space="preserve"> of the Commission’s rules</w:t>
      </w:r>
      <w:r w:rsidR="00D815BE">
        <w:t>.</w:t>
      </w:r>
      <w:r>
        <w:rPr>
          <w:rStyle w:val="FootnoteReference"/>
        </w:rPr>
        <w:footnoteReference w:id="22"/>
      </w:r>
      <w:bookmarkEnd w:id="2"/>
    </w:p>
    <w:p w:rsidR="00DF7B1C" w:rsidP="00A31FD4" w14:paraId="0741B81A" w14:textId="0E5D7323">
      <w:pPr>
        <w:pStyle w:val="ParaNum"/>
        <w:tabs>
          <w:tab w:val="clear" w:pos="1080"/>
          <w:tab w:val="num" w:pos="1440"/>
        </w:tabs>
      </w:pPr>
      <w:bookmarkStart w:id="3" w:name="_Ref47690855"/>
      <w:bookmarkStart w:id="4" w:name="_Ref49858917"/>
      <w:r>
        <w:rPr>
          <w:i/>
          <w:iCs/>
        </w:rPr>
        <w:t>Forfeiture Amount.</w:t>
      </w:r>
      <w:r>
        <w:t xml:space="preserve">  As </w:t>
      </w:r>
      <w:r>
        <w:t>WiFi</w:t>
      </w:r>
      <w:r>
        <w:t xml:space="preserve"> Services does not dispute that it failed to enable Dynamic Frequency Selection on the Stations</w:t>
      </w:r>
      <w:r w:rsidR="005F543D">
        <w:t>,</w:t>
      </w:r>
      <w:r>
        <w:t xml:space="preserve"> and</w:t>
      </w:r>
      <w:r w:rsidR="0094300D">
        <w:t>,</w:t>
      </w:r>
      <w:r>
        <w:t xml:space="preserve"> as this failure was willful, we fine the Company the $20,000 base forfeiture propose in the </w:t>
      </w:r>
      <w:r>
        <w:rPr>
          <w:i/>
          <w:iCs/>
        </w:rPr>
        <w:t>Notice.</w:t>
      </w:r>
      <w:r>
        <w:rPr>
          <w:rStyle w:val="FootnoteReference"/>
        </w:rPr>
        <w:footnoteReference w:id="23"/>
      </w:r>
      <w:r>
        <w:t xml:space="preserve">  </w:t>
      </w:r>
      <w:r w:rsidR="00BD7865">
        <w:t>In t</w:t>
      </w:r>
      <w:r w:rsidR="00640DCC">
        <w:t xml:space="preserve">he </w:t>
      </w:r>
      <w:r w:rsidRPr="006E60A4" w:rsidR="004827BF">
        <w:rPr>
          <w:i/>
          <w:iCs/>
        </w:rPr>
        <w:t>Notice</w:t>
      </w:r>
      <w:r w:rsidR="006E60A4">
        <w:t xml:space="preserve">, </w:t>
      </w:r>
      <w:r w:rsidR="00BD7865">
        <w:t xml:space="preserve">we </w:t>
      </w:r>
      <w:r w:rsidR="004827BF">
        <w:t xml:space="preserve">proposed </w:t>
      </w:r>
      <w:r w:rsidR="006E60A4">
        <w:t xml:space="preserve">a </w:t>
      </w:r>
      <w:r w:rsidR="0045788D">
        <w:t xml:space="preserve">$5,000 </w:t>
      </w:r>
      <w:r w:rsidR="004827BF">
        <w:t xml:space="preserve">upward adjustment </w:t>
      </w:r>
      <w:r w:rsidR="00A3652B">
        <w:t xml:space="preserve">to the base forfeiture </w:t>
      </w:r>
      <w:r w:rsidR="00516735">
        <w:t xml:space="preserve">for egregious misconduct </w:t>
      </w:r>
      <w:r w:rsidR="00582472">
        <w:t xml:space="preserve">that </w:t>
      </w:r>
      <w:r w:rsidR="004827BF">
        <w:t xml:space="preserve">was based on </w:t>
      </w:r>
      <w:r w:rsidR="00270984">
        <w:t>WiFi</w:t>
      </w:r>
      <w:r w:rsidR="00270984">
        <w:t xml:space="preserve"> Services</w:t>
      </w:r>
      <w:r w:rsidR="00793226">
        <w:t xml:space="preserve">’ </w:t>
      </w:r>
      <w:r w:rsidR="0054381D">
        <w:t>multiple</w:t>
      </w:r>
      <w:r w:rsidR="00793226">
        <w:t xml:space="preserve"> interactions with Bureau personnel regarding the configuration of its U-</w:t>
      </w:r>
      <w:r w:rsidR="00793226">
        <w:t>NII</w:t>
      </w:r>
      <w:r w:rsidR="00793226">
        <w:t xml:space="preserve"> devices and </w:t>
      </w:r>
      <w:r w:rsidR="0054381D">
        <w:t xml:space="preserve">the assurances it provided in its January 30, 2019, e-mail that </w:t>
      </w:r>
      <w:r w:rsidR="00640DCC">
        <w:t xml:space="preserve">all of its </w:t>
      </w:r>
      <w:r w:rsidR="0054381D">
        <w:t>U-</w:t>
      </w:r>
      <w:r w:rsidR="0054381D">
        <w:t>NII</w:t>
      </w:r>
      <w:r w:rsidR="0054381D">
        <w:t xml:space="preserve"> </w:t>
      </w:r>
      <w:r w:rsidR="00640DCC">
        <w:t xml:space="preserve">devices were </w:t>
      </w:r>
      <w:r w:rsidR="005E0760">
        <w:t>“installed and configured properly.”</w:t>
      </w:r>
      <w:r>
        <w:rPr>
          <w:rStyle w:val="FootnoteReference"/>
        </w:rPr>
        <w:footnoteReference w:id="24"/>
      </w:r>
      <w:r w:rsidR="00640DCC">
        <w:t xml:space="preserve">  </w:t>
      </w:r>
      <w:r w:rsidR="00A6114A">
        <w:t xml:space="preserve">In the Response, </w:t>
      </w:r>
      <w:r w:rsidR="00270984">
        <w:t>WiFi</w:t>
      </w:r>
      <w:r w:rsidR="00270984">
        <w:t xml:space="preserve"> Services</w:t>
      </w:r>
      <w:r w:rsidR="00A6114A">
        <w:t xml:space="preserve"> </w:t>
      </w:r>
      <w:r w:rsidR="0076410B">
        <w:t xml:space="preserve">explains </w:t>
      </w:r>
      <w:r w:rsidR="00A6114A">
        <w:t>that</w:t>
      </w:r>
      <w:r w:rsidR="003C6B0F">
        <w:t xml:space="preserve">, at the time of its January 30, 2019, </w:t>
      </w:r>
      <w:r w:rsidR="0054381D">
        <w:t>e-mail</w:t>
      </w:r>
      <w:r w:rsidR="003C6B0F">
        <w:t xml:space="preserve">, </w:t>
      </w:r>
      <w:r w:rsidR="00270984">
        <w:t>WiFi</w:t>
      </w:r>
      <w:r w:rsidR="00270984">
        <w:t xml:space="preserve"> Services</w:t>
      </w:r>
      <w:r w:rsidR="00314D1F">
        <w:t xml:space="preserve"> had only restored 80% of its network</w:t>
      </w:r>
      <w:r w:rsidR="0054381D">
        <w:t xml:space="preserve"> following t</w:t>
      </w:r>
      <w:r w:rsidR="006218D3">
        <w:t>he devastating effects of Hurricane Maria</w:t>
      </w:r>
      <w:r w:rsidR="00314D1F">
        <w:t>.</w:t>
      </w:r>
      <w:r>
        <w:rPr>
          <w:rStyle w:val="FootnoteReference"/>
        </w:rPr>
        <w:footnoteReference w:id="25"/>
      </w:r>
      <w:r w:rsidR="00314D1F">
        <w:t xml:space="preserve">  Lacking evidence demonstrating that the </w:t>
      </w:r>
      <w:r w:rsidR="0095095A">
        <w:t>Stations</w:t>
      </w:r>
      <w:r w:rsidR="00803093">
        <w:rPr>
          <w:i/>
          <w:iCs/>
        </w:rPr>
        <w:t xml:space="preserve"> </w:t>
      </w:r>
      <w:r w:rsidR="00803093">
        <w:t xml:space="preserve">were operational at the time of </w:t>
      </w:r>
      <w:r w:rsidR="00270984">
        <w:t>WiFi</w:t>
      </w:r>
      <w:r w:rsidR="00270984">
        <w:t xml:space="preserve"> Services</w:t>
      </w:r>
      <w:r w:rsidR="00803093">
        <w:t xml:space="preserve">’ January 30, 2019, </w:t>
      </w:r>
      <w:r w:rsidR="000C7F71">
        <w:t xml:space="preserve">certification, and accounting for the fact that the company was still in the process of restoring a significant portion of its wireless network, </w:t>
      </w:r>
      <w:r w:rsidR="008F3D2F">
        <w:t>we find that</w:t>
      </w:r>
      <w:r w:rsidR="00516735">
        <w:t xml:space="preserve"> </w:t>
      </w:r>
      <w:r w:rsidR="00516735">
        <w:t>WiFi</w:t>
      </w:r>
      <w:r w:rsidR="00516735">
        <w:t xml:space="preserve"> Service</w:t>
      </w:r>
      <w:r w:rsidR="00270984">
        <w:t>s</w:t>
      </w:r>
      <w:r w:rsidR="00516735">
        <w:t>’ violations were not egregious in nature.  Accordingly, we cancel</w:t>
      </w:r>
      <w:r w:rsidR="008F3D2F">
        <w:t xml:space="preserve"> the $5,000 upward adjustment proposed in the </w:t>
      </w:r>
      <w:r w:rsidR="008F3D2F">
        <w:rPr>
          <w:i/>
          <w:iCs/>
        </w:rPr>
        <w:t>Notice</w:t>
      </w:r>
      <w:r w:rsidR="00195D75">
        <w:t>.</w:t>
      </w:r>
      <w:bookmarkEnd w:id="3"/>
      <w:r>
        <w:rPr>
          <w:rStyle w:val="FootnoteReference"/>
        </w:rPr>
        <w:footnoteReference w:id="26"/>
      </w:r>
      <w:bookmarkEnd w:id="4"/>
      <w:r w:rsidR="00195D75">
        <w:t xml:space="preserve">  </w:t>
      </w:r>
    </w:p>
    <w:p w:rsidR="008E080F" w:rsidP="00A31FD4" w14:paraId="0E337A42" w14:textId="6406B852">
      <w:pPr>
        <w:pStyle w:val="ParaNum"/>
        <w:tabs>
          <w:tab w:val="clear" w:pos="1080"/>
          <w:tab w:val="num" w:pos="1440"/>
        </w:tabs>
      </w:pPr>
      <w:r>
        <w:t xml:space="preserve">While we cancel the $5,000 upward adjustment, we decline to further reduce the forfeiture amount based on the Company’s claimed inability to pay the proposed fine. </w:t>
      </w:r>
      <w:r>
        <w:t xml:space="preserve"> When address</w:t>
      </w:r>
      <w:r w:rsidR="00AE6FF1">
        <w:t>ing</w:t>
      </w:r>
      <w:r>
        <w:t xml:space="preserve"> inability to pay claims, Commission precedent establishes that a forfeiture equivalent to 7.9% of the target’s average gross revenues over a three-year period is generally appropriate.</w:t>
      </w:r>
      <w:r>
        <w:rPr>
          <w:rStyle w:val="FootnoteReference"/>
        </w:rPr>
        <w:footnoteReference w:id="27"/>
      </w:r>
      <w:r>
        <w:t xml:space="preserve">  In </w:t>
      </w:r>
      <w:r w:rsidR="00012541">
        <w:t>the</w:t>
      </w:r>
      <w:r>
        <w:t xml:space="preserve"> Response and Supplemental Response, </w:t>
      </w:r>
      <w:r>
        <w:t>WiFi</w:t>
      </w:r>
      <w:r>
        <w:t xml:space="preserve"> Services provide</w:t>
      </w:r>
      <w:r w:rsidR="00AE6FF1">
        <w:t>d</w:t>
      </w:r>
      <w:r>
        <w:t xml:space="preserve"> the Bureau with adequate documentation establishing that it lack</w:t>
      </w:r>
      <w:r w:rsidR="003D470F">
        <w:t>s</w:t>
      </w:r>
      <w:r>
        <w:t xml:space="preserve"> the ability to pay the full $25,000 forfeiture proposed in the </w:t>
      </w:r>
      <w:r>
        <w:rPr>
          <w:i/>
          <w:iCs/>
        </w:rPr>
        <w:t>Notice.</w:t>
      </w:r>
      <w:r>
        <w:t xml:space="preserve">  Consistent with applicable precedent and based on the company’s average gross revenues in 2017, 2018, and 2019, we would ordinarily be willing to reduce the forfeiture to $23,333.  However, because we have already reduced the aggregate forfeiture by cancelling the $5,000 upward adjustment proposed in the </w:t>
      </w:r>
      <w:r>
        <w:rPr>
          <w:i/>
          <w:iCs/>
        </w:rPr>
        <w:t>Notice</w:t>
      </w:r>
      <w:r>
        <w:t>,</w:t>
      </w:r>
      <w:r>
        <w:rPr>
          <w:rStyle w:val="FootnoteReference"/>
        </w:rPr>
        <w:footnoteReference w:id="28"/>
      </w:r>
      <w:r>
        <w:t xml:space="preserve"> we find that, under applicable precedents, </w:t>
      </w:r>
      <w:r>
        <w:t>WiFi</w:t>
      </w:r>
      <w:r>
        <w:t xml:space="preserve"> Services’ financial condition does not support a reduction of the forfeiture to an amount below $20,000.</w:t>
      </w:r>
    </w:p>
    <w:p w:rsidR="00B154C1" w:rsidP="00050B52" w14:paraId="63E03310" w14:textId="18D4EC1F">
      <w:pPr>
        <w:pStyle w:val="ParaNum"/>
        <w:tabs>
          <w:tab w:val="clear" w:pos="1080"/>
          <w:tab w:val="num" w:pos="1440"/>
        </w:tabs>
      </w:pPr>
      <w:r>
        <w:t xml:space="preserve">In </w:t>
      </w:r>
      <w:r w:rsidR="003D470F">
        <w:t>the</w:t>
      </w:r>
      <w:r>
        <w:t xml:space="preserve"> Response</w:t>
      </w:r>
      <w:r w:rsidR="009F7BB8">
        <w:t xml:space="preserve"> and </w:t>
      </w:r>
      <w:r w:rsidR="003D470F">
        <w:t>the</w:t>
      </w:r>
      <w:r w:rsidR="00281F2C">
        <w:t xml:space="preserve"> </w:t>
      </w:r>
      <w:r w:rsidR="009F7BB8">
        <w:t>Supplemental Response</w:t>
      </w:r>
      <w:r>
        <w:t xml:space="preserve">, </w:t>
      </w:r>
      <w:r w:rsidR="00270984">
        <w:t>WiFi</w:t>
      </w:r>
      <w:r w:rsidR="00270984">
        <w:t xml:space="preserve"> Services</w:t>
      </w:r>
      <w:r>
        <w:t xml:space="preserve"> also </w:t>
      </w:r>
      <w:r w:rsidR="00D86CAB">
        <w:t>s</w:t>
      </w:r>
      <w:r w:rsidR="003D470F">
        <w:t>eeks</w:t>
      </w:r>
      <w:r>
        <w:t xml:space="preserve"> a </w:t>
      </w:r>
      <w:r w:rsidR="003D4DED">
        <w:t xml:space="preserve">further </w:t>
      </w:r>
      <w:r>
        <w:t>reduction of the forfeiture on the basis of its financial condition</w:t>
      </w:r>
      <w:r w:rsidR="00934577">
        <w:t xml:space="preserve"> to a value </w:t>
      </w:r>
      <w:r w:rsidR="00196A97">
        <w:t>of</w:t>
      </w:r>
      <w:r w:rsidR="00934577">
        <w:t xml:space="preserve"> 2% to 5% of its average gross revenues.</w:t>
      </w:r>
      <w:r>
        <w:rPr>
          <w:rStyle w:val="FootnoteReference"/>
        </w:rPr>
        <w:footnoteReference w:id="29"/>
      </w:r>
      <w:r w:rsidR="00715E9A">
        <w:t xml:space="preserve"> </w:t>
      </w:r>
      <w:r w:rsidR="00934577">
        <w:t xml:space="preserve"> </w:t>
      </w:r>
      <w:r w:rsidR="00B31FB6">
        <w:t xml:space="preserve">In support of that request, </w:t>
      </w:r>
      <w:r w:rsidR="00270984">
        <w:t>WiFi</w:t>
      </w:r>
      <w:r w:rsidR="00270984">
        <w:t xml:space="preserve"> Services</w:t>
      </w:r>
      <w:r w:rsidR="00B31FB6">
        <w:t xml:space="preserve"> relie</w:t>
      </w:r>
      <w:r w:rsidR="000C38C9">
        <w:t>s</w:t>
      </w:r>
      <w:r w:rsidR="00B31FB6">
        <w:t xml:space="preserve"> on two cases:  </w:t>
      </w:r>
      <w:r w:rsidR="009026AA">
        <w:rPr>
          <w:i/>
          <w:iCs/>
        </w:rPr>
        <w:t>Care Broadcasting</w:t>
      </w:r>
      <w:r w:rsidR="008E059F">
        <w:rPr>
          <w:i/>
          <w:iCs/>
        </w:rPr>
        <w:t>, Inc.</w:t>
      </w:r>
      <w:r>
        <w:rPr>
          <w:rStyle w:val="FootnoteReference"/>
        </w:rPr>
        <w:footnoteReference w:id="30"/>
      </w:r>
      <w:r w:rsidR="008E059F">
        <w:t xml:space="preserve"> and </w:t>
      </w:r>
      <w:r w:rsidR="008E059F">
        <w:rPr>
          <w:i/>
          <w:iCs/>
        </w:rPr>
        <w:t>PJ</w:t>
      </w:r>
      <w:r w:rsidR="007C218B">
        <w:rPr>
          <w:i/>
          <w:iCs/>
        </w:rPr>
        <w:t>B</w:t>
      </w:r>
      <w:r w:rsidR="008E059F">
        <w:rPr>
          <w:i/>
          <w:iCs/>
        </w:rPr>
        <w:t xml:space="preserve"> Communications of </w:t>
      </w:r>
      <w:r w:rsidRPr="008E059F" w:rsidR="008E059F">
        <w:rPr>
          <w:i/>
          <w:iCs/>
        </w:rPr>
        <w:t>Virginia</w:t>
      </w:r>
      <w:r w:rsidR="008E059F">
        <w:t>.</w:t>
      </w:r>
      <w:r>
        <w:rPr>
          <w:rStyle w:val="FootnoteReference"/>
        </w:rPr>
        <w:footnoteReference w:id="31"/>
      </w:r>
      <w:r w:rsidR="008E059F">
        <w:t xml:space="preserve">  </w:t>
      </w:r>
      <w:r w:rsidR="007843F2">
        <w:t xml:space="preserve">While we agree that </w:t>
      </w:r>
      <w:r w:rsidR="00270984">
        <w:t>WiFi</w:t>
      </w:r>
      <w:r w:rsidR="00270984">
        <w:t xml:space="preserve"> Services</w:t>
      </w:r>
      <w:r w:rsidR="00E4351D">
        <w:t xml:space="preserve">’ financial documentation supports a reduction of the $25,000 forfeiture originally proposed in the </w:t>
      </w:r>
      <w:r w:rsidRPr="00E4351D" w:rsidR="00E4351D">
        <w:rPr>
          <w:i/>
          <w:iCs/>
        </w:rPr>
        <w:t>Notice</w:t>
      </w:r>
      <w:r w:rsidR="00E4351D">
        <w:t xml:space="preserve">, </w:t>
      </w:r>
      <w:r w:rsidR="005C7B51">
        <w:t xml:space="preserve">the Bureau is not bound by either </w:t>
      </w:r>
      <w:r w:rsidR="005C7B51">
        <w:rPr>
          <w:i/>
          <w:iCs/>
        </w:rPr>
        <w:t xml:space="preserve">Care </w:t>
      </w:r>
      <w:r w:rsidRPr="005C7B51" w:rsidR="005C7B51">
        <w:rPr>
          <w:i/>
          <w:iCs/>
        </w:rPr>
        <w:t>Broadcasting</w:t>
      </w:r>
      <w:r w:rsidR="005C7B51">
        <w:t xml:space="preserve"> or </w:t>
      </w:r>
      <w:r w:rsidRPr="005C7B51" w:rsidR="005C7B51">
        <w:rPr>
          <w:i/>
          <w:iCs/>
        </w:rPr>
        <w:t>PJ</w:t>
      </w:r>
      <w:r w:rsidR="002136A4">
        <w:rPr>
          <w:i/>
          <w:iCs/>
        </w:rPr>
        <w:t>B</w:t>
      </w:r>
      <w:r w:rsidRPr="005C7B51" w:rsidR="005C7B51">
        <w:rPr>
          <w:i/>
          <w:iCs/>
        </w:rPr>
        <w:t xml:space="preserve"> Communications</w:t>
      </w:r>
      <w:r w:rsidR="00B72948">
        <w:t xml:space="preserve"> for purposes of establishing the amount of the reduction</w:t>
      </w:r>
      <w:r w:rsidR="005C7B51">
        <w:t xml:space="preserve">.  </w:t>
      </w:r>
      <w:r w:rsidR="00AF2093">
        <w:rPr>
          <w:i/>
          <w:iCs/>
        </w:rPr>
        <w:t>Care Broadcasting</w:t>
      </w:r>
      <w:r w:rsidR="00AF2093">
        <w:t xml:space="preserve"> is a decision issued by the Media Bureau and is therefore not </w:t>
      </w:r>
      <w:r w:rsidR="008727C1">
        <w:t xml:space="preserve">binding on the Enforcement Bureau.  Indeed, in </w:t>
      </w:r>
      <w:r w:rsidR="008727C1">
        <w:rPr>
          <w:i/>
          <w:iCs/>
        </w:rPr>
        <w:t>Care Broadcasting</w:t>
      </w:r>
      <w:r w:rsidR="008727C1">
        <w:t>, the Media Bureau note</w:t>
      </w:r>
      <w:r w:rsidR="004E1041">
        <w:t>d</w:t>
      </w:r>
      <w:r w:rsidR="008727C1">
        <w:t xml:space="preserve"> that the Bureau </w:t>
      </w:r>
      <w:r w:rsidR="00024DFF">
        <w:t xml:space="preserve">applies </w:t>
      </w:r>
      <w:r w:rsidR="00395F5B">
        <w:t xml:space="preserve">a </w:t>
      </w:r>
      <w:r w:rsidR="00006841">
        <w:t>different</w:t>
      </w:r>
      <w:r w:rsidR="00024DFF">
        <w:t xml:space="preserve"> standard when reducing </w:t>
      </w:r>
      <w:r w:rsidR="00B72993">
        <w:t>a forfeiture based on limited financial means.</w:t>
      </w:r>
      <w:bookmarkStart w:id="5" w:name="_Ref47690329"/>
      <w:r>
        <w:rPr>
          <w:rStyle w:val="FootnoteReference"/>
        </w:rPr>
        <w:footnoteReference w:id="32"/>
      </w:r>
      <w:bookmarkEnd w:id="5"/>
      <w:r w:rsidR="00B72993">
        <w:t xml:space="preserve">  Likewise, </w:t>
      </w:r>
      <w:r w:rsidRPr="00B72993" w:rsidR="00B72993">
        <w:rPr>
          <w:i/>
          <w:iCs/>
        </w:rPr>
        <w:t>PJ</w:t>
      </w:r>
      <w:r w:rsidR="002136A4">
        <w:rPr>
          <w:i/>
          <w:iCs/>
        </w:rPr>
        <w:t>B</w:t>
      </w:r>
      <w:r w:rsidRPr="00B72993" w:rsidR="00B72993">
        <w:rPr>
          <w:i/>
          <w:iCs/>
        </w:rPr>
        <w:t xml:space="preserve"> Communications</w:t>
      </w:r>
      <w:r w:rsidR="00B72993">
        <w:t xml:space="preserve"> merely assert</w:t>
      </w:r>
      <w:r w:rsidR="004E1041">
        <w:t>ed</w:t>
      </w:r>
      <w:r w:rsidR="00B72993">
        <w:t xml:space="preserve"> that </w:t>
      </w:r>
      <w:r w:rsidR="007B27FD">
        <w:t xml:space="preserve">a forfeiture of 2% of the company’s gross revenues was </w:t>
      </w:r>
      <w:r w:rsidR="002A25DA">
        <w:t>not excessive</w:t>
      </w:r>
      <w:r w:rsidR="001655AA">
        <w:t xml:space="preserve"> in that case</w:t>
      </w:r>
      <w:r w:rsidR="002A25DA">
        <w:t>.</w:t>
      </w:r>
      <w:r>
        <w:rPr>
          <w:rStyle w:val="FootnoteReference"/>
        </w:rPr>
        <w:footnoteReference w:id="33"/>
      </w:r>
      <w:r w:rsidR="002A25DA">
        <w:t xml:space="preserve"> </w:t>
      </w:r>
      <w:r w:rsidR="00B72993">
        <w:t xml:space="preserve"> </w:t>
      </w:r>
      <w:r w:rsidR="00515ED3">
        <w:t>As the Media Bureau correctly noted</w:t>
      </w:r>
      <w:r w:rsidR="007F0A1C">
        <w:t xml:space="preserve"> in </w:t>
      </w:r>
      <w:r w:rsidR="007F0A1C">
        <w:rPr>
          <w:i/>
          <w:iCs/>
        </w:rPr>
        <w:t>Care Broadcasting</w:t>
      </w:r>
      <w:r w:rsidR="00515ED3">
        <w:t>,</w:t>
      </w:r>
      <w:r>
        <w:rPr>
          <w:rStyle w:val="FootnoteReference"/>
        </w:rPr>
        <w:footnoteReference w:id="34"/>
      </w:r>
      <w:r w:rsidR="00515ED3">
        <w:t xml:space="preserve"> </w:t>
      </w:r>
      <w:r w:rsidR="007F4872">
        <w:t>when</w:t>
      </w:r>
      <w:r w:rsidR="006140BA">
        <w:t xml:space="preserve"> </w:t>
      </w:r>
      <w:r w:rsidR="007F4872">
        <w:t xml:space="preserve">the </w:t>
      </w:r>
      <w:r w:rsidR="00515ED3">
        <w:t xml:space="preserve">Bureau </w:t>
      </w:r>
      <w:r w:rsidR="006140BA">
        <w:t>grants a forfeiture reduction based on a target’s ability to pay, it</w:t>
      </w:r>
      <w:r w:rsidR="00CD7013">
        <w:t xml:space="preserve"> follows precedents establishing that </w:t>
      </w:r>
      <w:r w:rsidR="0068088E">
        <w:t xml:space="preserve">a forfeiture equivalent to </w:t>
      </w:r>
      <w:r w:rsidR="00716B30">
        <w:t>7</w:t>
      </w:r>
      <w:r w:rsidR="001B02E7">
        <w:t>.9</w:t>
      </w:r>
      <w:r w:rsidR="0068088E">
        <w:t>% of the target’s average gross revenues</w:t>
      </w:r>
      <w:r w:rsidR="00E57050">
        <w:t xml:space="preserve"> is generally appropriate</w:t>
      </w:r>
      <w:r w:rsidR="001B02E7">
        <w:t>.</w:t>
      </w:r>
      <w:r w:rsidR="0068088E">
        <w:t xml:space="preserve">  We find no basis to deviate from precedents in this case.  </w:t>
      </w:r>
    </w:p>
    <w:p w:rsidR="00DB6508" w:rsidP="00703DBF" w14:paraId="33C08745" w14:textId="193C6137">
      <w:pPr>
        <w:pStyle w:val="Heading1"/>
      </w:pPr>
      <w:r>
        <w:t>Conclusion</w:t>
      </w:r>
    </w:p>
    <w:p w:rsidR="00703DBF" w:rsidP="005C7657" w14:paraId="3C6A3068" w14:textId="0FEF2A79">
      <w:pPr>
        <w:pStyle w:val="ParaNum"/>
        <w:widowControl/>
        <w:tabs>
          <w:tab w:val="clear" w:pos="1080"/>
          <w:tab w:val="num" w:pos="1440"/>
        </w:tabs>
      </w:pPr>
      <w:r w:rsidRPr="00344C0B">
        <w:t xml:space="preserve">Based on the record before us and </w:t>
      </w:r>
      <w:r w:rsidRPr="00344C0B">
        <w:t>in light of</w:t>
      </w:r>
      <w:r w:rsidRPr="00344C0B">
        <w:t xml:space="preserve"> the applicable statutory factors, we </w:t>
      </w:r>
      <w:r>
        <w:t>conclude</w:t>
      </w:r>
      <w:r w:rsidRPr="00344C0B">
        <w:t xml:space="preserve"> that </w:t>
      </w:r>
      <w:r w:rsidR="00270984">
        <w:t>WiFi</w:t>
      </w:r>
      <w:r w:rsidR="00270984">
        <w:t xml:space="preserve"> Services</w:t>
      </w:r>
      <w:r w:rsidR="00DB7ACD">
        <w:t xml:space="preserve"> </w:t>
      </w:r>
      <w:r w:rsidRPr="0007571D">
        <w:t xml:space="preserve">willfully violated </w:t>
      </w:r>
      <w:r w:rsidRPr="00C019FD" w:rsidR="00C019FD">
        <w:t xml:space="preserve">section 301 of the Act and sections 15.1(b) and 15.407(h)(2) of the </w:t>
      </w:r>
      <w:r w:rsidRPr="00C019FD" w:rsidR="00C019FD">
        <w:t xml:space="preserve">Commission’s rules.  We further find, after consideration of the entire record, including </w:t>
      </w:r>
      <w:r w:rsidR="00514099">
        <w:t xml:space="preserve">the </w:t>
      </w:r>
      <w:r w:rsidRPr="00C019FD" w:rsidR="00C019FD">
        <w:t>Response</w:t>
      </w:r>
      <w:r w:rsidR="00C71ABF">
        <w:t xml:space="preserve"> and Supplemental Response, that a reduction of the forfeiture amount to $20,000 is appropriate.</w:t>
      </w:r>
      <w:r>
        <w:rPr>
          <w:rStyle w:val="FootnoteReference"/>
        </w:rPr>
        <w:footnoteReference w:id="35"/>
      </w:r>
      <w:r w:rsidR="00C71ABF">
        <w:t xml:space="preserve">  </w:t>
      </w:r>
    </w:p>
    <w:p w:rsidR="00703DBF" w:rsidP="00703DBF" w14:paraId="14BAB129" w14:textId="4166043E">
      <w:pPr>
        <w:pStyle w:val="Heading1"/>
      </w:pPr>
      <w:r>
        <w:t>Ordering Clauses</w:t>
      </w:r>
    </w:p>
    <w:p w:rsidR="00F25CBC" w:rsidRPr="009A2403" w:rsidP="005D715A" w14:paraId="4B191EFA" w14:textId="15606020">
      <w:pPr>
        <w:pStyle w:val="ParaNum"/>
        <w:widowControl/>
        <w:tabs>
          <w:tab w:val="clear" w:pos="1080"/>
          <w:tab w:val="num" w:pos="1440"/>
        </w:tabs>
      </w:pPr>
      <w:r w:rsidRPr="00344C0B">
        <w:t xml:space="preserve">Accordingly, </w:t>
      </w:r>
      <w:r w:rsidRPr="00344C0B">
        <w:rPr>
          <w:b/>
        </w:rPr>
        <w:t>IT IS ORDERED</w:t>
      </w:r>
      <w:r>
        <w:rPr>
          <w:b/>
        </w:rPr>
        <w:t xml:space="preserve"> </w:t>
      </w:r>
      <w:r>
        <w:t>that</w:t>
      </w:r>
      <w:r w:rsidRPr="00344C0B">
        <w:t xml:space="preserve">, pursuant to </w:t>
      </w:r>
      <w:r>
        <w:t>s</w:t>
      </w:r>
      <w:r w:rsidRPr="00344C0B">
        <w:t>ection 503(b) of the</w:t>
      </w:r>
      <w:r>
        <w:t xml:space="preserve"> Act</w:t>
      </w:r>
      <w:r w:rsidRPr="00344C0B">
        <w:t>,</w:t>
      </w:r>
      <w:r>
        <w:rPr>
          <w:rStyle w:val="FootnoteReference"/>
        </w:rPr>
        <w:footnoteReference w:id="36"/>
      </w:r>
      <w:r w:rsidRPr="0007571D">
        <w:t xml:space="preserve"> and </w:t>
      </w:r>
      <w:r>
        <w:t>s</w:t>
      </w:r>
      <w:r w:rsidRPr="0007571D">
        <w:t xml:space="preserve">ection 1.80 of the </w:t>
      </w:r>
      <w:r>
        <w:t>Commission’s r</w:t>
      </w:r>
      <w:r w:rsidRPr="0007571D">
        <w:t>ules,</w:t>
      </w:r>
      <w:r>
        <w:rPr>
          <w:rStyle w:val="FootnoteReference"/>
        </w:rPr>
        <w:footnoteReference w:id="37"/>
      </w:r>
      <w:r w:rsidRPr="0007571D">
        <w:t xml:space="preserve"> </w:t>
      </w:r>
      <w:r w:rsidR="00C71ABF">
        <w:rPr>
          <w:spacing w:val="-2"/>
        </w:rPr>
        <w:t>WiFi</w:t>
      </w:r>
      <w:r w:rsidR="00C71ABF">
        <w:rPr>
          <w:spacing w:val="-2"/>
        </w:rPr>
        <w:t xml:space="preserve"> Services Caribbean, Inc.,</w:t>
      </w:r>
      <w:r w:rsidRPr="0007571D" w:rsidR="00C71ABF">
        <w:t xml:space="preserve"> </w:t>
      </w:r>
      <w:r w:rsidRPr="0007571D">
        <w:rPr>
          <w:b/>
        </w:rPr>
        <w:t>IS LIABLE FOR A MONETARY FORFEITURE</w:t>
      </w:r>
      <w:r w:rsidRPr="009A2403">
        <w:t xml:space="preserve"> in the amount of </w:t>
      </w:r>
      <w:r w:rsidR="00C71ABF">
        <w:t xml:space="preserve">Twenty Thousand Dollars ($20,000) </w:t>
      </w:r>
      <w:r w:rsidRPr="0007571D">
        <w:t xml:space="preserve">for willfully violating </w:t>
      </w:r>
      <w:r w:rsidR="00AB617F">
        <w:t>section 301 of the Act</w:t>
      </w:r>
      <w:r>
        <w:rPr>
          <w:rStyle w:val="FootnoteReference"/>
        </w:rPr>
        <w:footnoteReference w:id="38"/>
      </w:r>
      <w:r w:rsidR="00AB617F">
        <w:t xml:space="preserve"> and sections 15.1(b) and 15.407(h)(2) of the Commission’s rules.</w:t>
      </w:r>
      <w:r>
        <w:rPr>
          <w:rStyle w:val="FootnoteReference"/>
        </w:rPr>
        <w:footnoteReference w:id="39"/>
      </w:r>
      <w:r w:rsidR="00AB617F">
        <w:t xml:space="preserve">  </w:t>
      </w:r>
    </w:p>
    <w:p w:rsidR="00F25CBC" w:rsidRPr="00344C0B" w:rsidP="009B5B40" w14:paraId="1DC64BA4" w14:textId="77499157">
      <w:pPr>
        <w:pStyle w:val="ParaNum"/>
        <w:widowControl/>
        <w:tabs>
          <w:tab w:val="clear" w:pos="1080"/>
          <w:tab w:val="num" w:pos="1440"/>
        </w:tabs>
      </w:pPr>
      <w:r w:rsidRPr="00344C0B">
        <w:t xml:space="preserve">Payment of the forfeiture shall be made in the manner provided for in </w:t>
      </w:r>
      <w:r>
        <w:t>s</w:t>
      </w:r>
      <w:r w:rsidRPr="00344C0B">
        <w:t xml:space="preserve">ection 1.80 of the </w:t>
      </w:r>
      <w:r>
        <w:t>Commission’s r</w:t>
      </w:r>
      <w:r w:rsidRPr="00344C0B">
        <w:t xml:space="preserve">ules within </w:t>
      </w:r>
      <w:r>
        <w:t>thirty (30</w:t>
      </w:r>
      <w:r w:rsidRPr="00344C0B">
        <w:t xml:space="preserve">) calendar days after the release of this </w:t>
      </w:r>
      <w:r w:rsidRPr="00AA7C6E">
        <w:rPr>
          <w:i/>
          <w:iCs/>
        </w:rPr>
        <w:t>Forfeiture Order</w:t>
      </w:r>
      <w:r w:rsidRPr="00344C0B">
        <w:t>.</w:t>
      </w:r>
      <w:r>
        <w:rPr>
          <w:rStyle w:val="FootnoteReference"/>
        </w:rPr>
        <w:footnoteReference w:id="40"/>
      </w:r>
      <w:r w:rsidRPr="0007571D">
        <w:t xml:space="preserve">  </w:t>
      </w:r>
      <w:bookmarkStart w:id="6" w:name="_Hlk10631341"/>
      <w:r w:rsidR="00AB617F">
        <w:t>WiFi</w:t>
      </w:r>
      <w:r w:rsidR="00AB617F">
        <w:t xml:space="preserve"> Services Caribbean, Inc. </w:t>
      </w:r>
      <w:r>
        <w:t xml:space="preserve">shall send electronic notification of payment to </w:t>
      </w:r>
      <w:r w:rsidR="003A42EF">
        <w:t xml:space="preserve">the Office of the Field Director, </w:t>
      </w:r>
      <w:r>
        <w:t xml:space="preserve">Enforcement Bureau, Federal Communications Commission, at </w:t>
      </w:r>
      <w:hyperlink r:id="rId5" w:history="1">
        <w:r w:rsidRPr="006F493A" w:rsidR="003A42EF">
          <w:rPr>
            <w:rStyle w:val="Hyperlink"/>
          </w:rPr>
          <w:t>field@fcc.gov</w:t>
        </w:r>
      </w:hyperlink>
      <w:r w:rsidR="003A42EF">
        <w:t xml:space="preserve">, with copy to </w:t>
      </w:r>
      <w:hyperlink r:id="rId6" w:history="1">
        <w:r w:rsidRPr="006F493A" w:rsidR="003A42EF">
          <w:rPr>
            <w:rStyle w:val="Hyperlink"/>
          </w:rPr>
          <w:t>matthew.gibson@fcc.gov</w:t>
        </w:r>
      </w:hyperlink>
      <w:r w:rsidR="003A42EF">
        <w:t xml:space="preserve">, </w:t>
      </w:r>
      <w:r>
        <w:t xml:space="preserve">on the date said payment is made.  </w:t>
      </w:r>
      <w:bookmarkEnd w:id="6"/>
      <w:r w:rsidRPr="0007571D">
        <w:t xml:space="preserve">If the forfeiture is not paid within the period specified, the case may be referred to the U.S. Department of Justice for enforcement of the forfeiture pursuant to </w:t>
      </w:r>
      <w:r>
        <w:t>s</w:t>
      </w:r>
      <w:r w:rsidRPr="0007571D">
        <w:t>ection 504(a) of the Act.</w:t>
      </w:r>
      <w:r>
        <w:rPr>
          <w:rStyle w:val="FootnoteReference"/>
        </w:rPr>
        <w:footnoteReference w:id="41"/>
      </w:r>
      <w:r w:rsidRPr="0007571D">
        <w:t xml:space="preserve">  </w:t>
      </w:r>
    </w:p>
    <w:p w:rsidR="00F25CBC" w:rsidRPr="00344C0B" w:rsidP="003A42EF" w14:paraId="5B509EDB" w14:textId="77777777">
      <w:pPr>
        <w:pStyle w:val="ParaNum"/>
        <w:widowControl/>
        <w:tabs>
          <w:tab w:val="clear" w:pos="1080"/>
          <w:tab w:val="num" w:pos="1440"/>
        </w:tabs>
      </w:pPr>
      <w:r w:rsidRPr="00AD0726">
        <w:t xml:space="preserve">Payment of the </w:t>
      </w:r>
      <w:r>
        <w:t>forfeiture</w:t>
      </w:r>
      <w:r w:rsidRPr="00AD0726">
        <w:t xml:space="preserve"> must be made by credit card, ACH (Automated Clearing House) debit from a bank account using </w:t>
      </w:r>
      <w:r>
        <w:t xml:space="preserve">the Commission’s </w:t>
      </w:r>
      <w:r w:rsidRPr="00AD0726">
        <w:t>Fee Filer (</w:t>
      </w:r>
      <w:r>
        <w:t>the Commission’s</w:t>
      </w:r>
      <w:r w:rsidRPr="00AD0726">
        <w:t xml:space="preserve"> online payment system),</w:t>
      </w:r>
      <w:r>
        <w:rPr>
          <w:rStyle w:val="FootnoteReference"/>
        </w:rPr>
        <w:footnoteReference w:id="42"/>
      </w:r>
      <w:r w:rsidRPr="00AD0726">
        <w:t xml:space="preserve"> or by wire transfer.  </w:t>
      </w:r>
      <w:r>
        <w:t xml:space="preserve">The Commission no longer accepts forfeiture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43"/>
      </w:r>
    </w:p>
    <w:p w:rsidR="00F25CBC" w:rsidRPr="004636A0" w:rsidP="00050B52" w14:paraId="3EEB0DF4" w14:textId="09B59979">
      <w:pPr>
        <w:pStyle w:val="par1"/>
        <w:widowControl/>
        <w:numPr>
          <w:ilvl w:val="0"/>
          <w:numId w:val="8"/>
        </w:numPr>
        <w:spacing w:after="120"/>
        <w:ind w:left="1440" w:hanging="540"/>
        <w:rPr>
          <w:sz w:val="22"/>
        </w:rPr>
      </w:pPr>
      <w:r w:rsidRPr="004636A0">
        <w:rPr>
          <w:sz w:val="22"/>
        </w:rPr>
        <w:t xml:space="preserve">Payment by wire transfer must be made to ABA Number 021030004, receiving bank </w:t>
      </w:r>
      <w:r w:rsidRPr="004636A0">
        <w:rPr>
          <w:sz w:val="22"/>
        </w:rPr>
        <w:t>TREAS</w:t>
      </w:r>
      <w:r w:rsidRPr="004636A0">
        <w:rPr>
          <w:sz w:val="22"/>
        </w:rPr>
        <w:t xml:space="preserve">/NYC, and Account Number 27000001.  A completed Form 159 must be faxed to the Federal Communications Commission at 202-418-2843 or e-mailed to </w:t>
      </w:r>
      <w:hyperlink r:id="rId7" w:history="1">
        <w:r w:rsidRPr="006F493A" w:rsidR="003A42EF">
          <w:rPr>
            <w:rStyle w:val="Hyperlink"/>
            <w:sz w:val="22"/>
          </w:rPr>
          <w:t>RROGWireFaxes@fcc.gov</w:t>
        </w:r>
      </w:hyperlink>
      <w:r w:rsidR="003A42EF">
        <w:rPr>
          <w:sz w:val="22"/>
        </w:rPr>
        <w:t xml:space="preserve"> </w:t>
      </w:r>
      <w:r w:rsidRPr="004636A0">
        <w:rPr>
          <w:sz w:val="22"/>
        </w:rPr>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w:t>
      </w:r>
      <w:r w:rsidRPr="004636A0">
        <w:rPr>
          <w:sz w:val="22"/>
        </w:rPr>
        <w:t>FORF</w:t>
      </w:r>
      <w:r w:rsidRPr="004636A0">
        <w:rPr>
          <w:sz w:val="22"/>
        </w:rPr>
        <w:t xml:space="preserve">” in block number 24A (payment type code), and enter in block number 11 the FRN(s) captioned above (Payor FRN).  For additional detail and wire transfer instructions, go to </w:t>
      </w:r>
      <w:hyperlink r:id="rId8" w:history="1">
        <w:r w:rsidRPr="00930DCE">
          <w:rPr>
            <w:rStyle w:val="Hyperlink"/>
            <w:sz w:val="22"/>
          </w:rPr>
          <w:t>https://www.fcc.gov/licensing-databases/fees/wire-transfer</w:t>
        </w:r>
      </w:hyperlink>
      <w:r w:rsidRPr="004636A0">
        <w:rPr>
          <w:sz w:val="22"/>
        </w:rPr>
        <w:t xml:space="preserve">.  </w:t>
      </w:r>
    </w:p>
    <w:p w:rsidR="00F25CBC" w:rsidRPr="004636A0" w:rsidP="00050B52" w14:paraId="5A830DAD" w14:textId="08D09868">
      <w:pPr>
        <w:pStyle w:val="par1"/>
        <w:widowControl/>
        <w:numPr>
          <w:ilvl w:val="0"/>
          <w:numId w:val="8"/>
        </w:numPr>
        <w:spacing w:after="120"/>
        <w:ind w:left="1440" w:hanging="540"/>
        <w:rPr>
          <w:sz w:val="22"/>
        </w:rPr>
      </w:pPr>
      <w:r w:rsidRPr="004636A0">
        <w:rPr>
          <w:sz w:val="22"/>
        </w:rPr>
        <w:t xml:space="preserve">Payment by credit card must be made by using the Commission’s Fee Filer website at </w:t>
      </w:r>
      <w:hyperlink r:id="rId9" w:history="1">
        <w:r w:rsidRPr="006F493A" w:rsidR="003A42EF">
          <w:rPr>
            <w:rStyle w:val="Hyperlink"/>
            <w:sz w:val="22"/>
          </w:rPr>
          <w:t>https://apps.fcc.gov/FeeFiler/login.cfm</w:t>
        </w:r>
      </w:hyperlink>
      <w:r w:rsidRPr="004636A0">
        <w:rPr>
          <w:sz w:val="22"/>
        </w:rPr>
        <w:t xml:space="preserve">.  To pay by credit card, log-in using the FRN captioned above.  If payment must be split across </w:t>
      </w:r>
      <w:r w:rsidRPr="004636A0">
        <w:rPr>
          <w:sz w:val="22"/>
        </w:rPr>
        <w:t>FRNs</w:t>
      </w:r>
      <w:r w:rsidRPr="004636A0">
        <w:rPr>
          <w:sz w:val="22"/>
        </w:rPr>
        <w:t xml:space="preserve">, complete this process for each FRN.  Next, select “Pay bills” on the Fee Filer Menu, and select the bill number </w:t>
      </w:r>
      <w:r w:rsidRPr="004636A0">
        <w:rPr>
          <w:sz w:val="22"/>
        </w:rPr>
        <w:t>associated with the NAL Account – the bill number is the NAL Account number with the first two digits excluded – and then choose the “Pay by Credit Card” option.  Please note that there is a $24,999.99 limit on credit card transactions.</w:t>
      </w:r>
    </w:p>
    <w:p w:rsidR="00F25CBC" w:rsidRPr="00344C0B" w:rsidP="00050B52" w14:paraId="70B07CFD" w14:textId="504532AB">
      <w:pPr>
        <w:pStyle w:val="par1"/>
        <w:widowControl/>
        <w:numPr>
          <w:ilvl w:val="0"/>
          <w:numId w:val="8"/>
        </w:numPr>
        <w:tabs>
          <w:tab w:val="clear" w:pos="1440"/>
        </w:tabs>
        <w:spacing w:after="120"/>
        <w:ind w:left="1440" w:hanging="540"/>
        <w:rPr>
          <w:sz w:val="22"/>
        </w:rPr>
      </w:pPr>
      <w:r w:rsidRPr="004636A0">
        <w:rPr>
          <w:sz w:val="22"/>
        </w:rPr>
        <w:t xml:space="preserve">Payment by ACH must be made by using the Commission’s Fee Filer website at </w:t>
      </w:r>
      <w:hyperlink r:id="rId9" w:history="1">
        <w:r w:rsidRPr="006F493A" w:rsidR="003A42EF">
          <w:rPr>
            <w:rStyle w:val="Hyperlink"/>
            <w:sz w:val="22"/>
          </w:rPr>
          <w:t>https://apps.fcc.gov/FeeFiler/login.cfm</w:t>
        </w:r>
      </w:hyperlink>
      <w:r w:rsidRPr="004636A0">
        <w:rPr>
          <w:sz w:val="22"/>
        </w:rPr>
        <w:t xml:space="preserve">.  To pay by ACH, log in using the FRN captioned above.  If payment must be split across </w:t>
      </w:r>
      <w:r w:rsidRPr="004636A0">
        <w:rPr>
          <w:sz w:val="22"/>
        </w:rPr>
        <w:t>FRNs</w:t>
      </w:r>
      <w:r w:rsidRPr="004636A0">
        <w:rPr>
          <w:sz w:val="22"/>
        </w:rPr>
        <w:t>,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25CBC" w:rsidRPr="00816F70" w:rsidP="00D62891" w14:paraId="3DB7D944" w14:textId="2584A559">
      <w:pPr>
        <w:pStyle w:val="ParaNum"/>
        <w:widowControl/>
        <w:tabs>
          <w:tab w:val="clear" w:pos="1080"/>
          <w:tab w:val="num" w:pos="1440"/>
        </w:tabs>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45 </w:t>
      </w:r>
      <w:r w:rsidR="00C760EF">
        <w:t xml:space="preserve">L Street, NE, </w:t>
      </w:r>
      <w:r w:rsidRPr="006D73F2">
        <w:t>Washington, DC 20554.</w:t>
      </w:r>
      <w:r>
        <w:rPr>
          <w:rStyle w:val="FootnoteReference"/>
          <w:szCs w:val="22"/>
        </w:rPr>
        <w:footnoteReference w:id="44"/>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hyperlink r:id="rId10" w:history="1">
        <w:r w:rsidRPr="00531A30">
          <w:rPr>
            <w:rStyle w:val="Hyperlink"/>
          </w:rPr>
          <w:t>ARINQUIRIES@fcc.gov</w:t>
        </w:r>
      </w:hyperlink>
      <w:r w:rsidRPr="00373669">
        <w:t>.</w:t>
      </w:r>
    </w:p>
    <w:p w:rsidR="00F25CBC" w:rsidRPr="0007571D" w:rsidP="00D62891" w14:paraId="5116DA26" w14:textId="0E5A3F59">
      <w:pPr>
        <w:pStyle w:val="ParaNum"/>
        <w:keepNext/>
        <w:widowControl/>
        <w:tabs>
          <w:tab w:val="clear" w:pos="1080"/>
          <w:tab w:val="num" w:pos="1440"/>
        </w:tabs>
      </w:pPr>
      <w:r w:rsidRPr="00D62891">
        <w:rPr>
          <w:b/>
        </w:rPr>
        <w:t>IT IS FURTHER ORDERED</w:t>
      </w:r>
      <w:r w:rsidRPr="00344C0B">
        <w:t xml:space="preserve"> that a copy of this Forfeiture Order </w:t>
      </w:r>
      <w:r w:rsidRPr="004749BE">
        <w:t xml:space="preserve">shall be sent by first class mail and certified mail, return receipt requested, to </w:t>
      </w:r>
      <w:r w:rsidRPr="00D4435A" w:rsidR="00D4435A">
        <w:t xml:space="preserve">Mr. Jorge M. </w:t>
      </w:r>
      <w:r w:rsidRPr="00D4435A" w:rsidR="00D4435A">
        <w:t>Baragaño</w:t>
      </w:r>
      <w:r w:rsidRPr="00D4435A" w:rsidR="00D4435A">
        <w:t xml:space="preserve">, President, </w:t>
      </w:r>
      <w:r w:rsidRPr="00D4435A" w:rsidR="00D4435A">
        <w:t>WiFi</w:t>
      </w:r>
      <w:r w:rsidRPr="00D4435A" w:rsidR="00D4435A">
        <w:t xml:space="preserve"> Services Caribbean, Inc., 808 Avenida Fernandez Juncos, San Juan, Puerto Rico 00907</w:t>
      </w:r>
      <w:r w:rsidR="00D4435A">
        <w:t xml:space="preserve">, and to </w:t>
      </w:r>
      <w:r w:rsidR="00D62891">
        <w:t>Carlos W. López</w:t>
      </w:r>
      <w:r w:rsidR="007B5437">
        <w:t>-</w:t>
      </w:r>
      <w:r w:rsidR="00D62891">
        <w:t>Freytes</w:t>
      </w:r>
      <w:r w:rsidR="00D62891">
        <w:t xml:space="preserve">, Esq., </w:t>
      </w:r>
      <w:r w:rsidR="00D62891">
        <w:t>CWL</w:t>
      </w:r>
      <w:r w:rsidR="00D62891">
        <w:t xml:space="preserve"> Legal Services, PSC, 1374 Ave. Ashford, Apt. 8B, San Juan, PR 00907</w:t>
      </w:r>
      <w:r w:rsidRPr="004749BE">
        <w:t>.</w:t>
      </w:r>
    </w:p>
    <w:p w:rsidR="00F25CBC" w:rsidRPr="00344C0B" w:rsidP="00D70C9A" w14:paraId="5FBAE7E2" w14:textId="77777777">
      <w:pPr>
        <w:keepNext/>
        <w:widowControl/>
      </w:pPr>
    </w:p>
    <w:p w:rsidR="00F25CBC" w:rsidRPr="00344C0B" w:rsidP="00D70C9A" w14:paraId="205EA2CB" w14:textId="77777777">
      <w:pPr>
        <w:keepNext/>
        <w:widowControl/>
        <w:ind w:left="4410"/>
      </w:pPr>
      <w:r w:rsidRPr="00344C0B">
        <w:t>FEDERAL COMMUNICATIONS COMMISSION</w:t>
      </w:r>
    </w:p>
    <w:p w:rsidR="00F25CBC" w:rsidRPr="00344C0B" w:rsidP="00D70C9A" w14:paraId="6998097B" w14:textId="77777777">
      <w:pPr>
        <w:keepNext/>
        <w:widowControl/>
        <w:ind w:left="4410"/>
      </w:pPr>
    </w:p>
    <w:p w:rsidR="00F25CBC" w:rsidRPr="00344C0B" w:rsidP="00D70C9A" w14:paraId="08B09552" w14:textId="77777777">
      <w:pPr>
        <w:keepNext/>
        <w:widowControl/>
        <w:ind w:left="4410"/>
      </w:pPr>
    </w:p>
    <w:p w:rsidR="00F25CBC" w:rsidRPr="00344C0B" w:rsidP="00D70C9A" w14:paraId="795D11E6" w14:textId="77777777">
      <w:pPr>
        <w:keepNext/>
        <w:widowControl/>
        <w:ind w:left="4410"/>
      </w:pPr>
    </w:p>
    <w:p w:rsidR="00F25CBC" w:rsidRPr="00344C0B" w:rsidP="00D70C9A" w14:paraId="02849DB8" w14:textId="77777777">
      <w:pPr>
        <w:keepNext/>
        <w:widowControl/>
        <w:ind w:left="4410"/>
      </w:pPr>
    </w:p>
    <w:p w:rsidR="00F25CBC" w:rsidP="00D70C9A" w14:paraId="1EBC3DF4" w14:textId="1412CB11">
      <w:pPr>
        <w:keepNext/>
        <w:widowControl/>
        <w:ind w:left="4410"/>
        <w:rPr>
          <w:szCs w:val="22"/>
        </w:rPr>
      </w:pPr>
      <w:r>
        <w:rPr>
          <w:szCs w:val="22"/>
        </w:rPr>
        <w:t>Ronald Ramage</w:t>
      </w:r>
    </w:p>
    <w:p w:rsidR="00D70C9A" w:rsidP="00D70C9A" w14:paraId="300501BA" w14:textId="2C779E55">
      <w:pPr>
        <w:keepNext/>
        <w:widowControl/>
        <w:ind w:left="4410"/>
        <w:rPr>
          <w:szCs w:val="22"/>
        </w:rPr>
      </w:pPr>
      <w:r>
        <w:rPr>
          <w:szCs w:val="22"/>
        </w:rPr>
        <w:t>Regional Director, Region Two</w:t>
      </w:r>
    </w:p>
    <w:p w:rsidR="00703DBF" w:rsidRPr="00D70C9A" w:rsidP="00D70C9A" w14:paraId="01BD851D" w14:textId="428171EF">
      <w:pPr>
        <w:keepNext/>
        <w:widowControl/>
        <w:ind w:left="4410"/>
        <w:rPr>
          <w:szCs w:val="22"/>
        </w:rPr>
      </w:pPr>
      <w:r>
        <w:rPr>
          <w:szCs w:val="22"/>
        </w:rPr>
        <w:t>Enforcement Bureau</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03B5B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03371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66163" w14:paraId="0937E190" w14:textId="2E1BFEE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22324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42E3" w14:paraId="3DDD6EDB" w14:textId="77777777">
      <w:r>
        <w:separator/>
      </w:r>
    </w:p>
  </w:footnote>
  <w:footnote w:type="continuationSeparator" w:id="1">
    <w:p w:rsidR="004A42E3" w:rsidP="00C721AC" w14:paraId="6023E35D" w14:textId="77777777">
      <w:pPr>
        <w:spacing w:before="120"/>
        <w:rPr>
          <w:sz w:val="20"/>
        </w:rPr>
      </w:pPr>
      <w:r>
        <w:rPr>
          <w:sz w:val="20"/>
        </w:rPr>
        <w:t xml:space="preserve">(Continued from previous page)  </w:t>
      </w:r>
      <w:r>
        <w:rPr>
          <w:sz w:val="20"/>
        </w:rPr>
        <w:separator/>
      </w:r>
    </w:p>
  </w:footnote>
  <w:footnote w:type="continuationNotice" w:id="2">
    <w:p w:rsidR="004A42E3" w:rsidP="00C721AC" w14:paraId="493FE058" w14:textId="77777777">
      <w:pPr>
        <w:jc w:val="right"/>
        <w:rPr>
          <w:sz w:val="20"/>
        </w:rPr>
      </w:pPr>
      <w:r>
        <w:rPr>
          <w:sz w:val="20"/>
        </w:rPr>
        <w:t>(continued….)</w:t>
      </w:r>
    </w:p>
  </w:footnote>
  <w:footnote w:id="3">
    <w:p w:rsidR="0045788D" w14:paraId="5532E163" w14:textId="5D94A9D6">
      <w:pPr>
        <w:pStyle w:val="FootnoteText"/>
      </w:pPr>
      <w:r>
        <w:rPr>
          <w:rStyle w:val="FootnoteReference"/>
        </w:rPr>
        <w:footnoteRef/>
      </w:r>
      <w:r>
        <w:t xml:space="preserve"> </w:t>
      </w:r>
      <w:r>
        <w:rPr>
          <w:i/>
          <w:iCs/>
        </w:rPr>
        <w:t>See</w:t>
      </w:r>
      <w:r>
        <w:t xml:space="preserve"> </w:t>
      </w:r>
      <w:r>
        <w:rPr>
          <w:i/>
          <w:iCs/>
        </w:rPr>
        <w:t>WiFi</w:t>
      </w:r>
      <w:r>
        <w:rPr>
          <w:i/>
          <w:iCs/>
        </w:rPr>
        <w:t xml:space="preserve"> Services Caribbean, Inc., San Juan, Puerto Rico</w:t>
      </w:r>
      <w:r>
        <w:t xml:space="preserve">, Notice of Apparent Liability for Forfeiture and Order, </w:t>
      </w:r>
      <w:r w:rsidRPr="002D64F6">
        <w:t>35 FCC Rcd 3674</w:t>
      </w:r>
      <w:r>
        <w:t xml:space="preserve"> (EB 2020), </w:t>
      </w:r>
      <w:hyperlink r:id="rId1" w:history="1">
        <w:r w:rsidRPr="00122336">
          <w:rPr>
            <w:rStyle w:val="Hyperlink"/>
          </w:rPr>
          <w:t>https://docs.fcc.gov/public/attachments/DA-20-433A1_Rcd.pdf</w:t>
        </w:r>
      </w:hyperlink>
      <w:r>
        <w:t>.</w:t>
      </w:r>
    </w:p>
  </w:footnote>
  <w:footnote w:id="4">
    <w:p w:rsidR="00DB28A8" w:rsidP="00DB28A8" w14:paraId="6B743DD9" w14:textId="77777777">
      <w:pPr>
        <w:pStyle w:val="FootnoteText"/>
      </w:pPr>
      <w:r>
        <w:rPr>
          <w:rStyle w:val="FootnoteReference"/>
        </w:rPr>
        <w:footnoteRef/>
      </w:r>
      <w:r>
        <w:t xml:space="preserve"> 47 U.S.C. § 301.</w:t>
      </w:r>
    </w:p>
  </w:footnote>
  <w:footnote w:id="5">
    <w:p w:rsidR="00DB28A8" w:rsidRPr="004F6079" w:rsidP="00DB28A8" w14:paraId="65758CC4" w14:textId="77777777">
      <w:pPr>
        <w:pStyle w:val="FootnoteText"/>
      </w:pPr>
      <w:r>
        <w:rPr>
          <w:rStyle w:val="FootnoteReference"/>
        </w:rPr>
        <w:footnoteRef/>
      </w:r>
      <w:r>
        <w:t xml:space="preserve"> </w:t>
      </w:r>
      <w:r>
        <w:rPr>
          <w:i/>
          <w:iCs/>
        </w:rPr>
        <w:t>See</w:t>
      </w:r>
      <w:r>
        <w:t xml:space="preserve"> 47 CFR §§ 15.1, </w:t>
      </w:r>
      <w:r>
        <w:rPr>
          <w:i/>
          <w:iCs/>
        </w:rPr>
        <w:t>et seq.</w:t>
      </w:r>
    </w:p>
  </w:footnote>
  <w:footnote w:id="6">
    <w:p w:rsidR="00DB28A8" w:rsidP="00DB28A8" w14:paraId="69A61A6F" w14:textId="77777777">
      <w:pPr>
        <w:pStyle w:val="FootnoteText"/>
      </w:pPr>
      <w:r>
        <w:rPr>
          <w:rStyle w:val="FootnoteReference"/>
        </w:rPr>
        <w:footnoteRef/>
      </w:r>
      <w:r>
        <w:t xml:space="preserve"> 47 CFR § 15.1(b) (emphasis added).</w:t>
      </w:r>
    </w:p>
  </w:footnote>
  <w:footnote w:id="7">
    <w:p w:rsidR="00DB28A8" w:rsidRPr="00B57DE4" w:rsidP="00DB28A8" w14:paraId="24510F5C" w14:textId="77777777">
      <w:pPr>
        <w:pStyle w:val="FootnoteText"/>
      </w:pPr>
      <w:r>
        <w:rPr>
          <w:rStyle w:val="FootnoteReference"/>
        </w:rPr>
        <w:footnoteRef/>
      </w:r>
      <w:r>
        <w:t xml:space="preserve"> </w:t>
      </w:r>
      <w:r>
        <w:rPr>
          <w:i/>
          <w:iCs/>
        </w:rPr>
        <w:t>See</w:t>
      </w:r>
      <w:r>
        <w:t xml:space="preserve"> 47 CFR § 15.407(h)(2).</w:t>
      </w:r>
    </w:p>
  </w:footnote>
  <w:footnote w:id="8">
    <w:p w:rsidR="0045788D" w14:paraId="48FAE21C" w14:textId="45C4D4B2">
      <w:pPr>
        <w:pStyle w:val="FootnoteText"/>
      </w:pPr>
      <w:r>
        <w:rPr>
          <w:rStyle w:val="FootnoteReference"/>
        </w:rPr>
        <w:footnoteRef/>
      </w:r>
      <w:r>
        <w:t xml:space="preserve"> </w:t>
      </w:r>
      <w:r w:rsidR="00514099">
        <w:rPr>
          <w:i/>
          <w:iCs/>
        </w:rPr>
        <w:t xml:space="preserve">Notice, </w:t>
      </w:r>
      <w:r w:rsidRPr="002D64F6" w:rsidR="00514099">
        <w:t xml:space="preserve">35 FCC Rcd </w:t>
      </w:r>
      <w:r w:rsidR="00514099">
        <w:t xml:space="preserve">at </w:t>
      </w:r>
      <w:r w:rsidRPr="002D64F6" w:rsidR="00514099">
        <w:t>3674</w:t>
      </w:r>
      <w:r w:rsidR="00514099">
        <w:t>.</w:t>
      </w:r>
    </w:p>
  </w:footnote>
  <w:footnote w:id="9">
    <w:p w:rsidR="00932EBF" w:rsidP="00932EBF" w14:paraId="754C1089" w14:textId="77777777">
      <w:pPr>
        <w:pStyle w:val="FootnoteText"/>
      </w:pPr>
      <w:r>
        <w:rPr>
          <w:rStyle w:val="FootnoteReference"/>
        </w:rPr>
        <w:footnoteRef/>
      </w:r>
      <w:r>
        <w:t xml:space="preserve"> 47 U.S.C. § 301.</w:t>
      </w:r>
    </w:p>
  </w:footnote>
  <w:footnote w:id="10">
    <w:p w:rsidR="00932EBF" w:rsidP="00932EBF" w14:paraId="0223434C" w14:textId="77777777">
      <w:pPr>
        <w:pStyle w:val="FootnoteText"/>
      </w:pPr>
      <w:r>
        <w:rPr>
          <w:rStyle w:val="FootnoteReference"/>
        </w:rPr>
        <w:footnoteRef/>
      </w:r>
      <w:r>
        <w:t xml:space="preserve"> 47 CFR §§ 15.1(b), 15.407(h)(2).</w:t>
      </w:r>
    </w:p>
  </w:footnote>
  <w:footnote w:id="11">
    <w:p w:rsidR="00270984" w:rsidRPr="0095095A" w:rsidP="00270984" w14:paraId="5CAA5A69" w14:textId="77777777">
      <w:pPr>
        <w:pStyle w:val="FootnoteText"/>
      </w:pPr>
      <w:r>
        <w:rPr>
          <w:rStyle w:val="FootnoteReference"/>
        </w:rPr>
        <w:footnoteRef/>
      </w:r>
      <w:r>
        <w:t xml:space="preserve"> </w:t>
      </w:r>
      <w:r>
        <w:rPr>
          <w:i/>
          <w:iCs/>
        </w:rPr>
        <w:t>Notice</w:t>
      </w:r>
      <w:r>
        <w:t>, 35 FCC Rcd at 3676, para</w:t>
      </w:r>
      <w:r>
        <w:t xml:space="preserve">. </w:t>
      </w:r>
      <w:r>
        <w:t>9.</w:t>
      </w:r>
    </w:p>
  </w:footnote>
  <w:footnote w:id="12">
    <w:p w:rsidR="00DB28A8" w:rsidP="00DB28A8" w14:paraId="54C6F9A3" w14:textId="718282AF">
      <w:pPr>
        <w:pStyle w:val="FootnoteText"/>
      </w:pPr>
      <w:r>
        <w:rPr>
          <w:rStyle w:val="FootnoteReference"/>
        </w:rPr>
        <w:footnoteRef/>
      </w:r>
      <w:r>
        <w:t xml:space="preserve"> </w:t>
      </w:r>
      <w:r w:rsidRPr="00270984" w:rsidR="00A30CAC">
        <w:rPr>
          <w:i/>
          <w:iCs/>
        </w:rPr>
        <w:t>WiFi</w:t>
      </w:r>
      <w:r w:rsidRPr="00270984" w:rsidR="00A30CAC">
        <w:rPr>
          <w:i/>
          <w:iCs/>
        </w:rPr>
        <w:t xml:space="preserve"> Services Caribbean, Inc.</w:t>
      </w:r>
      <w:r>
        <w:t>, Response to Notice of Apparent Liability for Forfeiture and Order (</w:t>
      </w:r>
      <w:r w:rsidR="009363C0">
        <w:t>May 22, 2020</w:t>
      </w:r>
      <w:r>
        <w:t xml:space="preserve">) (on file in </w:t>
      </w:r>
      <w:r w:rsidR="00A30CAC">
        <w:t>EB-FIELDSCR-</w:t>
      </w:r>
      <w:r w:rsidR="00A30CAC">
        <w:rPr>
          <w:spacing w:val="-2"/>
        </w:rPr>
        <w:t>19-00028514</w:t>
      </w:r>
      <w:r>
        <w:t xml:space="preserve">) (Response).  </w:t>
      </w:r>
    </w:p>
  </w:footnote>
  <w:footnote w:id="13">
    <w:p w:rsidR="00DB28A8" w:rsidRPr="002C6529" w:rsidP="00DB28A8" w14:paraId="7063CB69" w14:textId="398A2C52">
      <w:pPr>
        <w:pStyle w:val="FootnoteText"/>
      </w:pPr>
      <w:r>
        <w:rPr>
          <w:rStyle w:val="FootnoteReference"/>
        </w:rPr>
        <w:footnoteRef/>
      </w:r>
      <w:r>
        <w:t xml:space="preserve"> Response at </w:t>
      </w:r>
      <w:r w:rsidR="000D4CE8">
        <w:t>4</w:t>
      </w:r>
      <w:r w:rsidR="00A32009">
        <w:t xml:space="preserve">; </w:t>
      </w:r>
      <w:r w:rsidR="00A32009">
        <w:rPr>
          <w:i/>
          <w:iCs/>
        </w:rPr>
        <w:t>see</w:t>
      </w:r>
      <w:r>
        <w:t xml:space="preserve"> </w:t>
      </w:r>
      <w:r>
        <w:rPr>
          <w:i/>
          <w:iCs/>
        </w:rPr>
        <w:t>Notice</w:t>
      </w:r>
      <w:r>
        <w:t xml:space="preserve">, </w:t>
      </w:r>
      <w:r w:rsidR="005B6E13">
        <w:t>35</w:t>
      </w:r>
      <w:r w:rsidR="0077124C">
        <w:t xml:space="preserve"> FCC Rcd </w:t>
      </w:r>
      <w:r w:rsidR="00325AB2">
        <w:t xml:space="preserve">at </w:t>
      </w:r>
      <w:r w:rsidR="00EB3813">
        <w:t>3676</w:t>
      </w:r>
      <w:r>
        <w:t>, para</w:t>
      </w:r>
      <w:r w:rsidR="00322F6F">
        <w:t>.</w:t>
      </w:r>
      <w:r>
        <w:t xml:space="preserve"> </w:t>
      </w:r>
      <w:r w:rsidR="00A32009">
        <w:t>9</w:t>
      </w:r>
      <w:r>
        <w:t>.</w:t>
      </w:r>
    </w:p>
  </w:footnote>
  <w:footnote w:id="14">
    <w:p w:rsidR="00DB28A8" w:rsidRPr="00F46C53" w:rsidP="00DB28A8" w14:paraId="3F7F7C3F" w14:textId="51F38F61">
      <w:pPr>
        <w:pStyle w:val="FootnoteText"/>
      </w:pPr>
      <w:r>
        <w:rPr>
          <w:rStyle w:val="FootnoteReference"/>
        </w:rPr>
        <w:footnoteRef/>
      </w:r>
      <w:r>
        <w:t xml:space="preserve"> </w:t>
      </w:r>
      <w:r w:rsidRPr="0095095A">
        <w:t>Response</w:t>
      </w:r>
      <w:r>
        <w:t xml:space="preserve"> at </w:t>
      </w:r>
      <w:r w:rsidR="005B6C13">
        <w:t>5, 7, 9</w:t>
      </w:r>
      <w:r>
        <w:t xml:space="preserve">. </w:t>
      </w:r>
    </w:p>
  </w:footnote>
  <w:footnote w:id="15">
    <w:p w:rsidR="00DB28A8" w:rsidP="00DB28A8" w14:paraId="18CE5588" w14:textId="17D92EE0">
      <w:pPr>
        <w:pStyle w:val="FootnoteText"/>
      </w:pPr>
      <w:r>
        <w:rPr>
          <w:rStyle w:val="FootnoteReference"/>
        </w:rPr>
        <w:footnoteRef/>
      </w:r>
      <w:r>
        <w:t xml:space="preserve"> E-mail from Matthew L. Gibson, Senior Field Counsel, Office of the Field Director, FCC Enforcement Bureau, to </w:t>
      </w:r>
      <w:r w:rsidRPr="00941F8E" w:rsidR="00941F8E">
        <w:t>Carlos W. L</w:t>
      </w:r>
      <w:r w:rsidR="00EB478C">
        <w:t>ó</w:t>
      </w:r>
      <w:r w:rsidRPr="00941F8E" w:rsidR="00941F8E">
        <w:t>pez-</w:t>
      </w:r>
      <w:r w:rsidRPr="00941F8E" w:rsidR="00941F8E">
        <w:t>Freytes</w:t>
      </w:r>
      <w:r w:rsidR="00941F8E">
        <w:t xml:space="preserve">, Counsel to </w:t>
      </w:r>
      <w:r w:rsidR="00EB478C">
        <w:t>WiFi</w:t>
      </w:r>
      <w:r w:rsidR="00EB478C">
        <w:t xml:space="preserve"> Services </w:t>
      </w:r>
      <w:r>
        <w:t>(</w:t>
      </w:r>
      <w:r w:rsidR="00FE7DE3">
        <w:t>June 18, 2020, 13:34 EDT</w:t>
      </w:r>
      <w:r w:rsidR="00A40B44">
        <w:t>)</w:t>
      </w:r>
      <w:r>
        <w:t xml:space="preserve"> (on file in </w:t>
      </w:r>
      <w:r w:rsidR="00A40B44">
        <w:t>EB-FIELDSCR-</w:t>
      </w:r>
      <w:r w:rsidR="00A40B44">
        <w:rPr>
          <w:spacing w:val="-2"/>
        </w:rPr>
        <w:t>19-0002851</w:t>
      </w:r>
      <w:r w:rsidR="002F3A15">
        <w:rPr>
          <w:spacing w:val="-2"/>
        </w:rPr>
        <w:t>4</w:t>
      </w:r>
      <w:r>
        <w:t xml:space="preserve">). </w:t>
      </w:r>
    </w:p>
  </w:footnote>
  <w:footnote w:id="16">
    <w:p w:rsidR="00DB28A8" w:rsidRPr="008B17E3" w:rsidP="00DB28A8" w14:paraId="3EB3F150" w14:textId="3C4466B8">
      <w:pPr>
        <w:pStyle w:val="FootnoteText"/>
      </w:pPr>
      <w:r>
        <w:rPr>
          <w:rStyle w:val="FootnoteReference"/>
        </w:rPr>
        <w:footnoteRef/>
      </w:r>
      <w:r>
        <w:t xml:space="preserve"> </w:t>
      </w:r>
      <w:bookmarkStart w:id="1" w:name="_Hlk47630533"/>
      <w:r>
        <w:t xml:space="preserve">E-mail from </w:t>
      </w:r>
      <w:r w:rsidRPr="00FE7DE3" w:rsidR="00FE7DE3">
        <w:t>Carlos W. L</w:t>
      </w:r>
      <w:r w:rsidR="00EB478C">
        <w:t>ó</w:t>
      </w:r>
      <w:r w:rsidRPr="00FE7DE3" w:rsidR="00FE7DE3">
        <w:t>pez-</w:t>
      </w:r>
      <w:r w:rsidRPr="00FE7DE3" w:rsidR="00FE7DE3">
        <w:t>Freytes</w:t>
      </w:r>
      <w:r w:rsidR="00FE7DE3">
        <w:t xml:space="preserve">, Counsel to </w:t>
      </w:r>
      <w:r w:rsidR="00EB478C">
        <w:t>WiFi</w:t>
      </w:r>
      <w:r w:rsidR="00EB478C">
        <w:t xml:space="preserve"> Services</w:t>
      </w:r>
      <w:r w:rsidR="00FE7DE3">
        <w:t xml:space="preserve">, </w:t>
      </w:r>
      <w:r w:rsidR="00A40B44">
        <w:t xml:space="preserve">to </w:t>
      </w:r>
      <w:r>
        <w:t>Matthew L. Gibson, Senior Field Counsel, Office of the Field Director, FCC Enforcement Bureau (</w:t>
      </w:r>
      <w:r w:rsidR="000C346E">
        <w:t>Jul. 21, 2020 11:</w:t>
      </w:r>
      <w:r w:rsidR="00E52D26">
        <w:t>09</w:t>
      </w:r>
      <w:r w:rsidR="000C346E">
        <w:t xml:space="preserve"> EDT</w:t>
      </w:r>
      <w:r>
        <w:t xml:space="preserve">) (on file in </w:t>
      </w:r>
      <w:r w:rsidR="00A40B44">
        <w:t>EB-FIELDSCR-</w:t>
      </w:r>
      <w:r w:rsidR="00A40B44">
        <w:rPr>
          <w:spacing w:val="-2"/>
        </w:rPr>
        <w:t>19-0002851</w:t>
      </w:r>
      <w:r w:rsidR="002F3A15">
        <w:rPr>
          <w:spacing w:val="-2"/>
        </w:rPr>
        <w:t>4</w:t>
      </w:r>
      <w:r>
        <w:t>) (Supplemental Response).</w:t>
      </w:r>
    </w:p>
    <w:bookmarkEnd w:id="1"/>
  </w:footnote>
  <w:footnote w:id="17">
    <w:p w:rsidR="00C863E5" w:rsidP="00C863E5" w14:paraId="13A7085F" w14:textId="77777777">
      <w:pPr>
        <w:pStyle w:val="FootnoteText"/>
      </w:pPr>
      <w:r>
        <w:rPr>
          <w:rStyle w:val="FootnoteReference"/>
        </w:rPr>
        <w:footnoteRef/>
      </w:r>
      <w:r>
        <w:t xml:space="preserve"> 47 U.S.C. § 503(b).</w:t>
      </w:r>
    </w:p>
  </w:footnote>
  <w:footnote w:id="18">
    <w:p w:rsidR="00C863E5" w:rsidP="00C863E5" w14:paraId="09F8E58E" w14:textId="77777777">
      <w:pPr>
        <w:pStyle w:val="FootnoteText"/>
      </w:pPr>
      <w:r>
        <w:rPr>
          <w:rStyle w:val="FootnoteReference"/>
        </w:rPr>
        <w:footnoteRef/>
      </w:r>
      <w:r>
        <w:t xml:space="preserve"> 47 CFR § 1.80.</w:t>
      </w:r>
    </w:p>
  </w:footnote>
  <w:footnote w:id="19">
    <w:p w:rsidR="00C863E5" w:rsidP="00C863E5" w14:paraId="2C8B1F2D" w14:textId="77777777">
      <w:pPr>
        <w:pStyle w:val="FootnoteText"/>
      </w:pPr>
      <w:r>
        <w:rPr>
          <w:rStyle w:val="FootnoteReference"/>
        </w:rPr>
        <w:footnoteRef/>
      </w:r>
      <w:r>
        <w:t xml:space="preserve"> </w:t>
      </w:r>
      <w:r w:rsidRPr="006841F2">
        <w:rPr>
          <w:i/>
          <w:iCs/>
        </w:rPr>
        <w:t>The Commission’s Forfeiture Policy Statement and Amendment of Section 1.80 of the Rules to Incorporate the Forfeiture Guidelines</w:t>
      </w:r>
      <w:r>
        <w:t>, Report and Order, 12 FCC Rcd 17087 (1997) (</w:t>
      </w:r>
      <w:r w:rsidRPr="006841F2">
        <w:rPr>
          <w:i/>
          <w:iCs/>
        </w:rPr>
        <w:t>Forfeiture Policy Statement</w:t>
      </w:r>
      <w:r>
        <w:t xml:space="preserve">), </w:t>
      </w:r>
      <w:r w:rsidRPr="006841F2">
        <w:rPr>
          <w:i/>
          <w:iCs/>
        </w:rPr>
        <w:t>recons</w:t>
      </w:r>
      <w:r w:rsidRPr="006841F2">
        <w:rPr>
          <w:i/>
          <w:iCs/>
        </w:rPr>
        <w:t xml:space="preserve">. </w:t>
      </w:r>
      <w:r w:rsidRPr="006841F2">
        <w:rPr>
          <w:i/>
          <w:iCs/>
        </w:rPr>
        <w:t>denied</w:t>
      </w:r>
      <w:r>
        <w:t>, Memorandum Opinion and Order, 15 FCC Rcd 303 (1999).</w:t>
      </w:r>
    </w:p>
  </w:footnote>
  <w:footnote w:id="20">
    <w:p w:rsidR="00C863E5" w:rsidP="00C863E5" w14:paraId="7037C9BA" w14:textId="77777777">
      <w:pPr>
        <w:pStyle w:val="FootnoteText"/>
      </w:pPr>
      <w:r>
        <w:rPr>
          <w:rStyle w:val="FootnoteReference"/>
        </w:rPr>
        <w:footnoteRef/>
      </w:r>
      <w:r>
        <w:t xml:space="preserve"> 47 U.S.C. § 503(b)(2)(E).</w:t>
      </w:r>
    </w:p>
  </w:footnote>
  <w:footnote w:id="21">
    <w:p w:rsidR="00D815BE" w:rsidRPr="00D3441B" w:rsidP="00D815BE" w14:paraId="61AABDBB" w14:textId="79FAE696">
      <w:pPr>
        <w:pStyle w:val="FootnoteText"/>
      </w:pPr>
      <w:r>
        <w:rPr>
          <w:rStyle w:val="FootnoteReference"/>
        </w:rPr>
        <w:footnoteRef/>
      </w:r>
      <w:r>
        <w:t xml:space="preserve"> </w:t>
      </w:r>
      <w:r>
        <w:rPr>
          <w:i/>
          <w:iCs/>
        </w:rPr>
        <w:t>See</w:t>
      </w:r>
      <w:r>
        <w:t xml:space="preserve"> 47 U.S.C. § 312(f)(1)</w:t>
      </w:r>
      <w:r w:rsidR="00B442A6">
        <w:t xml:space="preserve"> (defining “willful”)</w:t>
      </w:r>
      <w:r>
        <w:t xml:space="preserve">.  </w:t>
      </w:r>
      <w:r w:rsidRPr="00853A54">
        <w:t xml:space="preserve">The legislative history to </w:t>
      </w:r>
      <w:r>
        <w:t>s</w:t>
      </w:r>
      <w:r w:rsidRPr="00853A54">
        <w:t xml:space="preserve">ection 312(f)(1) of the Act clarifies that this definition of willful applies to both </w:t>
      </w:r>
      <w:r>
        <w:t>s</w:t>
      </w:r>
      <w:r w:rsidRPr="00853A54">
        <w:t xml:space="preserve">ections 312 and 503(b) of the Act, and the Commission has so interpreted the term in the </w:t>
      </w:r>
      <w:r>
        <w:t>s</w:t>
      </w:r>
      <w:r w:rsidRPr="00853A54">
        <w:t>ection 503(b) context.  H.R. Rep. No. 97-765, 97</w:t>
      </w:r>
      <w:r w:rsidRPr="00853A54">
        <w:rPr>
          <w:vertAlign w:val="superscript"/>
        </w:rPr>
        <w:t>th</w:t>
      </w:r>
      <w:r w:rsidRPr="00853A54">
        <w:t xml:space="preserve"> Cong. 2d Sess. 51 (1982) (“This provision [inserted in </w:t>
      </w:r>
      <w:r>
        <w:t>s</w:t>
      </w:r>
      <w:r w:rsidRPr="00853A54">
        <w:t xml:space="preserve">ection 312] defines the terms ‘willful’ </w:t>
      </w:r>
      <w:r>
        <w:t>. . .</w:t>
      </w:r>
      <w:r w:rsidRPr="00853A54">
        <w:t xml:space="preserve"> for purposes of section 312, and for any other relevant section of the act (e.g., Section 503) </w:t>
      </w:r>
      <w:r w:rsidRPr="00853A54">
        <w:t>. . . .</w:t>
      </w:r>
      <w:r w:rsidRPr="00853A54">
        <w:t xml:space="preserve">  As </w:t>
      </w:r>
      <w:r w:rsidRPr="00853A54">
        <w:t>defined[</w:t>
      </w:r>
      <w:r w:rsidRPr="00853A54">
        <w:t xml:space="preserve">,] . . . ‘willful’ means that the licensee knew that he was doing the act in question, regardless of whether there was an intent to violate the law.  The </w:t>
      </w:r>
      <w:r w:rsidRPr="00853A54">
        <w:t>definition</w:t>
      </w:r>
      <w:r>
        <w:t>[</w:t>
      </w:r>
      <w:r>
        <w:t>] [is]</w:t>
      </w:r>
      <w:r w:rsidRPr="00853A54">
        <w:t xml:space="preserve"> intended primarily to clarify the language in Sections 312 and 503, and </w:t>
      </w:r>
      <w:r>
        <w:t xml:space="preserve">[is] </w:t>
      </w:r>
      <w:r w:rsidRPr="00853A54">
        <w:t xml:space="preserve">consistent with the Commission’s application of those terms . . . .”); </w:t>
      </w:r>
      <w:r w:rsidRPr="00853A54">
        <w:rPr>
          <w:i/>
        </w:rPr>
        <w:t>see, e.g.</w:t>
      </w:r>
      <w:r w:rsidRPr="00853A54">
        <w:t>,</w:t>
      </w:r>
      <w:r w:rsidRPr="00853A54">
        <w:rPr>
          <w:i/>
        </w:rPr>
        <w:t xml:space="preserve"> S. Cal. Broad. Co.</w:t>
      </w:r>
      <w:r w:rsidRPr="00853A54">
        <w:t>, Memorandum Opinion and Order, 6 FCC Rcd 4387, 4388, para</w:t>
      </w:r>
      <w:r w:rsidRPr="00853A54">
        <w:t xml:space="preserve">. </w:t>
      </w:r>
      <w:r w:rsidRPr="00853A54">
        <w:t xml:space="preserve">5 (1991), </w:t>
      </w:r>
      <w:r w:rsidRPr="00853A54">
        <w:rPr>
          <w:i/>
        </w:rPr>
        <w:t>recons</w:t>
      </w:r>
      <w:r w:rsidRPr="00853A54">
        <w:rPr>
          <w:i/>
        </w:rPr>
        <w:t xml:space="preserve">. </w:t>
      </w:r>
      <w:r w:rsidRPr="00853A54">
        <w:rPr>
          <w:i/>
        </w:rPr>
        <w:t>denied</w:t>
      </w:r>
      <w:r w:rsidRPr="00853A54">
        <w:t>,</w:t>
      </w:r>
      <w:r w:rsidRPr="00853A54">
        <w:rPr>
          <w:i/>
        </w:rPr>
        <w:t xml:space="preserve"> </w:t>
      </w:r>
      <w:r w:rsidRPr="00853A54">
        <w:t>7 FCC Rcd 3454 (1992).</w:t>
      </w:r>
    </w:p>
  </w:footnote>
  <w:footnote w:id="22">
    <w:p w:rsidR="00216A77" w:rsidRPr="002906D9" w:rsidP="00216A77" w14:paraId="50C191B5" w14:textId="27258327">
      <w:pPr>
        <w:pStyle w:val="FootnoteText"/>
      </w:pPr>
      <w:r>
        <w:rPr>
          <w:rStyle w:val="FootnoteReference"/>
        </w:rPr>
        <w:footnoteRef/>
      </w:r>
      <w:r>
        <w:t xml:space="preserve"> </w:t>
      </w:r>
      <w:r w:rsidR="00514099">
        <w:t xml:space="preserve">47 U.S.C. § 301; 47 CFR §§ 15.1(b), 15.407(h)(2).  </w:t>
      </w:r>
      <w:r w:rsidRPr="00216A77">
        <w:t xml:space="preserve">We need not address </w:t>
      </w:r>
      <w:r w:rsidR="0030150D">
        <w:t>WiFi</w:t>
      </w:r>
      <w:r w:rsidR="0030150D">
        <w:t xml:space="preserve"> Services’</w:t>
      </w:r>
      <w:r w:rsidRPr="00216A77" w:rsidR="0030150D">
        <w:t xml:space="preserve"> </w:t>
      </w:r>
      <w:r w:rsidRPr="00216A77">
        <w:t xml:space="preserve">argument that its conduct was not repeated within the meaning of section 503(b) of the Act, as the </w:t>
      </w:r>
      <w:r w:rsidRPr="00216A77">
        <w:rPr>
          <w:i/>
          <w:iCs/>
        </w:rPr>
        <w:t>Notice</w:t>
      </w:r>
      <w:r w:rsidRPr="00216A77">
        <w:t xml:space="preserve"> did not allege repeated conduct.</w:t>
      </w:r>
      <w:r>
        <w:t xml:space="preserve">  </w:t>
      </w:r>
      <w:r w:rsidR="009C1346">
        <w:rPr>
          <w:i/>
          <w:iCs/>
        </w:rPr>
        <w:t>See Notice</w:t>
      </w:r>
      <w:r>
        <w:t>, 35 FCC Rcd at 3678, para</w:t>
      </w:r>
      <w:r>
        <w:t xml:space="preserve">. </w:t>
      </w:r>
      <w:r>
        <w:t>16 (</w:t>
      </w:r>
      <w:r w:rsidR="00992258">
        <w:t>“</w:t>
      </w:r>
      <w:r w:rsidRPr="002033A0">
        <w:t>WiFi</w:t>
      </w:r>
      <w:r w:rsidRPr="002033A0">
        <w:t xml:space="preserve"> Services Caribbean, Inc. is hereby NOTIFIED of this APPARENT LIABILITY FOR A FORFEITURE </w:t>
      </w:r>
      <w:r>
        <w:t xml:space="preserve">. . . </w:t>
      </w:r>
      <w:r w:rsidRPr="002033A0">
        <w:t>for willful violations of section 301 of the Act and sections 15.1(b) and 15.407(h)(2) of the Commission’s rules.</w:t>
      </w:r>
      <w:r>
        <w:t xml:space="preserve">”). </w:t>
      </w:r>
    </w:p>
  </w:footnote>
  <w:footnote w:id="23">
    <w:p w:rsidR="00514099" w:rsidRPr="00514099" w14:paraId="1C1E76E7" w14:textId="08CDADA5">
      <w:pPr>
        <w:pStyle w:val="FootnoteText"/>
      </w:pPr>
      <w:r>
        <w:rPr>
          <w:rStyle w:val="FootnoteReference"/>
        </w:rPr>
        <w:footnoteRef/>
      </w:r>
      <w:r>
        <w:t xml:space="preserve"> </w:t>
      </w:r>
      <w:r>
        <w:rPr>
          <w:i/>
          <w:iCs/>
        </w:rPr>
        <w:t>See</w:t>
      </w:r>
      <w:r>
        <w:t xml:space="preserve"> </w:t>
      </w:r>
      <w:r>
        <w:rPr>
          <w:i/>
          <w:iCs/>
        </w:rPr>
        <w:t>Notice</w:t>
      </w:r>
      <w:r>
        <w:t>, 35 FCC Rcd at 3677, para</w:t>
      </w:r>
      <w:r>
        <w:t xml:space="preserve">. </w:t>
      </w:r>
      <w:r>
        <w:t>12.</w:t>
      </w:r>
    </w:p>
  </w:footnote>
  <w:footnote w:id="24">
    <w:p w:rsidR="006E60A4" w:rsidRPr="006E60A4" w14:paraId="5187E3B0" w14:textId="671EBC5D">
      <w:pPr>
        <w:pStyle w:val="FootnoteText"/>
      </w:pPr>
      <w:r>
        <w:rPr>
          <w:rStyle w:val="FootnoteReference"/>
        </w:rPr>
        <w:footnoteRef/>
      </w:r>
      <w:r>
        <w:t xml:space="preserve"> </w:t>
      </w:r>
      <w:r w:rsidR="00514099">
        <w:rPr>
          <w:i/>
          <w:iCs/>
        </w:rPr>
        <w:t>Id.</w:t>
      </w:r>
      <w:r>
        <w:t xml:space="preserve">, </w:t>
      </w:r>
      <w:r w:rsidR="005E0760">
        <w:t>35</w:t>
      </w:r>
      <w:r>
        <w:t xml:space="preserve"> FCC Rcd at</w:t>
      </w:r>
      <w:r w:rsidR="00402BC9">
        <w:t xml:space="preserve"> 3678</w:t>
      </w:r>
      <w:r>
        <w:t>, para</w:t>
      </w:r>
      <w:r>
        <w:t xml:space="preserve">. </w:t>
      </w:r>
      <w:r w:rsidR="00402BC9">
        <w:t>13</w:t>
      </w:r>
      <w:r>
        <w:t xml:space="preserve">. </w:t>
      </w:r>
    </w:p>
  </w:footnote>
  <w:footnote w:id="25">
    <w:p w:rsidR="006218D3" w14:paraId="23A791A9" w14:textId="0A1175B0">
      <w:pPr>
        <w:pStyle w:val="FootnoteText"/>
      </w:pPr>
      <w:r>
        <w:rPr>
          <w:rStyle w:val="FootnoteReference"/>
        </w:rPr>
        <w:footnoteRef/>
      </w:r>
      <w:r>
        <w:t xml:space="preserve"> Response at </w:t>
      </w:r>
      <w:r w:rsidR="007B1660">
        <w:t>2.</w:t>
      </w:r>
    </w:p>
  </w:footnote>
  <w:footnote w:id="26">
    <w:p w:rsidR="00A3652B" w:rsidRPr="00F157A8" w:rsidP="00A3652B" w14:paraId="627A2F6E" w14:textId="00F8CD8E">
      <w:pPr>
        <w:pStyle w:val="FootnoteText"/>
      </w:pPr>
      <w:r>
        <w:rPr>
          <w:rStyle w:val="FootnoteReference"/>
        </w:rPr>
        <w:footnoteRef/>
      </w:r>
      <w:r>
        <w:t xml:space="preserve"> The portion of the Response arguing for the cancellation of the upward adjustment is based on </w:t>
      </w:r>
      <w:r w:rsidR="00DE1D87">
        <w:t>WiFi</w:t>
      </w:r>
      <w:r w:rsidR="00DE1D87">
        <w:t xml:space="preserve"> Services’ </w:t>
      </w:r>
      <w:r>
        <w:t xml:space="preserve">interpretation of the meaning of “willful” under the Act.  </w:t>
      </w:r>
      <w:r>
        <w:rPr>
          <w:i/>
          <w:iCs/>
        </w:rPr>
        <w:t xml:space="preserve">See </w:t>
      </w:r>
      <w:r>
        <w:t xml:space="preserve">Response at 8.  The Response, however, also asserts facts that pertain to our upward adjustment </w:t>
      </w:r>
      <w:r>
        <w:t>analysis</w:t>
      </w:r>
      <w:r>
        <w:t xml:space="preserve"> but which were not known to the Bureau at the time of issuing the </w:t>
      </w:r>
      <w:r>
        <w:rPr>
          <w:i/>
          <w:iCs/>
        </w:rPr>
        <w:t>Notice</w:t>
      </w:r>
      <w:r>
        <w:t xml:space="preserve">.  Our cancellation of the upward adjustment is based solely upon </w:t>
      </w:r>
      <w:r w:rsidR="00E37C04">
        <w:t>WiFi</w:t>
      </w:r>
      <w:r w:rsidR="00E37C04">
        <w:t xml:space="preserve"> Services’ </w:t>
      </w:r>
      <w:r>
        <w:t xml:space="preserve">clarification of the factual record and not upon </w:t>
      </w:r>
      <w:r w:rsidR="00DE1D87">
        <w:t>WiFi</w:t>
      </w:r>
      <w:r w:rsidR="00DE1D87">
        <w:t xml:space="preserve"> Services’ </w:t>
      </w:r>
      <w:r>
        <w:t>legal argument, which we reject for the same reasons set forth in paragraph</w:t>
      </w:r>
      <w:r w:rsidR="00050B52">
        <w:t xml:space="preserve"> </w:t>
      </w:r>
      <w:r w:rsidR="00050B52">
        <w:fldChar w:fldCharType="begin"/>
      </w:r>
      <w:r w:rsidR="00050B52">
        <w:instrText xml:space="preserve"> REF _Ref47688247 \r \h </w:instrText>
      </w:r>
      <w:r w:rsidR="00050B52">
        <w:fldChar w:fldCharType="separate"/>
      </w:r>
      <w:r w:rsidR="00050B52">
        <w:t>6</w:t>
      </w:r>
      <w:r w:rsidR="00050B52">
        <w:fldChar w:fldCharType="end"/>
      </w:r>
      <w:r>
        <w:t xml:space="preserve">, </w:t>
      </w:r>
      <w:r>
        <w:rPr>
          <w:i/>
          <w:iCs/>
        </w:rPr>
        <w:t>supra</w:t>
      </w:r>
      <w:r>
        <w:t xml:space="preserve">.  </w:t>
      </w:r>
    </w:p>
  </w:footnote>
  <w:footnote w:id="27">
    <w:p w:rsidR="008E080F" w:rsidRPr="008C68E7" w:rsidP="008E080F" w14:paraId="3F6A20C0" w14:textId="77777777">
      <w:pPr>
        <w:pStyle w:val="FootnoteText"/>
      </w:pPr>
      <w:r>
        <w:rPr>
          <w:rStyle w:val="FootnoteReference"/>
        </w:rPr>
        <w:footnoteRef/>
      </w:r>
      <w:r>
        <w:t xml:space="preserve"> </w:t>
      </w:r>
      <w:r>
        <w:rPr>
          <w:i/>
          <w:iCs/>
        </w:rPr>
        <w:t>See</w:t>
      </w:r>
      <w:r>
        <w:t xml:space="preserve"> </w:t>
      </w:r>
      <w:r>
        <w:rPr>
          <w:i/>
          <w:iCs/>
        </w:rPr>
        <w:t>Broadband Telecommunications Network Corp.</w:t>
      </w:r>
      <w:r>
        <w:t>, Forfeiture Order 35 FCC Rcd 1552, 1554-55, para</w:t>
      </w:r>
      <w:r>
        <w:t xml:space="preserve">. </w:t>
      </w:r>
      <w:r>
        <w:t xml:space="preserve">7 (EB 2020), </w:t>
      </w:r>
      <w:r>
        <w:rPr>
          <w:i/>
          <w:iCs/>
        </w:rPr>
        <w:t>citing</w:t>
      </w:r>
      <w:r>
        <w:t xml:space="preserve"> </w:t>
      </w:r>
      <w:r w:rsidRPr="00845179">
        <w:rPr>
          <w:i/>
          <w:iCs/>
        </w:rPr>
        <w:t>Coleman Enterprises, Inc., d/b/a Local Long Distance, Inc.,</w:t>
      </w:r>
      <w:r w:rsidRPr="00845179">
        <w:t xml:space="preserve"> Order of Forfeiture, 15 FCC Rcd 24385, 24389, para</w:t>
      </w:r>
      <w:r w:rsidRPr="00845179">
        <w:t xml:space="preserve">. </w:t>
      </w:r>
      <w:r w:rsidRPr="00845179">
        <w:t>11 (2000)</w:t>
      </w:r>
      <w:r>
        <w:t xml:space="preserve"> (reducing forfeiture to 7.9% of the company’s gross revenues), </w:t>
      </w:r>
      <w:r>
        <w:rPr>
          <w:i/>
          <w:iCs/>
        </w:rPr>
        <w:t>recons</w:t>
      </w:r>
      <w:r>
        <w:rPr>
          <w:i/>
          <w:iCs/>
        </w:rPr>
        <w:t xml:space="preserve">. </w:t>
      </w:r>
      <w:r>
        <w:rPr>
          <w:i/>
          <w:iCs/>
        </w:rPr>
        <w:t>denied</w:t>
      </w:r>
      <w:r>
        <w:t xml:space="preserve">, </w:t>
      </w:r>
      <w:r w:rsidRPr="005307ED">
        <w:t>16 FCC Rcd 10016</w:t>
      </w:r>
      <w:r>
        <w:t xml:space="preserve"> (2001). </w:t>
      </w:r>
    </w:p>
  </w:footnote>
  <w:footnote w:id="28">
    <w:p w:rsidR="008E080F" w:rsidRPr="00D04F90" w:rsidP="008E080F" w14:paraId="79904071" w14:textId="7B415D9A">
      <w:pPr>
        <w:pStyle w:val="FootnoteText"/>
      </w:pPr>
      <w:r>
        <w:rPr>
          <w:rStyle w:val="FootnoteReference"/>
        </w:rPr>
        <w:footnoteRef/>
      </w:r>
      <w:r>
        <w:t xml:space="preserve"> </w:t>
      </w:r>
      <w:r>
        <w:rPr>
          <w:i/>
          <w:iCs/>
        </w:rPr>
        <w:t>See supra</w:t>
      </w:r>
      <w:r>
        <w:t xml:space="preserve"> para</w:t>
      </w:r>
      <w:r>
        <w:t>.</w:t>
      </w:r>
      <w:r w:rsidR="00050B52">
        <w:t xml:space="preserve"> </w:t>
      </w:r>
      <w:r w:rsidR="00050B52">
        <w:fldChar w:fldCharType="begin"/>
      </w:r>
      <w:r w:rsidR="00050B52">
        <w:instrText xml:space="preserve"> REF _Ref49858917 \r \h </w:instrText>
      </w:r>
      <w:r w:rsidR="00050B52">
        <w:fldChar w:fldCharType="separate"/>
      </w:r>
      <w:r w:rsidR="00050B52">
        <w:t>7</w:t>
      </w:r>
      <w:r w:rsidR="00050B52">
        <w:fldChar w:fldCharType="end"/>
      </w:r>
      <w:r>
        <w:t>.</w:t>
      </w:r>
    </w:p>
  </w:footnote>
  <w:footnote w:id="29">
    <w:p w:rsidR="00934577" w14:paraId="5397E972" w14:textId="50BE42CC">
      <w:pPr>
        <w:pStyle w:val="FootnoteText"/>
      </w:pPr>
      <w:r>
        <w:rPr>
          <w:rStyle w:val="FootnoteReference"/>
        </w:rPr>
        <w:footnoteRef/>
      </w:r>
      <w:r>
        <w:t xml:space="preserve"> </w:t>
      </w:r>
      <w:r w:rsidR="00DD6F15">
        <w:t xml:space="preserve">Response at </w:t>
      </w:r>
      <w:r w:rsidR="00911307">
        <w:t>9.</w:t>
      </w:r>
    </w:p>
  </w:footnote>
  <w:footnote w:id="30">
    <w:p w:rsidR="008E059F" w:rsidRPr="003E1758" w14:paraId="6E04A115" w14:textId="4BE44A0F">
      <w:pPr>
        <w:pStyle w:val="FootnoteText"/>
      </w:pPr>
      <w:r>
        <w:rPr>
          <w:rStyle w:val="FootnoteReference"/>
        </w:rPr>
        <w:footnoteRef/>
      </w:r>
      <w:r>
        <w:t xml:space="preserve"> </w:t>
      </w:r>
      <w:r w:rsidR="003E1758">
        <w:rPr>
          <w:i/>
          <w:iCs/>
        </w:rPr>
        <w:t>Care Broadcasting, Inc.</w:t>
      </w:r>
      <w:r w:rsidR="003E1758">
        <w:t xml:space="preserve">, </w:t>
      </w:r>
      <w:r w:rsidR="00A02502">
        <w:t>Forfeiture Order, 25 FCC Rcd 1411 (MB 2010)</w:t>
      </w:r>
      <w:r w:rsidR="000E257D">
        <w:t>.</w:t>
      </w:r>
    </w:p>
  </w:footnote>
  <w:footnote w:id="31">
    <w:p w:rsidR="008E059F" w:rsidRPr="002A25DA" w14:paraId="74F9AD0D" w14:textId="28EF9CAA">
      <w:pPr>
        <w:pStyle w:val="FootnoteText"/>
      </w:pPr>
      <w:r>
        <w:rPr>
          <w:rStyle w:val="FootnoteReference"/>
        </w:rPr>
        <w:footnoteRef/>
      </w:r>
      <w:r>
        <w:t xml:space="preserve"> </w:t>
      </w:r>
      <w:r w:rsidR="002A25DA">
        <w:rPr>
          <w:i/>
          <w:iCs/>
        </w:rPr>
        <w:t>PJ</w:t>
      </w:r>
      <w:r w:rsidR="002136A4">
        <w:rPr>
          <w:i/>
          <w:iCs/>
        </w:rPr>
        <w:t>B</w:t>
      </w:r>
      <w:r w:rsidR="002A25DA">
        <w:rPr>
          <w:i/>
          <w:iCs/>
        </w:rPr>
        <w:t xml:space="preserve"> Communications</w:t>
      </w:r>
      <w:r w:rsidR="00F22C3F">
        <w:rPr>
          <w:i/>
          <w:iCs/>
        </w:rPr>
        <w:t xml:space="preserve"> of Virginia, Inc.</w:t>
      </w:r>
      <w:r w:rsidR="002A25DA">
        <w:t xml:space="preserve">, Memorandum Opinion and Order, 7 FCC Rcd </w:t>
      </w:r>
      <w:r w:rsidR="00655041">
        <w:t>2088 (1992).</w:t>
      </w:r>
    </w:p>
  </w:footnote>
  <w:footnote w:id="32">
    <w:p w:rsidR="00B72993" w:rsidRPr="0044266B" w14:paraId="4D5A0C98" w14:textId="35C2ADAA">
      <w:pPr>
        <w:pStyle w:val="FootnoteText"/>
      </w:pPr>
      <w:r>
        <w:rPr>
          <w:rStyle w:val="FootnoteReference"/>
        </w:rPr>
        <w:footnoteRef/>
      </w:r>
      <w:r>
        <w:t xml:space="preserve"> </w:t>
      </w:r>
      <w:r w:rsidR="00771384">
        <w:rPr>
          <w:i/>
          <w:iCs/>
        </w:rPr>
        <w:t>Care Broadcasting</w:t>
      </w:r>
      <w:r w:rsidR="00771384">
        <w:t>, 25 FCC Rcd at 1413</w:t>
      </w:r>
      <w:r w:rsidR="0044266B">
        <w:t>, para</w:t>
      </w:r>
      <w:r w:rsidR="0044266B">
        <w:t xml:space="preserve">. </w:t>
      </w:r>
      <w:r w:rsidR="0044266B">
        <w:t xml:space="preserve">9 (noting that “the Enforcement Bureau </w:t>
      </w:r>
      <w:r w:rsidRPr="000E257D" w:rsidR="0044266B">
        <w:t>has found that a forfeiture as high as 7.9 percent of the violator's gross revenue was not excessive despite claims of financial hardship</w:t>
      </w:r>
      <w:r w:rsidR="0044266B">
        <w:t>”).</w:t>
      </w:r>
    </w:p>
  </w:footnote>
  <w:footnote w:id="33">
    <w:p w:rsidR="002A25DA" w14:paraId="685616BA" w14:textId="13934263">
      <w:pPr>
        <w:pStyle w:val="FootnoteText"/>
      </w:pPr>
      <w:r>
        <w:rPr>
          <w:rStyle w:val="FootnoteReference"/>
        </w:rPr>
        <w:footnoteRef/>
      </w:r>
      <w:r>
        <w:t xml:space="preserve"> </w:t>
      </w:r>
      <w:r w:rsidRPr="00F22C3F">
        <w:rPr>
          <w:i/>
          <w:iCs/>
        </w:rPr>
        <w:t>PJ</w:t>
      </w:r>
      <w:r w:rsidR="00B60B23">
        <w:rPr>
          <w:i/>
          <w:iCs/>
        </w:rPr>
        <w:t>B</w:t>
      </w:r>
      <w:r w:rsidRPr="00F22C3F">
        <w:rPr>
          <w:i/>
          <w:iCs/>
        </w:rPr>
        <w:t xml:space="preserve"> Communications</w:t>
      </w:r>
      <w:r w:rsidR="00F22C3F">
        <w:t>, 7 FCC Rcd at 2089, para</w:t>
      </w:r>
      <w:r w:rsidR="00F22C3F">
        <w:t xml:space="preserve">. </w:t>
      </w:r>
      <w:r w:rsidR="00F22C3F">
        <w:t>9.</w:t>
      </w:r>
    </w:p>
  </w:footnote>
  <w:footnote w:id="34">
    <w:p w:rsidR="007F0A1C" w:rsidRPr="0044266B" w:rsidP="007F0A1C" w14:paraId="7211632A" w14:textId="3D9F3942">
      <w:pPr>
        <w:pStyle w:val="FootnoteText"/>
      </w:pPr>
      <w:r>
        <w:rPr>
          <w:rStyle w:val="FootnoteReference"/>
        </w:rPr>
        <w:footnoteRef/>
      </w:r>
      <w:r>
        <w:t xml:space="preserve"> </w:t>
      </w:r>
      <w:r>
        <w:rPr>
          <w:i/>
          <w:iCs/>
        </w:rPr>
        <w:t xml:space="preserve">See supra </w:t>
      </w:r>
      <w:r>
        <w:t>note</w:t>
      </w:r>
      <w:r w:rsidR="00FE545D">
        <w:t xml:space="preserve"> </w:t>
      </w:r>
      <w:r w:rsidR="005E7F0D">
        <w:fldChar w:fldCharType="begin"/>
      </w:r>
      <w:r w:rsidR="005E7F0D">
        <w:instrText xml:space="preserve"> NOTEREF _Ref47690329 \h </w:instrText>
      </w:r>
      <w:r w:rsidR="005E7F0D">
        <w:fldChar w:fldCharType="separate"/>
      </w:r>
      <w:r w:rsidR="005E7F0D">
        <w:t>31</w:t>
      </w:r>
      <w:r w:rsidR="005E7F0D">
        <w:fldChar w:fldCharType="end"/>
      </w:r>
      <w:r>
        <w:t>.</w:t>
      </w:r>
    </w:p>
  </w:footnote>
  <w:footnote w:id="35">
    <w:p w:rsidR="00797664" w:rsidP="00797664" w14:paraId="31021000" w14:textId="77777777">
      <w:pPr>
        <w:pStyle w:val="FootnoteText"/>
      </w:pPr>
      <w:r>
        <w:rPr>
          <w:rStyle w:val="FootnoteReference"/>
        </w:rPr>
        <w:footnoteRef/>
      </w:r>
      <w:r>
        <w:t xml:space="preserve"> A</w:t>
      </w:r>
      <w:r w:rsidRPr="00D87E6F">
        <w:t xml:space="preserve">ny entity that is a “Small Business Concern” as defined in the Small Business Act (Pub. L. 85-536, as amended) may avail itself of rights set forth in that Act, including rights set forth in 15 U.S.C. </w:t>
      </w:r>
      <w:r w:rsidRPr="00F14821">
        <w:t>§</w:t>
      </w:r>
      <w:r w:rsidRPr="00D87E6F">
        <w:t xml:space="preserve"> 657, “Oversight of Regulatory Enforcement,” in addition to other rights set forth herein.</w:t>
      </w:r>
    </w:p>
  </w:footnote>
  <w:footnote w:id="36">
    <w:p w:rsidR="00F25CBC" w:rsidRPr="00344C0B" w:rsidP="00F25CBC" w14:paraId="6DBDDD36" w14:textId="77777777">
      <w:pPr>
        <w:pStyle w:val="FootnoteText"/>
      </w:pPr>
      <w:r w:rsidRPr="00344C0B">
        <w:rPr>
          <w:rStyle w:val="FootnoteReference"/>
        </w:rPr>
        <w:footnoteRef/>
      </w:r>
      <w:r w:rsidRPr="00344C0B">
        <w:t xml:space="preserve"> 47 U.S.C. § 503(b).</w:t>
      </w:r>
    </w:p>
  </w:footnote>
  <w:footnote w:id="37">
    <w:p w:rsidR="00F25CBC" w:rsidRPr="00344C0B" w:rsidP="00F25CBC" w14:paraId="27DC3FEE" w14:textId="77777777">
      <w:pPr>
        <w:pStyle w:val="FootnoteText"/>
      </w:pPr>
      <w:r w:rsidRPr="00344C0B">
        <w:rPr>
          <w:rStyle w:val="FootnoteReference"/>
        </w:rPr>
        <w:footnoteRef/>
      </w:r>
      <w:r w:rsidRPr="00344C0B">
        <w:t xml:space="preserve"> 47 CFR § 1.80.</w:t>
      </w:r>
    </w:p>
  </w:footnote>
  <w:footnote w:id="38">
    <w:p w:rsidR="00AB617F" w14:paraId="48465187" w14:textId="16DBA9C6">
      <w:pPr>
        <w:pStyle w:val="FootnoteText"/>
      </w:pPr>
      <w:r>
        <w:rPr>
          <w:rStyle w:val="FootnoteReference"/>
        </w:rPr>
        <w:footnoteRef/>
      </w:r>
      <w:r>
        <w:t xml:space="preserve"> </w:t>
      </w:r>
      <w:r w:rsidR="006E391C">
        <w:t>47 U.S.C. § 301.</w:t>
      </w:r>
    </w:p>
  </w:footnote>
  <w:footnote w:id="39">
    <w:p w:rsidR="00AB617F" w14:paraId="7A6B2790" w14:textId="0F15D180">
      <w:pPr>
        <w:pStyle w:val="FootnoteText"/>
      </w:pPr>
      <w:r>
        <w:rPr>
          <w:rStyle w:val="FootnoteReference"/>
        </w:rPr>
        <w:footnoteRef/>
      </w:r>
      <w:r>
        <w:t xml:space="preserve"> </w:t>
      </w:r>
      <w:r w:rsidR="006E391C">
        <w:t>47 CFR §§ 15.1(b), 15.407(h)(2).</w:t>
      </w:r>
    </w:p>
  </w:footnote>
  <w:footnote w:id="40">
    <w:p w:rsidR="00F25CBC" w:rsidRPr="00AA7C6E" w:rsidP="00F25CBC" w14:paraId="478D42BC" w14:textId="21233FFC">
      <w:pPr>
        <w:pStyle w:val="FootnoteText"/>
        <w:rPr>
          <w:iCs/>
        </w:rPr>
      </w:pPr>
      <w:r w:rsidRPr="00344C0B">
        <w:rPr>
          <w:rStyle w:val="FootnoteReference"/>
        </w:rPr>
        <w:footnoteRef/>
      </w:r>
      <w:r w:rsidRPr="00344C0B">
        <w:t xml:space="preserve"> </w:t>
      </w:r>
      <w:r w:rsidR="00AA7C6E">
        <w:rPr>
          <w:iCs/>
        </w:rPr>
        <w:t>47 CFR § 1.80.</w:t>
      </w:r>
    </w:p>
  </w:footnote>
  <w:footnote w:id="41">
    <w:p w:rsidR="00F25CBC" w:rsidRPr="00344C0B" w:rsidP="00F25CBC" w14:paraId="114605C2" w14:textId="77777777">
      <w:pPr>
        <w:pStyle w:val="FootnoteText"/>
      </w:pPr>
      <w:r w:rsidRPr="00344C0B">
        <w:rPr>
          <w:rStyle w:val="FootnoteReference"/>
        </w:rPr>
        <w:footnoteRef/>
      </w:r>
      <w:r w:rsidRPr="00344C0B">
        <w:t xml:space="preserve"> 47 U.S.C. § 504(a).</w:t>
      </w:r>
    </w:p>
  </w:footnote>
  <w:footnote w:id="42">
    <w:p w:rsidR="00F25CBC" w:rsidRPr="005476AB" w:rsidP="00F25CBC" w14:paraId="4657A6B0"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43">
    <w:p w:rsidR="00F25CBC" w:rsidRPr="005476AB" w:rsidP="00F25CBC" w14:paraId="2BA28528" w14:textId="2595C11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2" w:history="1">
        <w:r w:rsidRPr="006F493A" w:rsidR="00DB28A8">
          <w:rPr>
            <w:rStyle w:val="Hyperlink"/>
          </w:rPr>
          <w:t>ARINQUIRIES@fcc.gov</w:t>
        </w:r>
      </w:hyperlink>
      <w:r w:rsidRPr="005476AB">
        <w:t>.</w:t>
      </w:r>
    </w:p>
  </w:footnote>
  <w:footnote w:id="44">
    <w:p w:rsidR="00F25CBC" w:rsidRPr="0030738C" w:rsidP="00F25CBC" w14:paraId="14DB137F" w14:textId="77777777">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4255CA" w14:textId="5746DBEA">
    <w:pPr>
      <w:pStyle w:val="Header"/>
      <w:rPr>
        <w:b w:val="0"/>
      </w:rPr>
    </w:pPr>
    <w:r>
      <w:tab/>
      <w:t>Federal Communications Commission</w:t>
    </w:r>
    <w:r>
      <w:tab/>
    </w:r>
    <w:r w:rsidR="00A9309C">
      <w:t>DA 20-</w:t>
    </w:r>
    <w:r w:rsidR="00D4351A">
      <w:t>1246</w:t>
    </w:r>
  </w:p>
  <w:p w:rsidR="00D25FB5" w14:paraId="30E21474" w14:textId="4C91424D">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rPr>
        <w:noProof/>
      </w:rPr>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w:r>
  </w:p>
  <w:p w:rsidR="00D25FB5" w14:paraId="6C37797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BAAD4F" w14:textId="22E97A87">
    <w:pPr>
      <w:pStyle w:val="Header"/>
      <w:rPr>
        <w:b w:val="0"/>
      </w:rP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rPr>
        <w:noProof/>
      </w:rPr>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v:path arrowok="t"/>
          <w10:wrap anchorx="margin"/>
        </v:rect>
      </w:pict>
    </w:r>
    <w:r>
      <w:tab/>
      <w:t>Federal Communications Commission</w:t>
    </w:r>
    <w:r>
      <w:tab/>
    </w:r>
    <w:r w:rsidR="00155B83">
      <w:rPr>
        <w:spacing w:val="-2"/>
      </w:rPr>
      <w:t>DA 20-</w:t>
    </w:r>
    <w:r w:rsidR="00D4351A">
      <w:rPr>
        <w:spacing w:val="-2"/>
      </w:rPr>
      <w:t>1246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BBF3A2B"/>
    <w:multiLevelType w:val="hybridMultilevel"/>
    <w:tmpl w:val="F99690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6"/>
  </w:num>
  <w:num w:numId="9">
    <w:abstractNumId w:val="7"/>
    <w:lvlOverride w:ilvl="0">
      <w:startOverride w:val="1"/>
    </w:lvlOverride>
  </w:num>
  <w:num w:numId="10">
    <w:abstractNumId w:val="7"/>
  </w:num>
  <w:num w:numId="11">
    <w:abstractNumId w:val="7"/>
    <w:lvlOverride w:ilvl="0">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F4"/>
    <w:rsid w:val="000002F8"/>
    <w:rsid w:val="00006841"/>
    <w:rsid w:val="00007D62"/>
    <w:rsid w:val="00012541"/>
    <w:rsid w:val="000179E5"/>
    <w:rsid w:val="00024DFF"/>
    <w:rsid w:val="00030B1F"/>
    <w:rsid w:val="00036039"/>
    <w:rsid w:val="00037F90"/>
    <w:rsid w:val="00050B52"/>
    <w:rsid w:val="00052AA6"/>
    <w:rsid w:val="00053C6D"/>
    <w:rsid w:val="000674BD"/>
    <w:rsid w:val="0007236F"/>
    <w:rsid w:val="00074832"/>
    <w:rsid w:val="0007571D"/>
    <w:rsid w:val="000875BF"/>
    <w:rsid w:val="00096D8C"/>
    <w:rsid w:val="000C0B65"/>
    <w:rsid w:val="000C346E"/>
    <w:rsid w:val="000C38C9"/>
    <w:rsid w:val="000C7F71"/>
    <w:rsid w:val="000D4CE8"/>
    <w:rsid w:val="000E05FE"/>
    <w:rsid w:val="000E257D"/>
    <w:rsid w:val="000E2C7D"/>
    <w:rsid w:val="000E3D42"/>
    <w:rsid w:val="00122336"/>
    <w:rsid w:val="00122BD5"/>
    <w:rsid w:val="0012350F"/>
    <w:rsid w:val="00124A86"/>
    <w:rsid w:val="00133F79"/>
    <w:rsid w:val="00150905"/>
    <w:rsid w:val="00152621"/>
    <w:rsid w:val="00155B83"/>
    <w:rsid w:val="001655AA"/>
    <w:rsid w:val="00185915"/>
    <w:rsid w:val="00194A66"/>
    <w:rsid w:val="00195D75"/>
    <w:rsid w:val="00196A97"/>
    <w:rsid w:val="001A08CC"/>
    <w:rsid w:val="001B02E7"/>
    <w:rsid w:val="001B1704"/>
    <w:rsid w:val="001B2245"/>
    <w:rsid w:val="001D6BCF"/>
    <w:rsid w:val="001E01CA"/>
    <w:rsid w:val="001E5432"/>
    <w:rsid w:val="002033A0"/>
    <w:rsid w:val="002136A4"/>
    <w:rsid w:val="00216A77"/>
    <w:rsid w:val="00234B40"/>
    <w:rsid w:val="00251634"/>
    <w:rsid w:val="00252A24"/>
    <w:rsid w:val="00253971"/>
    <w:rsid w:val="002670C4"/>
    <w:rsid w:val="00270984"/>
    <w:rsid w:val="00275CF5"/>
    <w:rsid w:val="00281F2C"/>
    <w:rsid w:val="0028301F"/>
    <w:rsid w:val="00285017"/>
    <w:rsid w:val="002906D9"/>
    <w:rsid w:val="002A1A1E"/>
    <w:rsid w:val="002A25DA"/>
    <w:rsid w:val="002A2D2E"/>
    <w:rsid w:val="002A3277"/>
    <w:rsid w:val="002C00E8"/>
    <w:rsid w:val="002C6529"/>
    <w:rsid w:val="002D64F6"/>
    <w:rsid w:val="002E145F"/>
    <w:rsid w:val="002E6E98"/>
    <w:rsid w:val="002F3A15"/>
    <w:rsid w:val="002F48DF"/>
    <w:rsid w:val="0030150D"/>
    <w:rsid w:val="00303667"/>
    <w:rsid w:val="003039B0"/>
    <w:rsid w:val="0030738C"/>
    <w:rsid w:val="00314D1F"/>
    <w:rsid w:val="00322F6F"/>
    <w:rsid w:val="00325AB2"/>
    <w:rsid w:val="00343749"/>
    <w:rsid w:val="00344C0B"/>
    <w:rsid w:val="00363AA7"/>
    <w:rsid w:val="003660ED"/>
    <w:rsid w:val="00367DC9"/>
    <w:rsid w:val="00373669"/>
    <w:rsid w:val="00395F5B"/>
    <w:rsid w:val="003A42EF"/>
    <w:rsid w:val="003B0550"/>
    <w:rsid w:val="003B189A"/>
    <w:rsid w:val="003B694F"/>
    <w:rsid w:val="003C6B0F"/>
    <w:rsid w:val="003C6EC6"/>
    <w:rsid w:val="003D470F"/>
    <w:rsid w:val="003D4DED"/>
    <w:rsid w:val="003D5466"/>
    <w:rsid w:val="003E1758"/>
    <w:rsid w:val="003E7FF1"/>
    <w:rsid w:val="003F16EF"/>
    <w:rsid w:val="003F171C"/>
    <w:rsid w:val="003F2401"/>
    <w:rsid w:val="00402BC9"/>
    <w:rsid w:val="00405C32"/>
    <w:rsid w:val="00412FC5"/>
    <w:rsid w:val="00413141"/>
    <w:rsid w:val="004141AB"/>
    <w:rsid w:val="00422276"/>
    <w:rsid w:val="004242F1"/>
    <w:rsid w:val="00435053"/>
    <w:rsid w:val="00437761"/>
    <w:rsid w:val="0044266B"/>
    <w:rsid w:val="00443EA3"/>
    <w:rsid w:val="00445A00"/>
    <w:rsid w:val="00447612"/>
    <w:rsid w:val="00451B0F"/>
    <w:rsid w:val="00452C74"/>
    <w:rsid w:val="0045788D"/>
    <w:rsid w:val="004608C6"/>
    <w:rsid w:val="004636A0"/>
    <w:rsid w:val="004749BE"/>
    <w:rsid w:val="004827BF"/>
    <w:rsid w:val="00484F4F"/>
    <w:rsid w:val="00486AE9"/>
    <w:rsid w:val="004A0CCF"/>
    <w:rsid w:val="004A42E3"/>
    <w:rsid w:val="004B3512"/>
    <w:rsid w:val="004C0DBC"/>
    <w:rsid w:val="004C2EE3"/>
    <w:rsid w:val="004E1041"/>
    <w:rsid w:val="004E1EF5"/>
    <w:rsid w:val="004E3535"/>
    <w:rsid w:val="004E4A22"/>
    <w:rsid w:val="004F6079"/>
    <w:rsid w:val="0051146A"/>
    <w:rsid w:val="00511968"/>
    <w:rsid w:val="00514099"/>
    <w:rsid w:val="00515ED3"/>
    <w:rsid w:val="00516735"/>
    <w:rsid w:val="00526557"/>
    <w:rsid w:val="005307ED"/>
    <w:rsid w:val="00531A30"/>
    <w:rsid w:val="00532AEF"/>
    <w:rsid w:val="0054381D"/>
    <w:rsid w:val="00545759"/>
    <w:rsid w:val="005476AB"/>
    <w:rsid w:val="0055614C"/>
    <w:rsid w:val="0056507F"/>
    <w:rsid w:val="00566D06"/>
    <w:rsid w:val="00581A33"/>
    <w:rsid w:val="00582101"/>
    <w:rsid w:val="00582472"/>
    <w:rsid w:val="00586715"/>
    <w:rsid w:val="005901F8"/>
    <w:rsid w:val="0059555E"/>
    <w:rsid w:val="005A02A9"/>
    <w:rsid w:val="005B6C13"/>
    <w:rsid w:val="005B6E13"/>
    <w:rsid w:val="005C10E6"/>
    <w:rsid w:val="005C7657"/>
    <w:rsid w:val="005C7B51"/>
    <w:rsid w:val="005D32F6"/>
    <w:rsid w:val="005D715A"/>
    <w:rsid w:val="005E0760"/>
    <w:rsid w:val="005E14C2"/>
    <w:rsid w:val="005E7F0D"/>
    <w:rsid w:val="005F543D"/>
    <w:rsid w:val="005F5958"/>
    <w:rsid w:val="00603735"/>
    <w:rsid w:val="00607679"/>
    <w:rsid w:val="00607BA5"/>
    <w:rsid w:val="0061180A"/>
    <w:rsid w:val="006140BA"/>
    <w:rsid w:val="00620BB8"/>
    <w:rsid w:val="006218D3"/>
    <w:rsid w:val="00626EB6"/>
    <w:rsid w:val="00640DCC"/>
    <w:rsid w:val="00653A57"/>
    <w:rsid w:val="00655041"/>
    <w:rsid w:val="00655D03"/>
    <w:rsid w:val="00662783"/>
    <w:rsid w:val="00664A81"/>
    <w:rsid w:val="006666DB"/>
    <w:rsid w:val="0068088E"/>
    <w:rsid w:val="00683388"/>
    <w:rsid w:val="00683F84"/>
    <w:rsid w:val="006841F2"/>
    <w:rsid w:val="006844BA"/>
    <w:rsid w:val="006865E5"/>
    <w:rsid w:val="006A59A6"/>
    <w:rsid w:val="006A633F"/>
    <w:rsid w:val="006A6A81"/>
    <w:rsid w:val="006A70C2"/>
    <w:rsid w:val="006B34A7"/>
    <w:rsid w:val="006D73F2"/>
    <w:rsid w:val="006E391C"/>
    <w:rsid w:val="006E60A4"/>
    <w:rsid w:val="006F493A"/>
    <w:rsid w:val="006F7393"/>
    <w:rsid w:val="0070224F"/>
    <w:rsid w:val="00702C4B"/>
    <w:rsid w:val="00703DBF"/>
    <w:rsid w:val="007115F7"/>
    <w:rsid w:val="00715E9A"/>
    <w:rsid w:val="00716B30"/>
    <w:rsid w:val="00723213"/>
    <w:rsid w:val="00725AF8"/>
    <w:rsid w:val="00727AC5"/>
    <w:rsid w:val="00732B71"/>
    <w:rsid w:val="00734ED0"/>
    <w:rsid w:val="00743AA6"/>
    <w:rsid w:val="0076410B"/>
    <w:rsid w:val="00766163"/>
    <w:rsid w:val="00766BFB"/>
    <w:rsid w:val="0077124C"/>
    <w:rsid w:val="00771384"/>
    <w:rsid w:val="00772D01"/>
    <w:rsid w:val="0077705C"/>
    <w:rsid w:val="007843F2"/>
    <w:rsid w:val="00785689"/>
    <w:rsid w:val="00793226"/>
    <w:rsid w:val="0079754B"/>
    <w:rsid w:val="00797664"/>
    <w:rsid w:val="007A1E6D"/>
    <w:rsid w:val="007B0EB2"/>
    <w:rsid w:val="007B1660"/>
    <w:rsid w:val="007B27FD"/>
    <w:rsid w:val="007B5437"/>
    <w:rsid w:val="007C218B"/>
    <w:rsid w:val="007E6316"/>
    <w:rsid w:val="007F0A1C"/>
    <w:rsid w:val="007F4872"/>
    <w:rsid w:val="00803093"/>
    <w:rsid w:val="00805A0F"/>
    <w:rsid w:val="00810B6F"/>
    <w:rsid w:val="00816720"/>
    <w:rsid w:val="00816F70"/>
    <w:rsid w:val="00822CE0"/>
    <w:rsid w:val="00831A4C"/>
    <w:rsid w:val="0083421F"/>
    <w:rsid w:val="00841306"/>
    <w:rsid w:val="00841AB1"/>
    <w:rsid w:val="00845179"/>
    <w:rsid w:val="00853A54"/>
    <w:rsid w:val="00855A6B"/>
    <w:rsid w:val="00863510"/>
    <w:rsid w:val="008727C1"/>
    <w:rsid w:val="0088063A"/>
    <w:rsid w:val="0089124E"/>
    <w:rsid w:val="0089774C"/>
    <w:rsid w:val="008B17E3"/>
    <w:rsid w:val="008B7AD4"/>
    <w:rsid w:val="008C68E7"/>
    <w:rsid w:val="008C68F1"/>
    <w:rsid w:val="008C6908"/>
    <w:rsid w:val="008E059F"/>
    <w:rsid w:val="008E080F"/>
    <w:rsid w:val="008E6938"/>
    <w:rsid w:val="008E6B8D"/>
    <w:rsid w:val="008E75F0"/>
    <w:rsid w:val="008F2D1B"/>
    <w:rsid w:val="008F3D2F"/>
    <w:rsid w:val="008F50C3"/>
    <w:rsid w:val="009026AA"/>
    <w:rsid w:val="00911307"/>
    <w:rsid w:val="00921803"/>
    <w:rsid w:val="00926503"/>
    <w:rsid w:val="00930549"/>
    <w:rsid w:val="00930DCE"/>
    <w:rsid w:val="009310FD"/>
    <w:rsid w:val="00932EBF"/>
    <w:rsid w:val="00934577"/>
    <w:rsid w:val="00935BF7"/>
    <w:rsid w:val="009363C0"/>
    <w:rsid w:val="00941F8E"/>
    <w:rsid w:val="0094300D"/>
    <w:rsid w:val="0095008E"/>
    <w:rsid w:val="0095095A"/>
    <w:rsid w:val="009701D6"/>
    <w:rsid w:val="009726D8"/>
    <w:rsid w:val="00982E1C"/>
    <w:rsid w:val="009858F8"/>
    <w:rsid w:val="00992258"/>
    <w:rsid w:val="009A2403"/>
    <w:rsid w:val="009B5B40"/>
    <w:rsid w:val="009C1346"/>
    <w:rsid w:val="009C2FBC"/>
    <w:rsid w:val="009D2155"/>
    <w:rsid w:val="009D7308"/>
    <w:rsid w:val="009E5710"/>
    <w:rsid w:val="009F2115"/>
    <w:rsid w:val="009F76DB"/>
    <w:rsid w:val="009F7BB8"/>
    <w:rsid w:val="00A006F8"/>
    <w:rsid w:val="00A02502"/>
    <w:rsid w:val="00A25921"/>
    <w:rsid w:val="00A30CAC"/>
    <w:rsid w:val="00A31FD4"/>
    <w:rsid w:val="00A32009"/>
    <w:rsid w:val="00A32C3B"/>
    <w:rsid w:val="00A3652B"/>
    <w:rsid w:val="00A40B44"/>
    <w:rsid w:val="00A45F4F"/>
    <w:rsid w:val="00A54679"/>
    <w:rsid w:val="00A600A9"/>
    <w:rsid w:val="00A6114A"/>
    <w:rsid w:val="00A74AB5"/>
    <w:rsid w:val="00A91AEC"/>
    <w:rsid w:val="00A92144"/>
    <w:rsid w:val="00A92404"/>
    <w:rsid w:val="00A9309C"/>
    <w:rsid w:val="00A9497E"/>
    <w:rsid w:val="00AA0217"/>
    <w:rsid w:val="00AA55B7"/>
    <w:rsid w:val="00AA5B9E"/>
    <w:rsid w:val="00AA7C6E"/>
    <w:rsid w:val="00AB0224"/>
    <w:rsid w:val="00AB2407"/>
    <w:rsid w:val="00AB53DF"/>
    <w:rsid w:val="00AB617F"/>
    <w:rsid w:val="00AC6BCF"/>
    <w:rsid w:val="00AD0726"/>
    <w:rsid w:val="00AE6FF1"/>
    <w:rsid w:val="00AF0A45"/>
    <w:rsid w:val="00AF2093"/>
    <w:rsid w:val="00B05458"/>
    <w:rsid w:val="00B07E5C"/>
    <w:rsid w:val="00B13BB4"/>
    <w:rsid w:val="00B154C1"/>
    <w:rsid w:val="00B16356"/>
    <w:rsid w:val="00B31C89"/>
    <w:rsid w:val="00B31E77"/>
    <w:rsid w:val="00B31FB6"/>
    <w:rsid w:val="00B41123"/>
    <w:rsid w:val="00B42DB7"/>
    <w:rsid w:val="00B442A6"/>
    <w:rsid w:val="00B57DE4"/>
    <w:rsid w:val="00B60B23"/>
    <w:rsid w:val="00B72948"/>
    <w:rsid w:val="00B72993"/>
    <w:rsid w:val="00B77417"/>
    <w:rsid w:val="00B811F7"/>
    <w:rsid w:val="00B81E1F"/>
    <w:rsid w:val="00B83E40"/>
    <w:rsid w:val="00B85C2E"/>
    <w:rsid w:val="00B904F0"/>
    <w:rsid w:val="00BA5DC6"/>
    <w:rsid w:val="00BA6196"/>
    <w:rsid w:val="00BB7B7F"/>
    <w:rsid w:val="00BC1BAD"/>
    <w:rsid w:val="00BC6D8C"/>
    <w:rsid w:val="00BD7865"/>
    <w:rsid w:val="00C019FD"/>
    <w:rsid w:val="00C264B0"/>
    <w:rsid w:val="00C34006"/>
    <w:rsid w:val="00C36B4C"/>
    <w:rsid w:val="00C426B1"/>
    <w:rsid w:val="00C6295A"/>
    <w:rsid w:val="00C6585B"/>
    <w:rsid w:val="00C66160"/>
    <w:rsid w:val="00C704CE"/>
    <w:rsid w:val="00C71ABF"/>
    <w:rsid w:val="00C721AC"/>
    <w:rsid w:val="00C7520D"/>
    <w:rsid w:val="00C760EF"/>
    <w:rsid w:val="00C819DD"/>
    <w:rsid w:val="00C863E5"/>
    <w:rsid w:val="00C90D6A"/>
    <w:rsid w:val="00C93DF9"/>
    <w:rsid w:val="00C96386"/>
    <w:rsid w:val="00CA247E"/>
    <w:rsid w:val="00CA6D21"/>
    <w:rsid w:val="00CB5143"/>
    <w:rsid w:val="00CC72B6"/>
    <w:rsid w:val="00CD7013"/>
    <w:rsid w:val="00CF3D68"/>
    <w:rsid w:val="00D01C7F"/>
    <w:rsid w:val="00D0218D"/>
    <w:rsid w:val="00D04F90"/>
    <w:rsid w:val="00D104AA"/>
    <w:rsid w:val="00D25FB5"/>
    <w:rsid w:val="00D3441B"/>
    <w:rsid w:val="00D4351A"/>
    <w:rsid w:val="00D44223"/>
    <w:rsid w:val="00D4435A"/>
    <w:rsid w:val="00D5190F"/>
    <w:rsid w:val="00D53A7D"/>
    <w:rsid w:val="00D62891"/>
    <w:rsid w:val="00D705FB"/>
    <w:rsid w:val="00D70C9A"/>
    <w:rsid w:val="00D7124D"/>
    <w:rsid w:val="00D815BE"/>
    <w:rsid w:val="00D86CAB"/>
    <w:rsid w:val="00D87E6F"/>
    <w:rsid w:val="00DA2529"/>
    <w:rsid w:val="00DB0109"/>
    <w:rsid w:val="00DB130A"/>
    <w:rsid w:val="00DB28A8"/>
    <w:rsid w:val="00DB2EBB"/>
    <w:rsid w:val="00DB5CB9"/>
    <w:rsid w:val="00DB6508"/>
    <w:rsid w:val="00DB7ACD"/>
    <w:rsid w:val="00DC10A1"/>
    <w:rsid w:val="00DC18F4"/>
    <w:rsid w:val="00DC655F"/>
    <w:rsid w:val="00DD0B59"/>
    <w:rsid w:val="00DD0DDA"/>
    <w:rsid w:val="00DD6F15"/>
    <w:rsid w:val="00DD7EBD"/>
    <w:rsid w:val="00DE1D87"/>
    <w:rsid w:val="00DF493D"/>
    <w:rsid w:val="00DF62B6"/>
    <w:rsid w:val="00DF7B1C"/>
    <w:rsid w:val="00E044F1"/>
    <w:rsid w:val="00E07225"/>
    <w:rsid w:val="00E243C6"/>
    <w:rsid w:val="00E37C04"/>
    <w:rsid w:val="00E4351D"/>
    <w:rsid w:val="00E45E55"/>
    <w:rsid w:val="00E52D26"/>
    <w:rsid w:val="00E5409F"/>
    <w:rsid w:val="00E57050"/>
    <w:rsid w:val="00E62717"/>
    <w:rsid w:val="00E720EA"/>
    <w:rsid w:val="00EB3813"/>
    <w:rsid w:val="00EB4275"/>
    <w:rsid w:val="00EB465B"/>
    <w:rsid w:val="00EB478C"/>
    <w:rsid w:val="00EB72CC"/>
    <w:rsid w:val="00EC07AA"/>
    <w:rsid w:val="00ED29B2"/>
    <w:rsid w:val="00EE6488"/>
    <w:rsid w:val="00EF53EE"/>
    <w:rsid w:val="00F021FA"/>
    <w:rsid w:val="00F06D8A"/>
    <w:rsid w:val="00F14821"/>
    <w:rsid w:val="00F157A8"/>
    <w:rsid w:val="00F15C83"/>
    <w:rsid w:val="00F20440"/>
    <w:rsid w:val="00F22C3F"/>
    <w:rsid w:val="00F25CBC"/>
    <w:rsid w:val="00F306EE"/>
    <w:rsid w:val="00F347D5"/>
    <w:rsid w:val="00F4492B"/>
    <w:rsid w:val="00F46C53"/>
    <w:rsid w:val="00F46FF6"/>
    <w:rsid w:val="00F507DD"/>
    <w:rsid w:val="00F60FFA"/>
    <w:rsid w:val="00F62E97"/>
    <w:rsid w:val="00F64209"/>
    <w:rsid w:val="00F703BA"/>
    <w:rsid w:val="00F75D2D"/>
    <w:rsid w:val="00F776AF"/>
    <w:rsid w:val="00F93BF5"/>
    <w:rsid w:val="00F96C18"/>
    <w:rsid w:val="00FA08DE"/>
    <w:rsid w:val="00FB2477"/>
    <w:rsid w:val="00FD1558"/>
    <w:rsid w:val="00FD29AB"/>
    <w:rsid w:val="00FD4DC8"/>
    <w:rsid w:val="00FE545D"/>
    <w:rsid w:val="00FE7DE3"/>
    <w:rsid w:val="00FF7F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0061915-92BA-4FEA-834E-C22E1C89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link w:val="FootnoteText"/>
    <w:locked/>
    <w:rsid w:val="00F25CBC"/>
  </w:style>
  <w:style w:type="character" w:customStyle="1" w:styleId="ParaNumChar">
    <w:name w:val="ParaNum Char"/>
    <w:link w:val="ParaNum"/>
    <w:locked/>
    <w:rsid w:val="00F25CBC"/>
    <w:rPr>
      <w:snapToGrid w:val="0"/>
      <w:kern w:val="28"/>
      <w:sz w:val="22"/>
    </w:rPr>
  </w:style>
  <w:style w:type="paragraph" w:customStyle="1" w:styleId="par1">
    <w:name w:val="par1"/>
    <w:basedOn w:val="Normal"/>
    <w:link w:val="par1Char"/>
    <w:uiPriority w:val="99"/>
    <w:rsid w:val="00F25CBC"/>
    <w:pPr>
      <w:numPr>
        <w:numId w:val="7"/>
      </w:numPr>
      <w:tabs>
        <w:tab w:val="num" w:pos="900"/>
        <w:tab w:val="left" w:pos="1440"/>
      </w:tabs>
      <w:ind w:left="-180" w:firstLine="720"/>
    </w:pPr>
    <w:rPr>
      <w:snapToGrid/>
      <w:sz w:val="20"/>
    </w:rPr>
  </w:style>
  <w:style w:type="character" w:customStyle="1" w:styleId="par1Char">
    <w:name w:val="par1 Char"/>
    <w:link w:val="par1"/>
    <w:uiPriority w:val="99"/>
    <w:locked/>
    <w:rsid w:val="00F25CBC"/>
    <w:rPr>
      <w:kern w:val="28"/>
    </w:rPr>
  </w:style>
  <w:style w:type="character" w:customStyle="1" w:styleId="UnresolvedMention">
    <w:name w:val="Unresolved Mention"/>
    <w:uiPriority w:val="99"/>
    <w:semiHidden/>
    <w:unhideWhenUsed/>
    <w:rsid w:val="00DB28A8"/>
    <w:rPr>
      <w:color w:val="605E5C"/>
      <w:shd w:val="clear" w:color="auto" w:fill="E1DFDD"/>
    </w:rPr>
  </w:style>
  <w:style w:type="character" w:customStyle="1" w:styleId="HeaderChar">
    <w:name w:val="Header Char"/>
    <w:link w:val="Header"/>
    <w:locked/>
    <w:rsid w:val="00C6295A"/>
    <w:rPr>
      <w:b/>
      <w:snapToGrid w:val="0"/>
      <w:kern w:val="28"/>
      <w:sz w:val="22"/>
    </w:rPr>
  </w:style>
  <w:style w:type="paragraph" w:styleId="BalloonText">
    <w:name w:val="Balloon Text"/>
    <w:basedOn w:val="Normal"/>
    <w:link w:val="BalloonTextChar"/>
    <w:rsid w:val="00E243C6"/>
    <w:rPr>
      <w:sz w:val="18"/>
      <w:szCs w:val="18"/>
    </w:rPr>
  </w:style>
  <w:style w:type="character" w:customStyle="1" w:styleId="BalloonTextChar">
    <w:name w:val="Balloon Text Char"/>
    <w:link w:val="BalloonText"/>
    <w:rsid w:val="00E243C6"/>
    <w:rPr>
      <w:snapToGrid w:val="0"/>
      <w:kern w:val="28"/>
      <w:sz w:val="18"/>
      <w:szCs w:val="18"/>
    </w:rPr>
  </w:style>
  <w:style w:type="character" w:styleId="CommentReference">
    <w:name w:val="annotation reference"/>
    <w:rsid w:val="002A1A1E"/>
    <w:rPr>
      <w:sz w:val="16"/>
      <w:szCs w:val="16"/>
    </w:rPr>
  </w:style>
  <w:style w:type="paragraph" w:styleId="CommentText">
    <w:name w:val="annotation text"/>
    <w:basedOn w:val="Normal"/>
    <w:link w:val="CommentTextChar"/>
    <w:rsid w:val="002A1A1E"/>
    <w:rPr>
      <w:sz w:val="20"/>
    </w:rPr>
  </w:style>
  <w:style w:type="character" w:customStyle="1" w:styleId="CommentTextChar">
    <w:name w:val="Comment Text Char"/>
    <w:link w:val="CommentText"/>
    <w:rsid w:val="002A1A1E"/>
    <w:rPr>
      <w:snapToGrid w:val="0"/>
      <w:kern w:val="28"/>
    </w:rPr>
  </w:style>
  <w:style w:type="paragraph" w:styleId="CommentSubject">
    <w:name w:val="annotation subject"/>
    <w:basedOn w:val="CommentText"/>
    <w:next w:val="CommentText"/>
    <w:link w:val="CommentSubjectChar"/>
    <w:rsid w:val="002A1A1E"/>
    <w:rPr>
      <w:b/>
      <w:bCs/>
    </w:rPr>
  </w:style>
  <w:style w:type="character" w:customStyle="1" w:styleId="CommentSubjectChar">
    <w:name w:val="Comment Subject Char"/>
    <w:link w:val="CommentSubject"/>
    <w:rsid w:val="002A1A1E"/>
    <w:rPr>
      <w:b/>
      <w:bCs/>
      <w:snapToGrid w:val="0"/>
      <w:kern w:val="28"/>
    </w:rPr>
  </w:style>
  <w:style w:type="character" w:styleId="FollowedHyperlink">
    <w:name w:val="FollowedHyperlink"/>
    <w:rsid w:val="00452C7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mailto:matthew.gibson@fcc.gov"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https://apps.fcc.gov/FeeFiler/login.cf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A-20-433A1_Rcd.pdf" TargetMode="External" /><Relationship Id="rId2" Type="http://schemas.openxmlformats.org/officeDocument/2006/relationships/hyperlink" Target="mailto:ARINQUIRIES@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