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F57DFF2"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49373CED" w14:textId="77777777">
      <w:pPr>
        <w:pStyle w:val="StyleBoldCentered"/>
      </w:pPr>
      <w:r>
        <w:t>F</w:t>
      </w:r>
      <w:r>
        <w:rPr>
          <w:caps w:val="0"/>
        </w:rPr>
        <w:t>ederal Communications Commission</w:t>
      </w:r>
    </w:p>
    <w:p w:rsidR="004C2EE3" w:rsidP="00096D8C" w14:paraId="67292D28" w14:textId="77777777">
      <w:pPr>
        <w:pStyle w:val="StyleBoldCentered"/>
      </w:pPr>
      <w:r>
        <w:rPr>
          <w:caps w:val="0"/>
        </w:rPr>
        <w:t>Washington, D.C. 20554</w:t>
      </w:r>
    </w:p>
    <w:p w:rsidR="004C2EE3" w:rsidP="0070224F" w14:paraId="31B6484D" w14:textId="77777777"/>
    <w:p w:rsidR="004C2EE3" w:rsidP="0070224F" w14:paraId="3900739C" w14:textId="77777777"/>
    <w:tbl>
      <w:tblPr>
        <w:tblW w:w="0" w:type="auto"/>
        <w:tblLayout w:type="fixed"/>
        <w:tblLook w:val="0000"/>
      </w:tblPr>
      <w:tblGrid>
        <w:gridCol w:w="4698"/>
        <w:gridCol w:w="630"/>
        <w:gridCol w:w="4248"/>
      </w:tblGrid>
      <w:tr w14:paraId="0BBF714D" w14:textId="77777777">
        <w:tblPrEx>
          <w:tblW w:w="0" w:type="auto"/>
          <w:tblLayout w:type="fixed"/>
          <w:tblLook w:val="0000"/>
        </w:tblPrEx>
        <w:tc>
          <w:tcPr>
            <w:tcW w:w="4698" w:type="dxa"/>
          </w:tcPr>
          <w:p w:rsidR="004C2EE3" w14:paraId="61600601" w14:textId="77777777">
            <w:pPr>
              <w:tabs>
                <w:tab w:val="center" w:pos="4680"/>
              </w:tabs>
              <w:suppressAutoHyphens/>
              <w:rPr>
                <w:spacing w:val="-2"/>
              </w:rPr>
            </w:pPr>
            <w:r>
              <w:rPr>
                <w:spacing w:val="-2"/>
              </w:rPr>
              <w:t>In the Matter of</w:t>
            </w:r>
          </w:p>
          <w:p w:rsidR="004C2EE3" w14:paraId="3BD34881" w14:textId="77777777">
            <w:pPr>
              <w:tabs>
                <w:tab w:val="center" w:pos="4680"/>
              </w:tabs>
              <w:suppressAutoHyphens/>
              <w:rPr>
                <w:spacing w:val="-2"/>
              </w:rPr>
            </w:pPr>
          </w:p>
          <w:p w:rsidR="004C2EE3" w:rsidP="007115F7" w14:paraId="037232FB" w14:textId="77777777">
            <w:pPr>
              <w:tabs>
                <w:tab w:val="center" w:pos="4680"/>
              </w:tabs>
              <w:suppressAutoHyphens/>
              <w:rPr>
                <w:spacing w:val="-2"/>
              </w:rPr>
            </w:pPr>
            <w:r>
              <w:rPr>
                <w:spacing w:val="-2"/>
              </w:rPr>
              <w:t>OSNET Wireless, Corp.</w:t>
            </w:r>
          </w:p>
          <w:p w:rsidR="003B4536" w:rsidRPr="007115F7" w:rsidP="007115F7" w14:paraId="3391452C" w14:textId="0C73267E">
            <w:pPr>
              <w:tabs>
                <w:tab w:val="center" w:pos="4680"/>
              </w:tabs>
              <w:suppressAutoHyphens/>
              <w:rPr>
                <w:spacing w:val="-2"/>
              </w:rPr>
            </w:pPr>
            <w:r>
              <w:rPr>
                <w:spacing w:val="-2"/>
              </w:rPr>
              <w:t>San Juan, Puerto Rico</w:t>
            </w:r>
          </w:p>
        </w:tc>
        <w:tc>
          <w:tcPr>
            <w:tcW w:w="630" w:type="dxa"/>
          </w:tcPr>
          <w:p w:rsidR="004C2EE3" w14:paraId="67176753" w14:textId="77777777">
            <w:pPr>
              <w:tabs>
                <w:tab w:val="center" w:pos="4680"/>
              </w:tabs>
              <w:suppressAutoHyphens/>
              <w:rPr>
                <w:b/>
                <w:spacing w:val="-2"/>
              </w:rPr>
            </w:pPr>
            <w:r>
              <w:rPr>
                <w:b/>
                <w:spacing w:val="-2"/>
              </w:rPr>
              <w:t>)</w:t>
            </w:r>
          </w:p>
          <w:p w:rsidR="004C2EE3" w14:paraId="07E3B9CA" w14:textId="77777777">
            <w:pPr>
              <w:tabs>
                <w:tab w:val="center" w:pos="4680"/>
              </w:tabs>
              <w:suppressAutoHyphens/>
              <w:rPr>
                <w:b/>
                <w:spacing w:val="-2"/>
              </w:rPr>
            </w:pPr>
            <w:r>
              <w:rPr>
                <w:b/>
                <w:spacing w:val="-2"/>
              </w:rPr>
              <w:t>)</w:t>
            </w:r>
          </w:p>
          <w:p w:rsidR="004C2EE3" w14:paraId="465B3DAB" w14:textId="77777777">
            <w:pPr>
              <w:tabs>
                <w:tab w:val="center" w:pos="4680"/>
              </w:tabs>
              <w:suppressAutoHyphens/>
              <w:rPr>
                <w:b/>
                <w:spacing w:val="-2"/>
              </w:rPr>
            </w:pPr>
            <w:r>
              <w:rPr>
                <w:b/>
                <w:spacing w:val="-2"/>
              </w:rPr>
              <w:t>)</w:t>
            </w:r>
          </w:p>
          <w:p w:rsidR="004C2EE3" w14:paraId="3559A74F" w14:textId="77777777">
            <w:pPr>
              <w:tabs>
                <w:tab w:val="center" w:pos="4680"/>
              </w:tabs>
              <w:suppressAutoHyphens/>
              <w:rPr>
                <w:b/>
                <w:spacing w:val="-2"/>
              </w:rPr>
            </w:pPr>
            <w:r>
              <w:rPr>
                <w:b/>
                <w:spacing w:val="-2"/>
              </w:rPr>
              <w:t>)</w:t>
            </w:r>
          </w:p>
          <w:p w:rsidR="004C2EE3" w14:paraId="4B74418A" w14:textId="77777777">
            <w:pPr>
              <w:tabs>
                <w:tab w:val="center" w:pos="4680"/>
              </w:tabs>
              <w:suppressAutoHyphens/>
              <w:rPr>
                <w:b/>
                <w:spacing w:val="-2"/>
              </w:rPr>
            </w:pPr>
            <w:r>
              <w:rPr>
                <w:b/>
                <w:spacing w:val="-2"/>
              </w:rPr>
              <w:t>)</w:t>
            </w:r>
          </w:p>
          <w:p w:rsidR="004C2EE3" w:rsidRPr="00BE09FA" w14:paraId="3563A353" w14:textId="43A31EFB">
            <w:pPr>
              <w:tabs>
                <w:tab w:val="center" w:pos="4680"/>
              </w:tabs>
              <w:suppressAutoHyphens/>
              <w:rPr>
                <w:b/>
                <w:spacing w:val="-2"/>
              </w:rPr>
            </w:pPr>
            <w:r>
              <w:rPr>
                <w:b/>
                <w:spacing w:val="-2"/>
              </w:rPr>
              <w:t>)</w:t>
            </w:r>
          </w:p>
        </w:tc>
        <w:tc>
          <w:tcPr>
            <w:tcW w:w="4248" w:type="dxa"/>
          </w:tcPr>
          <w:p w:rsidR="004C2EE3" w14:paraId="4A7D699D" w14:textId="77777777">
            <w:pPr>
              <w:tabs>
                <w:tab w:val="center" w:pos="4680"/>
              </w:tabs>
              <w:suppressAutoHyphens/>
              <w:rPr>
                <w:spacing w:val="-2"/>
              </w:rPr>
            </w:pPr>
          </w:p>
          <w:p w:rsidR="004C2EE3" w14:paraId="48498A4B" w14:textId="77777777">
            <w:pPr>
              <w:pStyle w:val="TOAHeading"/>
              <w:tabs>
                <w:tab w:val="center" w:pos="4680"/>
                <w:tab w:val="clear" w:pos="9360"/>
              </w:tabs>
              <w:rPr>
                <w:spacing w:val="-2"/>
              </w:rPr>
            </w:pPr>
          </w:p>
          <w:p w:rsidR="004C2EE3" w:rsidP="00BE09FA" w14:paraId="24BA9D51" w14:textId="6C060AB5">
            <w:pPr>
              <w:tabs>
                <w:tab w:val="left" w:pos="881"/>
                <w:tab w:val="center" w:pos="4680"/>
              </w:tabs>
              <w:suppressAutoHyphens/>
              <w:rPr>
                <w:spacing w:val="-2"/>
              </w:rPr>
            </w:pPr>
            <w:r>
              <w:rPr>
                <w:spacing w:val="-2"/>
              </w:rPr>
              <w:t>File No:  EB-FIELDSCR-19-00030378</w:t>
            </w:r>
          </w:p>
          <w:p w:rsidR="00BE09FA" w:rsidP="00BE09FA" w14:paraId="422D975D" w14:textId="2B1802AF">
            <w:pPr>
              <w:tabs>
                <w:tab w:val="left" w:pos="881"/>
                <w:tab w:val="center" w:pos="4680"/>
              </w:tabs>
              <w:suppressAutoHyphens/>
              <w:rPr>
                <w:spacing w:val="-2"/>
              </w:rPr>
            </w:pPr>
            <w:r>
              <w:rPr>
                <w:spacing w:val="-2"/>
              </w:rPr>
              <w:t>NAL/Acct. No:  </w:t>
            </w:r>
            <w:r w:rsidR="005E67B1">
              <w:rPr>
                <w:spacing w:val="-2"/>
              </w:rPr>
              <w:t>20203202</w:t>
            </w:r>
            <w:r w:rsidR="00C932FA">
              <w:rPr>
                <w:spacing w:val="-2"/>
              </w:rPr>
              <w:t>0008</w:t>
            </w:r>
          </w:p>
          <w:p w:rsidR="00BE09FA" w:rsidP="00BE09FA" w14:paraId="484B4C6B" w14:textId="304AE7D1">
            <w:pPr>
              <w:tabs>
                <w:tab w:val="left" w:pos="881"/>
                <w:tab w:val="center" w:pos="4680"/>
              </w:tabs>
              <w:suppressAutoHyphens/>
              <w:rPr>
                <w:spacing w:val="-2"/>
              </w:rPr>
            </w:pPr>
            <w:r>
              <w:rPr>
                <w:spacing w:val="-2"/>
              </w:rPr>
              <w:t>FRN:  </w:t>
            </w:r>
            <w:r w:rsidRPr="004975E1" w:rsidR="004975E1">
              <w:rPr>
                <w:spacing w:val="-2"/>
              </w:rPr>
              <w:t>0021999305</w:t>
            </w:r>
          </w:p>
        </w:tc>
      </w:tr>
    </w:tbl>
    <w:p w:rsidR="004C2EE3" w:rsidP="0070224F" w14:paraId="4A6A54F0" w14:textId="77777777"/>
    <w:p w:rsidR="00841AB1" w:rsidP="00F021FA" w14:paraId="6C495D57" w14:textId="7D5C370D">
      <w:pPr>
        <w:pStyle w:val="StyleBoldCentered"/>
      </w:pPr>
      <w:r>
        <w:t>NOTICE OF APPARENT LIABILITY FOR FORFEITURE</w:t>
      </w:r>
    </w:p>
    <w:p w:rsidR="004C2EE3" w14:paraId="558ED0DC" w14:textId="77777777">
      <w:pPr>
        <w:tabs>
          <w:tab w:val="left" w:pos="-720"/>
        </w:tabs>
        <w:suppressAutoHyphens/>
        <w:spacing w:line="227" w:lineRule="auto"/>
        <w:rPr>
          <w:spacing w:val="-2"/>
        </w:rPr>
      </w:pPr>
    </w:p>
    <w:p w:rsidR="004C2EE3" w:rsidP="00133F79" w14:paraId="62EF644F" w14:textId="18F5FB0D">
      <w:pPr>
        <w:tabs>
          <w:tab w:val="left" w:pos="720"/>
          <w:tab w:val="right" w:pos="9360"/>
        </w:tabs>
        <w:suppressAutoHyphens/>
        <w:spacing w:line="227" w:lineRule="auto"/>
        <w:rPr>
          <w:spacing w:val="-2"/>
        </w:rPr>
      </w:pPr>
      <w:r>
        <w:rPr>
          <w:b/>
          <w:spacing w:val="-2"/>
        </w:rPr>
        <w:t xml:space="preserve">Adopted:  </w:t>
      </w:r>
      <w:r w:rsidR="00B36632">
        <w:rPr>
          <w:b/>
          <w:spacing w:val="-2"/>
        </w:rPr>
        <w:t>October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36632">
        <w:rPr>
          <w:b/>
          <w:spacing w:val="-2"/>
        </w:rPr>
        <w:t>October 26, 2020</w:t>
      </w:r>
    </w:p>
    <w:p w:rsidR="00822CE0" w14:paraId="14E8031E" w14:textId="77777777"/>
    <w:p w:rsidR="004C2EE3" w14:paraId="23CC5644" w14:textId="1C96C2A1">
      <w:pPr>
        <w:rPr>
          <w:spacing w:val="-2"/>
        </w:rPr>
      </w:pPr>
      <w:r>
        <w:t xml:space="preserve">By </w:t>
      </w:r>
      <w:r w:rsidR="004E4A22">
        <w:t>the</w:t>
      </w:r>
      <w:r w:rsidR="002A2D2E">
        <w:t xml:space="preserve"> </w:t>
      </w:r>
      <w:r w:rsidR="00A1060C">
        <w:rPr>
          <w:spacing w:val="-2"/>
        </w:rPr>
        <w:t>Regional Director, Region Two</w:t>
      </w:r>
      <w:r w:rsidR="00BE09FA">
        <w:rPr>
          <w:spacing w:val="-2"/>
        </w:rPr>
        <w:t>, Enforcement Bureau</w:t>
      </w:r>
      <w:r>
        <w:rPr>
          <w:spacing w:val="-2"/>
        </w:rPr>
        <w:t>:</w:t>
      </w:r>
    </w:p>
    <w:p w:rsidR="00822CE0" w14:paraId="7116234D" w14:textId="77777777">
      <w:pPr>
        <w:rPr>
          <w:spacing w:val="-2"/>
        </w:rPr>
      </w:pPr>
    </w:p>
    <w:p w:rsidR="00412FC5" w:rsidP="00C36B4C" w14:paraId="79552E71" w14:textId="66F208A6">
      <w:pPr>
        <w:pStyle w:val="Heading1"/>
      </w:pPr>
      <w:r>
        <w:t>Introduction</w:t>
      </w:r>
    </w:p>
    <w:p w:rsidR="00BE09FA" w:rsidP="00BE09FA" w14:paraId="6E42BD6A" w14:textId="352213B4">
      <w:pPr>
        <w:pStyle w:val="ParaNum"/>
      </w:pPr>
      <w:r>
        <w:t xml:space="preserve">Protecting spectrum licensees from harmful interference sits at the core of the Commission’s </w:t>
      </w:r>
      <w:r w:rsidR="00C955F7">
        <w:t xml:space="preserve">congressional mandate.  </w:t>
      </w:r>
      <w:r w:rsidR="001676B1">
        <w:t>For this reason, the Commission’s rules set forth specific technical requirements for spectrum use, whether on a license</w:t>
      </w:r>
      <w:r w:rsidR="00DE0CE7">
        <w:t>d</w:t>
      </w:r>
      <w:r w:rsidR="001676B1">
        <w:t xml:space="preserve"> or an unlicensed basis.  </w:t>
      </w:r>
      <w:r w:rsidR="00D65673">
        <w:t xml:space="preserve">The Commission takes a dim view of </w:t>
      </w:r>
      <w:r w:rsidR="00C93D2D">
        <w:t xml:space="preserve">operators in unlicensed bands who modify </w:t>
      </w:r>
      <w:r w:rsidR="00554051">
        <w:t xml:space="preserve">their devices to operate in neighboring bands </w:t>
      </w:r>
      <w:r w:rsidR="0055372F">
        <w:t xml:space="preserve">that </w:t>
      </w:r>
      <w:r w:rsidR="00554051">
        <w:t>requir</w:t>
      </w:r>
      <w:r w:rsidR="0055372F">
        <w:t>e</w:t>
      </w:r>
      <w:r w:rsidR="00554051">
        <w:t xml:space="preserve"> a license.  </w:t>
      </w:r>
      <w:r w:rsidR="0039625E">
        <w:t xml:space="preserve">In such circumstances, enforcement action by the Commission is appropriate.  </w:t>
      </w:r>
    </w:p>
    <w:p w:rsidR="0039625E" w:rsidP="00BE09FA" w14:paraId="49DC5E8C" w14:textId="44822CE0">
      <w:pPr>
        <w:pStyle w:val="ParaNum"/>
      </w:pPr>
      <w:r>
        <w:t>In this case, we find that OSNET Wireless, Corp. (</w:t>
      </w:r>
      <w:r>
        <w:t>OSNET</w:t>
      </w:r>
      <w:r>
        <w:t xml:space="preserve">), apparently violated </w:t>
      </w:r>
      <w:r w:rsidR="00460B42">
        <w:t>section 301 of the Communications Act of 1934, as amended (Act) and sections</w:t>
      </w:r>
      <w:r w:rsidR="003D7E82">
        <w:t xml:space="preserve"> 15.1(b) and 15.205</w:t>
      </w:r>
      <w:r w:rsidR="00460B42">
        <w:t xml:space="preserve"> of the Commission’s rules by modifying </w:t>
      </w:r>
      <w:r w:rsidR="00DD54C1">
        <w:t>network equipment to operate in restricted portions of the 2</w:t>
      </w:r>
      <w:r w:rsidR="00A60207">
        <w:t>3</w:t>
      </w:r>
      <w:r w:rsidR="001A17DC">
        <w:t>00</w:t>
      </w:r>
      <w:r w:rsidR="00A60207">
        <w:t> </w:t>
      </w:r>
      <w:r w:rsidR="001A17DC">
        <w:t xml:space="preserve">MHz </w:t>
      </w:r>
      <w:r w:rsidR="00DD54C1">
        <w:t>band</w:t>
      </w:r>
      <w:r w:rsidR="00DE0CE7">
        <w:t>,</w:t>
      </w:r>
      <w:r w:rsidR="00DD54C1">
        <w:t xml:space="preserve"> </w:t>
      </w:r>
      <w:r w:rsidR="00812F12">
        <w:t>where a Commission license is required</w:t>
      </w:r>
      <w:r w:rsidR="00DE0CE7">
        <w:t>,</w:t>
      </w:r>
      <w:r w:rsidR="00812F12">
        <w:t xml:space="preserve"> and then operating </w:t>
      </w:r>
      <w:r w:rsidR="005D1A7D">
        <w:t>that</w:t>
      </w:r>
      <w:r w:rsidR="00DF0751">
        <w:t xml:space="preserve"> network equipment without such a license</w:t>
      </w:r>
      <w:r w:rsidR="00A60207">
        <w:t xml:space="preserve">.  </w:t>
      </w:r>
      <w:r w:rsidR="00C12F38">
        <w:t>We therefore propose a monetary forfeiture of $</w:t>
      </w:r>
      <w:r w:rsidR="00BB5588">
        <w:t>20,000</w:t>
      </w:r>
      <w:r w:rsidR="00C12F38">
        <w:t xml:space="preserve"> against OSNET for these apparent violations of the Act and the Commission’s rules. </w:t>
      </w:r>
    </w:p>
    <w:p w:rsidR="00BE09FA" w:rsidP="00BE09FA" w14:paraId="1D2E17E0" w14:textId="056DFF8F">
      <w:pPr>
        <w:pStyle w:val="Heading1"/>
      </w:pPr>
      <w:r>
        <w:t>Background</w:t>
      </w:r>
    </w:p>
    <w:p w:rsidR="00BE09FA" w:rsidP="00F0602E" w14:paraId="67F1C732" w14:textId="084117AA">
      <w:pPr>
        <w:pStyle w:val="ParaNum"/>
        <w:widowControl/>
      </w:pPr>
      <w:r>
        <w:rPr>
          <w:i/>
          <w:iCs/>
        </w:rPr>
        <w:t xml:space="preserve">Legal Framework.  </w:t>
      </w:r>
      <w:r w:rsidRPr="001269BD" w:rsidR="001269BD">
        <w:t>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3"/>
      </w:r>
      <w:r w:rsidRPr="001269BD" w:rsidR="001269BD">
        <w:t xml:space="preserve">  Part 15 of the Commission’s rules provides an exception to this general license requirement and sets forth conditions under which devices (intentional radiators) may operate without an individual license.</w:t>
      </w:r>
      <w:r>
        <w:rPr>
          <w:rStyle w:val="FootnoteReference"/>
        </w:rPr>
        <w:footnoteReference w:id="4"/>
      </w:r>
      <w:r w:rsidR="00EF677A">
        <w:t xml:space="preserve">  </w:t>
      </w:r>
      <w:r w:rsidRPr="00EF677A" w:rsidR="00EF677A">
        <w:t>Pursuant to section 15.1(b) of the Commission’s rules,</w:t>
      </w:r>
      <w:r w:rsidR="007C672A">
        <w:t xml:space="preserve"> </w:t>
      </w:r>
      <w:r w:rsidRPr="007C672A" w:rsidR="007C672A">
        <w:t>however, “operation of an intentional . . . radiator that is not in accordance with the regulations in this part must be licensed. . . .”</w:t>
      </w:r>
      <w:r>
        <w:rPr>
          <w:rStyle w:val="FootnoteReference"/>
        </w:rPr>
        <w:footnoteReference w:id="5"/>
      </w:r>
      <w:r w:rsidR="007C672A">
        <w:t xml:space="preserve">  </w:t>
      </w:r>
      <w:r w:rsidR="00912346">
        <w:t xml:space="preserve">Section 15.205 of the Commission’s rules provides that </w:t>
      </w:r>
      <w:r w:rsidR="001630D9">
        <w:t xml:space="preserve">certain frequency ranges, including 2310 – 2390 MHz are restricted and therefore ineligible for </w:t>
      </w:r>
      <w:r w:rsidR="008E32CE">
        <w:t>use by intentional radiators under the Commission’s part 15 rules.</w:t>
      </w:r>
      <w:r>
        <w:rPr>
          <w:rStyle w:val="FootnoteReference"/>
        </w:rPr>
        <w:footnoteReference w:id="6"/>
      </w:r>
    </w:p>
    <w:p w:rsidR="00BA2190" w:rsidP="00BF0DF5" w14:paraId="6AC9A00A" w14:textId="64A2A20E">
      <w:pPr>
        <w:pStyle w:val="ParaNum"/>
      </w:pPr>
      <w:r w:rsidRPr="007126D5">
        <w:rPr>
          <w:i/>
          <w:iCs/>
        </w:rPr>
        <w:t>Factual Background.</w:t>
      </w:r>
      <w:r>
        <w:t xml:space="preserve">  </w:t>
      </w:r>
      <w:r w:rsidR="00B2594D">
        <w:t xml:space="preserve">On December 11, </w:t>
      </w:r>
      <w:r w:rsidR="00A41FAD">
        <w:t>2019</w:t>
      </w:r>
      <w:r w:rsidR="00B2594D">
        <w:t xml:space="preserve">, </w:t>
      </w:r>
      <w:r w:rsidR="0084125E">
        <w:t xml:space="preserve">a wireless carrier </w:t>
      </w:r>
      <w:r w:rsidR="00657936">
        <w:t>license</w:t>
      </w:r>
      <w:r w:rsidR="006E6EBF">
        <w:t>d</w:t>
      </w:r>
      <w:r w:rsidR="00657936">
        <w:t xml:space="preserve"> </w:t>
      </w:r>
      <w:r w:rsidR="006E6EBF">
        <w:t xml:space="preserve">to operate in the </w:t>
      </w:r>
      <w:r w:rsidR="00657936">
        <w:t>Wireless Communications Service</w:t>
      </w:r>
      <w:r w:rsidR="006965B1">
        <w:t xml:space="preserve"> (WCS)</w:t>
      </w:r>
      <w:r w:rsidR="00657936">
        <w:t xml:space="preserve"> in </w:t>
      </w:r>
      <w:r w:rsidR="009550E8">
        <w:t>Puerto Rico</w:t>
      </w:r>
      <w:r w:rsidR="0084125E">
        <w:t xml:space="preserve">, </w:t>
      </w:r>
      <w:r w:rsidR="000F20A4">
        <w:t xml:space="preserve">submitted a complaint that a device </w:t>
      </w:r>
      <w:r w:rsidR="00E04A2F">
        <w:t xml:space="preserve">operating </w:t>
      </w:r>
      <w:r w:rsidR="00E04A2F">
        <w:t>from the roof of a commercial building located at 110 Calle Luis Mu</w:t>
      </w:r>
      <w:r w:rsidR="00022CBD">
        <w:t xml:space="preserve">ñoz Rivera, </w:t>
      </w:r>
      <w:r w:rsidR="00022CBD">
        <w:t>Cayey</w:t>
      </w:r>
      <w:r w:rsidR="00022CBD">
        <w:t xml:space="preserve">, Puerto Rico (Transmitter Site) was causing interference to </w:t>
      </w:r>
      <w:r w:rsidR="006E6EBF">
        <w:t xml:space="preserve">the carrier’s </w:t>
      </w:r>
      <w:r w:rsidR="00014BE5">
        <w:t xml:space="preserve">operations in the 2300 MHz </w:t>
      </w:r>
      <w:r w:rsidR="0055372F">
        <w:t xml:space="preserve">WCS </w:t>
      </w:r>
      <w:r w:rsidR="00014BE5">
        <w:t>band</w:t>
      </w:r>
      <w:r w:rsidR="00BA273D">
        <w:t xml:space="preserve"> and that it believed that OSNET was the </w:t>
      </w:r>
      <w:r w:rsidR="00E37062">
        <w:t>entity operating the device</w:t>
      </w:r>
      <w:r w:rsidR="00014BE5">
        <w:t>.</w:t>
      </w:r>
      <w:r>
        <w:rPr>
          <w:rStyle w:val="FootnoteReference"/>
        </w:rPr>
        <w:footnoteReference w:id="7"/>
      </w:r>
      <w:r w:rsidR="00014BE5">
        <w:t xml:space="preserve">  </w:t>
      </w:r>
      <w:r w:rsidR="00BD398F">
        <w:t xml:space="preserve">The following day, </w:t>
      </w:r>
      <w:r w:rsidR="007136A0">
        <w:t xml:space="preserve">personnel from the </w:t>
      </w:r>
      <w:r w:rsidR="00D87338">
        <w:t xml:space="preserve">Commission’s Enforcement Bureau (Bureau) used direction-finding techniques and confirmed that </w:t>
      </w:r>
      <w:r w:rsidR="00E37062">
        <w:t>a device was operating on 2307</w:t>
      </w:r>
      <w:r w:rsidR="005603E2">
        <w:noBreakHyphen/>
      </w:r>
      <w:r w:rsidR="009066F7">
        <w:t>2327</w:t>
      </w:r>
      <w:r w:rsidR="000A6A55">
        <w:t> </w:t>
      </w:r>
      <w:r w:rsidR="009066F7">
        <w:t xml:space="preserve">MHz from the roof of the Transmitter Site.  </w:t>
      </w:r>
      <w:r w:rsidR="003A17B6">
        <w:t xml:space="preserve">Bureau personnel then traveled to OSNET’s </w:t>
      </w:r>
      <w:r w:rsidR="00B07925">
        <w:t xml:space="preserve">corporate offices, where a representative of the company </w:t>
      </w:r>
      <w:r w:rsidR="00D758AB">
        <w:t xml:space="preserve">confirmed that </w:t>
      </w:r>
      <w:r w:rsidR="0003553C">
        <w:t>it</w:t>
      </w:r>
      <w:r w:rsidR="00D758AB">
        <w:t xml:space="preserve"> operated</w:t>
      </w:r>
      <w:r w:rsidR="00257634">
        <w:t xml:space="preserve"> </w:t>
      </w:r>
      <w:r w:rsidR="007E3F13">
        <w:t xml:space="preserve">two </w:t>
      </w:r>
      <w:r w:rsidR="00257634">
        <w:t xml:space="preserve">Ubiquiti Rocket M2 </w:t>
      </w:r>
      <w:r w:rsidR="007E3F13">
        <w:t>devices (together, the Ubiquiti Devices)</w:t>
      </w:r>
      <w:r w:rsidR="009B1527">
        <w:t>, both of which are intentional radiators</w:t>
      </w:r>
      <w:r w:rsidR="007E3F13">
        <w:t xml:space="preserve">.  </w:t>
      </w:r>
      <w:r w:rsidR="00D747C0">
        <w:t>At the request of Bureau personnel, the OSNET representative used an online tool to access the configurations of the Ubiquiti Devices.  Bureau personnel then observed that both Ubiquiti Devices were configured to operate between 2307</w:t>
      </w:r>
      <w:r w:rsidR="00D747C0">
        <w:noBreakHyphen/>
        <w:t xml:space="preserve">2327 MHz and that both were configured to operate with the “Licensed” country code (rather than the United States country code).  </w:t>
      </w:r>
      <w:r w:rsidR="007F6D00">
        <w:t xml:space="preserve">Bureau personnel </w:t>
      </w:r>
      <w:r w:rsidR="007A37D4">
        <w:t xml:space="preserve">also </w:t>
      </w:r>
      <w:r w:rsidR="007F6D00">
        <w:t xml:space="preserve">observed that </w:t>
      </w:r>
      <w:r w:rsidR="00010FBB">
        <w:t>one Ubiquiti Device at a distant site operated as an access point, while the other Ubiquiti Device</w:t>
      </w:r>
      <w:r w:rsidR="00FF2692">
        <w:t xml:space="preserve">, located at the Transmitter Site, was </w:t>
      </w:r>
      <w:r w:rsidR="007E3F13">
        <w:t xml:space="preserve">configured to operate as a station (or client) of the </w:t>
      </w:r>
      <w:r w:rsidR="00FF2692">
        <w:t xml:space="preserve">distant </w:t>
      </w:r>
      <w:r w:rsidR="007E3F13">
        <w:t xml:space="preserve">Ubiquiti Device </w:t>
      </w:r>
      <w:r w:rsidR="00FF2692">
        <w:t xml:space="preserve">access point.  </w:t>
      </w:r>
      <w:r w:rsidR="007F6D00">
        <w:t xml:space="preserve">An OSNET representative </w:t>
      </w:r>
      <w:r w:rsidR="007E3F13">
        <w:t xml:space="preserve">confirmed that </w:t>
      </w:r>
      <w:r w:rsidR="002F268B">
        <w:t xml:space="preserve">OSNET provides wireless broadband Internet service to a customer located at the </w:t>
      </w:r>
      <w:r w:rsidR="001375A6">
        <w:t>Transmitter Site</w:t>
      </w:r>
      <w:r w:rsidR="00D758AB">
        <w:t xml:space="preserve">.  </w:t>
      </w:r>
    </w:p>
    <w:p w:rsidR="00C60351" w:rsidP="00BE09FA" w14:paraId="49CA1135" w14:textId="123CE50C">
      <w:pPr>
        <w:pStyle w:val="ParaNum"/>
      </w:pPr>
      <w:r>
        <w:t xml:space="preserve">After Bureau personnel explained </w:t>
      </w:r>
      <w:r w:rsidR="001934F8">
        <w:t xml:space="preserve">to OSNET’s representative that the Ubiquiti Devices </w:t>
      </w:r>
      <w:r>
        <w:t xml:space="preserve">were operating in a restricted band, the company’s representative </w:t>
      </w:r>
      <w:r w:rsidR="00BA2190">
        <w:t xml:space="preserve">changed the configuration of </w:t>
      </w:r>
      <w:r w:rsidR="001934F8">
        <w:t xml:space="preserve">both devices </w:t>
      </w:r>
      <w:r w:rsidR="00BA2190">
        <w:t>so that their country codes were properly set to the United States and so that both operated with a center frequency of 2457</w:t>
      </w:r>
      <w:r w:rsidR="000A6A55">
        <w:t> </w:t>
      </w:r>
      <w:r w:rsidR="00BA2190">
        <w:t>MHz</w:t>
      </w:r>
      <w:r w:rsidR="009D5D6A">
        <w:t xml:space="preserve"> with a bandwidth of 20 MHz</w:t>
      </w:r>
      <w:r w:rsidR="00197700">
        <w:t>, which is permitted for unlicensed operations</w:t>
      </w:r>
      <w:r w:rsidR="00BA2190">
        <w:t xml:space="preserve">.  </w:t>
      </w:r>
      <w:r w:rsidR="001375A6">
        <w:t>Bureau personnel</w:t>
      </w:r>
      <w:r w:rsidR="00F26329">
        <w:t xml:space="preserve"> then contacted the wireless carrier, </w:t>
      </w:r>
      <w:r w:rsidR="006965B1">
        <w:t xml:space="preserve">which confirmed that it was no longer experiencing interference to its WCS facilities near the Transmitter Site. </w:t>
      </w:r>
    </w:p>
    <w:p w:rsidR="00C60351" w:rsidP="00C60351" w14:paraId="3AD668F8" w14:textId="0E32025E">
      <w:pPr>
        <w:pStyle w:val="Heading1"/>
      </w:pPr>
      <w:r>
        <w:t>Discussion</w:t>
      </w:r>
    </w:p>
    <w:p w:rsidR="00C60351" w:rsidP="001A5989" w14:paraId="2F919502" w14:textId="3F9FF5BE">
      <w:pPr>
        <w:pStyle w:val="ParaNum"/>
        <w:widowControl/>
      </w:pPr>
      <w:r w:rsidRPr="00754629">
        <w:t xml:space="preserve">We find that </w:t>
      </w:r>
      <w:r w:rsidR="00F0602E">
        <w:t>OSNET</w:t>
      </w:r>
      <w:r w:rsidRPr="00754629">
        <w:t xml:space="preserve"> has apparently willfully violated section 301 of the Act and has also apparently violated sections 15.1(b) and 15.</w:t>
      </w:r>
      <w:r w:rsidR="00B56CC2">
        <w:t>205</w:t>
      </w:r>
      <w:r w:rsidRPr="00754629">
        <w:t xml:space="preserve"> of the Commission’s rules.</w:t>
      </w:r>
      <w:r>
        <w:rPr>
          <w:rStyle w:val="FootnoteReference"/>
        </w:rPr>
        <w:footnoteReference w:id="8"/>
      </w:r>
      <w:r w:rsidRPr="00754629">
        <w:t xml:space="preserve">  Specifically, on December </w:t>
      </w:r>
      <w:r w:rsidR="007E2B77">
        <w:t>12</w:t>
      </w:r>
      <w:r w:rsidRPr="00754629">
        <w:t>, 20</w:t>
      </w:r>
      <w:r w:rsidR="004C4096">
        <w:t>19</w:t>
      </w:r>
      <w:r w:rsidRPr="00754629">
        <w:t xml:space="preserve">, Bureau personnel observed that </w:t>
      </w:r>
      <w:r w:rsidR="007E2B77">
        <w:t xml:space="preserve">OSNET </w:t>
      </w:r>
      <w:r w:rsidRPr="00754629">
        <w:t xml:space="preserve">was operating the two Ubiquiti Devices on </w:t>
      </w:r>
      <w:r w:rsidR="00C705CC">
        <w:t>2307</w:t>
      </w:r>
      <w:r w:rsidR="0072706F">
        <w:noBreakHyphen/>
      </w:r>
      <w:r w:rsidR="00C705CC">
        <w:t>2327</w:t>
      </w:r>
      <w:r w:rsidR="0072706F">
        <w:t> </w:t>
      </w:r>
      <w:r w:rsidR="00C705CC">
        <w:t xml:space="preserve">MHz, which </w:t>
      </w:r>
      <w:r w:rsidR="00A245D3">
        <w:t>falls within the restricted band identified in section 15.205 of the Commission’s rules.</w:t>
      </w:r>
      <w:r>
        <w:rPr>
          <w:rStyle w:val="FootnoteReference"/>
        </w:rPr>
        <w:footnoteReference w:id="9"/>
      </w:r>
      <w:r w:rsidRPr="00754629">
        <w:t xml:space="preserve">  As such, </w:t>
      </w:r>
      <w:r w:rsidR="004A7F1C">
        <w:t>OSNET</w:t>
      </w:r>
      <w:r w:rsidRPr="00754629">
        <w:t xml:space="preserve"> did not satisfy the section 15.1(b) condition for unlicensed operation—namely</w:t>
      </w:r>
      <w:r w:rsidR="00C679C7">
        <w:t>,</w:t>
      </w:r>
      <w:r w:rsidRPr="00754629">
        <w:t xml:space="preserve"> that devices must be operated in accordance with the applicable provisions of part 15 of the Commission’s rules</w:t>
      </w:r>
      <w:r w:rsidR="001A5989">
        <w:t xml:space="preserve"> (here, section 15.205)</w:t>
      </w:r>
      <w:r w:rsidRPr="00754629">
        <w:t>.</w:t>
      </w:r>
      <w:r>
        <w:rPr>
          <w:rStyle w:val="FootnoteReference"/>
        </w:rPr>
        <w:footnoteReference w:id="10"/>
      </w:r>
      <w:r w:rsidRPr="00754629">
        <w:t xml:space="preserve">  Accordingly, because </w:t>
      </w:r>
      <w:r w:rsidR="00EE1EC7">
        <w:t xml:space="preserve">OSNET </w:t>
      </w:r>
      <w:r w:rsidRPr="00754629">
        <w:t xml:space="preserve">holds no license from the Commission permitting operation </w:t>
      </w:r>
      <w:r w:rsidR="00EE1EC7">
        <w:t>within the restricted 2310</w:t>
      </w:r>
      <w:r w:rsidR="001A5989">
        <w:noBreakHyphen/>
      </w:r>
      <w:r w:rsidR="00EE1EC7">
        <w:t>2390</w:t>
      </w:r>
      <w:r w:rsidR="001A5989">
        <w:t> </w:t>
      </w:r>
      <w:r w:rsidR="00EE1EC7">
        <w:t xml:space="preserve">MHz band, </w:t>
      </w:r>
      <w:r w:rsidRPr="00754629">
        <w:t>we find that its operation of the two Ubiquiti Devices apparently violated section 301 of the Act and sections 15.1(b) and 15.</w:t>
      </w:r>
      <w:r w:rsidR="00EE1EC7">
        <w:t>205</w:t>
      </w:r>
      <w:r w:rsidRPr="00754629">
        <w:t xml:space="preserve"> of the Commission’s rules.</w:t>
      </w:r>
      <w:r>
        <w:rPr>
          <w:rStyle w:val="FootnoteReference"/>
        </w:rPr>
        <w:footnoteReference w:id="11"/>
      </w:r>
    </w:p>
    <w:p w:rsidR="00BC1C2D" w:rsidP="00C60351" w14:paraId="25A8625A" w14:textId="1BC94758">
      <w:pPr>
        <w:pStyle w:val="ParaNum"/>
      </w:pPr>
      <w:r w:rsidRPr="00981F23">
        <w:t>Section 503(b) of the Act authorizes the Commission to impose a forfeiture against any entity that “willfully or repeatedly fail[s] to comply with any of the provisions of [the Act] or of any rule, regulation, or order issued by the Commission.”</w:t>
      </w:r>
      <w:r>
        <w:rPr>
          <w:vertAlign w:val="superscript"/>
        </w:rPr>
        <w:footnoteReference w:id="12"/>
      </w:r>
      <w:r w:rsidRPr="00981F23">
        <w:t xml:space="preserve">  Here, </w:t>
      </w:r>
      <w:r>
        <w:t>s</w:t>
      </w:r>
      <w:r w:rsidRPr="00981F23">
        <w:t>ection 503(b)(2)</w:t>
      </w:r>
      <w:r w:rsidR="007652B8">
        <w:t>(D)</w:t>
      </w:r>
      <w:r w:rsidRPr="00981F23">
        <w:t xml:space="preserve"> of the Act authorizes us to assess a forfeiture against </w:t>
      </w:r>
      <w:r w:rsidR="00AF4299">
        <w:t>OSNET</w:t>
      </w:r>
      <w:r w:rsidRPr="00981F23">
        <w:t xml:space="preserve"> of up to $</w:t>
      </w:r>
      <w:r w:rsidR="00F73A97">
        <w:t>20,48</w:t>
      </w:r>
      <w:r w:rsidR="00B15209">
        <w:t>9</w:t>
      </w:r>
      <w:r w:rsidRPr="00981F23">
        <w:t xml:space="preserve"> for each day of a continuing violation, up to a statutory maximum of $</w:t>
      </w:r>
      <w:r w:rsidR="00B15209">
        <w:t xml:space="preserve">153,669 </w:t>
      </w:r>
      <w:r w:rsidRPr="00981F23">
        <w:t>for a single act or failure to act.</w:t>
      </w:r>
      <w:r>
        <w:rPr>
          <w:rStyle w:val="FootnoteReference"/>
          <w:color w:val="000000" w:themeColor="text1"/>
          <w:szCs w:val="22"/>
        </w:rPr>
        <w:footnoteReference w:id="13"/>
      </w:r>
      <w:r w:rsidRPr="00981F23">
        <w:t xml:space="preserve">  In exercising our forfeiture authority, we must consider the “nature, circumstances, extent, and gravity of the violation and, with respect to the violator, the degree of culpability, any history of prior offenses, ability to pay, and such other matters as </w:t>
      </w:r>
      <w:r w:rsidRPr="00981F23">
        <w:t>justice may require.”</w:t>
      </w:r>
      <w:r>
        <w:rPr>
          <w:rStyle w:val="FootnoteReference"/>
          <w:color w:val="000000" w:themeColor="text1"/>
          <w:szCs w:val="22"/>
        </w:rPr>
        <w:footnoteReference w:id="14"/>
      </w:r>
      <w:r w:rsidRPr="00981F23">
        <w:rPr>
          <w:spacing w:val="-2"/>
        </w:rPr>
        <w:t xml:space="preserve">  </w:t>
      </w:r>
      <w:r w:rsidRPr="00981F23">
        <w:t>In addition, the Commission has established forfeiture guidelines; they establish base penalties for certain violations and identify criteria that we consider when determining the appropriate penalty in any given case.</w:t>
      </w:r>
      <w:r>
        <w:rPr>
          <w:rStyle w:val="FootnoteReference"/>
          <w:color w:val="000000" w:themeColor="text1"/>
        </w:rPr>
        <w:footnoteReference w:id="15"/>
      </w:r>
      <w:r w:rsidRPr="00981F23">
        <w:t xml:space="preserve">  Under these guidelines, we may adjust a forfeiture upward for violations that are egregious, intentional, or repeated, or that cause substantial harm or generate substantial economic gain for the violator.</w:t>
      </w:r>
      <w:r>
        <w:rPr>
          <w:rStyle w:val="FootnoteReference"/>
          <w:color w:val="000000" w:themeColor="text1"/>
        </w:rPr>
        <w:footnoteReference w:id="16"/>
      </w:r>
      <w:r w:rsidRPr="00981F23">
        <w:t xml:space="preserve">  </w:t>
      </w:r>
    </w:p>
    <w:p w:rsidR="009929F3" w:rsidRPr="009929F3" w:rsidP="00F23B3A" w14:paraId="20539DAC" w14:textId="32D7D9AD">
      <w:pPr>
        <w:pStyle w:val="ParaNum"/>
      </w:pPr>
      <w:r w:rsidRPr="001B4EA1">
        <w:t xml:space="preserve">Pursuant to the Commission’s </w:t>
      </w:r>
      <w:r w:rsidRPr="001B4EA1">
        <w:rPr>
          <w:i/>
          <w:iCs/>
        </w:rPr>
        <w:t>Forfeiture Policy Statement</w:t>
      </w:r>
      <w:r w:rsidRPr="001B4EA1">
        <w:t xml:space="preserve"> and section 1.80 of the Commission’s rules, the base forfeiture amount for operation without an instrument of authorization is $10,000.</w:t>
      </w:r>
      <w:r>
        <w:rPr>
          <w:vertAlign w:val="superscript"/>
        </w:rPr>
        <w:footnoteReference w:id="17"/>
      </w:r>
      <w:r w:rsidRPr="00981F23" w:rsidR="00E3458F">
        <w:t xml:space="preserve">  </w:t>
      </w:r>
      <w:r w:rsidR="00B15209">
        <w:t>O</w:t>
      </w:r>
      <w:r w:rsidRPr="00AF7E5A" w:rsidR="00AF7E5A">
        <w:t xml:space="preserve">n December 12, </w:t>
      </w:r>
      <w:r w:rsidR="00AF7E5A">
        <w:t xml:space="preserve">2019, OSNET </w:t>
      </w:r>
      <w:r w:rsidRPr="00AF7E5A" w:rsidR="00AF7E5A">
        <w:t xml:space="preserve">apparently operated </w:t>
      </w:r>
      <w:r w:rsidR="009F609F">
        <w:t xml:space="preserve">the </w:t>
      </w:r>
      <w:r w:rsidRPr="00AF7E5A" w:rsidR="00AF7E5A">
        <w:t xml:space="preserve">two Ubiquiti Devices </w:t>
      </w:r>
      <w:r w:rsidR="00AF7E5A">
        <w:t xml:space="preserve">within the </w:t>
      </w:r>
      <w:r w:rsidRPr="00464C3B" w:rsidR="00464C3B">
        <w:t>2310</w:t>
      </w:r>
      <w:r w:rsidR="00FF4116">
        <w:noBreakHyphen/>
      </w:r>
      <w:r w:rsidRPr="00464C3B" w:rsidR="00464C3B">
        <w:t>2390</w:t>
      </w:r>
      <w:r w:rsidR="00FF4116">
        <w:t> </w:t>
      </w:r>
      <w:r w:rsidRPr="00464C3B" w:rsidR="00464C3B">
        <w:t xml:space="preserve">MHz </w:t>
      </w:r>
      <w:r w:rsidR="00AF7E5A">
        <w:t>restricted band</w:t>
      </w:r>
      <w:r w:rsidR="006D4CB7">
        <w:t xml:space="preserve"> set forth in section 15.205 of the Commission’s rules without a license, </w:t>
      </w:r>
      <w:r w:rsidR="00B15209">
        <w:t xml:space="preserve">which is </w:t>
      </w:r>
      <w:r w:rsidR="006D4CB7">
        <w:t>required when o</w:t>
      </w:r>
      <w:r w:rsidRPr="00AF7E5A" w:rsidR="00AF7E5A">
        <w:t>perating outside of the parameters set forth in part 15 of the Commission’s rules</w:t>
      </w:r>
      <w:r w:rsidR="00444FFC">
        <w:t>.</w:t>
      </w:r>
      <w:r>
        <w:rPr>
          <w:rStyle w:val="FootnoteReference"/>
        </w:rPr>
        <w:footnoteReference w:id="18"/>
      </w:r>
      <w:r w:rsidRPr="00AF7E5A" w:rsidR="00AF7E5A">
        <w:t xml:space="preserve"> </w:t>
      </w:r>
      <w:r w:rsidR="00444FFC">
        <w:t xml:space="preserve"> Accordingly, </w:t>
      </w:r>
      <w:r w:rsidRPr="00AF7E5A" w:rsidR="00AF7E5A">
        <w:t xml:space="preserve">we find that </w:t>
      </w:r>
      <w:r w:rsidR="00935CCF">
        <w:t xml:space="preserve">OSNET’s </w:t>
      </w:r>
      <w:r w:rsidRPr="00AF7E5A" w:rsidR="00AF7E5A">
        <w:t>conduct resulted in two separate apparent violations of section 301 of the Act and sections 15.1(b) and 15.</w:t>
      </w:r>
      <w:r w:rsidR="00935CCF">
        <w:t>205</w:t>
      </w:r>
      <w:r w:rsidRPr="00AF7E5A" w:rsidR="00AF7E5A">
        <w:t xml:space="preserve"> of the Commission’s rules</w:t>
      </w:r>
      <w:r w:rsidR="00444FFC">
        <w:t xml:space="preserve">, yielding </w:t>
      </w:r>
      <w:r w:rsidRPr="00AF7E5A" w:rsidR="00AF7E5A">
        <w:t>an aggregate base forfeiture of $20,000.</w:t>
      </w:r>
      <w:r>
        <w:rPr>
          <w:rStyle w:val="FootnoteReference"/>
        </w:rPr>
        <w:footnoteReference w:id="19"/>
      </w:r>
      <w:r w:rsidR="00935CCF">
        <w:t xml:space="preserve">  </w:t>
      </w:r>
      <w:r w:rsidRPr="0020125F" w:rsidR="0020125F">
        <w:t>Taking the statutory factors and applicable precedents into account, we conclude that neither an upward nor a downward adjustment is appropriate here.</w:t>
      </w:r>
      <w:r>
        <w:rPr>
          <w:rStyle w:val="FootnoteReference"/>
        </w:rPr>
        <w:footnoteReference w:id="20"/>
      </w:r>
      <w:r w:rsidRPr="0020125F" w:rsidR="0020125F">
        <w:t xml:space="preserve">  We therefore propose an aggregate forfeiture of $20,000 for </w:t>
      </w:r>
      <w:r w:rsidR="007523FD">
        <w:t xml:space="preserve">OSNET’s </w:t>
      </w:r>
      <w:r w:rsidRPr="0020125F" w:rsidR="0020125F">
        <w:t>apparent violations of section 301 of the Act and sections 15.1(b) and 15.</w:t>
      </w:r>
      <w:r w:rsidR="007523FD">
        <w:t>205</w:t>
      </w:r>
      <w:r w:rsidRPr="0020125F" w:rsidR="0020125F">
        <w:t xml:space="preserve"> of the Commission’s rules.  </w:t>
      </w:r>
    </w:p>
    <w:p w:rsidR="00C60351" w:rsidP="00C60351" w14:paraId="6CE27CD7" w14:textId="1B442BE1">
      <w:pPr>
        <w:pStyle w:val="Heading1"/>
      </w:pPr>
      <w:r>
        <w:t>Conclusion</w:t>
      </w:r>
    </w:p>
    <w:p w:rsidR="00C60351" w:rsidP="00FE646F" w14:paraId="21541767" w14:textId="2A5C294B">
      <w:pPr>
        <w:pStyle w:val="ParaNum"/>
        <w:widowControl/>
      </w:pPr>
      <w:r w:rsidRPr="00DF4EF2">
        <w:t xml:space="preserve">We have determined that </w:t>
      </w:r>
      <w:r>
        <w:t>OSNET</w:t>
      </w:r>
      <w:r w:rsidRPr="00DF4EF2">
        <w:t xml:space="preserve"> apparently willfully violated section 301 of the Act and sections 15.1(b) and 15.</w:t>
      </w:r>
      <w:r>
        <w:t>205</w:t>
      </w:r>
      <w:r w:rsidRPr="00DF4EF2">
        <w:t xml:space="preserve"> of the Commission’s rules.</w:t>
      </w:r>
      <w:r>
        <w:rPr>
          <w:rStyle w:val="FootnoteReference"/>
        </w:rPr>
        <w:footnoteReference w:id="21"/>
      </w:r>
      <w:r w:rsidRPr="00DF4EF2">
        <w:t xml:space="preserve">  As such, </w:t>
      </w:r>
      <w:r>
        <w:t>OSNET</w:t>
      </w:r>
      <w:r w:rsidRPr="00DF4EF2">
        <w:t xml:space="preserve"> is apparently liable for a forfeiture of $20,000.</w:t>
      </w:r>
      <w:r>
        <w:rPr>
          <w:rStyle w:val="FootnoteReference"/>
        </w:rPr>
        <w:footnoteReference w:id="22"/>
      </w:r>
      <w:r>
        <w:t xml:space="preserve"> </w:t>
      </w:r>
    </w:p>
    <w:p w:rsidR="00C60351" w:rsidP="00C60351" w14:paraId="68988A5C" w14:textId="3B5E0C58">
      <w:pPr>
        <w:pStyle w:val="Heading1"/>
      </w:pPr>
      <w:r>
        <w:t>Ordering Clauses</w:t>
      </w:r>
    </w:p>
    <w:p w:rsidR="00E01128" w:rsidRPr="00981F23" w:rsidP="00E01128" w14:paraId="4D6BE440" w14:textId="2AB20F5A">
      <w:pPr>
        <w:pStyle w:val="ParaNum"/>
        <w:rPr>
          <w:spacing w:val="-2"/>
        </w:rPr>
      </w:pPr>
      <w:r w:rsidRPr="00981F23">
        <w:t xml:space="preserve">Accordingly, </w:t>
      </w:r>
      <w:r w:rsidRPr="00981F23">
        <w:rPr>
          <w:b/>
        </w:rPr>
        <w:t>IT IS ORDERED</w:t>
      </w:r>
      <w:r w:rsidRPr="00981F23">
        <w:t xml:space="preserve"> that, pursuant to </w:t>
      </w:r>
      <w:r>
        <w:t>section</w:t>
      </w:r>
      <w:r w:rsidRPr="00981F23">
        <w:t xml:space="preserve"> 503(b) of the </w:t>
      </w:r>
      <w:r>
        <w:t>Act</w:t>
      </w:r>
      <w:r>
        <w:rPr>
          <w:vertAlign w:val="superscript"/>
        </w:rPr>
        <w:footnoteReference w:id="23"/>
      </w:r>
      <w:r w:rsidRPr="00981F23">
        <w:t xml:space="preserve"> and </w:t>
      </w:r>
      <w:r>
        <w:t>section</w:t>
      </w:r>
      <w:r w:rsidRPr="00981F23">
        <w:t>s 1.80 of the</w:t>
      </w:r>
      <w:r>
        <w:t xml:space="preserve"> Commission’s r</w:t>
      </w:r>
      <w:r w:rsidRPr="00981F23">
        <w:t>ules,</w:t>
      </w:r>
      <w:r>
        <w:rPr>
          <w:vertAlign w:val="superscript"/>
        </w:rPr>
        <w:footnoteReference w:id="24"/>
      </w:r>
      <w:r w:rsidRPr="00981F23">
        <w:t xml:space="preserve"> </w:t>
      </w:r>
      <w:r w:rsidR="00FE7D20">
        <w:rPr>
          <w:spacing w:val="-2"/>
        </w:rPr>
        <w:t>OSNET Wireless, Corp.</w:t>
      </w:r>
      <w:r w:rsidRPr="00981F23" w:rsidR="00FE7D20">
        <w:t xml:space="preserve"> </w:t>
      </w:r>
      <w:r w:rsidRPr="00981F23">
        <w:t xml:space="preserve">is hereby </w:t>
      </w:r>
      <w:r w:rsidRPr="00981F23">
        <w:rPr>
          <w:b/>
        </w:rPr>
        <w:t>NOTIFIED</w:t>
      </w:r>
      <w:r w:rsidRPr="00981F23">
        <w:t xml:space="preserve"> of this </w:t>
      </w:r>
      <w:r w:rsidRPr="00981F23">
        <w:rPr>
          <w:b/>
        </w:rPr>
        <w:t xml:space="preserve">APPARENT </w:t>
      </w:r>
      <w:r w:rsidRPr="00981F23">
        <w:rPr>
          <w:b/>
        </w:rPr>
        <w:t>LIABILITY FOR A FORFEITURE</w:t>
      </w:r>
      <w:r w:rsidRPr="00981F23">
        <w:t xml:space="preserve"> in the amount of </w:t>
      </w:r>
      <w:r w:rsidR="00FE7D20">
        <w:t xml:space="preserve">Twenty Thousand Dollars ($20,000) </w:t>
      </w:r>
      <w:r w:rsidRPr="00981F23">
        <w:t xml:space="preserve">for willful violations of </w:t>
      </w:r>
      <w:r>
        <w:t>s</w:t>
      </w:r>
      <w:r w:rsidRPr="00981F23">
        <w:t xml:space="preserve">ection </w:t>
      </w:r>
      <w:r w:rsidR="00FE7D20">
        <w:t xml:space="preserve">301 </w:t>
      </w:r>
      <w:r w:rsidRPr="00981F23">
        <w:t xml:space="preserve">of the </w:t>
      </w:r>
      <w:r>
        <w:t>Act</w:t>
      </w:r>
      <w:r>
        <w:rPr>
          <w:vertAlign w:val="superscript"/>
        </w:rPr>
        <w:footnoteReference w:id="25"/>
      </w:r>
      <w:r w:rsidRPr="00981F23">
        <w:t xml:space="preserve"> </w:t>
      </w:r>
      <w:r w:rsidR="00FE7D20">
        <w:t xml:space="preserve">and </w:t>
      </w:r>
      <w:r>
        <w:t>s</w:t>
      </w:r>
      <w:r w:rsidRPr="00981F23">
        <w:t>ection</w:t>
      </w:r>
      <w:r w:rsidR="00FE7D20">
        <w:t>s</w:t>
      </w:r>
      <w:r w:rsidRPr="00981F23">
        <w:t xml:space="preserve"> </w:t>
      </w:r>
      <w:r w:rsidR="00FE7D20">
        <w:t xml:space="preserve">15.1.(b) and 15.205 </w:t>
      </w:r>
      <w:r w:rsidRPr="00981F23">
        <w:t xml:space="preserve">of the </w:t>
      </w:r>
      <w:r>
        <w:t>Commission’s r</w:t>
      </w:r>
      <w:r w:rsidRPr="00981F23">
        <w:t>ules</w:t>
      </w:r>
      <w:r w:rsidR="00FE7D20">
        <w:t>.</w:t>
      </w:r>
      <w:r>
        <w:rPr>
          <w:vertAlign w:val="superscript"/>
        </w:rPr>
        <w:footnoteReference w:id="26"/>
      </w:r>
    </w:p>
    <w:p w:rsidR="00E01128" w:rsidRPr="00981F23" w:rsidP="00E01128" w14:paraId="3F203D4C" w14:textId="66300D8A">
      <w:pPr>
        <w:pStyle w:val="ParaNum"/>
        <w:rPr>
          <w:spacing w:val="-2"/>
        </w:rPr>
      </w:pPr>
      <w:r w:rsidRPr="00981F23">
        <w:rPr>
          <w:b/>
        </w:rPr>
        <w:t xml:space="preserve">IT IS FURTHER ORDERED </w:t>
      </w:r>
      <w:r w:rsidRPr="00981F23">
        <w:t xml:space="preserve">that, pursuant to </w:t>
      </w:r>
      <w:r>
        <w:t>s</w:t>
      </w:r>
      <w:r w:rsidRPr="00981F23">
        <w:t>ection 1.80 of the</w:t>
      </w:r>
      <w:r>
        <w:t xml:space="preserve"> Commission’s r</w:t>
      </w:r>
      <w:r w:rsidRPr="00981F23">
        <w:t>ules,</w:t>
      </w:r>
      <w:r>
        <w:rPr>
          <w:vertAlign w:val="superscript"/>
        </w:rPr>
        <w:footnoteReference w:id="27"/>
      </w:r>
      <w:r w:rsidRPr="00981F23">
        <w:rPr>
          <w:vertAlign w:val="superscript"/>
        </w:rPr>
        <w:t xml:space="preserve"> </w:t>
      </w:r>
      <w:r w:rsidRPr="00981F23">
        <w:t xml:space="preserve">within thirty (30) calendar days of the release date of this Notice of Apparent Liability for Forfeiture, </w:t>
      </w:r>
      <w:r w:rsidR="00FE7D20">
        <w:rPr>
          <w:spacing w:val="-2"/>
        </w:rPr>
        <w:t>OSNET Wireless, Corp.</w:t>
      </w:r>
      <w:r w:rsidRPr="00981F23" w:rsidR="00FE7D20">
        <w:t xml:space="preserve"> </w:t>
      </w:r>
      <w:r w:rsidRPr="00981F23">
        <w:rPr>
          <w:b/>
        </w:rPr>
        <w:t>SHALL PAY</w:t>
      </w:r>
      <w:r w:rsidRPr="00981F23">
        <w:t xml:space="preserve"> the full amount of the proposed forfeiture or </w:t>
      </w:r>
      <w:r w:rsidRPr="00981F23">
        <w:rPr>
          <w:b/>
        </w:rPr>
        <w:t>SHALL FILE</w:t>
      </w:r>
      <w:r w:rsidRPr="00981F23">
        <w:t xml:space="preserve"> a written statement seeking reduction or cancellation of the proposed forfeiture consistent with paragraph </w:t>
      </w:r>
      <w:r w:rsidR="0011170C">
        <w:fldChar w:fldCharType="begin"/>
      </w:r>
      <w:r w:rsidR="0011170C">
        <w:instrText xml:space="preserve"> REF _Ref46920790 \r \h </w:instrText>
      </w:r>
      <w:r w:rsidR="0011170C">
        <w:fldChar w:fldCharType="separate"/>
      </w:r>
      <w:r w:rsidR="003A4BBF">
        <w:t>14</w:t>
      </w:r>
      <w:r w:rsidR="0011170C">
        <w:fldChar w:fldCharType="end"/>
      </w:r>
      <w:r w:rsidRPr="00981F23">
        <w:t xml:space="preserve"> below.</w:t>
      </w:r>
    </w:p>
    <w:p w:rsidR="00E01128" w:rsidRPr="00981F23" w:rsidP="00E01128" w14:paraId="52DC627A" w14:textId="7CBF9096">
      <w:pPr>
        <w:pStyle w:val="ParaNum"/>
        <w:rPr>
          <w:spacing w:val="-2"/>
        </w:rPr>
      </w:pPr>
      <w:r>
        <w:rPr>
          <w:spacing w:val="-2"/>
        </w:rPr>
        <w:t>OSNET Wireless, Corp.</w:t>
      </w:r>
      <w:r>
        <w:t xml:space="preserve"> </w:t>
      </w:r>
      <w:r>
        <w:t xml:space="preserve">shall send electronic notification of payment to </w:t>
      </w:r>
      <w:r>
        <w:t>the Office of the Field Director</w:t>
      </w:r>
      <w:r>
        <w:t>, Enforcement Bureau, Federal Communications Commission, at</w:t>
      </w:r>
      <w:r>
        <w:t xml:space="preserve"> </w:t>
      </w:r>
      <w:hyperlink r:id="rId5" w:history="1">
        <w:r w:rsidRPr="00122336">
          <w:rPr>
            <w:rStyle w:val="Hyperlink"/>
          </w:rPr>
          <w:t>field@fcc.gov</w:t>
        </w:r>
      </w:hyperlink>
      <w:r>
        <w:t xml:space="preserve"> and </w:t>
      </w:r>
      <w:hyperlink r:id="rId6" w:history="1">
        <w:r w:rsidRPr="00122336" w:rsidR="005A3820">
          <w:rPr>
            <w:rStyle w:val="Hyperlink"/>
          </w:rPr>
          <w:t>matthew.gibson@fcc.gov</w:t>
        </w:r>
      </w:hyperlink>
      <w:r w:rsidR="005A3820">
        <w:t xml:space="preserve"> </w:t>
      </w:r>
      <w:r>
        <w:t xml:space="preserve">on the date said payment is made.  </w:t>
      </w: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28"/>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29"/>
      </w:r>
      <w:r w:rsidRPr="00981F23">
        <w:tab/>
      </w:r>
    </w:p>
    <w:p w:rsidR="00E01128" w:rsidRPr="00AD0726" w:rsidP="00E01128" w14:paraId="6BBAC24D" w14:textId="390ACF84">
      <w:pPr>
        <w:numPr>
          <w:ilvl w:val="0"/>
          <w:numId w:val="9"/>
        </w:numPr>
        <w:spacing w:after="120"/>
      </w:pPr>
      <w:r w:rsidRPr="00AD0726">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122336" w:rsidR="005A3820">
          <w:rPr>
            <w:rStyle w:val="Hyperlink"/>
          </w:rPr>
          <w:t>RROGWireFaxes@fcc.gov</w:t>
        </w:r>
      </w:hyperlink>
      <w:r w:rsidR="005A3820">
        <w:t xml:space="preserve"> </w:t>
      </w:r>
      <w:r w:rsidRPr="00AD0726">
        <w:t xml:space="preserve"> 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“FORF” in block number 24A (payment type code), and </w:t>
      </w:r>
      <w:r>
        <w:t>enter</w:t>
      </w:r>
      <w:r w:rsidRPr="00AD0726">
        <w:t xml:space="preserve"> </w:t>
      </w:r>
      <w:r>
        <w:t xml:space="preserve">in block number 11 </w:t>
      </w:r>
      <w:r w:rsidRPr="00AD0726">
        <w:t>the FRN(s) captioned abov</w:t>
      </w:r>
      <w:r>
        <w:t>e (Payor FRN)</w:t>
      </w:r>
      <w:r w:rsidRPr="00AD0726">
        <w:t>.</w:t>
      </w:r>
      <w:r>
        <w:rPr>
          <w:rStyle w:val="FootnoteReference"/>
        </w:rPr>
        <w:footnoteReference w:id="30"/>
      </w:r>
      <w:r w:rsidRPr="00AD0726">
        <w:t xml:space="preserve">  For additional detail and wire transfer instructions</w:t>
      </w:r>
      <w:r>
        <w:t>,</w:t>
      </w:r>
      <w:r w:rsidRPr="00AD0726">
        <w:t xml:space="preserve"> go to </w:t>
      </w:r>
      <w:hyperlink r:id="rId8" w:history="1">
        <w:r w:rsidRPr="0088797D">
          <w:rPr>
            <w:rStyle w:val="Hyperlink"/>
            <w:rFonts w:eastAsiaTheme="minorHAnsi"/>
            <w:kern w:val="0"/>
          </w:rPr>
          <w:t>https://www.fcc.gov/licensing-databases/fees/wire-transfer</w:t>
        </w:r>
      </w:hyperlink>
      <w:r w:rsidRPr="00AD0726">
        <w:t xml:space="preserve">.  </w:t>
      </w:r>
    </w:p>
    <w:p w:rsidR="00E01128" w:rsidRPr="00AD0726" w:rsidP="00E01128" w14:paraId="76BCF7F5" w14:textId="77777777">
      <w:pPr>
        <w:numPr>
          <w:ilvl w:val="0"/>
          <w:numId w:val="9"/>
        </w:numPr>
        <w:spacing w:after="120"/>
      </w:pPr>
      <w:r w:rsidRPr="00AD0726">
        <w:t xml:space="preserve">Payment by credit card must be made by using the </w:t>
      </w:r>
      <w:r>
        <w:t xml:space="preserve">Commission’s </w:t>
      </w:r>
      <w:r w:rsidRPr="00AD0726">
        <w:t xml:space="preserve">Fee Filer website at </w:t>
      </w:r>
      <w:hyperlink r:id="rId9" w:history="1">
        <w:r w:rsidRPr="0088797D">
          <w:rPr>
            <w:rStyle w:val="Hyperlink"/>
          </w:rPr>
          <w:t>https://apps.fcc.gov/FeeFiler/login.cfm</w:t>
        </w:r>
      </w:hyperlink>
      <w:r w:rsidRPr="00AD0726">
        <w:t xml:space="preserve">.  </w:t>
      </w:r>
      <w:r>
        <w:t xml:space="preserve">To pay by credit card, </w:t>
      </w:r>
      <w:r w:rsidRPr="00AD0726">
        <w:t>log-in using the FRN captioned above.  If payment must be split across FRNs</w:t>
      </w:r>
      <w:r>
        <w:t>,</w:t>
      </w:r>
      <w:r w:rsidRPr="00AD0726">
        <w:t xml:space="preserve"> complete this process for each FRN. </w:t>
      </w:r>
      <w:r>
        <w:t xml:space="preserve"> Next, </w:t>
      </w:r>
      <w:r w:rsidRPr="00AD0726">
        <w:t>select “Pay bills” on the Fee Filer Menu</w:t>
      </w:r>
      <w:r>
        <w:t xml:space="preserve">, </w:t>
      </w:r>
      <w:r w:rsidRPr="00AD0726">
        <w:t xml:space="preserve">and select the bill number associated </w:t>
      </w:r>
      <w:r>
        <w:t>with</w:t>
      </w:r>
      <w:r w:rsidRPr="00AD0726">
        <w:t xml:space="preserve"> the NAL Account – the bill number is the NAL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E01128" w:rsidRPr="00981F23" w:rsidP="00E01128" w14:paraId="4A817919" w14:textId="77777777">
      <w:pPr>
        <w:widowControl/>
        <w:numPr>
          <w:ilvl w:val="0"/>
          <w:numId w:val="8"/>
        </w:numPr>
        <w:spacing w:after="120"/>
        <w:rPr>
          <w:b/>
          <w:color w:val="000000" w:themeColor="text1"/>
          <w:szCs w:val="22"/>
        </w:rPr>
      </w:pPr>
      <w:r w:rsidRPr="00AD0726">
        <w:t>Payment by ACH</w:t>
      </w:r>
      <w:r>
        <w:t xml:space="preserve"> </w:t>
      </w:r>
      <w:r w:rsidRPr="00AD0726">
        <w:t xml:space="preserve">must be made by using the Commission’s Fee Filer website at </w:t>
      </w:r>
      <w:hyperlink r:id="rId9" w:history="1">
        <w:r w:rsidRPr="0088797D">
          <w:rPr>
            <w:rStyle w:val="Hyperlink"/>
            <w:rFonts w:eastAsiaTheme="minorHAnsi"/>
            <w:kern w:val="0"/>
          </w:rPr>
          <w:t>https://apps.fcc.gov/FeeFiler/login.cfm</w:t>
        </w:r>
      </w:hyperlink>
      <w:r w:rsidRPr="00AD0726">
        <w:t xml:space="preserve">.  </w:t>
      </w:r>
      <w:r>
        <w:t>To pay by ACH,</w:t>
      </w:r>
      <w:r w:rsidRPr="00AD0726">
        <w:t xml:space="preserve"> log</w:t>
      </w:r>
      <w:r>
        <w:t xml:space="preserve"> </w:t>
      </w:r>
      <w:r w:rsidRPr="00AD0726">
        <w:t>in using the FRN captioned above.   If payment must be split across FRNs</w:t>
      </w:r>
      <w:r>
        <w:t>,</w:t>
      </w:r>
      <w:r w:rsidRPr="00AD0726">
        <w:t xml:space="preserve"> complete this process for each FRN. </w:t>
      </w:r>
      <w:r>
        <w:t xml:space="preserve"> Next, </w:t>
      </w:r>
      <w:r w:rsidRPr="00AD0726">
        <w:t>select “Pay bills” on the Fee Filer Menu and then select the bill number associated to the NAL Account – the bill number is the NAL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w:t>
      </w:r>
      <w:r>
        <w:t xml:space="preserve">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p>
    <w:p w:rsidR="00E01128" w:rsidRPr="00981F23" w:rsidP="00E01128" w14:paraId="640FA11A" w14:textId="122DBE7D">
      <w:pPr>
        <w:pStyle w:val="ParaNum"/>
      </w:pPr>
      <w:r w:rsidRPr="00981F23">
        <w:t xml:space="preserve">Any request for making full payment over time under an installment plan should be sent to:  Chief Financial Officer—Financial Operations, Federal Communications Commission, 45 </w:t>
      </w:r>
      <w:r w:rsidR="00C5212D">
        <w:t>L</w:t>
      </w:r>
      <w:r w:rsidRPr="00981F23">
        <w:t xml:space="preserve"> Street, </w:t>
      </w:r>
      <w:r w:rsidR="00C5212D">
        <w:t>NE</w:t>
      </w:r>
      <w:r w:rsidRPr="00981F23">
        <w:t>, Washington, DC 20554.</w:t>
      </w:r>
      <w:r>
        <w:rPr>
          <w:rStyle w:val="FootnoteReference"/>
          <w:szCs w:val="22"/>
        </w:rPr>
        <w:footnoteReference w:id="31"/>
      </w:r>
      <w:r w:rsidRPr="00981F23">
        <w:t xml:space="preserve">  </w:t>
      </w:r>
      <w:r>
        <w:t>Q</w:t>
      </w:r>
      <w:r w:rsidRPr="00981F23">
        <w:t>uestion</w:t>
      </w:r>
      <w:r>
        <w:t xml:space="preserve">s regarding payment procedures </w:t>
      </w:r>
      <w:r w:rsidRPr="00981F23">
        <w:t xml:space="preserve">should </w:t>
      </w:r>
      <w:r>
        <w:t>be directed to</w:t>
      </w:r>
      <w:r w:rsidRPr="00981F23">
        <w:t xml:space="preserve"> the Financial Operations Group Help Desk by phone, 1-877-480-3201, or by e-mail, </w:t>
      </w:r>
      <w:hyperlink r:id="rId10" w:history="1">
        <w:r w:rsidRPr="00122336" w:rsidR="005A3820">
          <w:rPr>
            <w:rStyle w:val="Hyperlink"/>
          </w:rPr>
          <w:t>ARINQUIRIES@fcc.gov</w:t>
        </w:r>
      </w:hyperlink>
      <w:r w:rsidRPr="00981F23">
        <w:t>.</w:t>
      </w:r>
      <w:r w:rsidR="005A3820">
        <w:t xml:space="preserve"> </w:t>
      </w:r>
    </w:p>
    <w:p w:rsidR="00E01128" w:rsidRPr="00981F23" w:rsidP="00E01128" w14:paraId="46A4474C" w14:textId="7149A697">
      <w:pPr>
        <w:pStyle w:val="ParaNum"/>
      </w:pPr>
      <w:bookmarkStart w:id="2" w:name="_Ref46920790"/>
      <w:r w:rsidRPr="00981F23">
        <w:t xml:space="preserve">The written statement seeking reduction or cancellation of the proposed forfeiture, if any, must include a detailed factual statement supported by appropriate documentation and affidavits pursuant to </w:t>
      </w:r>
      <w:r>
        <w:t>s</w:t>
      </w:r>
      <w:r w:rsidRPr="00981F23">
        <w:t xml:space="preserve">ections 1.16 and 1.80(f)(3) of the </w:t>
      </w:r>
      <w:r>
        <w:t>Commission’s r</w:t>
      </w:r>
      <w:r w:rsidRPr="00981F23">
        <w:t>ules.</w:t>
      </w:r>
      <w:r>
        <w:rPr>
          <w:vertAlign w:val="superscript"/>
        </w:rPr>
        <w:footnoteReference w:id="32"/>
      </w:r>
      <w:r w:rsidRPr="00981F23">
        <w:t xml:space="preserve">  The written statement must be mailed to the Office of the Secretary, Federal Communications Commission, 45</w:t>
      </w:r>
      <w:r w:rsidR="00382FD8">
        <w:t xml:space="preserve"> L Street, NE, </w:t>
      </w:r>
      <w:r w:rsidRPr="00981F23">
        <w:t xml:space="preserve">Washington, DC 20554, ATTN:  Enforcement Bureau – </w:t>
      </w:r>
      <w:r w:rsidR="005A3820">
        <w:t>Office of the Field Director</w:t>
      </w:r>
      <w:r w:rsidRPr="00981F23">
        <w:t xml:space="preserve">, and must include the NAL/Account Number referenced in the caption.  The statement must also be e-mailed to </w:t>
      </w:r>
      <w:hyperlink r:id="rId5" w:history="1">
        <w:r w:rsidRPr="00122336" w:rsidR="005A3820">
          <w:rPr>
            <w:rStyle w:val="Hyperlink"/>
          </w:rPr>
          <w:t>field@fcc.gov</w:t>
        </w:r>
      </w:hyperlink>
      <w:r w:rsidR="005A3820">
        <w:t xml:space="preserve"> and </w:t>
      </w:r>
      <w:hyperlink r:id="rId6" w:history="1">
        <w:r w:rsidRPr="001D464C" w:rsidR="0019282F">
          <w:rPr>
            <w:rStyle w:val="Hyperlink"/>
          </w:rPr>
          <w:t>matthew.gibson@fcc.gov</w:t>
        </w:r>
      </w:hyperlink>
      <w:r w:rsidRPr="00981F23">
        <w:t>.</w:t>
      </w:r>
      <w:bookmarkEnd w:id="2"/>
      <w:r w:rsidRPr="00981F23">
        <w:t xml:space="preserve">  </w:t>
      </w:r>
    </w:p>
    <w:p w:rsidR="00E01128" w:rsidRPr="00981F23" w:rsidP="00E01128" w14:paraId="27501B2F" w14:textId="7BA18065">
      <w:pPr>
        <w:pStyle w:val="ParaNum"/>
      </w:pPr>
      <w:r w:rsidRPr="00981F23">
        <w:t>The Commission will not consider reducing or canceling a forfeiture in response to a claim of inability to pay unless the petitioner submits</w:t>
      </w:r>
      <w:r>
        <w:t xml:space="preserve"> the following documentation</w:t>
      </w:r>
      <w:r w:rsidRPr="00981F23">
        <w:t xml:space="preserve">:  (1) federal tax returns for the </w:t>
      </w:r>
      <w:r>
        <w:t>past three years</w:t>
      </w:r>
      <w:r w:rsidRPr="00981F23">
        <w:t xml:space="preserve">; (2) financial statements </w:t>
      </w:r>
      <w:r>
        <w:t xml:space="preserve">for the past three years </w:t>
      </w:r>
      <w:r w:rsidRPr="00981F23">
        <w:t>prepared according to generally accepted accounting practices; or (3)</w:t>
      </w:r>
      <w:r>
        <w:t> </w:t>
      </w:r>
      <w:r w:rsidRPr="00981F23">
        <w:t>some other reliable and objective documentation that accurately reflects the petitioner’s current financial status.</w:t>
      </w:r>
      <w:r>
        <w:rPr>
          <w:rStyle w:val="FootnoteReference"/>
        </w:rPr>
        <w:footnoteReference w:id="33"/>
      </w:r>
      <w:r w:rsidRPr="00981F23">
        <w:t xml:space="preserve">  Any claim of inability to pay must specifically identify the basis for the claim by reference to the financial documentation.</w:t>
      </w:r>
      <w:r>
        <w:t xml:space="preserve">  </w:t>
      </w:r>
      <w:r w:rsidRPr="009A58BC">
        <w:t xml:space="preserve">Inability to pay, however, is only one of several factors that the Commission will consider in determining the appropriate forfeiture, and we </w:t>
      </w:r>
      <w:r>
        <w:t>retain the</w:t>
      </w:r>
      <w:r w:rsidRPr="009A58BC">
        <w:t xml:space="preserve"> discretion to decline reducing or canceling the forfeiture if other prongs of 47 U.S.C. §</w:t>
      </w:r>
      <w:r w:rsidR="003C5A23">
        <w:t> </w:t>
      </w:r>
      <w:r w:rsidRPr="009A58BC">
        <w:t>503(b)(2)(E) support that result</w:t>
      </w:r>
      <w:r>
        <w:t>.</w:t>
      </w:r>
      <w:r>
        <w:rPr>
          <w:rStyle w:val="FootnoteReference"/>
        </w:rPr>
        <w:footnoteReference w:id="34"/>
      </w:r>
    </w:p>
    <w:p w:rsidR="00E01128" w:rsidRPr="00981F23" w:rsidP="004F2F32" w14:paraId="472F951E" w14:textId="4385ED85">
      <w:pPr>
        <w:pStyle w:val="ParaNum"/>
        <w:keepNext/>
        <w:widowControl/>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5A3820">
        <w:rPr>
          <w:spacing w:val="-2"/>
        </w:rPr>
        <w:t>OSNET Wireless, Corp.</w:t>
      </w:r>
      <w:r w:rsidR="005A3820">
        <w:t>,</w:t>
      </w:r>
      <w:r w:rsidRPr="00633DAF" w:rsidR="00633DAF">
        <w:t xml:space="preserve"> U</w:t>
      </w:r>
      <w:r w:rsidR="00633DAF">
        <w:t>rb</w:t>
      </w:r>
      <w:r w:rsidRPr="00633DAF" w:rsidR="00633DAF">
        <w:t>. G</w:t>
      </w:r>
      <w:r w:rsidR="00633DAF">
        <w:t>omez</w:t>
      </w:r>
      <w:r w:rsidRPr="00633DAF" w:rsidR="00633DAF">
        <w:t xml:space="preserve"> #3, H</w:t>
      </w:r>
      <w:r w:rsidR="00633DAF">
        <w:t>umacao</w:t>
      </w:r>
      <w:r w:rsidRPr="00633DAF" w:rsidR="00633DAF">
        <w:t>, PR, 00792-2851</w:t>
      </w:r>
      <w:r w:rsidRPr="00981F23">
        <w:t>.</w:t>
      </w:r>
    </w:p>
    <w:p w:rsidR="00A3542A" w:rsidP="004F2F32" w14:paraId="3BEDB83A" w14:textId="77777777">
      <w:pPr>
        <w:keepNext/>
        <w:widowControl/>
        <w:spacing w:before="240"/>
        <w:rPr>
          <w:color w:val="000000" w:themeColor="text1"/>
        </w:rPr>
      </w:pPr>
    </w:p>
    <w:p w:rsidR="00E01128" w:rsidRPr="00981F23" w:rsidP="004F2F32" w14:paraId="34A6908A" w14:textId="361AC469">
      <w:pPr>
        <w:keepNext/>
        <w:widowControl/>
        <w:spacing w:before="240"/>
        <w:rPr>
          <w:color w:val="000000" w:themeColor="text1"/>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t>FEDERAL COMMUNICATIONS COMMISSION</w:t>
      </w:r>
    </w:p>
    <w:p w:rsidR="00E01128" w:rsidRPr="00981F23" w:rsidP="004F2F32" w14:paraId="7503CBD5" w14:textId="77777777">
      <w:pPr>
        <w:keepNext/>
        <w:widowControl/>
        <w:rPr>
          <w:color w:val="000000" w:themeColor="text1"/>
        </w:rPr>
      </w:pPr>
    </w:p>
    <w:p w:rsidR="00E01128" w:rsidRPr="00981F23" w:rsidP="004F2F32" w14:paraId="2DAF9215" w14:textId="77777777">
      <w:pPr>
        <w:keepNext/>
        <w:widowControl/>
        <w:rPr>
          <w:color w:val="000000" w:themeColor="text1"/>
        </w:rPr>
      </w:pPr>
    </w:p>
    <w:p w:rsidR="00E01128" w:rsidRPr="00981F23" w:rsidP="004F2F32" w14:paraId="4383F217" w14:textId="77777777">
      <w:pPr>
        <w:keepNext/>
        <w:widowControl/>
        <w:rPr>
          <w:color w:val="000000" w:themeColor="text1"/>
        </w:rPr>
      </w:pPr>
    </w:p>
    <w:p w:rsidR="00E01128" w:rsidRPr="00981F23" w:rsidP="004F2F32" w14:paraId="37EB3A9E" w14:textId="77777777">
      <w:pPr>
        <w:keepNext/>
        <w:widowControl/>
        <w:rPr>
          <w:color w:val="000000" w:themeColor="text1"/>
        </w:rPr>
      </w:pPr>
    </w:p>
    <w:p w:rsidR="00E01128" w:rsidRPr="006D73F2" w:rsidP="004F2F32" w14:paraId="56348634" w14:textId="77777777">
      <w:pPr>
        <w:keepNext/>
        <w:widowControl/>
        <w:ind w:left="4410"/>
        <w:rPr>
          <w:szCs w:val="22"/>
        </w:rPr>
      </w:pP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r w:rsidRPr="00981F23">
        <w:rPr>
          <w:color w:val="000000" w:themeColor="text1"/>
        </w:rPr>
        <w:tab/>
      </w:r>
    </w:p>
    <w:p w:rsidR="004F2F32" w:rsidP="004F2F32" w14:paraId="70A6F20F" w14:textId="77777777">
      <w:pPr>
        <w:keepNext/>
        <w:widowControl/>
        <w:ind w:left="4410"/>
        <w:rPr>
          <w:szCs w:val="22"/>
        </w:rPr>
      </w:pPr>
      <w:r>
        <w:rPr>
          <w:szCs w:val="22"/>
        </w:rPr>
        <w:t>Ronald Ramage</w:t>
      </w:r>
    </w:p>
    <w:p w:rsidR="004F2F32" w:rsidP="004F2F32" w14:paraId="5806FEF4" w14:textId="16556F0B">
      <w:pPr>
        <w:keepNext/>
        <w:widowControl/>
        <w:ind w:left="4410"/>
        <w:rPr>
          <w:szCs w:val="22"/>
        </w:rPr>
      </w:pPr>
      <w:r>
        <w:rPr>
          <w:szCs w:val="22"/>
        </w:rPr>
        <w:t>Regional Director, Region Two</w:t>
      </w:r>
    </w:p>
    <w:p w:rsidR="00E01128" w:rsidRPr="00E01128" w:rsidP="004F2F32" w14:paraId="220C5028" w14:textId="2A3E038D">
      <w:pPr>
        <w:keepNext/>
        <w:widowControl/>
        <w:ind w:left="4410"/>
      </w:pPr>
      <w:r>
        <w:rPr>
          <w:szCs w:val="22"/>
        </w:rPr>
        <w:t xml:space="preserve">Enforcement Bureau </w:t>
      </w: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7A9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08A7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7113E" w14:paraId="24F3D25A" w14:textId="22CF2AC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53450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6D8F" w14:paraId="434E579A" w14:textId="77777777">
      <w:r>
        <w:separator/>
      </w:r>
    </w:p>
  </w:footnote>
  <w:footnote w:type="continuationSeparator" w:id="1">
    <w:p w:rsidR="00656D8F" w:rsidP="00C721AC" w14:paraId="652BCCCB" w14:textId="77777777">
      <w:pPr>
        <w:spacing w:before="120"/>
        <w:rPr>
          <w:sz w:val="20"/>
        </w:rPr>
      </w:pPr>
      <w:r>
        <w:rPr>
          <w:sz w:val="20"/>
        </w:rPr>
        <w:t xml:space="preserve">(Continued from previous page)  </w:t>
      </w:r>
      <w:r>
        <w:rPr>
          <w:sz w:val="20"/>
        </w:rPr>
        <w:separator/>
      </w:r>
    </w:p>
  </w:footnote>
  <w:footnote w:type="continuationNotice" w:id="2">
    <w:p w:rsidR="00656D8F" w:rsidP="00C721AC" w14:paraId="5FB3C22E" w14:textId="77777777">
      <w:pPr>
        <w:jc w:val="right"/>
        <w:rPr>
          <w:sz w:val="20"/>
        </w:rPr>
      </w:pPr>
      <w:r>
        <w:rPr>
          <w:sz w:val="20"/>
        </w:rPr>
        <w:t>(continued….)</w:t>
      </w:r>
    </w:p>
  </w:footnote>
  <w:footnote w:id="3">
    <w:p w:rsidR="001269BD" w14:paraId="6C1B5C58" w14:textId="0B3A4482">
      <w:pPr>
        <w:pStyle w:val="FootnoteText"/>
      </w:pPr>
      <w:r>
        <w:rPr>
          <w:rStyle w:val="FootnoteReference"/>
        </w:rPr>
        <w:footnoteRef/>
      </w:r>
      <w:r>
        <w:t xml:space="preserve"> </w:t>
      </w:r>
      <w:r w:rsidR="00BA2B68">
        <w:t>47 U.S.C. § 301.</w:t>
      </w:r>
    </w:p>
  </w:footnote>
  <w:footnote w:id="4">
    <w:p w:rsidR="001269BD" w14:paraId="0700C049" w14:textId="0998C780">
      <w:pPr>
        <w:pStyle w:val="FootnoteText"/>
      </w:pPr>
      <w:r>
        <w:rPr>
          <w:rStyle w:val="FootnoteReference"/>
        </w:rPr>
        <w:footnoteRef/>
      </w:r>
      <w:r>
        <w:t xml:space="preserve"> </w:t>
      </w:r>
      <w:r w:rsidRPr="007A3B7D" w:rsidR="007A3B7D">
        <w:rPr>
          <w:i/>
          <w:iCs/>
        </w:rPr>
        <w:t>See</w:t>
      </w:r>
      <w:r w:rsidRPr="007A3B7D" w:rsidR="007A3B7D">
        <w:t xml:space="preserve"> 47 CFR §§ 15.1, </w:t>
      </w:r>
      <w:r w:rsidRPr="007A3B7D" w:rsidR="007A3B7D">
        <w:rPr>
          <w:i/>
          <w:iCs/>
        </w:rPr>
        <w:t>et seq</w:t>
      </w:r>
      <w:r w:rsidR="007A3B7D">
        <w:rPr>
          <w:i/>
          <w:iCs/>
        </w:rPr>
        <w:t>.</w:t>
      </w:r>
    </w:p>
  </w:footnote>
  <w:footnote w:id="5">
    <w:p w:rsidR="007C672A" w:rsidRPr="00093989" w14:paraId="54754071" w14:textId="5C56E0E6">
      <w:pPr>
        <w:pStyle w:val="FootnoteText"/>
      </w:pPr>
      <w:r>
        <w:rPr>
          <w:rStyle w:val="FootnoteReference"/>
        </w:rPr>
        <w:footnoteRef/>
      </w:r>
      <w:r>
        <w:t xml:space="preserve"> </w:t>
      </w:r>
      <w:r w:rsidR="0041418C">
        <w:t>47 CFR § 15.1(b).</w:t>
      </w:r>
      <w:r w:rsidR="00214B53">
        <w:t xml:space="preserve">  An “intentional radiator” is </w:t>
      </w:r>
      <w:r w:rsidR="00B973E7">
        <w:t>defined as “</w:t>
      </w:r>
      <w:r w:rsidR="00093989">
        <w:t>[a] device that intentionally generates and emits radio frequency energy by radiation or induction.”  47 CFR § 15.3(o).</w:t>
      </w:r>
    </w:p>
  </w:footnote>
  <w:footnote w:id="6">
    <w:p w:rsidR="008E32CE" w14:paraId="69A93B86" w14:textId="1C988CC2">
      <w:pPr>
        <w:pStyle w:val="FootnoteText"/>
      </w:pPr>
      <w:r>
        <w:rPr>
          <w:rStyle w:val="FootnoteReference"/>
        </w:rPr>
        <w:footnoteRef/>
      </w:r>
      <w:r>
        <w:t xml:space="preserve"> </w:t>
      </w:r>
      <w:r w:rsidR="000A6A55">
        <w:t>47 CFR § 15.205(a).</w:t>
      </w:r>
    </w:p>
  </w:footnote>
  <w:footnote w:id="7">
    <w:p w:rsidR="00135F53" w:rsidRPr="00BA0E33" w14:paraId="007AB48F" w14:textId="76C186A9">
      <w:pPr>
        <w:pStyle w:val="FootnoteText"/>
      </w:pPr>
      <w:r>
        <w:rPr>
          <w:rStyle w:val="FootnoteReference"/>
        </w:rPr>
        <w:footnoteRef/>
      </w:r>
      <w:r>
        <w:t xml:space="preserve"> </w:t>
      </w:r>
      <w:r w:rsidR="00BA0E33">
        <w:rPr>
          <w:i/>
          <w:iCs/>
        </w:rPr>
        <w:t>See</w:t>
      </w:r>
      <w:r w:rsidR="00BA0E33">
        <w:t xml:space="preserve"> Complaint, FCC File No. ESIX000036</w:t>
      </w:r>
      <w:r w:rsidR="00B3418E">
        <w:t xml:space="preserve"> (</w:t>
      </w:r>
      <w:r w:rsidR="005B0F6B">
        <w:t>Dec. 11, 2019)</w:t>
      </w:r>
      <w:r w:rsidR="00242736">
        <w:t xml:space="preserve"> (on file in EB-FIELDSCR-</w:t>
      </w:r>
      <w:r w:rsidR="00242736">
        <w:rPr>
          <w:spacing w:val="-2"/>
        </w:rPr>
        <w:t>19-00030378)</w:t>
      </w:r>
      <w:r w:rsidR="00BA0E33">
        <w:t xml:space="preserve">. </w:t>
      </w:r>
    </w:p>
  </w:footnote>
  <w:footnote w:id="8">
    <w:p w:rsidR="00B56CC2" w14:paraId="49F0EE76" w14:textId="5D803E72">
      <w:pPr>
        <w:pStyle w:val="FootnoteText"/>
      </w:pPr>
      <w:r>
        <w:rPr>
          <w:rStyle w:val="FootnoteReference"/>
        </w:rPr>
        <w:footnoteRef/>
      </w:r>
      <w:r>
        <w:t xml:space="preserve"> </w:t>
      </w:r>
      <w:r w:rsidR="00040046">
        <w:t>47 U.S.C. § 301; 47 CFR §§ 15.1(b), 15.205(a).</w:t>
      </w:r>
    </w:p>
  </w:footnote>
  <w:footnote w:id="9">
    <w:p w:rsidR="00625364" w14:paraId="19F3B994" w14:textId="7C39C2AE">
      <w:pPr>
        <w:pStyle w:val="FootnoteText"/>
      </w:pPr>
      <w:r>
        <w:rPr>
          <w:rStyle w:val="FootnoteReference"/>
        </w:rPr>
        <w:footnoteRef/>
      </w:r>
      <w:r>
        <w:t xml:space="preserve"> 47 CFR § 15.205(a).</w:t>
      </w:r>
    </w:p>
  </w:footnote>
  <w:footnote w:id="10">
    <w:p w:rsidR="0053216A" w14:paraId="74AE2A24" w14:textId="643B179D">
      <w:pPr>
        <w:pStyle w:val="FootnoteText"/>
      </w:pPr>
      <w:r>
        <w:rPr>
          <w:rStyle w:val="FootnoteReference"/>
        </w:rPr>
        <w:footnoteRef/>
      </w:r>
      <w:r>
        <w:t xml:space="preserve"> </w:t>
      </w:r>
      <w:r w:rsidR="00625364">
        <w:t>47 CFR §</w:t>
      </w:r>
      <w:r w:rsidR="005E2715">
        <w:t>§</w:t>
      </w:r>
      <w:r w:rsidR="00625364">
        <w:t xml:space="preserve"> 15.1(b)</w:t>
      </w:r>
      <w:r w:rsidR="005E2715">
        <w:t>; 15.205</w:t>
      </w:r>
      <w:r w:rsidR="00625364">
        <w:t>.</w:t>
      </w:r>
    </w:p>
  </w:footnote>
  <w:footnote w:id="11">
    <w:p w:rsidR="00EE1EC7" w14:paraId="14028461" w14:textId="5845AB26">
      <w:pPr>
        <w:pStyle w:val="FootnoteText"/>
      </w:pPr>
      <w:r>
        <w:rPr>
          <w:rStyle w:val="FootnoteReference"/>
        </w:rPr>
        <w:footnoteRef/>
      </w:r>
      <w:r>
        <w:t xml:space="preserve"> </w:t>
      </w:r>
      <w:r w:rsidR="00444FFC">
        <w:t>47 U.S.C. § 301; 47 CFR §§ 15.1(b), 15.205.</w:t>
      </w:r>
    </w:p>
  </w:footnote>
  <w:footnote w:id="12">
    <w:p w:rsidR="00D57C66" w:rsidRPr="00981F23" w:rsidP="00D57C66" w14:paraId="67E6AFA8" w14:textId="7BA47219">
      <w:pPr>
        <w:pStyle w:val="FootnoteText"/>
        <w:rPr>
          <w:b/>
          <w:i/>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13">
    <w:p w:rsidR="00D57C66" w:rsidRPr="00981F23" w:rsidP="00D57C66" w14:paraId="17EDB260" w14:textId="55060EFA">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See</w:t>
      </w:r>
      <w:r w:rsidRPr="00981F23">
        <w:rPr>
          <w:color w:val="000000" w:themeColor="text1"/>
        </w:rPr>
        <w:t xml:space="preserve"> </w:t>
      </w:r>
      <w:r w:rsidRPr="00981F23">
        <w:rPr>
          <w:snapToGrid w:val="0"/>
          <w:color w:val="000000" w:themeColor="text1"/>
        </w:rPr>
        <w:t>47 U.S.C. § 503(b)(</w:t>
      </w:r>
      <w:r w:rsidR="00444FFC">
        <w:rPr>
          <w:snapToGrid w:val="0"/>
          <w:color w:val="000000" w:themeColor="text1"/>
        </w:rPr>
        <w:t>2)(D)</w:t>
      </w:r>
      <w:r w:rsidRPr="00981F23">
        <w:rPr>
          <w:snapToGrid w:val="0"/>
          <w:color w:val="000000" w:themeColor="text1"/>
        </w:rPr>
        <w:t xml:space="preserve">; 47 </w:t>
      </w:r>
      <w:r>
        <w:rPr>
          <w:snapToGrid w:val="0"/>
          <w:color w:val="000000" w:themeColor="text1"/>
        </w:rPr>
        <w:t>CFR</w:t>
      </w:r>
      <w:r w:rsidRPr="00981F23">
        <w:rPr>
          <w:snapToGrid w:val="0"/>
          <w:color w:val="000000" w:themeColor="text1"/>
        </w:rPr>
        <w:t xml:space="preserve"> § 1.80(b)(</w:t>
      </w:r>
      <w:r w:rsidR="000E1A6A">
        <w:rPr>
          <w:snapToGrid w:val="0"/>
          <w:color w:val="000000" w:themeColor="text1"/>
        </w:rPr>
        <w:t>8</w:t>
      </w:r>
      <w:r w:rsidRPr="00981F23">
        <w:rPr>
          <w:snapToGrid w:val="0"/>
          <w:color w:val="000000" w:themeColor="text1"/>
        </w:rPr>
        <w:t xml:space="preserve">).   </w:t>
      </w:r>
      <w:bookmarkStart w:id="1" w:name="_Hlk18672240"/>
      <w:r w:rsidRPr="007B5955">
        <w:rPr>
          <w:i/>
          <w:snapToGrid w:val="0"/>
          <w:color w:val="000000" w:themeColor="text1"/>
        </w:rPr>
        <w:t>Amendment of Section 1.80(b) of the Commission’s Rules, Adjustment of Civil Monetary Penalties to Reflect Inflation</w:t>
      </w:r>
      <w:r w:rsidRPr="007B5955">
        <w:rPr>
          <w:snapToGrid w:val="0"/>
          <w:color w:val="000000" w:themeColor="text1"/>
        </w:rPr>
        <w:t xml:space="preserve">, Order, </w:t>
      </w:r>
      <w:r w:rsidRPr="007358CE">
        <w:rPr>
          <w:snapToGrid w:val="0"/>
          <w:color w:val="000000" w:themeColor="text1"/>
        </w:rPr>
        <w:t>34 FCC Rcd 12824</w:t>
      </w:r>
      <w:r w:rsidRPr="007B5955">
        <w:rPr>
          <w:snapToGrid w:val="0"/>
          <w:color w:val="000000" w:themeColor="text1"/>
        </w:rPr>
        <w:t xml:space="preserve"> (EB 201</w:t>
      </w:r>
      <w:r>
        <w:rPr>
          <w:snapToGrid w:val="0"/>
          <w:color w:val="000000" w:themeColor="text1"/>
        </w:rPr>
        <w:t>9</w:t>
      </w:r>
      <w:r w:rsidRPr="007B5955">
        <w:rPr>
          <w:snapToGrid w:val="0"/>
          <w:color w:val="000000" w:themeColor="text1"/>
        </w:rPr>
        <w:t>).</w:t>
      </w:r>
      <w:bookmarkEnd w:id="1"/>
    </w:p>
  </w:footnote>
  <w:footnote w:id="14">
    <w:p w:rsidR="00D57C66" w:rsidRPr="00981F23" w:rsidP="00D57C66" w14:paraId="14E0C766" w14:textId="77777777">
      <w:pPr>
        <w:pStyle w:val="FootnoteText"/>
        <w:rPr>
          <w:color w:val="000000" w:themeColor="text1"/>
          <w:lang w:val="es-ES"/>
        </w:rPr>
      </w:pPr>
      <w:r w:rsidRPr="00981F23">
        <w:rPr>
          <w:rStyle w:val="FootnoteReference"/>
          <w:color w:val="000000" w:themeColor="text1"/>
        </w:rPr>
        <w:footnoteRef/>
      </w:r>
      <w:r w:rsidRPr="00981F23">
        <w:rPr>
          <w:color w:val="000000" w:themeColor="text1"/>
          <w:lang w:val="es-ES"/>
        </w:rPr>
        <w:t xml:space="preserve"> 47 U.S.C. § 503(b)(2)(E).</w:t>
      </w:r>
    </w:p>
  </w:footnote>
  <w:footnote w:id="15">
    <w:p w:rsidR="00D57C66" w:rsidRPr="00981F23" w:rsidP="00D57C66" w14:paraId="0E4E4237" w14:textId="570AAFD0">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1.80(b)(</w:t>
      </w:r>
      <w:r w:rsidR="00441F52">
        <w:rPr>
          <w:color w:val="000000" w:themeColor="text1"/>
        </w:rPr>
        <w:t>9</w:t>
      </w:r>
      <w:r w:rsidRPr="00981F23">
        <w:rPr>
          <w:color w:val="000000" w:themeColor="text1"/>
        </w:rPr>
        <w:t>), Note to paragraph (b)(</w:t>
      </w:r>
      <w:r w:rsidR="00D507F3">
        <w:rPr>
          <w:color w:val="000000" w:themeColor="text1"/>
        </w:rPr>
        <w:t>8</w:t>
      </w:r>
      <w:r w:rsidRPr="00981F23">
        <w:rPr>
          <w:color w:val="000000" w:themeColor="text1"/>
        </w:rPr>
        <w:t xml:space="preserve">). </w:t>
      </w:r>
    </w:p>
  </w:footnote>
  <w:footnote w:id="16">
    <w:p w:rsidR="00D57C66" w:rsidRPr="00981F23" w:rsidP="00D57C66" w14:paraId="6B4EE742"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Pr>
          <w:i/>
          <w:color w:val="000000" w:themeColor="text1"/>
        </w:rPr>
        <w:t>Id</w:t>
      </w:r>
      <w:r w:rsidRPr="00981F23">
        <w:rPr>
          <w:color w:val="000000" w:themeColor="text1"/>
        </w:rPr>
        <w:t>.</w:t>
      </w:r>
    </w:p>
  </w:footnote>
  <w:footnote w:id="17">
    <w:p w:rsidR="00E3458F" w:rsidRPr="00981F23" w:rsidP="00E3458F" w14:paraId="51581EED" w14:textId="61A5D29B">
      <w:pPr>
        <w:pStyle w:val="FootnoteText"/>
        <w:rPr>
          <w:color w:val="000000" w:themeColor="text1"/>
        </w:rPr>
      </w:pPr>
      <w:r w:rsidRPr="00981F23">
        <w:rPr>
          <w:rStyle w:val="FootnoteReference"/>
          <w:color w:val="000000" w:themeColor="text1"/>
        </w:rPr>
        <w:footnoteRef/>
      </w:r>
      <w:r w:rsidRPr="00981F23">
        <w:rPr>
          <w:color w:val="000000" w:themeColor="text1"/>
        </w:rPr>
        <w:t xml:space="preserve"> </w:t>
      </w:r>
      <w:r w:rsidRPr="00981F23" w:rsidR="00A81205">
        <w:rPr>
          <w:i/>
          <w:color w:val="000000" w:themeColor="text1"/>
        </w:rPr>
        <w:t>The Commission’s Forfeiture Policy Statement and Amendment of Section 1.80 of the Rules to Incorporate the Forfeiture Guidelines</w:t>
      </w:r>
      <w:r w:rsidRPr="00981F23" w:rsidR="00A81205">
        <w:rPr>
          <w:color w:val="000000" w:themeColor="text1"/>
        </w:rPr>
        <w:t>, Report and Order, 12 FCC Rcd 17087, 17098–99, para. 22 (1997) (noting that “[a]</w:t>
      </w:r>
      <w:r w:rsidRPr="00981F23" w:rsidR="00A81205">
        <w:rPr>
          <w:color w:val="000000" w:themeColor="text1"/>
        </w:rPr>
        <w:t>lthough</w:t>
      </w:r>
      <w:r w:rsidRPr="00981F23" w:rsidR="00A81205">
        <w:rPr>
          <w:color w:val="000000" w:themeColor="text1"/>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981F23" w:rsidR="00A81205">
        <w:rPr>
          <w:i/>
          <w:color w:val="000000" w:themeColor="text1"/>
        </w:rPr>
        <w:t>Forfeiture Policy Statement</w:t>
      </w:r>
      <w:r w:rsidRPr="00981F23" w:rsidR="00A81205">
        <w:rPr>
          <w:color w:val="000000" w:themeColor="text1"/>
        </w:rPr>
        <w:t xml:space="preserve">), </w:t>
      </w:r>
      <w:r w:rsidRPr="00981F23" w:rsidR="00A81205">
        <w:rPr>
          <w:i/>
          <w:color w:val="000000" w:themeColor="text1"/>
        </w:rPr>
        <w:t>recons. denied</w:t>
      </w:r>
      <w:r w:rsidRPr="00981F23" w:rsidR="00A81205">
        <w:rPr>
          <w:color w:val="000000" w:themeColor="text1"/>
        </w:rPr>
        <w:t>, Memorandum Opinion and Order, 15 FCC Rcd 303 (1999)</w:t>
      </w:r>
      <w:r w:rsidR="00A81205">
        <w:rPr>
          <w:color w:val="000000" w:themeColor="text1"/>
        </w:rPr>
        <w:t xml:space="preserve">; </w:t>
      </w:r>
      <w:r w:rsidRPr="00981F23">
        <w:rPr>
          <w:color w:val="000000" w:themeColor="text1"/>
        </w:rPr>
        <w:t xml:space="preserve">47 </w:t>
      </w:r>
      <w:r>
        <w:rPr>
          <w:color w:val="000000" w:themeColor="text1"/>
        </w:rPr>
        <w:t>CFR</w:t>
      </w:r>
      <w:r w:rsidRPr="00981F23">
        <w:rPr>
          <w:color w:val="000000" w:themeColor="text1"/>
        </w:rPr>
        <w:t xml:space="preserve"> § 1.80(b).</w:t>
      </w:r>
    </w:p>
  </w:footnote>
  <w:footnote w:id="18">
    <w:p w:rsidR="00935CCF" w14:paraId="402B8D42" w14:textId="18398428">
      <w:pPr>
        <w:pStyle w:val="FootnoteText"/>
      </w:pPr>
      <w:r>
        <w:rPr>
          <w:rStyle w:val="FootnoteReference"/>
        </w:rPr>
        <w:footnoteRef/>
      </w:r>
      <w:r>
        <w:t xml:space="preserve"> </w:t>
      </w:r>
      <w:r w:rsidR="00906DB3">
        <w:t>47 CFR § 15.205(a).</w:t>
      </w:r>
    </w:p>
  </w:footnote>
  <w:footnote w:id="19">
    <w:p w:rsidR="00935CCF" w:rsidRPr="009F609F" w14:paraId="0BF4FE03" w14:textId="1A9C25A0">
      <w:pPr>
        <w:pStyle w:val="FootnoteText"/>
      </w:pPr>
      <w:r>
        <w:rPr>
          <w:rStyle w:val="FootnoteReference"/>
        </w:rPr>
        <w:footnoteRef/>
      </w:r>
      <w:r>
        <w:t xml:space="preserve"> </w:t>
      </w:r>
      <w:r w:rsidR="00906DB3">
        <w:t>47 U.S.C. § 301; 47 CFR §§ 15.1(b), 15.205(a).</w:t>
      </w:r>
      <w:r w:rsidR="009F609F">
        <w:t xml:space="preserve">  </w:t>
      </w:r>
      <w:r w:rsidR="009F609F">
        <w:rPr>
          <w:i/>
          <w:iCs/>
        </w:rPr>
        <w:t>See</w:t>
      </w:r>
      <w:r w:rsidR="009F609F">
        <w:t xml:space="preserve">, </w:t>
      </w:r>
      <w:r w:rsidR="009F609F">
        <w:rPr>
          <w:i/>
          <w:iCs/>
        </w:rPr>
        <w:t>e.g.</w:t>
      </w:r>
      <w:r w:rsidR="009F609F">
        <w:t xml:space="preserve">, </w:t>
      </w:r>
      <w:r w:rsidR="007847E1">
        <w:rPr>
          <w:i/>
          <w:iCs/>
        </w:rPr>
        <w:t>Caribbean Network Solutions,</w:t>
      </w:r>
      <w:r w:rsidR="00F6131B">
        <w:rPr>
          <w:i/>
          <w:iCs/>
        </w:rPr>
        <w:t xml:space="preserve"> Inc.,</w:t>
      </w:r>
      <w:r w:rsidR="007847E1">
        <w:rPr>
          <w:i/>
          <w:iCs/>
        </w:rPr>
        <w:t xml:space="preserve"> Bayamon, Puerto Rico</w:t>
      </w:r>
      <w:r w:rsidR="007847E1">
        <w:t xml:space="preserve">, Notice of Apparent Liability for Forfeiture, </w:t>
      </w:r>
      <w:r w:rsidRPr="000B0898" w:rsidR="007847E1">
        <w:t>34 FCC Rcd 3643</w:t>
      </w:r>
      <w:r w:rsidR="007847E1">
        <w:t>, 3646, para. 9 (EB 2019) (</w:t>
      </w:r>
      <w:r w:rsidR="00B23D89">
        <w:rPr>
          <w:i/>
          <w:iCs/>
        </w:rPr>
        <w:t>Caribbean N</w:t>
      </w:r>
      <w:r w:rsidR="00CC2908">
        <w:rPr>
          <w:i/>
          <w:iCs/>
        </w:rPr>
        <w:t>etwork</w:t>
      </w:r>
      <w:r w:rsidRPr="00CC2908" w:rsidR="00B23D89">
        <w:t>)</w:t>
      </w:r>
      <w:r w:rsidRPr="00CC2908" w:rsidR="007847E1">
        <w:t>,</w:t>
      </w:r>
      <w:r w:rsidR="007847E1">
        <w:t xml:space="preserve"> </w:t>
      </w:r>
      <w:r w:rsidR="007847E1">
        <w:rPr>
          <w:i/>
          <w:iCs/>
        </w:rPr>
        <w:t>forfeiture ordered</w:t>
      </w:r>
      <w:r w:rsidR="00441F52">
        <w:t>,</w:t>
      </w:r>
      <w:r w:rsidR="007847E1">
        <w:t xml:space="preserve"> </w:t>
      </w:r>
      <w:r w:rsidRPr="00F3495B" w:rsidR="007847E1">
        <w:t>34 FCC Rcd 10450</w:t>
      </w:r>
      <w:r w:rsidR="007847E1">
        <w:t xml:space="preserve"> (EB 2019).</w:t>
      </w:r>
    </w:p>
  </w:footnote>
  <w:footnote w:id="20">
    <w:p w:rsidR="007523FD" w:rsidRPr="00A4491E" w:rsidP="00A4491E" w14:paraId="55B54726" w14:textId="39EDB1EA">
      <w:pPr>
        <w:pStyle w:val="FootnoteText"/>
        <w:rPr>
          <w:i/>
          <w:iCs/>
        </w:rPr>
      </w:pPr>
      <w:r>
        <w:rPr>
          <w:rStyle w:val="FootnoteReference"/>
        </w:rPr>
        <w:footnoteRef/>
      </w:r>
      <w:r>
        <w:t xml:space="preserve"> </w:t>
      </w:r>
      <w:r w:rsidR="00316A98">
        <w:t>47 U.S.C. § 503(b)</w:t>
      </w:r>
      <w:r w:rsidR="00212D56">
        <w:t>(2)(E)</w:t>
      </w:r>
      <w:r w:rsidR="007847E1">
        <w:t>.</w:t>
      </w:r>
      <w:r w:rsidR="00212D56">
        <w:t xml:space="preserve"> </w:t>
      </w:r>
      <w:r w:rsidR="007847E1">
        <w:t xml:space="preserve"> </w:t>
      </w:r>
      <w:r w:rsidRPr="007847E1" w:rsidR="007847E1">
        <w:rPr>
          <w:i/>
          <w:iCs/>
        </w:rPr>
        <w:t>S</w:t>
      </w:r>
      <w:r w:rsidR="00212D56">
        <w:rPr>
          <w:i/>
          <w:iCs/>
        </w:rPr>
        <w:t>ee</w:t>
      </w:r>
      <w:r w:rsidR="00212D56">
        <w:t xml:space="preserve">, </w:t>
      </w:r>
      <w:r w:rsidR="00212D56">
        <w:rPr>
          <w:i/>
          <w:iCs/>
        </w:rPr>
        <w:t>e.g.</w:t>
      </w:r>
      <w:r w:rsidR="00212D56">
        <w:t xml:space="preserve">, </w:t>
      </w:r>
      <w:r w:rsidR="00212D56">
        <w:rPr>
          <w:i/>
          <w:iCs/>
        </w:rPr>
        <w:t xml:space="preserve">Caribbean </w:t>
      </w:r>
      <w:r w:rsidR="00CC2908">
        <w:rPr>
          <w:i/>
          <w:iCs/>
        </w:rPr>
        <w:t>Network</w:t>
      </w:r>
      <w:r w:rsidR="00B23D89">
        <w:t xml:space="preserve">, 34 FCC Rcd </w:t>
      </w:r>
      <w:r w:rsidR="00F070E4">
        <w:t xml:space="preserve">at 3646, para. 10, </w:t>
      </w:r>
      <w:r w:rsidR="00F070E4">
        <w:rPr>
          <w:i/>
          <w:iCs/>
        </w:rPr>
        <w:t xml:space="preserve">citing </w:t>
      </w:r>
      <w:r w:rsidRPr="00A4491E" w:rsidR="00EE4CA6">
        <w:rPr>
          <w:i/>
          <w:iCs/>
        </w:rPr>
        <w:t>Towerstream Corporation</w:t>
      </w:r>
      <w:r w:rsidR="00E030D3">
        <w:rPr>
          <w:i/>
          <w:iCs/>
        </w:rPr>
        <w:t>,</w:t>
      </w:r>
      <w:r w:rsidR="00A4491E">
        <w:rPr>
          <w:i/>
          <w:iCs/>
        </w:rPr>
        <w:t xml:space="preserve"> </w:t>
      </w:r>
      <w:r w:rsidRPr="00A4491E" w:rsidR="00A4491E">
        <w:rPr>
          <w:i/>
          <w:iCs/>
        </w:rPr>
        <w:t>Middletown, Rhode Island</w:t>
      </w:r>
      <w:r w:rsidR="00A4491E">
        <w:t xml:space="preserve">, Notice of Apparent Liability for Forfeiture, </w:t>
      </w:r>
      <w:r w:rsidR="005F5380">
        <w:t>28 FCC Rcd 11604, 116</w:t>
      </w:r>
      <w:r w:rsidR="00471151">
        <w:t>13, para. 28 (2013)</w:t>
      </w:r>
      <w:r w:rsidR="00D46AEE">
        <w:t xml:space="preserve"> </w:t>
      </w:r>
      <w:r w:rsidRPr="00D46AEE" w:rsidR="00D46AEE">
        <w:rPr>
          <w:i/>
          <w:iCs/>
        </w:rPr>
        <w:t>and</w:t>
      </w:r>
      <w:r w:rsidR="00D46AEE">
        <w:t xml:space="preserve"> </w:t>
      </w:r>
      <w:r w:rsidRPr="00D46AEE" w:rsidR="00D46AEE">
        <w:rPr>
          <w:i/>
          <w:iCs/>
        </w:rPr>
        <w:t>Direct</w:t>
      </w:r>
      <w:r w:rsidR="00EE4CA6">
        <w:rPr>
          <w:i/>
          <w:iCs/>
        </w:rPr>
        <w:t>L</w:t>
      </w:r>
      <w:r w:rsidRPr="00D46AEE" w:rsidR="00D46AEE">
        <w:rPr>
          <w:i/>
          <w:iCs/>
        </w:rPr>
        <w:t>ink</w:t>
      </w:r>
      <w:r w:rsidRPr="00D46AEE" w:rsidR="00D46AEE">
        <w:rPr>
          <w:i/>
          <w:iCs/>
        </w:rPr>
        <w:t>, LLC, Parker, Colorado</w:t>
      </w:r>
      <w:r w:rsidR="00DE664B">
        <w:t xml:space="preserve">, Memorandum Opinion and Order, </w:t>
      </w:r>
      <w:r w:rsidR="00BA3DAE">
        <w:t>30 FCC Rcd 2222, 2223</w:t>
      </w:r>
      <w:r w:rsidR="00363713">
        <w:noBreakHyphen/>
      </w:r>
      <w:r w:rsidR="00BA3DAE">
        <w:t>24, para. 4</w:t>
      </w:r>
      <w:r w:rsidR="00D46AEE">
        <w:t>.</w:t>
      </w:r>
    </w:p>
  </w:footnote>
  <w:footnote w:id="21">
    <w:p w:rsidR="00DF4EF2" w14:paraId="0D9CFA6A" w14:textId="450A8CEF">
      <w:pPr>
        <w:pStyle w:val="FootnoteText"/>
      </w:pPr>
      <w:r>
        <w:rPr>
          <w:rStyle w:val="FootnoteReference"/>
        </w:rPr>
        <w:footnoteRef/>
      </w:r>
      <w:r>
        <w:t xml:space="preserve"> </w:t>
      </w:r>
      <w:r w:rsidR="00363713">
        <w:t>47 U.S.C. § 301; 47 CFR §§ 15.1(b), 15.205(a).</w:t>
      </w:r>
    </w:p>
  </w:footnote>
  <w:footnote w:id="22">
    <w:p w:rsidR="007B5881" w:rsidP="007B5881" w14:paraId="3746A282" w14:textId="77777777">
      <w:pPr>
        <w:pStyle w:val="FootnoteText"/>
      </w:pPr>
      <w:r>
        <w:rPr>
          <w:rStyle w:val="FootnoteReference"/>
        </w:rPr>
        <w:footnoteRef/>
      </w:r>
      <w:r>
        <w:t xml:space="preserve"> </w:t>
      </w:r>
      <w:r w:rsidRPr="00860652">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23">
    <w:p w:rsidR="00E01128" w:rsidRPr="00981F23" w:rsidP="00E01128" w14:paraId="3964B67D" w14:textId="77777777">
      <w:pPr>
        <w:pStyle w:val="FootnoteText"/>
        <w:widowControl w:val="0"/>
        <w:rPr>
          <w:color w:val="000000" w:themeColor="text1"/>
        </w:rPr>
      </w:pPr>
      <w:r w:rsidRPr="00981F23">
        <w:rPr>
          <w:rStyle w:val="FootnoteReference"/>
          <w:color w:val="000000" w:themeColor="text1"/>
        </w:rPr>
        <w:footnoteRef/>
      </w:r>
      <w:r w:rsidRPr="00981F23">
        <w:rPr>
          <w:color w:val="000000" w:themeColor="text1"/>
        </w:rPr>
        <w:t xml:space="preserve"> 47 U.S.C. § 503(b).</w:t>
      </w:r>
    </w:p>
  </w:footnote>
  <w:footnote w:id="24">
    <w:p w:rsidR="00E01128" w:rsidRPr="00981F23" w:rsidP="00E01128" w14:paraId="67B99952" w14:textId="77777777">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Pr>
          <w:color w:val="000000" w:themeColor="text1"/>
          <w:lang w:val="es-ES"/>
        </w:rPr>
        <w:t>CFR</w:t>
      </w:r>
      <w:r w:rsidRPr="00981F23">
        <w:rPr>
          <w:color w:val="000000" w:themeColor="text1"/>
          <w:lang w:val="es-ES"/>
        </w:rPr>
        <w:t xml:space="preserve"> § 1.80.</w:t>
      </w:r>
    </w:p>
  </w:footnote>
  <w:footnote w:id="25">
    <w:p w:rsidR="00E01128" w:rsidRPr="00981F23" w:rsidP="00E01128" w14:paraId="563BDCAB" w14:textId="183B36D9">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U.S.C. § </w:t>
      </w:r>
      <w:r w:rsidR="00363713">
        <w:rPr>
          <w:color w:val="000000" w:themeColor="text1"/>
          <w:lang w:val="es-ES"/>
        </w:rPr>
        <w:t>301.</w:t>
      </w:r>
    </w:p>
  </w:footnote>
  <w:footnote w:id="26">
    <w:p w:rsidR="00E01128" w:rsidRPr="00981F23" w:rsidP="00E01128" w14:paraId="518D6BF4" w14:textId="4EE8AD9A">
      <w:pPr>
        <w:pStyle w:val="FootnoteText"/>
        <w:rPr>
          <w:color w:val="000000" w:themeColor="text1"/>
        </w:rPr>
      </w:pPr>
      <w:r w:rsidRPr="00981F23">
        <w:rPr>
          <w:rStyle w:val="FootnoteReference"/>
          <w:color w:val="000000" w:themeColor="text1"/>
        </w:rPr>
        <w:footnoteRef/>
      </w:r>
      <w:r w:rsidRPr="00981F23">
        <w:rPr>
          <w:color w:val="000000" w:themeColor="text1"/>
          <w:lang w:val="es-ES"/>
        </w:rPr>
        <w:t xml:space="preserve"> 47 </w:t>
      </w:r>
      <w:r>
        <w:rPr>
          <w:color w:val="000000" w:themeColor="text1"/>
          <w:lang w:val="es-ES"/>
        </w:rPr>
        <w:t>CFR</w:t>
      </w:r>
      <w:r w:rsidR="00363713">
        <w:rPr>
          <w:color w:val="000000" w:themeColor="text1"/>
          <w:lang w:val="es-ES"/>
        </w:rPr>
        <w:t xml:space="preserve"> </w:t>
      </w:r>
      <w:r w:rsidRPr="00981F23" w:rsidR="00363713">
        <w:rPr>
          <w:color w:val="000000" w:themeColor="text1"/>
          <w:lang w:val="es-ES"/>
        </w:rPr>
        <w:t>§§</w:t>
      </w:r>
      <w:r w:rsidR="00363713">
        <w:rPr>
          <w:color w:val="000000" w:themeColor="text1"/>
          <w:lang w:val="es-ES"/>
        </w:rPr>
        <w:t xml:space="preserve"> 15.1(b), 15.205(a).</w:t>
      </w:r>
    </w:p>
  </w:footnote>
  <w:footnote w:id="27">
    <w:p w:rsidR="00E01128" w:rsidRPr="00981F23" w:rsidP="00E01128" w14:paraId="18AB5047"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1.80.</w:t>
      </w:r>
    </w:p>
  </w:footnote>
  <w:footnote w:id="28">
    <w:p w:rsidR="00E01128" w:rsidRPr="005476AB" w:rsidP="00E01128" w14:paraId="7F33799F"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9">
    <w:p w:rsidR="00E01128" w:rsidRPr="005476AB" w:rsidP="00E01128" w14:paraId="74CDD40D"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30">
    <w:p w:rsidR="00E01128" w:rsidP="00E01128" w14:paraId="174CEA57"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31">
    <w:p w:rsidR="00E01128" w:rsidP="00E01128" w14:paraId="7CC6C991"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32">
    <w:p w:rsidR="00E01128" w:rsidRPr="00981F23" w:rsidP="00E01128" w14:paraId="712FC831" w14:textId="77777777">
      <w:pPr>
        <w:pStyle w:val="FootnoteText"/>
        <w:rPr>
          <w:color w:val="000000" w:themeColor="text1"/>
        </w:rPr>
      </w:pPr>
      <w:r w:rsidRPr="00981F23">
        <w:rPr>
          <w:rStyle w:val="FootnoteReference"/>
          <w:color w:val="000000" w:themeColor="text1"/>
        </w:rPr>
        <w:footnoteRef/>
      </w:r>
      <w:r w:rsidRPr="00981F23">
        <w:rPr>
          <w:color w:val="000000" w:themeColor="text1"/>
        </w:rPr>
        <w:t xml:space="preserve"> 47 </w:t>
      </w:r>
      <w:r>
        <w:rPr>
          <w:color w:val="000000" w:themeColor="text1"/>
        </w:rPr>
        <w:t>CFR</w:t>
      </w:r>
      <w:r w:rsidRPr="00981F23">
        <w:rPr>
          <w:color w:val="000000" w:themeColor="text1"/>
        </w:rPr>
        <w:t xml:space="preserve"> §§ 1.16, 1.80(f)(3).</w:t>
      </w:r>
    </w:p>
  </w:footnote>
  <w:footnote w:id="33">
    <w:p w:rsidR="00E01128" w:rsidP="00E01128" w14:paraId="511FFE34" w14:textId="77777777">
      <w:pPr>
        <w:pStyle w:val="FootnoteText"/>
      </w:pPr>
      <w:r>
        <w:rPr>
          <w:rStyle w:val="FootnoteReference"/>
        </w:rPr>
        <w:footnoteRef/>
      </w:r>
      <w:r>
        <w:t xml:space="preserve"> </w:t>
      </w:r>
      <w:r w:rsidRPr="009A58BC">
        <w:t>47 U.S.C. § 503(b)(2)(E).</w:t>
      </w:r>
    </w:p>
  </w:footnote>
  <w:footnote w:id="34">
    <w:p w:rsidR="00E01128" w:rsidP="00E01128" w14:paraId="5367FB37"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w:t>
      </w:r>
      <w:r>
        <w:rPr>
          <w:i/>
          <w:iCs/>
          <w:snapToGrid w:val="0"/>
        </w:rPr>
        <w:t xml:space="preserve"> Pennington and Michael Williamson</w:t>
      </w:r>
      <w:r>
        <w:rPr>
          <w:snapToGrid w:val="0"/>
        </w:rPr>
        <w:t xml:space="preserve">, Forfeiture Order, 34 FCC Rcd 770, paras. 18–21 (2019); </w:t>
      </w:r>
      <w:r>
        <w:rPr>
          <w:i/>
          <w:iCs/>
          <w:snapToGrid w:val="0"/>
        </w:rPr>
        <w:t xml:space="preserve">Fabrice </w:t>
      </w:r>
      <w:r>
        <w:rPr>
          <w:i/>
          <w:iCs/>
          <w:snapToGrid w:val="0"/>
        </w:rPr>
        <w:t>Polynice</w:t>
      </w:r>
      <w:r>
        <w:rPr>
          <w:i/>
          <w:iCs/>
          <w:snapToGrid w:val="0"/>
        </w:rPr>
        <w:t xml:space="preserve">, Harold </w:t>
      </w:r>
      <w:r>
        <w:rPr>
          <w:i/>
          <w:iCs/>
          <w:snapToGrid w:val="0"/>
        </w:rPr>
        <w:t>Sido</w:t>
      </w:r>
      <w:r>
        <w:rPr>
          <w:i/>
          <w:iCs/>
          <w:snapToGrid w:val="0"/>
        </w:rPr>
        <w:t xml:space="preserve"> and </w:t>
      </w:r>
      <w:r>
        <w:rPr>
          <w:i/>
          <w:iCs/>
          <w:snapToGrid w:val="0"/>
        </w:rPr>
        <w:t>Veronise</w:t>
      </w:r>
      <w:r>
        <w:rPr>
          <w:i/>
          <w:iCs/>
          <w:snapToGrid w:val="0"/>
        </w:rPr>
        <w:t xml:space="preserve"> </w:t>
      </w:r>
      <w:r>
        <w:rPr>
          <w:i/>
          <w:iCs/>
          <w:snapToGrid w:val="0"/>
        </w:rPr>
        <w:t>Sido</w:t>
      </w:r>
      <w:r>
        <w:rPr>
          <w:i/>
          <w:iCs/>
          <w:snapToGrid w:val="0"/>
        </w:rPr>
        <w:t>,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CF2CAC7" w14:textId="3B5D4AA4">
    <w:pPr>
      <w:pStyle w:val="Header"/>
      <w:rPr>
        <w:b w:val="0"/>
      </w:rPr>
    </w:pPr>
    <w:r>
      <w:tab/>
      <w:t>Federal Communications Commission</w:t>
    </w:r>
    <w:r>
      <w:tab/>
    </w:r>
    <w:r w:rsidR="00B52814">
      <w:t>DA 20-</w:t>
    </w:r>
    <w:r w:rsidR="00C5212D">
      <w:t>1247</w:t>
    </w:r>
  </w:p>
  <w:p w:rsidR="00D25FB5" w14:paraId="695A10E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D25FB5" w14:paraId="3F475B3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35F8DF" w14:textId="5896B3A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008541EC">
      <w:rPr>
        <w:spacing w:val="-2"/>
      </w:rPr>
      <w:t>DA 20-</w:t>
    </w:r>
    <w:r w:rsidR="000D06CA">
      <w:rPr>
        <w:spacing w:val="-2"/>
      </w:rPr>
      <w:t>1247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9F"/>
    <w:rsid w:val="00010FBB"/>
    <w:rsid w:val="00014BE5"/>
    <w:rsid w:val="00014FCE"/>
    <w:rsid w:val="00022CBD"/>
    <w:rsid w:val="00025F4B"/>
    <w:rsid w:val="0003553C"/>
    <w:rsid w:val="00036039"/>
    <w:rsid w:val="00037F90"/>
    <w:rsid w:val="00040046"/>
    <w:rsid w:val="0004049F"/>
    <w:rsid w:val="00040690"/>
    <w:rsid w:val="00052EB1"/>
    <w:rsid w:val="000875BF"/>
    <w:rsid w:val="00093989"/>
    <w:rsid w:val="00096D8C"/>
    <w:rsid w:val="00096FCE"/>
    <w:rsid w:val="000A6A55"/>
    <w:rsid w:val="000B0898"/>
    <w:rsid w:val="000B1411"/>
    <w:rsid w:val="000B62D6"/>
    <w:rsid w:val="000C00D7"/>
    <w:rsid w:val="000C0B65"/>
    <w:rsid w:val="000C4B26"/>
    <w:rsid w:val="000D06CA"/>
    <w:rsid w:val="000D494B"/>
    <w:rsid w:val="000E05FE"/>
    <w:rsid w:val="000E1A6A"/>
    <w:rsid w:val="000E276B"/>
    <w:rsid w:val="000E3D42"/>
    <w:rsid w:val="000F20A4"/>
    <w:rsid w:val="00105BF6"/>
    <w:rsid w:val="0011170C"/>
    <w:rsid w:val="00116BD7"/>
    <w:rsid w:val="00122336"/>
    <w:rsid w:val="00122BD5"/>
    <w:rsid w:val="001269BD"/>
    <w:rsid w:val="00133F79"/>
    <w:rsid w:val="00135F53"/>
    <w:rsid w:val="001375A6"/>
    <w:rsid w:val="001630D9"/>
    <w:rsid w:val="001676B1"/>
    <w:rsid w:val="00173FC1"/>
    <w:rsid w:val="00176800"/>
    <w:rsid w:val="00187ED8"/>
    <w:rsid w:val="0019282F"/>
    <w:rsid w:val="001934F8"/>
    <w:rsid w:val="00194A66"/>
    <w:rsid w:val="00197700"/>
    <w:rsid w:val="001A17DC"/>
    <w:rsid w:val="001A5989"/>
    <w:rsid w:val="001B4EA1"/>
    <w:rsid w:val="001B76CF"/>
    <w:rsid w:val="001D464C"/>
    <w:rsid w:val="001D6BCF"/>
    <w:rsid w:val="001E01CA"/>
    <w:rsid w:val="001E489D"/>
    <w:rsid w:val="0020125F"/>
    <w:rsid w:val="00212D56"/>
    <w:rsid w:val="00214B53"/>
    <w:rsid w:val="00222192"/>
    <w:rsid w:val="002336D3"/>
    <w:rsid w:val="00242736"/>
    <w:rsid w:val="0025672E"/>
    <w:rsid w:val="00257634"/>
    <w:rsid w:val="00272523"/>
    <w:rsid w:val="002734D0"/>
    <w:rsid w:val="00275CF5"/>
    <w:rsid w:val="002817A1"/>
    <w:rsid w:val="0028212A"/>
    <w:rsid w:val="0028301F"/>
    <w:rsid w:val="00285017"/>
    <w:rsid w:val="002A2D2E"/>
    <w:rsid w:val="002C00E8"/>
    <w:rsid w:val="002E30BD"/>
    <w:rsid w:val="002F268B"/>
    <w:rsid w:val="00316A98"/>
    <w:rsid w:val="00330B16"/>
    <w:rsid w:val="00343749"/>
    <w:rsid w:val="00344C0B"/>
    <w:rsid w:val="00346834"/>
    <w:rsid w:val="00347E71"/>
    <w:rsid w:val="00347F24"/>
    <w:rsid w:val="00363713"/>
    <w:rsid w:val="003660ED"/>
    <w:rsid w:val="00382FD8"/>
    <w:rsid w:val="0039625E"/>
    <w:rsid w:val="003A17B6"/>
    <w:rsid w:val="003A3605"/>
    <w:rsid w:val="003A4BBF"/>
    <w:rsid w:val="003A4FBD"/>
    <w:rsid w:val="003B0550"/>
    <w:rsid w:val="003B4536"/>
    <w:rsid w:val="003B694F"/>
    <w:rsid w:val="003C3C24"/>
    <w:rsid w:val="003C5A23"/>
    <w:rsid w:val="003D7E82"/>
    <w:rsid w:val="003E7033"/>
    <w:rsid w:val="003F011F"/>
    <w:rsid w:val="003F171C"/>
    <w:rsid w:val="004044CA"/>
    <w:rsid w:val="00412FC5"/>
    <w:rsid w:val="0041418C"/>
    <w:rsid w:val="00422276"/>
    <w:rsid w:val="00422C14"/>
    <w:rsid w:val="004242F1"/>
    <w:rsid w:val="00431220"/>
    <w:rsid w:val="004370AC"/>
    <w:rsid w:val="00441F52"/>
    <w:rsid w:val="00444FFC"/>
    <w:rsid w:val="00445664"/>
    <w:rsid w:val="00445A00"/>
    <w:rsid w:val="00451B0F"/>
    <w:rsid w:val="00460B42"/>
    <w:rsid w:val="00464C3B"/>
    <w:rsid w:val="004666C9"/>
    <w:rsid w:val="0047054C"/>
    <w:rsid w:val="00471151"/>
    <w:rsid w:val="0048007B"/>
    <w:rsid w:val="00493CDB"/>
    <w:rsid w:val="004975E1"/>
    <w:rsid w:val="004A7F1C"/>
    <w:rsid w:val="004C2EE3"/>
    <w:rsid w:val="004C4096"/>
    <w:rsid w:val="004C76D9"/>
    <w:rsid w:val="004E4A22"/>
    <w:rsid w:val="004F2F32"/>
    <w:rsid w:val="00503986"/>
    <w:rsid w:val="00511968"/>
    <w:rsid w:val="00530AF1"/>
    <w:rsid w:val="0053216A"/>
    <w:rsid w:val="00533416"/>
    <w:rsid w:val="00546E06"/>
    <w:rsid w:val="005476AB"/>
    <w:rsid w:val="0055372F"/>
    <w:rsid w:val="00554051"/>
    <w:rsid w:val="0055614C"/>
    <w:rsid w:val="005603E2"/>
    <w:rsid w:val="00566D06"/>
    <w:rsid w:val="00586046"/>
    <w:rsid w:val="005A3820"/>
    <w:rsid w:val="005B0F6B"/>
    <w:rsid w:val="005D1A7D"/>
    <w:rsid w:val="005E14C2"/>
    <w:rsid w:val="005E2715"/>
    <w:rsid w:val="005E67B1"/>
    <w:rsid w:val="005F5380"/>
    <w:rsid w:val="00607BA5"/>
    <w:rsid w:val="0061180A"/>
    <w:rsid w:val="00625364"/>
    <w:rsid w:val="00626EB6"/>
    <w:rsid w:val="00633DAF"/>
    <w:rsid w:val="006348D1"/>
    <w:rsid w:val="006409E3"/>
    <w:rsid w:val="00655644"/>
    <w:rsid w:val="00655D03"/>
    <w:rsid w:val="00656D8F"/>
    <w:rsid w:val="00657936"/>
    <w:rsid w:val="006623A9"/>
    <w:rsid w:val="0066786A"/>
    <w:rsid w:val="00676E47"/>
    <w:rsid w:val="00683388"/>
    <w:rsid w:val="00683F84"/>
    <w:rsid w:val="006965B1"/>
    <w:rsid w:val="006A6A81"/>
    <w:rsid w:val="006B255D"/>
    <w:rsid w:val="006B32EE"/>
    <w:rsid w:val="006B66FB"/>
    <w:rsid w:val="006D4CB7"/>
    <w:rsid w:val="006D73F2"/>
    <w:rsid w:val="006E6EBF"/>
    <w:rsid w:val="006F7393"/>
    <w:rsid w:val="0070224F"/>
    <w:rsid w:val="00703F5D"/>
    <w:rsid w:val="00711201"/>
    <w:rsid w:val="007115F7"/>
    <w:rsid w:val="007126D5"/>
    <w:rsid w:val="007136A0"/>
    <w:rsid w:val="00725B6E"/>
    <w:rsid w:val="0072706F"/>
    <w:rsid w:val="007358CE"/>
    <w:rsid w:val="007523FD"/>
    <w:rsid w:val="00754629"/>
    <w:rsid w:val="007652B8"/>
    <w:rsid w:val="00781F39"/>
    <w:rsid w:val="007847E1"/>
    <w:rsid w:val="007854F8"/>
    <w:rsid w:val="00785689"/>
    <w:rsid w:val="0079754B"/>
    <w:rsid w:val="007A1E6D"/>
    <w:rsid w:val="007A37D4"/>
    <w:rsid w:val="007A3B7D"/>
    <w:rsid w:val="007B0EB2"/>
    <w:rsid w:val="007B5881"/>
    <w:rsid w:val="007B5955"/>
    <w:rsid w:val="007C6651"/>
    <w:rsid w:val="007C672A"/>
    <w:rsid w:val="007E2B77"/>
    <w:rsid w:val="007E3F13"/>
    <w:rsid w:val="007E6021"/>
    <w:rsid w:val="007F6D00"/>
    <w:rsid w:val="00800473"/>
    <w:rsid w:val="0080405A"/>
    <w:rsid w:val="00807815"/>
    <w:rsid w:val="00810B6F"/>
    <w:rsid w:val="00812F12"/>
    <w:rsid w:val="00822CE0"/>
    <w:rsid w:val="00822FA9"/>
    <w:rsid w:val="0084125E"/>
    <w:rsid w:val="00841AB1"/>
    <w:rsid w:val="008541EC"/>
    <w:rsid w:val="00854495"/>
    <w:rsid w:val="00860652"/>
    <w:rsid w:val="00882A97"/>
    <w:rsid w:val="0088797D"/>
    <w:rsid w:val="008A2184"/>
    <w:rsid w:val="008C68F1"/>
    <w:rsid w:val="008E32CE"/>
    <w:rsid w:val="008F644E"/>
    <w:rsid w:val="009066F7"/>
    <w:rsid w:val="00906DB3"/>
    <w:rsid w:val="00912346"/>
    <w:rsid w:val="00921803"/>
    <w:rsid w:val="00926503"/>
    <w:rsid w:val="00935CCF"/>
    <w:rsid w:val="0094657A"/>
    <w:rsid w:val="009550E8"/>
    <w:rsid w:val="009726D8"/>
    <w:rsid w:val="00981F23"/>
    <w:rsid w:val="009859C8"/>
    <w:rsid w:val="009929F3"/>
    <w:rsid w:val="009A58BC"/>
    <w:rsid w:val="009B1527"/>
    <w:rsid w:val="009D237C"/>
    <w:rsid w:val="009D5945"/>
    <w:rsid w:val="009D5D6A"/>
    <w:rsid w:val="009D7308"/>
    <w:rsid w:val="009E4348"/>
    <w:rsid w:val="009F2663"/>
    <w:rsid w:val="009F2956"/>
    <w:rsid w:val="009F609F"/>
    <w:rsid w:val="009F76DB"/>
    <w:rsid w:val="00A0105B"/>
    <w:rsid w:val="00A1060C"/>
    <w:rsid w:val="00A245D3"/>
    <w:rsid w:val="00A273EB"/>
    <w:rsid w:val="00A32C3B"/>
    <w:rsid w:val="00A3542A"/>
    <w:rsid w:val="00A41FAD"/>
    <w:rsid w:val="00A43640"/>
    <w:rsid w:val="00A4491E"/>
    <w:rsid w:val="00A45F4F"/>
    <w:rsid w:val="00A600A9"/>
    <w:rsid w:val="00A60207"/>
    <w:rsid w:val="00A7113E"/>
    <w:rsid w:val="00A81205"/>
    <w:rsid w:val="00A928D5"/>
    <w:rsid w:val="00A94AD4"/>
    <w:rsid w:val="00AA55B7"/>
    <w:rsid w:val="00AA5ADE"/>
    <w:rsid w:val="00AA5B9E"/>
    <w:rsid w:val="00AB2407"/>
    <w:rsid w:val="00AB53DF"/>
    <w:rsid w:val="00AD0726"/>
    <w:rsid w:val="00AD7514"/>
    <w:rsid w:val="00AF4299"/>
    <w:rsid w:val="00AF7E5A"/>
    <w:rsid w:val="00B07925"/>
    <w:rsid w:val="00B07E5C"/>
    <w:rsid w:val="00B15209"/>
    <w:rsid w:val="00B23D89"/>
    <w:rsid w:val="00B2594D"/>
    <w:rsid w:val="00B303FB"/>
    <w:rsid w:val="00B3418E"/>
    <w:rsid w:val="00B36632"/>
    <w:rsid w:val="00B41306"/>
    <w:rsid w:val="00B52814"/>
    <w:rsid w:val="00B569C0"/>
    <w:rsid w:val="00B56CC2"/>
    <w:rsid w:val="00B62E7F"/>
    <w:rsid w:val="00B811F7"/>
    <w:rsid w:val="00B973E7"/>
    <w:rsid w:val="00BA0E33"/>
    <w:rsid w:val="00BA2190"/>
    <w:rsid w:val="00BA273D"/>
    <w:rsid w:val="00BA2B68"/>
    <w:rsid w:val="00BA3DAE"/>
    <w:rsid w:val="00BA5DC6"/>
    <w:rsid w:val="00BA5FFD"/>
    <w:rsid w:val="00BA6196"/>
    <w:rsid w:val="00BB5588"/>
    <w:rsid w:val="00BC1C2D"/>
    <w:rsid w:val="00BC26B9"/>
    <w:rsid w:val="00BC6D8C"/>
    <w:rsid w:val="00BD398F"/>
    <w:rsid w:val="00BE09FA"/>
    <w:rsid w:val="00BF0DF5"/>
    <w:rsid w:val="00C06650"/>
    <w:rsid w:val="00C12F38"/>
    <w:rsid w:val="00C339C8"/>
    <w:rsid w:val="00C34006"/>
    <w:rsid w:val="00C36B4C"/>
    <w:rsid w:val="00C426B1"/>
    <w:rsid w:val="00C5212D"/>
    <w:rsid w:val="00C60351"/>
    <w:rsid w:val="00C66160"/>
    <w:rsid w:val="00C679C7"/>
    <w:rsid w:val="00C705CC"/>
    <w:rsid w:val="00C721AC"/>
    <w:rsid w:val="00C83EA8"/>
    <w:rsid w:val="00C90D6A"/>
    <w:rsid w:val="00C932FA"/>
    <w:rsid w:val="00C93D2D"/>
    <w:rsid w:val="00C955F7"/>
    <w:rsid w:val="00CA247E"/>
    <w:rsid w:val="00CA6D21"/>
    <w:rsid w:val="00CC2908"/>
    <w:rsid w:val="00CC72B6"/>
    <w:rsid w:val="00CE474E"/>
    <w:rsid w:val="00CE7E30"/>
    <w:rsid w:val="00CF14D1"/>
    <w:rsid w:val="00D0218D"/>
    <w:rsid w:val="00D116DD"/>
    <w:rsid w:val="00D12236"/>
    <w:rsid w:val="00D12BE6"/>
    <w:rsid w:val="00D25FB5"/>
    <w:rsid w:val="00D32D93"/>
    <w:rsid w:val="00D44223"/>
    <w:rsid w:val="00D46AEE"/>
    <w:rsid w:val="00D507F3"/>
    <w:rsid w:val="00D522DA"/>
    <w:rsid w:val="00D57C66"/>
    <w:rsid w:val="00D65673"/>
    <w:rsid w:val="00D747C0"/>
    <w:rsid w:val="00D75209"/>
    <w:rsid w:val="00D758AB"/>
    <w:rsid w:val="00D86F55"/>
    <w:rsid w:val="00D87338"/>
    <w:rsid w:val="00DA2529"/>
    <w:rsid w:val="00DB130A"/>
    <w:rsid w:val="00DB2EBB"/>
    <w:rsid w:val="00DC0E7C"/>
    <w:rsid w:val="00DC10A1"/>
    <w:rsid w:val="00DC655F"/>
    <w:rsid w:val="00DD0B59"/>
    <w:rsid w:val="00DD54C1"/>
    <w:rsid w:val="00DD7EBD"/>
    <w:rsid w:val="00DE0CE7"/>
    <w:rsid w:val="00DE664B"/>
    <w:rsid w:val="00DF0751"/>
    <w:rsid w:val="00DF4EF2"/>
    <w:rsid w:val="00DF62B6"/>
    <w:rsid w:val="00E00D6C"/>
    <w:rsid w:val="00E00E74"/>
    <w:rsid w:val="00E01128"/>
    <w:rsid w:val="00E030D3"/>
    <w:rsid w:val="00E04A2F"/>
    <w:rsid w:val="00E07225"/>
    <w:rsid w:val="00E119E7"/>
    <w:rsid w:val="00E25B8E"/>
    <w:rsid w:val="00E26183"/>
    <w:rsid w:val="00E3458F"/>
    <w:rsid w:val="00E37062"/>
    <w:rsid w:val="00E5409F"/>
    <w:rsid w:val="00E54F17"/>
    <w:rsid w:val="00E603DD"/>
    <w:rsid w:val="00E67363"/>
    <w:rsid w:val="00E710D1"/>
    <w:rsid w:val="00EB3EA1"/>
    <w:rsid w:val="00EC1DB9"/>
    <w:rsid w:val="00EE1EC7"/>
    <w:rsid w:val="00EE4CA6"/>
    <w:rsid w:val="00EE6488"/>
    <w:rsid w:val="00EE7A85"/>
    <w:rsid w:val="00EF4515"/>
    <w:rsid w:val="00EF677A"/>
    <w:rsid w:val="00EF6BEF"/>
    <w:rsid w:val="00F00953"/>
    <w:rsid w:val="00F021FA"/>
    <w:rsid w:val="00F0602E"/>
    <w:rsid w:val="00F070E4"/>
    <w:rsid w:val="00F23B3A"/>
    <w:rsid w:val="00F26329"/>
    <w:rsid w:val="00F3495B"/>
    <w:rsid w:val="00F35749"/>
    <w:rsid w:val="00F446B6"/>
    <w:rsid w:val="00F579AA"/>
    <w:rsid w:val="00F6131B"/>
    <w:rsid w:val="00F62E97"/>
    <w:rsid w:val="00F64209"/>
    <w:rsid w:val="00F73A97"/>
    <w:rsid w:val="00F81AAC"/>
    <w:rsid w:val="00F8589A"/>
    <w:rsid w:val="00F93BF5"/>
    <w:rsid w:val="00FC1D5A"/>
    <w:rsid w:val="00FD718B"/>
    <w:rsid w:val="00FE646F"/>
    <w:rsid w:val="00FE7D20"/>
    <w:rsid w:val="00FF2692"/>
    <w:rsid w:val="00FF41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981F6F-5D2E-45E0-AA36-6096C2C6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32"/>
    <w:pPr>
      <w:widowControl w:val="0"/>
    </w:pPr>
    <w:rPr>
      <w:snapToGrid w:val="0"/>
      <w:kern w:val="28"/>
      <w:sz w:val="22"/>
    </w:rPr>
  </w:style>
  <w:style w:type="paragraph" w:styleId="Heading1">
    <w:name w:val="heading 1"/>
    <w:basedOn w:val="Normal"/>
    <w:next w:val="ParaNum"/>
    <w:link w:val="Heading1Char"/>
    <w:qFormat/>
    <w:rsid w:val="00B366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36632"/>
    <w:pPr>
      <w:keepNext/>
      <w:numPr>
        <w:ilvl w:val="1"/>
        <w:numId w:val="3"/>
      </w:numPr>
      <w:spacing w:after="120"/>
      <w:outlineLvl w:val="1"/>
    </w:pPr>
    <w:rPr>
      <w:b/>
    </w:rPr>
  </w:style>
  <w:style w:type="paragraph" w:styleId="Heading3">
    <w:name w:val="heading 3"/>
    <w:basedOn w:val="Normal"/>
    <w:next w:val="ParaNum"/>
    <w:qFormat/>
    <w:rsid w:val="00B36632"/>
    <w:pPr>
      <w:keepNext/>
      <w:numPr>
        <w:ilvl w:val="2"/>
        <w:numId w:val="3"/>
      </w:numPr>
      <w:tabs>
        <w:tab w:val="left" w:pos="2160"/>
      </w:tabs>
      <w:spacing w:after="120"/>
      <w:outlineLvl w:val="2"/>
    </w:pPr>
    <w:rPr>
      <w:b/>
    </w:rPr>
  </w:style>
  <w:style w:type="paragraph" w:styleId="Heading4">
    <w:name w:val="heading 4"/>
    <w:basedOn w:val="Normal"/>
    <w:next w:val="ParaNum"/>
    <w:qFormat/>
    <w:rsid w:val="00B36632"/>
    <w:pPr>
      <w:keepNext/>
      <w:numPr>
        <w:ilvl w:val="3"/>
        <w:numId w:val="3"/>
      </w:numPr>
      <w:tabs>
        <w:tab w:val="left" w:pos="2880"/>
      </w:tabs>
      <w:spacing w:after="120"/>
      <w:outlineLvl w:val="3"/>
    </w:pPr>
    <w:rPr>
      <w:b/>
    </w:rPr>
  </w:style>
  <w:style w:type="paragraph" w:styleId="Heading5">
    <w:name w:val="heading 5"/>
    <w:basedOn w:val="Normal"/>
    <w:next w:val="ParaNum"/>
    <w:qFormat/>
    <w:rsid w:val="00B366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6632"/>
    <w:pPr>
      <w:numPr>
        <w:ilvl w:val="5"/>
        <w:numId w:val="3"/>
      </w:numPr>
      <w:tabs>
        <w:tab w:val="left" w:pos="4320"/>
      </w:tabs>
      <w:spacing w:after="120"/>
      <w:outlineLvl w:val="5"/>
    </w:pPr>
    <w:rPr>
      <w:b/>
    </w:rPr>
  </w:style>
  <w:style w:type="paragraph" w:styleId="Heading7">
    <w:name w:val="heading 7"/>
    <w:basedOn w:val="Normal"/>
    <w:next w:val="ParaNum"/>
    <w:qFormat/>
    <w:rsid w:val="00B366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66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66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66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6632"/>
  </w:style>
  <w:style w:type="paragraph" w:customStyle="1" w:styleId="ParaNum">
    <w:name w:val="ParaNum"/>
    <w:basedOn w:val="Normal"/>
    <w:link w:val="ParaNumChar"/>
    <w:rsid w:val="00B36632"/>
    <w:pPr>
      <w:numPr>
        <w:numId w:val="2"/>
      </w:numPr>
      <w:tabs>
        <w:tab w:val="clear" w:pos="1080"/>
        <w:tab w:val="num" w:pos="1440"/>
      </w:tabs>
      <w:spacing w:after="120"/>
    </w:pPr>
  </w:style>
  <w:style w:type="paragraph" w:styleId="EndnoteText">
    <w:name w:val="endnote text"/>
    <w:basedOn w:val="Normal"/>
    <w:semiHidden/>
    <w:rsid w:val="00B36632"/>
    <w:rPr>
      <w:sz w:val="20"/>
    </w:rPr>
  </w:style>
  <w:style w:type="character" w:styleId="EndnoteReference">
    <w:name w:val="endnote reference"/>
    <w:semiHidden/>
    <w:rsid w:val="00B36632"/>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B3663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36632"/>
    <w:rPr>
      <w:rFonts w:ascii="Times New Roman" w:hAnsi="Times New Roman"/>
      <w:dstrike w:val="0"/>
      <w:color w:val="auto"/>
      <w:sz w:val="20"/>
      <w:vertAlign w:val="superscript"/>
    </w:rPr>
  </w:style>
  <w:style w:type="paragraph" w:styleId="TOC1">
    <w:name w:val="toc 1"/>
    <w:basedOn w:val="Normal"/>
    <w:next w:val="Normal"/>
    <w:semiHidden/>
    <w:rsid w:val="00B366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6632"/>
    <w:pPr>
      <w:tabs>
        <w:tab w:val="left" w:pos="720"/>
        <w:tab w:val="right" w:leader="dot" w:pos="9360"/>
      </w:tabs>
      <w:suppressAutoHyphens/>
      <w:ind w:left="720" w:right="720" w:hanging="360"/>
    </w:pPr>
    <w:rPr>
      <w:noProof/>
    </w:rPr>
  </w:style>
  <w:style w:type="paragraph" w:styleId="TOC3">
    <w:name w:val="toc 3"/>
    <w:basedOn w:val="Normal"/>
    <w:next w:val="Normal"/>
    <w:semiHidden/>
    <w:rsid w:val="00B366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66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66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66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66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66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66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6632"/>
    <w:pPr>
      <w:tabs>
        <w:tab w:val="right" w:pos="9360"/>
      </w:tabs>
      <w:suppressAutoHyphens/>
    </w:pPr>
  </w:style>
  <w:style w:type="character" w:customStyle="1" w:styleId="EquationCaption">
    <w:name w:val="_Equation Caption"/>
    <w:rsid w:val="00B36632"/>
  </w:style>
  <w:style w:type="paragraph" w:styleId="Header">
    <w:name w:val="header"/>
    <w:basedOn w:val="Normal"/>
    <w:autoRedefine/>
    <w:rsid w:val="00B36632"/>
    <w:pPr>
      <w:tabs>
        <w:tab w:val="center" w:pos="4680"/>
        <w:tab w:val="right" w:pos="9360"/>
      </w:tabs>
    </w:pPr>
    <w:rPr>
      <w:b/>
    </w:rPr>
  </w:style>
  <w:style w:type="paragraph" w:styleId="Footer">
    <w:name w:val="footer"/>
    <w:basedOn w:val="Normal"/>
    <w:link w:val="FooterChar"/>
    <w:uiPriority w:val="99"/>
    <w:rsid w:val="00B36632"/>
    <w:pPr>
      <w:tabs>
        <w:tab w:val="center" w:pos="4320"/>
        <w:tab w:val="right" w:pos="8640"/>
      </w:tabs>
    </w:pPr>
  </w:style>
  <w:style w:type="character" w:styleId="PageNumber">
    <w:name w:val="page number"/>
    <w:basedOn w:val="DefaultParagraphFont"/>
    <w:rsid w:val="00B36632"/>
  </w:style>
  <w:style w:type="paragraph" w:styleId="BlockText">
    <w:name w:val="Block Text"/>
    <w:basedOn w:val="Normal"/>
    <w:rsid w:val="00B36632"/>
    <w:pPr>
      <w:spacing w:after="240"/>
      <w:ind w:left="1440" w:right="1440"/>
    </w:pPr>
  </w:style>
  <w:style w:type="paragraph" w:customStyle="1" w:styleId="Paratitle">
    <w:name w:val="Para title"/>
    <w:basedOn w:val="Normal"/>
    <w:rsid w:val="00B36632"/>
    <w:pPr>
      <w:tabs>
        <w:tab w:val="center" w:pos="9270"/>
      </w:tabs>
      <w:spacing w:after="240"/>
    </w:pPr>
    <w:rPr>
      <w:spacing w:val="-2"/>
    </w:rPr>
  </w:style>
  <w:style w:type="paragraph" w:customStyle="1" w:styleId="Bullet">
    <w:name w:val="Bullet"/>
    <w:basedOn w:val="Normal"/>
    <w:rsid w:val="00B36632"/>
    <w:pPr>
      <w:tabs>
        <w:tab w:val="left" w:pos="2160"/>
      </w:tabs>
      <w:spacing w:after="220"/>
      <w:ind w:left="2160" w:hanging="720"/>
    </w:pPr>
  </w:style>
  <w:style w:type="paragraph" w:customStyle="1" w:styleId="TableFormat">
    <w:name w:val="TableFormat"/>
    <w:basedOn w:val="Bullet"/>
    <w:rsid w:val="00B36632"/>
    <w:pPr>
      <w:tabs>
        <w:tab w:val="clear" w:pos="2160"/>
        <w:tab w:val="left" w:pos="5040"/>
      </w:tabs>
      <w:ind w:left="5040" w:hanging="3600"/>
    </w:pPr>
  </w:style>
  <w:style w:type="paragraph" w:customStyle="1" w:styleId="TOCTitle">
    <w:name w:val="TOC Title"/>
    <w:basedOn w:val="Normal"/>
    <w:rsid w:val="00B366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6632"/>
    <w:pPr>
      <w:jc w:val="center"/>
    </w:pPr>
    <w:rPr>
      <w:rFonts w:ascii="Times New Roman Bold" w:hAnsi="Times New Roman Bold"/>
      <w:b/>
      <w:bCs/>
      <w:caps/>
      <w:szCs w:val="22"/>
    </w:rPr>
  </w:style>
  <w:style w:type="character" w:styleId="Hyperlink">
    <w:name w:val="Hyperlink"/>
    <w:rsid w:val="00B36632"/>
    <w:rPr>
      <w:color w:val="0000FF"/>
      <w:u w:val="single"/>
    </w:rPr>
  </w:style>
  <w:style w:type="character" w:customStyle="1" w:styleId="FooterChar">
    <w:name w:val="Footer Char"/>
    <w:link w:val="Footer"/>
    <w:uiPriority w:val="99"/>
    <w:rsid w:val="00B36632"/>
    <w:rPr>
      <w:snapToGrid w:val="0"/>
      <w:kern w:val="28"/>
      <w:sz w:val="22"/>
    </w:rPr>
  </w:style>
  <w:style w:type="paragraph" w:styleId="BalloonText">
    <w:name w:val="Balloon Text"/>
    <w:basedOn w:val="Normal"/>
    <w:link w:val="BalloonTextChar"/>
    <w:rsid w:val="001269BD"/>
    <w:rPr>
      <w:sz w:val="18"/>
      <w:szCs w:val="18"/>
    </w:rPr>
  </w:style>
  <w:style w:type="character" w:customStyle="1" w:styleId="BalloonTextChar">
    <w:name w:val="Balloon Text Char"/>
    <w:basedOn w:val="DefaultParagraphFont"/>
    <w:link w:val="BalloonText"/>
    <w:rsid w:val="001269BD"/>
    <w:rPr>
      <w:snapToGrid w:val="0"/>
      <w:kern w:val="28"/>
      <w:sz w:val="18"/>
      <w:szCs w:val="18"/>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rsid w:val="00D57C66"/>
  </w:style>
  <w:style w:type="character" w:customStyle="1" w:styleId="Heading1Char">
    <w:name w:val="Heading 1 Char"/>
    <w:basedOn w:val="DefaultParagraphFont"/>
    <w:link w:val="Heading1"/>
    <w:locked/>
    <w:rsid w:val="00E01128"/>
    <w:rPr>
      <w:rFonts w:ascii="Times New Roman Bold" w:hAnsi="Times New Roman Bold"/>
      <w:b/>
      <w:caps/>
      <w:snapToGrid w:val="0"/>
      <w:kern w:val="28"/>
      <w:sz w:val="22"/>
    </w:rPr>
  </w:style>
  <w:style w:type="paragraph" w:customStyle="1" w:styleId="par1">
    <w:name w:val="par1"/>
    <w:basedOn w:val="Normal"/>
    <w:uiPriority w:val="99"/>
    <w:rsid w:val="00E01128"/>
    <w:pPr>
      <w:numPr>
        <w:numId w:val="7"/>
      </w:numPr>
    </w:pPr>
    <w:rPr>
      <w:sz w:val="20"/>
    </w:rPr>
  </w:style>
  <w:style w:type="character" w:customStyle="1" w:styleId="ParaNumChar">
    <w:name w:val="ParaNum Char"/>
    <w:link w:val="ParaNum"/>
    <w:locked/>
    <w:rsid w:val="00E01128"/>
    <w:rPr>
      <w:snapToGrid w:val="0"/>
      <w:kern w:val="28"/>
      <w:sz w:val="22"/>
    </w:rPr>
  </w:style>
  <w:style w:type="character" w:customStyle="1" w:styleId="UnresolvedMention">
    <w:name w:val="Unresolved Mention"/>
    <w:basedOn w:val="DefaultParagraphFont"/>
    <w:uiPriority w:val="99"/>
    <w:semiHidden/>
    <w:unhideWhenUsed/>
    <w:rsid w:val="0011170C"/>
    <w:rPr>
      <w:color w:val="605E5C"/>
      <w:shd w:val="clear" w:color="auto" w:fill="E1DFDD"/>
    </w:rPr>
  </w:style>
  <w:style w:type="character" w:styleId="CommentReference">
    <w:name w:val="annotation reference"/>
    <w:basedOn w:val="DefaultParagraphFont"/>
    <w:rsid w:val="0066786A"/>
    <w:rPr>
      <w:sz w:val="16"/>
      <w:szCs w:val="16"/>
    </w:rPr>
  </w:style>
  <w:style w:type="paragraph" w:styleId="CommentText">
    <w:name w:val="annotation text"/>
    <w:basedOn w:val="Normal"/>
    <w:link w:val="CommentTextChar"/>
    <w:rsid w:val="0066786A"/>
    <w:rPr>
      <w:sz w:val="20"/>
    </w:rPr>
  </w:style>
  <w:style w:type="character" w:customStyle="1" w:styleId="CommentTextChar">
    <w:name w:val="Comment Text Char"/>
    <w:basedOn w:val="DefaultParagraphFont"/>
    <w:link w:val="CommentText"/>
    <w:rsid w:val="0066786A"/>
    <w:rPr>
      <w:snapToGrid w:val="0"/>
      <w:kern w:val="28"/>
    </w:rPr>
  </w:style>
  <w:style w:type="paragraph" w:styleId="CommentSubject">
    <w:name w:val="annotation subject"/>
    <w:basedOn w:val="CommentText"/>
    <w:next w:val="CommentText"/>
    <w:link w:val="CommentSubjectChar"/>
    <w:rsid w:val="0066786A"/>
    <w:rPr>
      <w:b/>
      <w:bCs/>
    </w:rPr>
  </w:style>
  <w:style w:type="character" w:customStyle="1" w:styleId="CommentSubjectChar">
    <w:name w:val="Comment Subject Char"/>
    <w:basedOn w:val="CommentTextChar"/>
    <w:link w:val="CommentSubject"/>
    <w:rsid w:val="0066786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hyperlink" Target="mailto:matthew.gibson@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