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962C8" w:rsidRPr="00B63FC8" w:rsidP="009962C8" w14:paraId="524B81D3" w14:textId="77777777">
      <w:pPr>
        <w:jc w:val="center"/>
        <w:rPr>
          <w:b/>
          <w:color w:val="000000"/>
          <w:szCs w:val="22"/>
        </w:rPr>
      </w:pPr>
      <w:r w:rsidRPr="00B63FC8">
        <w:rPr>
          <w:b/>
          <w:color w:val="000000"/>
          <w:szCs w:val="22"/>
        </w:rPr>
        <w:t>Before the</w:t>
      </w:r>
    </w:p>
    <w:p w:rsidR="009962C8" w:rsidRPr="00B63FC8" w:rsidP="009962C8" w14:paraId="35C05604" w14:textId="77777777">
      <w:pPr>
        <w:pStyle w:val="StyleBoldCentered"/>
        <w:rPr>
          <w:rFonts w:ascii="Times New Roman" w:hAnsi="Times New Roman"/>
          <w:color w:val="000000"/>
        </w:rPr>
      </w:pPr>
      <w:r w:rsidRPr="00B63FC8">
        <w:rPr>
          <w:rFonts w:ascii="Times New Roman" w:hAnsi="Times New Roman"/>
          <w:color w:val="000000"/>
        </w:rPr>
        <w:t>F</w:t>
      </w:r>
      <w:r w:rsidRPr="00B63FC8">
        <w:rPr>
          <w:rFonts w:ascii="Times New Roman" w:hAnsi="Times New Roman"/>
          <w:caps w:val="0"/>
          <w:color w:val="000000"/>
        </w:rPr>
        <w:t>ederal Communications Commission</w:t>
      </w:r>
    </w:p>
    <w:p w:rsidR="009962C8" w:rsidRPr="00B63FC8" w:rsidP="00835134" w14:paraId="4BE4980A" w14:textId="6896E8A7">
      <w:pPr>
        <w:jc w:val="center"/>
        <w:rPr>
          <w:b/>
          <w:color w:val="000000"/>
          <w:szCs w:val="22"/>
        </w:rPr>
      </w:pPr>
      <w:r w:rsidRPr="00B63FC8">
        <w:rPr>
          <w:b/>
          <w:color w:val="000000"/>
          <w:szCs w:val="22"/>
        </w:rPr>
        <w:t>Washington, DC 20554</w:t>
      </w:r>
    </w:p>
    <w:tbl>
      <w:tblPr>
        <w:tblW w:w="0" w:type="auto"/>
        <w:tblLayout w:type="fixed"/>
        <w:tblLook w:val="0000"/>
      </w:tblPr>
      <w:tblGrid>
        <w:gridCol w:w="4518"/>
        <w:gridCol w:w="630"/>
        <w:gridCol w:w="4248"/>
      </w:tblGrid>
      <w:tr w14:paraId="63C96AD0" w14:textId="77777777" w:rsidTr="00581971">
        <w:tblPrEx>
          <w:tblW w:w="0" w:type="auto"/>
          <w:tblLayout w:type="fixed"/>
          <w:tblLook w:val="0000"/>
        </w:tblPrEx>
        <w:tc>
          <w:tcPr>
            <w:tcW w:w="4518" w:type="dxa"/>
          </w:tcPr>
          <w:p w:rsidR="009962C8" w:rsidRPr="00B63FC8" w:rsidP="00581971" w14:paraId="1BA9887C" w14:textId="77777777">
            <w:pPr>
              <w:tabs>
                <w:tab w:val="center" w:pos="4680"/>
              </w:tabs>
              <w:suppressAutoHyphens/>
              <w:rPr>
                <w:color w:val="000000"/>
                <w:spacing w:val="-2"/>
                <w:szCs w:val="22"/>
              </w:rPr>
            </w:pPr>
          </w:p>
          <w:p w:rsidR="009962C8" w:rsidRPr="00B63FC8" w:rsidP="00581971" w14:paraId="51E5B026" w14:textId="77777777">
            <w:pPr>
              <w:tabs>
                <w:tab w:val="center" w:pos="4680"/>
              </w:tabs>
              <w:suppressAutoHyphens/>
              <w:rPr>
                <w:color w:val="000000"/>
                <w:spacing w:val="-2"/>
                <w:szCs w:val="22"/>
              </w:rPr>
            </w:pPr>
            <w:r w:rsidRPr="00B63FC8">
              <w:rPr>
                <w:color w:val="000000"/>
                <w:spacing w:val="-2"/>
                <w:szCs w:val="22"/>
              </w:rPr>
              <w:t>In the Matter of</w:t>
            </w:r>
          </w:p>
          <w:p w:rsidR="009962C8" w:rsidRPr="00B63FC8" w:rsidP="00581971" w14:paraId="73A376FF" w14:textId="77777777">
            <w:pPr>
              <w:tabs>
                <w:tab w:val="center" w:pos="4680"/>
              </w:tabs>
              <w:suppressAutoHyphens/>
              <w:rPr>
                <w:color w:val="000000"/>
                <w:spacing w:val="-2"/>
                <w:szCs w:val="22"/>
              </w:rPr>
            </w:pPr>
          </w:p>
          <w:p w:rsidR="009962C8" w:rsidRPr="00B63FC8" w:rsidP="00581971" w14:paraId="611902A1" w14:textId="77777777">
            <w:pPr>
              <w:tabs>
                <w:tab w:val="center" w:pos="4680"/>
              </w:tabs>
              <w:suppressAutoHyphens/>
              <w:rPr>
                <w:color w:val="000000"/>
                <w:spacing w:val="-2"/>
                <w:szCs w:val="22"/>
              </w:rPr>
            </w:pPr>
            <w:r w:rsidRPr="00B63FC8">
              <w:rPr>
                <w:color w:val="000000"/>
                <w:spacing w:val="-2"/>
                <w:szCs w:val="22"/>
              </w:rPr>
              <w:t>Jupiter Community Radio, Inc.</w:t>
            </w:r>
          </w:p>
          <w:p w:rsidR="009962C8" w:rsidRPr="00B63FC8" w:rsidP="00581971" w14:paraId="1786CD35" w14:textId="77777777">
            <w:pPr>
              <w:tabs>
                <w:tab w:val="center" w:pos="4680"/>
              </w:tabs>
              <w:suppressAutoHyphens/>
              <w:rPr>
                <w:color w:val="000000"/>
                <w:spacing w:val="-2"/>
                <w:szCs w:val="22"/>
              </w:rPr>
            </w:pPr>
          </w:p>
          <w:p w:rsidR="009962C8" w:rsidRPr="00B63FC8" w:rsidP="00581971" w14:paraId="297B2141" w14:textId="77777777">
            <w:pPr>
              <w:tabs>
                <w:tab w:val="center" w:pos="4680"/>
              </w:tabs>
              <w:suppressAutoHyphens/>
              <w:rPr>
                <w:color w:val="000000"/>
                <w:spacing w:val="-2"/>
                <w:szCs w:val="22"/>
              </w:rPr>
            </w:pPr>
            <w:r w:rsidRPr="00B63FC8">
              <w:rPr>
                <w:color w:val="000000"/>
                <w:spacing w:val="-2"/>
                <w:szCs w:val="22"/>
              </w:rPr>
              <w:t>Licensee of Station WJUP-LP</w:t>
            </w:r>
          </w:p>
          <w:p w:rsidR="009962C8" w:rsidRPr="00B63FC8" w:rsidP="00581971" w14:paraId="73B77A86" w14:textId="77777777">
            <w:pPr>
              <w:tabs>
                <w:tab w:val="center" w:pos="4680"/>
              </w:tabs>
              <w:suppressAutoHyphens/>
              <w:rPr>
                <w:color w:val="000000"/>
                <w:spacing w:val="-2"/>
                <w:szCs w:val="22"/>
              </w:rPr>
            </w:pPr>
            <w:r w:rsidRPr="00B63FC8">
              <w:rPr>
                <w:color w:val="000000"/>
                <w:spacing w:val="-2"/>
                <w:szCs w:val="22"/>
              </w:rPr>
              <w:t>Jupiter, Florida</w:t>
            </w:r>
          </w:p>
          <w:p w:rsidR="009962C8" w:rsidRPr="00B63FC8" w:rsidP="00581971" w14:paraId="60E4648F" w14:textId="63D4C9B0">
            <w:pPr>
              <w:tabs>
                <w:tab w:val="center" w:pos="4680"/>
              </w:tabs>
              <w:suppressAutoHyphens/>
              <w:rPr>
                <w:color w:val="000000"/>
                <w:spacing w:val="-2"/>
                <w:szCs w:val="22"/>
              </w:rPr>
            </w:pPr>
          </w:p>
        </w:tc>
        <w:tc>
          <w:tcPr>
            <w:tcW w:w="630" w:type="dxa"/>
          </w:tcPr>
          <w:p w:rsidR="009962C8" w:rsidRPr="00B63FC8" w:rsidP="00581971" w14:paraId="34F2A1C9" w14:textId="77777777">
            <w:pPr>
              <w:tabs>
                <w:tab w:val="center" w:pos="4680"/>
              </w:tabs>
              <w:suppressAutoHyphens/>
              <w:rPr>
                <w:b/>
                <w:color w:val="000000"/>
                <w:spacing w:val="-2"/>
                <w:szCs w:val="22"/>
              </w:rPr>
            </w:pPr>
          </w:p>
          <w:p w:rsidR="009962C8" w:rsidRPr="00B63FC8" w:rsidP="00581971" w14:paraId="5B355BB5" w14:textId="7777777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290C17BB" w14:textId="7777777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4FF726C4" w14:textId="7777777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57971221" w14:textId="7777777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599F6F87" w14:textId="7777777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43D054D3" w14:textId="7EC508C7">
            <w:pPr>
              <w:tabs>
                <w:tab w:val="center" w:pos="4680"/>
              </w:tabs>
              <w:suppressAutoHyphens/>
              <w:rPr>
                <w:b/>
                <w:color w:val="000000"/>
                <w:spacing w:val="-2"/>
                <w:szCs w:val="22"/>
              </w:rPr>
            </w:pPr>
            <w:r w:rsidRPr="00B63FC8">
              <w:rPr>
                <w:b/>
                <w:color w:val="000000"/>
                <w:spacing w:val="-2"/>
                <w:szCs w:val="22"/>
              </w:rPr>
              <w:t xml:space="preserve">  )</w:t>
            </w:r>
          </w:p>
          <w:p w:rsidR="009962C8" w:rsidRPr="00B63FC8" w:rsidP="00581971" w14:paraId="2A52FE4B" w14:textId="77777777">
            <w:pPr>
              <w:tabs>
                <w:tab w:val="center" w:pos="4680"/>
              </w:tabs>
              <w:suppressAutoHyphens/>
              <w:rPr>
                <w:b/>
                <w:color w:val="000000"/>
                <w:spacing w:val="-2"/>
                <w:szCs w:val="22"/>
              </w:rPr>
            </w:pPr>
          </w:p>
        </w:tc>
        <w:tc>
          <w:tcPr>
            <w:tcW w:w="4248" w:type="dxa"/>
          </w:tcPr>
          <w:p w:rsidR="009962C8" w:rsidRPr="00B63FC8" w:rsidP="00581971" w14:paraId="4CF23C57" w14:textId="77777777">
            <w:pPr>
              <w:tabs>
                <w:tab w:val="center" w:pos="4680"/>
              </w:tabs>
              <w:suppressAutoHyphens/>
              <w:rPr>
                <w:color w:val="000000"/>
                <w:spacing w:val="-2"/>
                <w:szCs w:val="22"/>
              </w:rPr>
            </w:pPr>
          </w:p>
          <w:p w:rsidR="009962C8" w:rsidRPr="00B63FC8" w:rsidP="00581971" w14:paraId="0401BF2F" w14:textId="5B2AB5C8">
            <w:pPr>
              <w:rPr>
                <w:color w:val="000000"/>
                <w:spacing w:val="-2"/>
                <w:szCs w:val="22"/>
              </w:rPr>
            </w:pPr>
          </w:p>
          <w:p w:rsidR="009962C8" w:rsidRPr="00B63FC8" w:rsidP="00581971" w14:paraId="52101EED" w14:textId="77777777">
            <w:pPr>
              <w:rPr>
                <w:snapToGrid/>
                <w:color w:val="000000"/>
                <w:spacing w:val="-2"/>
                <w:szCs w:val="22"/>
              </w:rPr>
            </w:pPr>
            <w:r w:rsidRPr="00B63FC8">
              <w:rPr>
                <w:color w:val="000000"/>
                <w:spacing w:val="-2"/>
                <w:szCs w:val="22"/>
              </w:rPr>
              <w:t>File No.: EB-FIELDSCR-17-00025789</w:t>
            </w:r>
          </w:p>
          <w:p w:rsidR="009962C8" w:rsidP="00581971" w14:paraId="4F7F546C" w14:textId="77777777">
            <w:pPr>
              <w:rPr>
                <w:color w:val="000000"/>
                <w:spacing w:val="-2"/>
                <w:szCs w:val="22"/>
              </w:rPr>
            </w:pPr>
            <w:r w:rsidRPr="00B63FC8">
              <w:rPr>
                <w:color w:val="000000"/>
                <w:spacing w:val="-2"/>
                <w:szCs w:val="22"/>
              </w:rPr>
              <w:t xml:space="preserve">NAL/Acct. No.: </w:t>
            </w:r>
            <w:r w:rsidRPr="00710547">
              <w:rPr>
                <w:color w:val="000000"/>
                <w:spacing w:val="-2"/>
                <w:szCs w:val="22"/>
              </w:rPr>
              <w:t>202032020007</w:t>
            </w:r>
          </w:p>
          <w:p w:rsidR="009962C8" w:rsidRPr="00B63FC8" w:rsidP="00581971" w14:paraId="62D68368" w14:textId="77777777">
            <w:pPr>
              <w:rPr>
                <w:snapToGrid/>
                <w:color w:val="000000"/>
                <w:spacing w:val="-2"/>
                <w:szCs w:val="22"/>
              </w:rPr>
            </w:pPr>
            <w:r w:rsidRPr="00B63FC8">
              <w:rPr>
                <w:color w:val="000000"/>
                <w:spacing w:val="-2"/>
                <w:szCs w:val="22"/>
              </w:rPr>
              <w:t>FRN: 0009817149</w:t>
            </w:r>
          </w:p>
          <w:p w:rsidR="009962C8" w:rsidRPr="00B63FC8" w:rsidP="00581971" w14:paraId="5A7C1442" w14:textId="77777777">
            <w:pPr>
              <w:rPr>
                <w:color w:val="000000"/>
                <w:spacing w:val="-2"/>
                <w:szCs w:val="22"/>
              </w:rPr>
            </w:pPr>
          </w:p>
          <w:p w:rsidR="009962C8" w:rsidRPr="00B63FC8" w:rsidP="00581971" w14:paraId="6521FBE5" w14:textId="12CDB1BB">
            <w:pPr>
              <w:rPr>
                <w:color w:val="000000"/>
                <w:szCs w:val="22"/>
              </w:rPr>
            </w:pPr>
            <w:r w:rsidRPr="00B63FC8">
              <w:rPr>
                <w:color w:val="000000"/>
                <w:spacing w:val="-2"/>
                <w:szCs w:val="22"/>
              </w:rPr>
              <w:t>Facility ID: 133909</w:t>
            </w:r>
          </w:p>
        </w:tc>
      </w:tr>
    </w:tbl>
    <w:p w:rsidR="009962C8" w:rsidRPr="00B63FC8" w:rsidP="009962C8" w14:paraId="4113999C" w14:textId="77777777">
      <w:pPr>
        <w:pStyle w:val="StyleBoldCentered"/>
        <w:widowControl/>
        <w:rPr>
          <w:rFonts w:ascii="Times New Roman" w:hAnsi="Times New Roman"/>
          <w:color w:val="000000"/>
        </w:rPr>
      </w:pPr>
      <w:r w:rsidRPr="00B63FC8">
        <w:rPr>
          <w:rFonts w:ascii="Times New Roman" w:hAnsi="Times New Roman"/>
          <w:color w:val="000000"/>
        </w:rPr>
        <w:t>NOTICE OF APPARENT LIABILITY FOR FORFEITURE</w:t>
      </w:r>
    </w:p>
    <w:p w:rsidR="009962C8" w:rsidRPr="00B63FC8" w:rsidP="009962C8" w14:paraId="27F8CCAA" w14:textId="77777777">
      <w:pPr>
        <w:pStyle w:val="BodyText"/>
        <w:tabs>
          <w:tab w:val="left" w:pos="4680"/>
        </w:tabs>
        <w:jc w:val="center"/>
        <w:rPr>
          <w:color w:val="000000"/>
          <w:sz w:val="22"/>
          <w:szCs w:val="22"/>
          <w:u w:val="none"/>
        </w:rPr>
      </w:pPr>
    </w:p>
    <w:p w:rsidR="009962C8" w:rsidRPr="00037DB0" w:rsidP="009962C8" w14:paraId="0ED06B2E" w14:textId="248F945B">
      <w:pPr>
        <w:tabs>
          <w:tab w:val="left" w:pos="720"/>
          <w:tab w:val="right" w:pos="9360"/>
        </w:tabs>
        <w:suppressAutoHyphens/>
        <w:spacing w:line="227" w:lineRule="auto"/>
        <w:rPr>
          <w:spacing w:val="-2"/>
          <w:szCs w:val="22"/>
        </w:rPr>
      </w:pPr>
      <w:r w:rsidRPr="00037DB0">
        <w:rPr>
          <w:b/>
          <w:spacing w:val="-2"/>
          <w:szCs w:val="22"/>
        </w:rPr>
        <w:t xml:space="preserve">Adopted: </w:t>
      </w:r>
      <w:r w:rsidR="00377EB3">
        <w:rPr>
          <w:b/>
          <w:spacing w:val="-2"/>
          <w:szCs w:val="22"/>
        </w:rPr>
        <w:t>October 26, 2020</w:t>
      </w:r>
      <w:r>
        <w:rPr>
          <w:b/>
          <w:spacing w:val="-2"/>
          <w:szCs w:val="22"/>
        </w:rPr>
        <w:tab/>
      </w:r>
      <w:r w:rsidRPr="00037DB0">
        <w:rPr>
          <w:b/>
          <w:spacing w:val="-2"/>
          <w:szCs w:val="22"/>
        </w:rPr>
        <w:t xml:space="preserve">Released: </w:t>
      </w:r>
      <w:r w:rsidR="00377EB3">
        <w:rPr>
          <w:b/>
          <w:spacing w:val="-2"/>
          <w:szCs w:val="22"/>
        </w:rPr>
        <w:t>October 26, 2020</w:t>
      </w:r>
      <w:bookmarkStart w:id="0" w:name="_GoBack"/>
      <w:bookmarkEnd w:id="0"/>
    </w:p>
    <w:p w:rsidR="009962C8" w:rsidRPr="00B63FC8" w:rsidP="009962C8" w14:paraId="6CAC79E2" w14:textId="77777777">
      <w:pPr>
        <w:pStyle w:val="BodyText"/>
        <w:tabs>
          <w:tab w:val="left" w:pos="4680"/>
        </w:tabs>
        <w:jc w:val="center"/>
        <w:rPr>
          <w:color w:val="000000"/>
          <w:sz w:val="22"/>
          <w:szCs w:val="22"/>
          <w:u w:val="none"/>
        </w:rPr>
      </w:pPr>
    </w:p>
    <w:p w:rsidR="009962C8" w:rsidRPr="006D73F2" w:rsidP="009962C8" w14:paraId="2FCCB974" w14:textId="4E1EA0CF">
      <w:pPr>
        <w:tabs>
          <w:tab w:val="left" w:pos="720"/>
          <w:tab w:val="left" w:pos="5760"/>
        </w:tabs>
        <w:suppressAutoHyphens/>
        <w:spacing w:line="227" w:lineRule="auto"/>
        <w:jc w:val="both"/>
        <w:rPr>
          <w:spacing w:val="-2"/>
          <w:szCs w:val="22"/>
        </w:rPr>
      </w:pPr>
      <w:r w:rsidRPr="006D73F2">
        <w:rPr>
          <w:spacing w:val="-2"/>
          <w:szCs w:val="22"/>
        </w:rPr>
        <w:t xml:space="preserve">By the </w:t>
      </w:r>
      <w:r w:rsidR="004C5B2A">
        <w:rPr>
          <w:spacing w:val="-2"/>
          <w:szCs w:val="22"/>
        </w:rPr>
        <w:t>Regional</w:t>
      </w:r>
      <w:r>
        <w:rPr>
          <w:spacing w:val="-2"/>
          <w:szCs w:val="22"/>
        </w:rPr>
        <w:t xml:space="preserve"> Director, </w:t>
      </w:r>
      <w:r w:rsidR="004C5B2A">
        <w:rPr>
          <w:spacing w:val="-2"/>
          <w:szCs w:val="22"/>
        </w:rPr>
        <w:t xml:space="preserve">Region Two, </w:t>
      </w:r>
      <w:r>
        <w:rPr>
          <w:spacing w:val="-2"/>
          <w:szCs w:val="22"/>
        </w:rPr>
        <w:t>Enforcement Bureau</w:t>
      </w:r>
      <w:r w:rsidRPr="006D73F2">
        <w:rPr>
          <w:spacing w:val="-2"/>
          <w:szCs w:val="22"/>
        </w:rPr>
        <w:t>:</w:t>
      </w:r>
    </w:p>
    <w:p w:rsidR="009962C8" w:rsidRPr="00B63FC8" w:rsidP="009962C8" w14:paraId="5BF375C6" w14:textId="77777777">
      <w:pPr>
        <w:pStyle w:val="BodyText"/>
        <w:tabs>
          <w:tab w:val="left" w:pos="4680"/>
        </w:tabs>
        <w:rPr>
          <w:b w:val="0"/>
          <w:color w:val="000000"/>
          <w:sz w:val="22"/>
          <w:szCs w:val="22"/>
          <w:u w:val="none"/>
        </w:rPr>
      </w:pPr>
    </w:p>
    <w:p w:rsidR="009962C8" w:rsidRPr="00B63FC8" w:rsidP="00030B0C" w14:paraId="25FA1695" w14:textId="77777777">
      <w:pPr>
        <w:pStyle w:val="Heading1"/>
        <w:keepNext w:val="0"/>
        <w:rPr>
          <w:color w:val="000000"/>
        </w:rPr>
      </w:pPr>
      <w:bookmarkStart w:id="1" w:name="_Hlk41650849"/>
      <w:r w:rsidRPr="00B63FC8">
        <w:rPr>
          <w:color w:val="000000"/>
        </w:rPr>
        <w:t>INTRODUCTION</w:t>
      </w:r>
    </w:p>
    <w:p w:rsidR="009962C8" w:rsidP="00307023" w14:paraId="0827957C" w14:textId="444D9B4E">
      <w:pPr>
        <w:pStyle w:val="ParaNum"/>
      </w:pPr>
      <w:bookmarkStart w:id="2" w:name="_Hlk41024668"/>
      <w:r>
        <w:t>S</w:t>
      </w:r>
      <w:r>
        <w:t xml:space="preserve">pectrum licensees </w:t>
      </w:r>
      <w:r>
        <w:t>must</w:t>
      </w:r>
      <w:r>
        <w:t xml:space="preserve"> operate within the </w:t>
      </w:r>
      <w:r>
        <w:t xml:space="preserve">technical </w:t>
      </w:r>
      <w:r>
        <w:t xml:space="preserve">parameters specified on </w:t>
      </w:r>
      <w:r>
        <w:t xml:space="preserve">their </w:t>
      </w:r>
      <w:r>
        <w:t xml:space="preserve">licenses and set forth in the applicable </w:t>
      </w:r>
      <w:r>
        <w:t xml:space="preserve">Federal Communications Commission (FCC or Commission) </w:t>
      </w:r>
      <w:r>
        <w:t>service rules</w:t>
      </w:r>
      <w:r w:rsidR="00530506">
        <w:t xml:space="preserve">.  </w:t>
      </w:r>
      <w:r w:rsidR="00BA3BCE">
        <w:t>L</w:t>
      </w:r>
      <w:r>
        <w:t xml:space="preserve">icensees </w:t>
      </w:r>
      <w:r w:rsidR="00BA3BCE">
        <w:t xml:space="preserve">also </w:t>
      </w:r>
      <w:r>
        <w:t>must</w:t>
      </w:r>
      <w:r>
        <w:t xml:space="preserve"> make </w:t>
      </w:r>
      <w:r>
        <w:t xml:space="preserve">their </w:t>
      </w:r>
      <w:r>
        <w:t xml:space="preserve">facilities available for inspection by Commission personnel.  </w:t>
      </w:r>
      <w:r w:rsidR="00BA3BCE">
        <w:t xml:space="preserve">Here, Jupiter Community Radio, Inc. </w:t>
      </w:r>
      <w:r w:rsidRPr="00981F23" w:rsidR="00BA3BCE">
        <w:t>(</w:t>
      </w:r>
      <w:r w:rsidR="00BA3BCE">
        <w:t xml:space="preserve">Jupiter), licensee of Low Power FM (LPFM) station WJUP-LP, Jupiter, Florida (Station), has apparently failed </w:t>
      </w:r>
      <w:r w:rsidRPr="00B4133A" w:rsidR="00BA3BCE">
        <w:t>to operate the Station in</w:t>
      </w:r>
      <w:r w:rsidR="00BA3BCE">
        <w:t xml:space="preserve"> </w:t>
      </w:r>
      <w:r w:rsidRPr="00B4133A" w:rsidR="00BA3BCE">
        <w:t>accordance with the terms</w:t>
      </w:r>
      <w:r w:rsidR="00BA3BCE">
        <w:t xml:space="preserve"> of its authorization and the applicable </w:t>
      </w:r>
      <w:r w:rsidR="00530506">
        <w:t>LPFM technical</w:t>
      </w:r>
      <w:r w:rsidR="00BA3BCE">
        <w:t xml:space="preserve"> rules</w:t>
      </w:r>
      <w:r w:rsidRPr="00B4133A" w:rsidR="00BA3BCE">
        <w:t xml:space="preserve"> </w:t>
      </w:r>
      <w:r w:rsidR="00BA3BCE">
        <w:t xml:space="preserve">and </w:t>
      </w:r>
      <w:r w:rsidRPr="00B4133A" w:rsidR="00BA3BCE">
        <w:t>to make the Station available for inspection</w:t>
      </w:r>
      <w:r w:rsidR="007F31FE">
        <w:t>.</w:t>
      </w:r>
      <w:r w:rsidR="00EC0B98">
        <w:t xml:space="preserve"> </w:t>
      </w:r>
      <w:r w:rsidR="00BA3BCE">
        <w:t xml:space="preserve"> Jupiter also apparently violated Commission rules by failing to maintain required Emergency Alert System </w:t>
      </w:r>
      <w:r w:rsidR="00965C27">
        <w:t xml:space="preserve">(EAS) </w:t>
      </w:r>
      <w:r w:rsidR="00BA3BCE">
        <w:t xml:space="preserve">equipment, which is necessary to </w:t>
      </w:r>
      <w:r>
        <w:t xml:space="preserve">convey critical </w:t>
      </w:r>
      <w:r w:rsidR="00BA3BCE">
        <w:t xml:space="preserve">emergency </w:t>
      </w:r>
      <w:r>
        <w:t xml:space="preserve">information to </w:t>
      </w:r>
      <w:r w:rsidR="00BA3BCE">
        <w:t xml:space="preserve">Jupiter’s </w:t>
      </w:r>
      <w:r>
        <w:t xml:space="preserve">audience.  </w:t>
      </w:r>
      <w:r w:rsidR="00BA3BCE">
        <w:t>Accordingly, we propose a $25,000 forfeiture against Jupiter for its apparent willful violation of section 301 of the Communications Act of 1934, as amended (Act) and sections</w:t>
      </w:r>
      <w:r w:rsidR="003918A5">
        <w:t xml:space="preserve"> 11.11,</w:t>
      </w:r>
      <w:r w:rsidR="00BA3BCE">
        <w:t xml:space="preserve"> 73.840, 73.845, </w:t>
      </w:r>
      <w:r w:rsidR="003918A5">
        <w:t>and</w:t>
      </w:r>
      <w:r w:rsidR="007F402F">
        <w:t xml:space="preserve"> </w:t>
      </w:r>
      <w:r w:rsidR="00BA3BCE">
        <w:t>73.878 of the Commission’s rules.</w:t>
      </w:r>
      <w:r>
        <w:rPr>
          <w:rStyle w:val="FootnoteReference"/>
        </w:rPr>
        <w:footnoteReference w:id="3"/>
      </w:r>
      <w:r w:rsidR="00030B0C">
        <w:t xml:space="preserve">  </w:t>
      </w:r>
    </w:p>
    <w:bookmarkEnd w:id="1"/>
    <w:bookmarkEnd w:id="2"/>
    <w:p w:rsidR="009962C8" w:rsidRPr="00B63FC8" w:rsidP="00781926" w14:paraId="719E603B" w14:textId="77777777">
      <w:pPr>
        <w:pStyle w:val="Heading1"/>
        <w:keepNext w:val="0"/>
        <w:rPr>
          <w:color w:val="000000"/>
          <w:spacing w:val="-2"/>
        </w:rPr>
      </w:pPr>
      <w:r w:rsidRPr="00B63FC8">
        <w:rPr>
          <w:color w:val="000000"/>
        </w:rPr>
        <w:t>BACKGROUND</w:t>
      </w:r>
    </w:p>
    <w:p w:rsidR="009962C8" w:rsidRPr="000B0216" w:rsidP="00D72E8B" w14:paraId="63DE9B63" w14:textId="2750769C">
      <w:pPr>
        <w:pStyle w:val="ParaNum"/>
        <w:rPr>
          <w:spacing w:val="-2"/>
        </w:rPr>
      </w:pPr>
      <w:r w:rsidRPr="00E2678F">
        <w:rPr>
          <w:i/>
          <w:iCs/>
        </w:rPr>
        <w:t>Legal Framework</w:t>
      </w:r>
      <w:r>
        <w:t>.  Section 301 of the Act states that “[n]o person shall use or operate any apparatus for the transmission of energy or communications or signals by radio” within the United States except under and in accordance with the Act and with a license granted by the Commission.</w:t>
      </w:r>
      <w:r>
        <w:rPr>
          <w:sz w:val="20"/>
          <w:vertAlign w:val="superscript"/>
        </w:rPr>
        <w:footnoteReference w:id="4"/>
      </w:r>
      <w:r>
        <w:t xml:space="preserve">  Section 73.840 </w:t>
      </w:r>
      <w:r w:rsidR="00273AD0">
        <w:t xml:space="preserve">of the Commission’s rules </w:t>
      </w:r>
      <w:r>
        <w:t>requires each LPFM station to maintain its transmitter power output as near as practicable to</w:t>
      </w:r>
      <w:r w:rsidR="00965C27">
        <w:t>, but not more than 105% of,</w:t>
      </w:r>
      <w:r>
        <w:t xml:space="preserve"> its authorized </w:t>
      </w:r>
      <w:r w:rsidR="00454D59">
        <w:t>transmitter power output</w:t>
      </w:r>
      <w:r>
        <w:t>.</w:t>
      </w:r>
      <w:r>
        <w:rPr>
          <w:sz w:val="20"/>
          <w:vertAlign w:val="superscript"/>
        </w:rPr>
        <w:footnoteReference w:id="5"/>
      </w:r>
      <w:r>
        <w:t xml:space="preserve">  </w:t>
      </w:r>
      <w:r w:rsidR="00273AD0">
        <w:t>Section 73.845 requires e</w:t>
      </w:r>
      <w:r w:rsidRPr="000452C2" w:rsidR="00273AD0">
        <w:t>ach LPFM</w:t>
      </w:r>
      <w:r w:rsidR="00273AD0">
        <w:t xml:space="preserve"> licensee to maintain and operate its broadcast </w:t>
      </w:r>
      <w:r w:rsidRPr="000452C2" w:rsidR="00273AD0">
        <w:t xml:space="preserve">station in accordance with the terms of </w:t>
      </w:r>
      <w:r w:rsidR="00273AD0">
        <w:t>its</w:t>
      </w:r>
      <w:r w:rsidRPr="000452C2" w:rsidR="00273AD0">
        <w:t xml:space="preserve"> station authorization</w:t>
      </w:r>
      <w:r w:rsidR="00273AD0">
        <w:t>.</w:t>
      </w:r>
      <w:r>
        <w:rPr>
          <w:sz w:val="20"/>
          <w:vertAlign w:val="superscript"/>
        </w:rPr>
        <w:footnoteReference w:id="6"/>
      </w:r>
      <w:r w:rsidRPr="000452C2" w:rsidR="00273AD0">
        <w:t xml:space="preserve"> </w:t>
      </w:r>
      <w:r w:rsidR="00273AD0">
        <w:t xml:space="preserve"> </w:t>
      </w:r>
      <w:r w:rsidR="00965C27">
        <w:t xml:space="preserve">Section </w:t>
      </w:r>
      <w:r>
        <w:t>73.878</w:t>
      </w:r>
      <w:r w:rsidRPr="00C62074">
        <w:t xml:space="preserve">(a) requires </w:t>
      </w:r>
      <w:r>
        <w:t>each</w:t>
      </w:r>
      <w:r w:rsidRPr="00C62074">
        <w:t xml:space="preserve"> LPFM </w:t>
      </w:r>
      <w:r>
        <w:t xml:space="preserve">licensee </w:t>
      </w:r>
      <w:r w:rsidRPr="00C62074">
        <w:t>to make its station available for inspection by representatives of the Commission during the station’s business hours, and at any time the station is in operation.</w:t>
      </w:r>
      <w:r>
        <w:rPr>
          <w:sz w:val="20"/>
          <w:vertAlign w:val="superscript"/>
        </w:rPr>
        <w:footnoteReference w:id="7"/>
      </w:r>
      <w:r w:rsidRPr="00C62074">
        <w:t xml:space="preserve"> </w:t>
      </w:r>
      <w:r>
        <w:t xml:space="preserve"> </w:t>
      </w:r>
      <w:r w:rsidR="00113EBD">
        <w:t xml:space="preserve">Finally, section 11.11(a) </w:t>
      </w:r>
      <w:r w:rsidR="00B62FBF">
        <w:t xml:space="preserve">of the Commission’s rules </w:t>
      </w:r>
      <w:r w:rsidR="00113EBD">
        <w:t>specifies the minimum EAS equipment that must be installed at each LPFM station.</w:t>
      </w:r>
      <w:r>
        <w:rPr>
          <w:rStyle w:val="FootnoteReference"/>
        </w:rPr>
        <w:footnoteReference w:id="8"/>
      </w:r>
      <w:r w:rsidR="00030B0C">
        <w:t xml:space="preserve">  </w:t>
      </w:r>
    </w:p>
    <w:p w:rsidR="009962C8" w:rsidRPr="00B150EA" w:rsidP="009962C8" w14:paraId="6DFC0ACA" w14:textId="24E5C5A5">
      <w:pPr>
        <w:pStyle w:val="ParaNum"/>
      </w:pPr>
      <w:bookmarkStart w:id="3" w:name="_Ref45548430"/>
      <w:bookmarkStart w:id="4" w:name="_Hlk42192423"/>
      <w:r w:rsidRPr="007F3E8B">
        <w:rPr>
          <w:i/>
          <w:iCs/>
        </w:rPr>
        <w:t>Factual Background</w:t>
      </w:r>
      <w:r>
        <w:t xml:space="preserve">. </w:t>
      </w:r>
      <w:bookmarkStart w:id="5" w:name="_Hlk42195540"/>
      <w:r>
        <w:t xml:space="preserve"> While investigating a complaint concerning another broadcast facility in the vicinity of the Station, </w:t>
      </w:r>
      <w:r w:rsidRPr="007F3E8B">
        <w:rPr>
          <w:szCs w:val="22"/>
        </w:rPr>
        <w:t xml:space="preserve">agents from the Enforcement Bureau’s </w:t>
      </w:r>
      <w:r w:rsidR="003E371F">
        <w:rPr>
          <w:szCs w:val="22"/>
        </w:rPr>
        <w:t xml:space="preserve">(Bureau) </w:t>
      </w:r>
      <w:r w:rsidRPr="007F3E8B">
        <w:rPr>
          <w:szCs w:val="22"/>
        </w:rPr>
        <w:t>Miami</w:t>
      </w:r>
      <w:r>
        <w:t xml:space="preserve"> Field Office (Miami Office) </w:t>
      </w:r>
      <w:r w:rsidR="00B62FBF">
        <w:t xml:space="preserve">obtained information indicating that Station WJUP-LP may be operating in an unauthorized manner.  </w:t>
      </w:r>
      <w:r>
        <w:t xml:space="preserve">On February 19, 2020, two agents from the Miami Office monitored the Station’s transmissions and, using direction-finding techniques, determined that the Station was transmitting from the roof of a multi-unit residential building at </w:t>
      </w:r>
      <w:r w:rsidRPr="001E5FB0">
        <w:t xml:space="preserve">26° 56’ </w:t>
      </w:r>
      <w:r>
        <w:t>16.06</w:t>
      </w:r>
      <w:r w:rsidRPr="001E5FB0">
        <w:t xml:space="preserve">” North latitude and 80° 04’ </w:t>
      </w:r>
      <w:r>
        <w:t>16.35</w:t>
      </w:r>
      <w:r w:rsidRPr="001E5FB0">
        <w:t>” West longitude</w:t>
      </w:r>
      <w:r>
        <w:t xml:space="preserve"> (Transmitter Site).  </w:t>
      </w:r>
      <w:r w:rsidR="001C2D13">
        <w:t>In addition, t</w:t>
      </w:r>
      <w:r>
        <w:t>he agents observed that Jupiter was operating the Station with a two-bay antenna array.</w:t>
      </w:r>
      <w:bookmarkEnd w:id="3"/>
      <w:bookmarkEnd w:id="5"/>
      <w:r w:rsidR="00030B0C">
        <w:t xml:space="preserve">  </w:t>
      </w:r>
    </w:p>
    <w:p w:rsidR="009962C8" w:rsidRPr="00EF55FB" w:rsidP="009962C8" w14:paraId="7936E1D0" w14:textId="20EC24CC">
      <w:pPr>
        <w:pStyle w:val="ParaNum"/>
        <w:rPr>
          <w:spacing w:val="-2"/>
        </w:rPr>
      </w:pPr>
      <w:bookmarkStart w:id="6" w:name="_Ref45548439"/>
      <w:r>
        <w:t>Jupiter holds a license from the Commission to operate the Station at a transmitter site located at</w:t>
      </w:r>
      <w:r w:rsidRPr="00EF55FB">
        <w:rPr>
          <w:szCs w:val="22"/>
        </w:rPr>
        <w:t xml:space="preserve"> 26° 56’ 33” North latitude and 80° 04’ 18” West longitude (Authorized Site)</w:t>
      </w:r>
      <w:r>
        <w:rPr>
          <w:szCs w:val="22"/>
        </w:rPr>
        <w:t>.</w:t>
      </w:r>
      <w:r>
        <w:rPr>
          <w:vertAlign w:val="superscript"/>
        </w:rPr>
        <w:footnoteReference w:id="9"/>
      </w:r>
      <w:r>
        <w:rPr>
          <w:szCs w:val="22"/>
        </w:rPr>
        <w:t xml:space="preserve">  The Station’s license also specifies that it is authorized to operate with a </w:t>
      </w:r>
      <w:r w:rsidR="005E2A87">
        <w:rPr>
          <w:szCs w:val="22"/>
        </w:rPr>
        <w:t>transmitter power output</w:t>
      </w:r>
      <w:r w:rsidRPr="00EF55FB">
        <w:rPr>
          <w:szCs w:val="22"/>
        </w:rPr>
        <w:t xml:space="preserve"> of 45 Watts</w:t>
      </w:r>
      <w:r w:rsidR="005E2A87">
        <w:rPr>
          <w:szCs w:val="22"/>
        </w:rPr>
        <w:t>,</w:t>
      </w:r>
      <w:r w:rsidRPr="00EF55FB">
        <w:rPr>
          <w:szCs w:val="22"/>
        </w:rPr>
        <w:t xml:space="preserve"> an effective radiated power of 20 Watts, and a one-bay Nicom BKG88 antenna.</w:t>
      </w:r>
      <w:r>
        <w:rPr>
          <w:rStyle w:val="FootnoteReference"/>
          <w:szCs w:val="22"/>
        </w:rPr>
        <w:footnoteReference w:id="10"/>
      </w:r>
      <w:r w:rsidRPr="00EF55FB">
        <w:rPr>
          <w:szCs w:val="22"/>
        </w:rPr>
        <w:t xml:space="preserve">  </w:t>
      </w:r>
      <w:r>
        <w:rPr>
          <w:szCs w:val="22"/>
        </w:rPr>
        <w:t xml:space="preserve">As part of their field work on February 19, 2020, the </w:t>
      </w:r>
      <w:r w:rsidRPr="00EF55FB">
        <w:rPr>
          <w:szCs w:val="22"/>
        </w:rPr>
        <w:t xml:space="preserve">agents </w:t>
      </w:r>
      <w:r>
        <w:rPr>
          <w:szCs w:val="22"/>
        </w:rPr>
        <w:t>determined</w:t>
      </w:r>
      <w:r w:rsidRPr="00EF55FB">
        <w:rPr>
          <w:szCs w:val="22"/>
        </w:rPr>
        <w:t xml:space="preserve"> that the Authorized Site is approximately 0.3</w:t>
      </w:r>
      <w:r>
        <w:rPr>
          <w:szCs w:val="22"/>
        </w:rPr>
        <w:t>3</w:t>
      </w:r>
      <w:r w:rsidRPr="00EF55FB">
        <w:rPr>
          <w:szCs w:val="22"/>
        </w:rPr>
        <w:t xml:space="preserve"> miles from the Transmitter Site, </w:t>
      </w:r>
      <w:r>
        <w:rPr>
          <w:szCs w:val="22"/>
        </w:rPr>
        <w:t xml:space="preserve">and </w:t>
      </w:r>
      <w:r w:rsidRPr="00EF55FB">
        <w:rPr>
          <w:szCs w:val="22"/>
        </w:rPr>
        <w:t xml:space="preserve">that the Station was not using the type of antenna specified in its license.  </w:t>
      </w:r>
      <w:r>
        <w:rPr>
          <w:szCs w:val="22"/>
        </w:rPr>
        <w:t>The agents searched the Commission’s license databases and confirmed that Jupiter had neither sought the Commission’s approval to operate from the Transmitter Site</w:t>
      </w:r>
      <w:r w:rsidR="00185E9E">
        <w:rPr>
          <w:szCs w:val="22"/>
        </w:rPr>
        <w:t>, as opposed to the Authorized Site,</w:t>
      </w:r>
      <w:r>
        <w:rPr>
          <w:szCs w:val="22"/>
        </w:rPr>
        <w:t xml:space="preserve"> nor notified the Commission of its use of a different antenna.</w:t>
      </w:r>
      <w:r>
        <w:rPr>
          <w:rStyle w:val="FootnoteReference"/>
        </w:rPr>
        <w:footnoteReference w:id="11"/>
      </w:r>
      <w:bookmarkEnd w:id="6"/>
      <w:r w:rsidR="00030B0C">
        <w:rPr>
          <w:szCs w:val="22"/>
        </w:rPr>
        <w:t xml:space="preserve">  </w:t>
      </w:r>
    </w:p>
    <w:p w:rsidR="009962C8" w:rsidRPr="00E040E1" w:rsidP="009962C8" w14:paraId="4981E146" w14:textId="7426895D">
      <w:pPr>
        <w:pStyle w:val="ParaNum"/>
        <w:rPr>
          <w:spacing w:val="-2"/>
        </w:rPr>
      </w:pPr>
      <w:bookmarkStart w:id="7" w:name="_Ref45552947"/>
      <w:bookmarkEnd w:id="4"/>
      <w:r>
        <w:t xml:space="preserve">On </w:t>
      </w:r>
      <w:bookmarkStart w:id="8" w:name="_Hlk42200505"/>
      <w:r>
        <w:t>February 26, 2020, an agent from the Miami Office contacted a representative of Jupiter by telephone during the Station’s business hours to request an inspection of the Station’s transmitter site.  In response to the request, Jupiter’s representative explained that an inspection would not be possible because Wayne Manning, Jupiter’s president,</w:t>
      </w:r>
      <w:r>
        <w:rPr>
          <w:rStyle w:val="FootnoteReference"/>
        </w:rPr>
        <w:footnoteReference w:id="12"/>
      </w:r>
      <w:r>
        <w:t xml:space="preserve"> was out of the country with no scheduled return date.  The agent inquired whether someone else associated with Jupiter was responsible for the Station’s operation in Manning’s absence, but the representative stated that Manning was the only person who could respond to the agent’s questions about the Station.  On March 3, 2020, after two more telephone calls, the agent reached Manning and scheduled an inspection.  During that conversation, Manning confirmed that he was the Station’s chief operator but that he was unable to remotely modify the settings of the Station’s transmitter.</w:t>
      </w:r>
      <w:bookmarkEnd w:id="7"/>
      <w:r w:rsidR="00030B0C">
        <w:t xml:space="preserve">  </w:t>
      </w:r>
    </w:p>
    <w:p w:rsidR="009962C8" w:rsidP="009962C8" w14:paraId="16AC05E3" w14:textId="5123D0EA">
      <w:pPr>
        <w:pStyle w:val="ParaNum"/>
        <w:rPr>
          <w:spacing w:val="-2"/>
        </w:rPr>
      </w:pPr>
      <w:bookmarkStart w:id="9" w:name="_Ref45548449"/>
      <w:r>
        <w:t>On March 6, 2020, two agents from the Miami Office conducted an inspection of the Station’s facilities at the Transmitter Site.  The a</w:t>
      </w:r>
      <w:r w:rsidRPr="00EF55FB">
        <w:rPr>
          <w:szCs w:val="22"/>
        </w:rPr>
        <w:t xml:space="preserve">gents observed that the transmitter’s power meter showed that it was operating with a </w:t>
      </w:r>
      <w:r w:rsidR="005E2A87">
        <w:rPr>
          <w:szCs w:val="22"/>
        </w:rPr>
        <w:t>transmitter power output</w:t>
      </w:r>
      <w:r w:rsidRPr="00EF55FB" w:rsidR="005E2A87">
        <w:rPr>
          <w:szCs w:val="22"/>
        </w:rPr>
        <w:t xml:space="preserve"> </w:t>
      </w:r>
      <w:r w:rsidRPr="00EF55FB">
        <w:rPr>
          <w:szCs w:val="22"/>
        </w:rPr>
        <w:t>of 100 Watts</w:t>
      </w:r>
      <w:r>
        <w:rPr>
          <w:szCs w:val="22"/>
        </w:rPr>
        <w:t xml:space="preserve"> and re-confirmed that it </w:t>
      </w:r>
      <w:r>
        <w:t xml:space="preserve">was using a two-bay antenna array, rather than the single-bay antenna specified on the Station’s license.  When asked, Manning, who accompanied the agents during the inspection, admitted that Jupiter replaced its authorized one-bay antenna with the two-bay antenna.  Based on the observed two-bay antenna and </w:t>
      </w:r>
      <w:r w:rsidR="005E2A87">
        <w:t>transmitter power output</w:t>
      </w:r>
      <w:r>
        <w:t xml:space="preserve"> of 100 Watts</w:t>
      </w:r>
      <w:r w:rsidRPr="00EF55FB">
        <w:rPr>
          <w:szCs w:val="22"/>
        </w:rPr>
        <w:t>,</w:t>
      </w:r>
      <w:r>
        <w:t xml:space="preserve"> the agents calculated that the Station was operating with an </w:t>
      </w:r>
      <w:r w:rsidRPr="00EF55FB" w:rsidR="005E2A87">
        <w:rPr>
          <w:szCs w:val="22"/>
        </w:rPr>
        <w:t>effective radiated power</w:t>
      </w:r>
      <w:r>
        <w:t xml:space="preserve"> of approximately 177 Watts.</w:t>
      </w:r>
      <w:bookmarkEnd w:id="9"/>
      <w:r w:rsidR="00030B0C">
        <w:t xml:space="preserve">  </w:t>
      </w:r>
    </w:p>
    <w:p w:rsidR="009962C8" w:rsidRPr="00EF55FB" w:rsidP="00210F9B" w14:paraId="606A8591" w14:textId="6C6C9719">
      <w:pPr>
        <w:pStyle w:val="ParaNum"/>
        <w:widowControl/>
        <w:rPr>
          <w:spacing w:val="-2"/>
        </w:rPr>
      </w:pPr>
      <w:bookmarkStart w:id="10" w:name="_Ref45553172"/>
      <w:r>
        <w:t xml:space="preserve">During the March 6, 2020 inspection, the agents </w:t>
      </w:r>
      <w:r w:rsidR="00185E9E">
        <w:t xml:space="preserve">observed </w:t>
      </w:r>
      <w:r>
        <w:t xml:space="preserve">that the Station did not appear to have any EAS equipment.  When questioned by the agents, </w:t>
      </w:r>
      <w:bookmarkStart w:id="11" w:name="_Hlk42585390"/>
      <w:r>
        <w:t xml:space="preserve">Manning </w:t>
      </w:r>
      <w:bookmarkStart w:id="12" w:name="_Hlk42626500"/>
      <w:r>
        <w:t xml:space="preserve">stated that the EAS equipment was installed at </w:t>
      </w:r>
      <w:bookmarkEnd w:id="12"/>
      <w:r>
        <w:t xml:space="preserve">the studio located on the premises of the Omega Church International Ministry (Omega </w:t>
      </w:r>
      <w:r>
        <w:t>Church).</w:t>
      </w:r>
      <w:r>
        <w:rPr>
          <w:rStyle w:val="FootnoteReference"/>
        </w:rPr>
        <w:footnoteReference w:id="13"/>
      </w:r>
      <w:r>
        <w:t xml:space="preserve">  </w:t>
      </w:r>
      <w:bookmarkEnd w:id="11"/>
      <w:r>
        <w:t>An agent requested that Manning provide the logs of EAS tests received by the Station for the six months prior to the inspection.</w:t>
      </w:r>
      <w:bookmarkEnd w:id="10"/>
      <w:r>
        <w:t xml:space="preserve">  </w:t>
      </w:r>
    </w:p>
    <w:p w:rsidR="009962C8" w:rsidRPr="00EF55FB" w:rsidP="009962C8" w14:paraId="7192FD0A" w14:textId="661277EC">
      <w:pPr>
        <w:pStyle w:val="ParaNum"/>
        <w:rPr>
          <w:spacing w:val="-2"/>
        </w:rPr>
      </w:pPr>
      <w:bookmarkStart w:id="13" w:name="_Hlk42200787"/>
      <w:bookmarkEnd w:id="8"/>
      <w:r>
        <w:t>On April 9, 2020, the Bureau’s Acting Field Director issued a Notice of Violation advising Jupiter that agents observed the Station (a) operating at impermissible power levels;</w:t>
      </w:r>
      <w:r>
        <w:rPr>
          <w:rStyle w:val="FootnoteReference"/>
        </w:rPr>
        <w:footnoteReference w:id="14"/>
      </w:r>
      <w:r>
        <w:t xml:space="preserve"> (b) operating at the Transmitter Site instead of the Authorized Site;</w:t>
      </w:r>
      <w:r>
        <w:rPr>
          <w:rStyle w:val="FootnoteReference"/>
        </w:rPr>
        <w:footnoteReference w:id="15"/>
      </w:r>
      <w:r>
        <w:t xml:space="preserve"> (c) modifying its transmission system to use a different antenna without properly notifying the Commission;</w:t>
      </w:r>
      <w:r>
        <w:rPr>
          <w:rStyle w:val="FootnoteReference"/>
        </w:rPr>
        <w:footnoteReference w:id="16"/>
      </w:r>
      <w:r>
        <w:t xml:space="preserve"> and (d) failing to make the Station available to Commission personnel.</w:t>
      </w:r>
      <w:r>
        <w:rPr>
          <w:rStyle w:val="FootnoteReference"/>
        </w:rPr>
        <w:footnoteReference w:id="17"/>
      </w:r>
      <w:r>
        <w:t xml:space="preserve">  The NOV instructed Jupiter to respond to each violation identified in the NOV and to support its response with a declaration made under penalty of perjury, in accordance with section 1.16 of the Commission’s rules.</w:t>
      </w:r>
      <w:r>
        <w:rPr>
          <w:rStyle w:val="FootnoteReference"/>
        </w:rPr>
        <w:footnoteReference w:id="18"/>
      </w:r>
      <w:r>
        <w:t xml:space="preserve"> </w:t>
      </w:r>
      <w:bookmarkStart w:id="14" w:name="_Hlk42495764"/>
      <w:r w:rsidR="00030B0C">
        <w:t xml:space="preserve"> </w:t>
      </w:r>
    </w:p>
    <w:p w:rsidR="009962C8" w:rsidRPr="00FA2512" w:rsidP="009962C8" w14:paraId="2F026205" w14:textId="77568597">
      <w:pPr>
        <w:pStyle w:val="ParaNum"/>
        <w:rPr>
          <w:spacing w:val="-2"/>
        </w:rPr>
      </w:pPr>
      <w:bookmarkStart w:id="15" w:name="_Ref45553182"/>
      <w:bookmarkEnd w:id="14"/>
      <w:r>
        <w:t>On April 24, 2020, the Miami Office agent made a second request for the EAS logs and asked for evidence that Jupiter installed a properly functioning EAS decoder.</w:t>
      </w:r>
      <w:r>
        <w:rPr>
          <w:sz w:val="20"/>
          <w:vertAlign w:val="superscript"/>
        </w:rPr>
        <w:footnoteReference w:id="19"/>
      </w:r>
      <w:r w:rsidRPr="005E6474">
        <w:rPr>
          <w:sz w:val="20"/>
        </w:rPr>
        <w:t xml:space="preserve"> </w:t>
      </w:r>
      <w:r>
        <w:t xml:space="preserve"> Manning failed to provide the information requested and instead provided EAS logs associated with WOIB-LP, which is licensed to Omega Church.</w:t>
      </w:r>
      <w:r>
        <w:rPr>
          <w:sz w:val="20"/>
          <w:vertAlign w:val="superscript"/>
        </w:rPr>
        <w:footnoteReference w:id="20"/>
      </w:r>
      <w:r>
        <w:t xml:space="preserve">  On May 14, 2020, the agent asked Manning again to provide the EAS information pertaining to the Station but, to date, </w:t>
      </w:r>
      <w:r w:rsidR="00807B35">
        <w:t xml:space="preserve">the agent </w:t>
      </w:r>
      <w:r>
        <w:t>has not received a response.</w:t>
      </w:r>
      <w:r>
        <w:rPr>
          <w:sz w:val="20"/>
          <w:vertAlign w:val="superscript"/>
        </w:rPr>
        <w:footnoteReference w:id="21"/>
      </w:r>
      <w:bookmarkEnd w:id="15"/>
      <w:r w:rsidRPr="005E6474">
        <w:rPr>
          <w:sz w:val="20"/>
        </w:rPr>
        <w:t xml:space="preserve"> </w:t>
      </w:r>
      <w:r>
        <w:t xml:space="preserve"> </w:t>
      </w:r>
    </w:p>
    <w:p w:rsidR="009962C8" w:rsidRPr="003B012D" w:rsidP="009962C8" w14:paraId="09771730" w14:textId="37361485">
      <w:pPr>
        <w:pStyle w:val="ParaNum"/>
        <w:rPr>
          <w:spacing w:val="-2"/>
        </w:rPr>
      </w:pPr>
      <w:bookmarkStart w:id="18" w:name="_Ref45553193"/>
      <w:r>
        <w:t xml:space="preserve">In response to the NOV, Manning submitted e-mails </w:t>
      </w:r>
      <w:r w:rsidR="0042744B">
        <w:t xml:space="preserve">and letters </w:t>
      </w:r>
      <w:r>
        <w:t>to advise that he “turned down” the Station’s transmitter;</w:t>
      </w:r>
      <w:r>
        <w:rPr>
          <w:rStyle w:val="FootnoteReference"/>
        </w:rPr>
        <w:footnoteReference w:id="22"/>
      </w:r>
      <w:r>
        <w:t xml:space="preserve"> that Jupiter replaced the antenna with a new Nicom BKG88 antenna;</w:t>
      </w:r>
      <w:r>
        <w:rPr>
          <w:rStyle w:val="FootnoteReference"/>
        </w:rPr>
        <w:footnoteReference w:id="23"/>
      </w:r>
      <w:r>
        <w:t xml:space="preserve"> and that Jupiter has “taken care of the violations.”</w:t>
      </w:r>
      <w:r>
        <w:rPr>
          <w:sz w:val="20"/>
          <w:vertAlign w:val="superscript"/>
        </w:rPr>
        <w:footnoteReference w:id="24"/>
      </w:r>
      <w:r>
        <w:t xml:space="preserve">  None of Manning’s e-mails </w:t>
      </w:r>
      <w:r w:rsidR="0042744B">
        <w:t xml:space="preserve">or letters </w:t>
      </w:r>
      <w:r>
        <w:t>included a declaration attesting to the accuracy of its responses, as required by the NOV.</w:t>
      </w:r>
      <w:r>
        <w:rPr>
          <w:sz w:val="20"/>
          <w:vertAlign w:val="superscript"/>
        </w:rPr>
        <w:footnoteReference w:id="25"/>
      </w:r>
      <w:bookmarkEnd w:id="18"/>
      <w:r w:rsidR="00030B0C">
        <w:t xml:space="preserve">  </w:t>
      </w:r>
    </w:p>
    <w:bookmarkEnd w:id="13"/>
    <w:p w:rsidR="009962C8" w:rsidRPr="00B63FC8" w:rsidP="00030B0C" w14:paraId="38C136D9" w14:textId="77777777">
      <w:pPr>
        <w:pStyle w:val="Heading1"/>
        <w:keepNext w:val="0"/>
        <w:rPr>
          <w:color w:val="000000"/>
        </w:rPr>
      </w:pPr>
      <w:r w:rsidRPr="00B63FC8">
        <w:rPr>
          <w:color w:val="000000"/>
        </w:rPr>
        <w:t>DISCUSSION</w:t>
      </w:r>
    </w:p>
    <w:p w:rsidR="009962C8" w:rsidRPr="00577560" w:rsidP="009962C8" w14:paraId="6761F553" w14:textId="38BBA5F3">
      <w:pPr>
        <w:pStyle w:val="ParaNum"/>
        <w:rPr>
          <w:spacing w:val="-2"/>
        </w:rPr>
      </w:pPr>
      <w:r>
        <w:rPr>
          <w:spacing w:val="-2"/>
        </w:rPr>
        <w:t xml:space="preserve">The Commission requires that each LPFM </w:t>
      </w:r>
      <w:r w:rsidR="001C2D13">
        <w:rPr>
          <w:spacing w:val="-2"/>
        </w:rPr>
        <w:t>licensee</w:t>
      </w:r>
      <w:r>
        <w:rPr>
          <w:spacing w:val="-2"/>
        </w:rPr>
        <w:t xml:space="preserve"> provide service in accordance with the technical parameters specified on the</w:t>
      </w:r>
      <w:r w:rsidR="001C2D13">
        <w:rPr>
          <w:spacing w:val="-2"/>
        </w:rPr>
        <w:t xml:space="preserve"> station’s</w:t>
      </w:r>
      <w:r>
        <w:rPr>
          <w:spacing w:val="-2"/>
        </w:rPr>
        <w:t xml:space="preserve"> license and set forth in the applicable LPFM technical rules in order to ensure that the licensee serves </w:t>
      </w:r>
      <w:r w:rsidR="001C2D13">
        <w:rPr>
          <w:spacing w:val="-2"/>
        </w:rPr>
        <w:t>its</w:t>
      </w:r>
      <w:r>
        <w:rPr>
          <w:spacing w:val="-2"/>
        </w:rPr>
        <w:t xml:space="preserve"> community and does not cause harmful interference to existing licensees.  </w:t>
      </w:r>
      <w:r w:rsidR="001C2D13">
        <w:rPr>
          <w:spacing w:val="-2"/>
        </w:rPr>
        <w:t>One way that the Commission validates</w:t>
      </w:r>
      <w:r>
        <w:rPr>
          <w:spacing w:val="-2"/>
        </w:rPr>
        <w:t xml:space="preserve"> compliance</w:t>
      </w:r>
      <w:r w:rsidR="001C2D13">
        <w:rPr>
          <w:spacing w:val="-2"/>
        </w:rPr>
        <w:t xml:space="preserve"> is with station </w:t>
      </w:r>
      <w:r>
        <w:rPr>
          <w:spacing w:val="-2"/>
        </w:rPr>
        <w:t xml:space="preserve">inspections </w:t>
      </w:r>
      <w:r w:rsidR="001C2D13">
        <w:rPr>
          <w:spacing w:val="-2"/>
        </w:rPr>
        <w:t xml:space="preserve">performed </w:t>
      </w:r>
      <w:r>
        <w:rPr>
          <w:spacing w:val="-2"/>
        </w:rPr>
        <w:t xml:space="preserve">by the Bureau’s field agents.  When it appears that a licensee fails to meet its responsibilities, it is important for the </w:t>
      </w:r>
      <w:r>
        <w:rPr>
          <w:spacing w:val="-2"/>
        </w:rPr>
        <w:t xml:space="preserve">Bureau to investigate and respond to potential unlawful conduct.  In this case, Jupiter failed </w:t>
      </w:r>
      <w:r>
        <w:t>to operate the Station in accordance with the terms of its authorization</w:t>
      </w:r>
      <w:r w:rsidRPr="00981F23">
        <w:rPr>
          <w:spacing w:val="-2"/>
        </w:rPr>
        <w:t xml:space="preserve"> </w:t>
      </w:r>
      <w:r w:rsidR="001C2D13">
        <w:rPr>
          <w:spacing w:val="-2"/>
        </w:rPr>
        <w:t xml:space="preserve">and the </w:t>
      </w:r>
      <w:r>
        <w:rPr>
          <w:spacing w:val="-2"/>
        </w:rPr>
        <w:t xml:space="preserve">applicable rules, failed </w:t>
      </w:r>
      <w:r>
        <w:t>to make the Station available for inspection, and failed to install required EAS equipment</w:t>
      </w:r>
      <w:r w:rsidR="00CD3ECB">
        <w:t xml:space="preserve">, </w:t>
      </w:r>
      <w:r w:rsidR="001C2D13">
        <w:t xml:space="preserve">all </w:t>
      </w:r>
      <w:r w:rsidR="00CD3ECB">
        <w:t>in apparent willful violation of</w:t>
      </w:r>
      <w:r w:rsidRPr="00981F23">
        <w:rPr>
          <w:spacing w:val="-2"/>
        </w:rPr>
        <w:t xml:space="preserve"> </w:t>
      </w:r>
      <w:r>
        <w:t xml:space="preserve">section 301 of the Act and sections </w:t>
      </w:r>
      <w:r w:rsidR="00235B50">
        <w:t xml:space="preserve">73.840, </w:t>
      </w:r>
      <w:r>
        <w:t>73.845, 73.878(a)</w:t>
      </w:r>
      <w:r w:rsidR="009C1C2C">
        <w:t>, and 11.11(a)</w:t>
      </w:r>
      <w:r w:rsidRPr="00D00E53">
        <w:t xml:space="preserve"> </w:t>
      </w:r>
      <w:r>
        <w:t>of the Commission’s rules.</w:t>
      </w:r>
      <w:r>
        <w:rPr>
          <w:sz w:val="20"/>
          <w:vertAlign w:val="superscript"/>
        </w:rPr>
        <w:footnoteReference w:id="26"/>
      </w:r>
      <w:r>
        <w:t xml:space="preserve">  These types of violations make it difficult for the Commission to manage the radio spectrum, to ensure the accuracy and reliability of the technical data in its licensing databases, to fully investigate violations, </w:t>
      </w:r>
      <w:r w:rsidR="00A342BF">
        <w:t>and</w:t>
      </w:r>
      <w:r w:rsidR="00AB2C2A">
        <w:t xml:space="preserve"> </w:t>
      </w:r>
      <w:r>
        <w:t xml:space="preserve">to ensure compliance with the Commission’s rules by entities subject to the Commission’s oversight.  </w:t>
      </w:r>
      <w:r w:rsidR="003E371F">
        <w:t>Therefore</w:t>
      </w:r>
      <w:r>
        <w:t>, we propose a forfeiture</w:t>
      </w:r>
      <w:r w:rsidR="001034A3">
        <w:t xml:space="preserve"> against Jupiter</w:t>
      </w:r>
      <w:r>
        <w:t xml:space="preserve"> in the amount of $25,000.</w:t>
      </w:r>
      <w:r>
        <w:rPr>
          <w:sz w:val="20"/>
          <w:vertAlign w:val="superscript"/>
        </w:rPr>
        <w:footnoteReference w:id="27"/>
      </w:r>
      <w:r>
        <w:t xml:space="preserve"> </w:t>
      </w:r>
      <w:r w:rsidR="00030B0C">
        <w:t xml:space="preserve"> </w:t>
      </w:r>
    </w:p>
    <w:p w:rsidR="009962C8" w:rsidRPr="00981F23" w:rsidP="009962C8" w14:paraId="340D70D5" w14:textId="1C7FBE24">
      <w:pPr>
        <w:pStyle w:val="Heading2"/>
      </w:pPr>
      <w:bookmarkStart w:id="23" w:name="_Hlk42536133"/>
      <w:r>
        <w:t>Jupiter Apparently Failed</w:t>
      </w:r>
      <w:r>
        <w:t xml:space="preserve"> to Operate </w:t>
      </w:r>
      <w:r>
        <w:t xml:space="preserve">the Station </w:t>
      </w:r>
      <w:r>
        <w:t>in Accordance with the Station Authorization</w:t>
      </w:r>
      <w:r>
        <w:t xml:space="preserve"> and the Commission’s Rules</w:t>
      </w:r>
    </w:p>
    <w:p w:rsidR="009962C8" w:rsidRPr="00137FBE" w:rsidP="009962C8" w14:paraId="02AE62A4" w14:textId="11DA1AE5">
      <w:pPr>
        <w:pStyle w:val="ParaNum"/>
        <w:rPr>
          <w:snapToGrid/>
          <w:spacing w:val="-2"/>
        </w:rPr>
      </w:pPr>
      <w:r>
        <w:t>The Bureau’s agents observed that Jupiter operate</w:t>
      </w:r>
      <w:r w:rsidR="003E371F">
        <w:t>d</w:t>
      </w:r>
      <w:r>
        <w:t xml:space="preserve"> the Station at the wrong power level, with the wrong antenna</w:t>
      </w:r>
      <w:r w:rsidR="00CD3ECB">
        <w:t>,</w:t>
      </w:r>
      <w:r>
        <w:t xml:space="preserve"> </w:t>
      </w:r>
      <w:r w:rsidR="00CD3ECB">
        <w:t>and from the wrong location.</w:t>
      </w:r>
      <w:r>
        <w:rPr>
          <w:rStyle w:val="FootnoteReference"/>
        </w:rPr>
        <w:footnoteReference w:id="28"/>
      </w:r>
      <w:r w:rsidR="00CD3ECB">
        <w:t xml:space="preserve"> </w:t>
      </w:r>
      <w:r>
        <w:t xml:space="preserve"> At any time, Jupiter could have cured these violations</w:t>
      </w:r>
      <w:r w:rsidR="00A64899">
        <w:t xml:space="preserve"> or could have sought</w:t>
      </w:r>
      <w:r>
        <w:t xml:space="preserve"> authority from the Commission, such as through an application for special temporary authority or an application to modify the Station’s license; yet it did not. </w:t>
      </w:r>
      <w:r w:rsidR="00030B0C">
        <w:t xml:space="preserve"> </w:t>
      </w:r>
    </w:p>
    <w:p w:rsidR="009962C8" w:rsidRPr="00ED2D5B" w:rsidP="00ED2D5B" w14:paraId="770AD716" w14:textId="7538041B">
      <w:pPr>
        <w:pStyle w:val="ParaNum"/>
        <w:rPr>
          <w:snapToGrid/>
          <w:spacing w:val="-2"/>
        </w:rPr>
      </w:pPr>
      <w:r>
        <w:t xml:space="preserve">We find that Jupiter apparently willfully violated section 301 of the Act, as well as sections 73.840 and 73.845 of the Commission’s rules, by operating the </w:t>
      </w:r>
      <w:r w:rsidR="0057677C">
        <w:t>S</w:t>
      </w:r>
      <w:r>
        <w:t xml:space="preserve">tation with both a transmitter power output and an effective radiated power that exceeded the parameters set forth in the Station’s license and in the Commission’s rules, and by operating the Station with an unauthorized antenna from an unauthorized location.  </w:t>
      </w:r>
      <w:r w:rsidR="004521C6">
        <w:rPr>
          <w:i/>
          <w:iCs/>
        </w:rPr>
        <w:t>First,</w:t>
      </w:r>
      <w:r w:rsidR="004521C6">
        <w:t xml:space="preserve"> </w:t>
      </w:r>
      <w:r w:rsidR="0057677C">
        <w:t xml:space="preserve">Jupiter apparently willfully violated section 73.840 of the Commission’s rules by operating the Station, as the agents observed, with a </w:t>
      </w:r>
      <w:r w:rsidR="0057677C">
        <w:rPr>
          <w:szCs w:val="22"/>
        </w:rPr>
        <w:t>transmitter power output</w:t>
      </w:r>
      <w:r w:rsidR="0057677C">
        <w:t xml:space="preserve"> that was 222% of the authorized level.</w:t>
      </w:r>
      <w:r>
        <w:rPr>
          <w:sz w:val="20"/>
          <w:vertAlign w:val="superscript"/>
        </w:rPr>
        <w:footnoteReference w:id="29"/>
      </w:r>
      <w:r w:rsidR="0057677C">
        <w:t xml:space="preserve">  </w:t>
      </w:r>
      <w:r w:rsidR="0057677C">
        <w:rPr>
          <w:i/>
          <w:iCs/>
        </w:rPr>
        <w:t xml:space="preserve">Second, </w:t>
      </w:r>
      <w:r w:rsidR="0057677C">
        <w:t xml:space="preserve">based on agents’ observations that Jupiter operated the Station at an </w:t>
      </w:r>
      <w:r w:rsidRPr="00EF55FB" w:rsidR="0057677C">
        <w:rPr>
          <w:szCs w:val="22"/>
        </w:rPr>
        <w:t>effective radiated power</w:t>
      </w:r>
      <w:r w:rsidR="0057677C">
        <w:t xml:space="preserve"> of 177 Watts (instead of the authorized 20 Watts) and with a two-bay antenna instead of the single-bay antenna specified on the Station’s license, Jupiter apparently willfully violated section 301 of the Act and section 73.845 of the Commission’s rules by exceeding the technical parameters set forth in the Station’s license and in the LPFM technical rules.</w:t>
      </w:r>
      <w:r>
        <w:rPr>
          <w:sz w:val="20"/>
          <w:vertAlign w:val="superscript"/>
        </w:rPr>
        <w:footnoteReference w:id="30"/>
      </w:r>
      <w:r w:rsidR="00ED2D5B">
        <w:t xml:space="preserve">  </w:t>
      </w:r>
      <w:r w:rsidRPr="00707F69" w:rsidR="007C6D29">
        <w:rPr>
          <w:i/>
          <w:iCs/>
        </w:rPr>
        <w:t>Third</w:t>
      </w:r>
      <w:r w:rsidR="007C6D29">
        <w:t xml:space="preserve">, </w:t>
      </w:r>
      <w:r w:rsidR="004521C6">
        <w:t xml:space="preserve">Jupiter apparently violated section 301 of the Act, section </w:t>
      </w:r>
      <w:r w:rsidR="00E5559C">
        <w:t>73.845</w:t>
      </w:r>
      <w:r w:rsidR="004521C6">
        <w:t xml:space="preserve"> of the Commission’s rules, and the terms of its license by </w:t>
      </w:r>
      <w:r w:rsidR="004521C6">
        <w:t xml:space="preserve">operating the Station not </w:t>
      </w:r>
      <w:r>
        <w:t xml:space="preserve">at the Authorized Site, but </w:t>
      </w:r>
      <w:r w:rsidR="004521C6">
        <w:t xml:space="preserve">rather, as </w:t>
      </w:r>
      <w:r>
        <w:t>Bureau agents observed</w:t>
      </w:r>
      <w:r w:rsidR="004521C6">
        <w:t xml:space="preserve">, from </w:t>
      </w:r>
      <w:r>
        <w:t xml:space="preserve">the Transmitter </w:t>
      </w:r>
      <w:r w:rsidR="00E31797">
        <w:t>S</w:t>
      </w:r>
      <w:r>
        <w:t xml:space="preserve">ite, a location that is 0.33 miles distant from the Authorized Site.  </w:t>
      </w:r>
      <w:r w:rsidR="00100249">
        <w:t>T</w:t>
      </w:r>
      <w:r>
        <w:t xml:space="preserve">he Commission has held, and the D.C. Circuit has affirmed, that operating a licensed broadcast station at a location other than the location specified on </w:t>
      </w:r>
      <w:r w:rsidR="0003186D">
        <w:t xml:space="preserve">a </w:t>
      </w:r>
      <w:r>
        <w:t>station’s license constitutes a violation of section 301 of the Act.</w:t>
      </w:r>
      <w:r>
        <w:rPr>
          <w:sz w:val="20"/>
          <w:vertAlign w:val="superscript"/>
        </w:rPr>
        <w:footnoteReference w:id="31"/>
      </w:r>
      <w:r w:rsidRPr="005E6474">
        <w:rPr>
          <w:sz w:val="20"/>
        </w:rPr>
        <w:t xml:space="preserve"> </w:t>
      </w:r>
      <w:r w:rsidR="00ED2D5B">
        <w:t xml:space="preserve"> Thus, Jupiter operated the Station at variance from the technical parameters specified in its license and in the LPFM technical rules without authority, in apparent willful violation of section 301 of the Act a</w:t>
      </w:r>
      <w:r w:rsidR="00DA6AA3">
        <w:t>nd</w:t>
      </w:r>
      <w:r w:rsidR="00ED2D5B">
        <w:t xml:space="preserve"> sections 73.840 and 73.845 of the Commission’s rules.</w:t>
      </w:r>
      <w:r w:rsidR="00030B0C">
        <w:t xml:space="preserve">  </w:t>
      </w:r>
    </w:p>
    <w:bookmarkEnd w:id="23"/>
    <w:p w:rsidR="009962C8" w:rsidRPr="00B63FC8" w:rsidP="009962C8" w14:paraId="75EA58F5" w14:textId="56D4D79B">
      <w:pPr>
        <w:pStyle w:val="Heading2"/>
        <w:rPr>
          <w:color w:val="000000"/>
          <w:szCs w:val="22"/>
        </w:rPr>
      </w:pPr>
      <w:r>
        <w:rPr>
          <w:color w:val="000000"/>
          <w:szCs w:val="22"/>
        </w:rPr>
        <w:t xml:space="preserve">Jupiter Apparently </w:t>
      </w:r>
      <w:r w:rsidRPr="00B63FC8">
        <w:rPr>
          <w:color w:val="000000"/>
          <w:szCs w:val="22"/>
        </w:rPr>
        <w:t>Fail</w:t>
      </w:r>
      <w:r>
        <w:rPr>
          <w:color w:val="000000"/>
          <w:szCs w:val="22"/>
        </w:rPr>
        <w:t>ed</w:t>
      </w:r>
      <w:r w:rsidRPr="00B63FC8">
        <w:rPr>
          <w:color w:val="000000"/>
          <w:szCs w:val="22"/>
        </w:rPr>
        <w:t xml:space="preserve"> to Make the Station Available for Inspection</w:t>
      </w:r>
    </w:p>
    <w:p w:rsidR="009962C8" w:rsidRPr="00BB22EC" w:rsidP="009962C8" w14:paraId="3A63AA69" w14:textId="2CE153EE">
      <w:pPr>
        <w:pStyle w:val="ParaNum"/>
      </w:pPr>
      <w:r>
        <w:t>In the course of the Bureau’s investigation, Jupiter failed to make the Station available to the Bureau’s agents, thereby impairing a fundamental component of the Commission’s regulatory scheme that enables it to fully investigate whether licensees are conforming to the requirements of the Act and the Commission’s rules.  The Bureau’s agents attempted to gain access to the Station during normal business hours on February 26, 2020, but did not receive access to the Station until March 6, 2020.</w:t>
      </w:r>
      <w:r>
        <w:rPr>
          <w:rStyle w:val="FootnoteReference"/>
        </w:rPr>
        <w:footnoteReference w:id="32"/>
      </w:r>
      <w:r>
        <w:t xml:space="preserve">  Accordingly, based on the evidence before us, we find that Jupiter apparently willfully violated section 73.878(a) of the Commission’s rules by failing to make the Station available for inspection by a Commission agent.</w:t>
      </w:r>
      <w:r>
        <w:rPr>
          <w:rStyle w:val="FootnoteReference"/>
        </w:rPr>
        <w:footnoteReference w:id="33"/>
      </w:r>
      <w:r w:rsidR="00030B0C">
        <w:t xml:space="preserve">  </w:t>
      </w:r>
    </w:p>
    <w:p w:rsidR="009962C8" w:rsidRPr="00981F23" w:rsidP="009962C8" w14:paraId="1C8D5E48" w14:textId="3A5CA73C">
      <w:pPr>
        <w:pStyle w:val="Heading2"/>
      </w:pPr>
      <w:r>
        <w:t xml:space="preserve">Jupiter Apparently </w:t>
      </w:r>
      <w:r>
        <w:t>Fail</w:t>
      </w:r>
      <w:r>
        <w:t>ed</w:t>
      </w:r>
      <w:r>
        <w:t xml:space="preserve"> to Install Required EAS Equipment</w:t>
      </w:r>
    </w:p>
    <w:p w:rsidR="009962C8" w:rsidRPr="00612E87" w:rsidP="009962C8" w14:paraId="7666A55A" w14:textId="498A61AF">
      <w:pPr>
        <w:pStyle w:val="ParaNum"/>
      </w:pPr>
      <w:r>
        <w:t>Every broadcast station is part of the nationwide EAS network, a public warning system through which EAS participants are required to deliver alerts to the public to warn them of impending emergencies and dangers to life and property</w:t>
      </w:r>
      <w:r w:rsidR="00E87398">
        <w:t>.</w:t>
      </w:r>
      <w:r>
        <w:t xml:space="preserve"> </w:t>
      </w:r>
      <w:r w:rsidR="00586F40">
        <w:t xml:space="preserve"> </w:t>
      </w:r>
      <w:r w:rsidR="00E87398">
        <w:t>T</w:t>
      </w:r>
      <w:r>
        <w:t xml:space="preserve">he installation of minimum EAS equipment </w:t>
      </w:r>
      <w:r w:rsidR="00E87398">
        <w:t xml:space="preserve">in a station </w:t>
      </w:r>
      <w:r>
        <w:t>is a core component of serving as an EAS participant.</w:t>
      </w:r>
      <w:r>
        <w:rPr>
          <w:sz w:val="20"/>
          <w:vertAlign w:val="superscript"/>
        </w:rPr>
        <w:footnoteReference w:id="34"/>
      </w:r>
      <w:r>
        <w:t xml:space="preserve">  During the March 6, 2020 inspection, the Bureau’s agents observed that the Station did not appear to have any EAS equipment installed at the Transmitter Site.  Manning explained that the Station’s EAS equipment was located at the studio on the premises of Omega Church, whereupon </w:t>
      </w:r>
      <w:r w:rsidR="000778FE">
        <w:t xml:space="preserve">one of </w:t>
      </w:r>
      <w:r>
        <w:t>the agent</w:t>
      </w:r>
      <w:r w:rsidR="000778FE">
        <w:t>s</w:t>
      </w:r>
      <w:r>
        <w:t xml:space="preserve"> requested that Manning provide copies of the required EAS logs to demonstrate that the Station’s EAS equipment was installed and functioning correctly.  To date, Manning has only provided EAS logs for a different LPFM station, WOIB-LP, and has provided no evidence that Jupiter has installed EAS equipment for the Station.</w:t>
      </w:r>
      <w:r>
        <w:rPr>
          <w:rStyle w:val="FootnoteReference"/>
        </w:rPr>
        <w:footnoteReference w:id="35"/>
      </w:r>
      <w:r>
        <w:t xml:space="preserve">  Based on the information before us, we find that Jupiter </w:t>
      </w:r>
      <w:r w:rsidR="00863B80">
        <w:t xml:space="preserve">apparently </w:t>
      </w:r>
      <w:r>
        <w:t xml:space="preserve">failed to demonstrate that it installed EAS equipment for the Station and therefore apparently willfully violated section 11.11(a) of the Commission’s rules. </w:t>
      </w:r>
      <w:r w:rsidR="00030B0C">
        <w:t xml:space="preserve"> </w:t>
      </w:r>
    </w:p>
    <w:p w:rsidR="009962C8" w:rsidRPr="00B63FC8" w:rsidP="009962C8" w14:paraId="5AE26C8C" w14:textId="77777777">
      <w:pPr>
        <w:pStyle w:val="Heading2"/>
        <w:rPr>
          <w:color w:val="000000"/>
          <w:szCs w:val="22"/>
        </w:rPr>
      </w:pPr>
      <w:r w:rsidRPr="00B63FC8">
        <w:rPr>
          <w:color w:val="000000"/>
          <w:szCs w:val="22"/>
        </w:rPr>
        <w:t xml:space="preserve">Proposed Forfeiture </w:t>
      </w:r>
    </w:p>
    <w:p w:rsidR="009962C8" w:rsidRPr="00981F23" w:rsidP="009962C8" w14:paraId="3B6B24A1" w14:textId="77777777">
      <w:pPr>
        <w:pStyle w:val="ParaNum"/>
        <w:widowControl/>
      </w:pPr>
      <w:r w:rsidRPr="00A2245A">
        <w:t xml:space="preserve">Section 503(b) of the Act authorizes the Commission to impose a forfeiture against any entity that “willfully or repeatedly fail[s] to comply </w:t>
      </w:r>
      <w:r>
        <w:t xml:space="preserve">substantially with the terms and conditions of any license” or </w:t>
      </w:r>
      <w:r w:rsidRPr="00A2245A">
        <w:t>“willfully or repeatedly fail[s] to comply with any of the provisions of [the Act] or of any rule, regulation, or order issued by the Commission.”</w:t>
      </w:r>
      <w:r>
        <w:rPr>
          <w:rStyle w:val="FootnoteReference"/>
        </w:rPr>
        <w:footnoteReference w:id="36"/>
      </w:r>
      <w:r w:rsidRPr="00A2245A">
        <w:t xml:space="preserve">  Here, section 503(b)(2)(</w:t>
      </w:r>
      <w:r>
        <w:t>A</w:t>
      </w:r>
      <w:r w:rsidRPr="00A2245A">
        <w:t xml:space="preserve">) of the Act authorizes us to assess a forfeiture against </w:t>
      </w:r>
      <w:r>
        <w:t xml:space="preserve">Jupiter </w:t>
      </w:r>
      <w:r w:rsidRPr="00A2245A">
        <w:t>of up to $</w:t>
      </w:r>
      <w:r>
        <w:t>51,222</w:t>
      </w:r>
      <w:r w:rsidRPr="00A2245A">
        <w:t xml:space="preserve"> for each day of a continuing violation, up to a statutory </w:t>
      </w:r>
      <w:r w:rsidRPr="00A2245A">
        <w:t>maximum of $</w:t>
      </w:r>
      <w:r>
        <w:t>512,228</w:t>
      </w:r>
      <w:r w:rsidRPr="00A2245A">
        <w:t xml:space="preserve"> for a single act or failure to act.</w:t>
      </w:r>
      <w:r>
        <w:rPr>
          <w:rStyle w:val="FootnoteReference"/>
        </w:rPr>
        <w:footnoteReference w:id="37"/>
      </w:r>
      <w:r w:rsidRPr="00A2245A">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8"/>
      </w:r>
      <w:r w:rsidRPr="00A2245A">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39"/>
      </w:r>
      <w:r w:rsidRPr="00A2245A">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40"/>
      </w:r>
      <w:r w:rsidRPr="00A2245A">
        <w:t xml:space="preserve">  </w:t>
      </w:r>
    </w:p>
    <w:p w:rsidR="009962C8" w:rsidRPr="00B63FC8" w:rsidP="009962C8" w14:paraId="1869124D" w14:textId="0E4A48D5">
      <w:pPr>
        <w:pStyle w:val="ParaNum"/>
        <w:rPr>
          <w:color w:val="000000"/>
          <w:lang w:val="en"/>
        </w:rPr>
      </w:pPr>
      <w:r>
        <w:t xml:space="preserve">Pursuant to the Commission’s </w:t>
      </w:r>
      <w:r>
        <w:rPr>
          <w:i/>
          <w:iCs/>
        </w:rPr>
        <w:t xml:space="preserve">Forfeiture Policy </w:t>
      </w:r>
      <w:r w:rsidRPr="001B726E">
        <w:rPr>
          <w:i/>
          <w:iCs/>
        </w:rPr>
        <w:t>Statement</w:t>
      </w:r>
      <w:r>
        <w:t xml:space="preserve"> and s</w:t>
      </w:r>
      <w:r w:rsidRPr="001B726E">
        <w:t>ection</w:t>
      </w:r>
      <w:r w:rsidRPr="00981F23">
        <w:t xml:space="preserve"> 1.80(b) of the </w:t>
      </w:r>
      <w:r>
        <w:t>Commission’s r</w:t>
      </w:r>
      <w:r w:rsidRPr="00981F23">
        <w:t>ules</w:t>
      </w:r>
      <w:r>
        <w:t xml:space="preserve">, the </w:t>
      </w:r>
      <w:r w:rsidRPr="00981F23">
        <w:t>base forfeiture</w:t>
      </w:r>
      <w:r>
        <w:t xml:space="preserve"> for operating without an instrument of authorization is $10,000; the base forfeiture for failing to permit an inspection is $7,000; and the base forfeiture for failing to install required EAS equipment is $8,000.</w:t>
      </w:r>
      <w:r>
        <w:rPr>
          <w:rStyle w:val="FootnoteReference"/>
        </w:rPr>
        <w:footnoteReference w:id="41"/>
      </w:r>
      <w:r>
        <w:t xml:space="preserve">  Based on Jupiter’s apparent violations of </w:t>
      </w:r>
      <w:r w:rsidRPr="00DC445E">
        <w:t>(</w:t>
      </w:r>
      <w:r w:rsidR="008D7B75">
        <w:t>1</w:t>
      </w:r>
      <w:r w:rsidRPr="00DC445E">
        <w:t>) section 301 of the Act and sections 73.840 and 73.845 of the Commission’s rules (unauthorized operation), (</w:t>
      </w:r>
      <w:r w:rsidR="008D7B75">
        <w:t>2</w:t>
      </w:r>
      <w:r w:rsidRPr="00DC445E">
        <w:t>) section 73.878(a) (failure to permit inspection), and (</w:t>
      </w:r>
      <w:r w:rsidR="008D7B75">
        <w:t>3</w:t>
      </w:r>
      <w:r w:rsidRPr="00DC445E">
        <w:t>) section 11.11(a) of the Commission’s rules (failure to install required EAS equipment), we propose an aggregate forfeiture of $25,000</w:t>
      </w:r>
      <w:r>
        <w:t xml:space="preserve">.  </w:t>
      </w:r>
    </w:p>
    <w:p w:rsidR="009962C8" w:rsidRPr="00981F23" w:rsidP="009962C8" w14:paraId="11EFD756" w14:textId="43434FC9">
      <w:pPr>
        <w:pStyle w:val="ParaNum"/>
      </w:pPr>
      <w:r w:rsidRPr="00B63FC8">
        <w:rPr>
          <w:color w:val="000000"/>
          <w:lang w:val="en"/>
        </w:rPr>
        <w:t xml:space="preserve">Taking the statutory factors into account, we conclude that neither an upward nor a downward adjustment is appropriate here.  </w:t>
      </w:r>
      <w:r w:rsidRPr="00981F23">
        <w:t>Therefore,</w:t>
      </w:r>
      <w:r>
        <w:t xml:space="preserve"> consistent with </w:t>
      </w:r>
      <w:r w:rsidRPr="00981F23">
        <w:t xml:space="preserve">the </w:t>
      </w:r>
      <w:r w:rsidRPr="00F72D0E">
        <w:rPr>
          <w:i/>
        </w:rPr>
        <w:t>Forfeiture Policy Statement</w:t>
      </w:r>
      <w:r w:rsidRPr="00981F23">
        <w:t xml:space="preserve">, </w:t>
      </w:r>
      <w:r>
        <w:t>s</w:t>
      </w:r>
      <w:r w:rsidRPr="00981F23">
        <w:t xml:space="preserve">ection 1.80 of the </w:t>
      </w:r>
      <w:r>
        <w:t>Commission’s r</w:t>
      </w:r>
      <w:r w:rsidRPr="00981F23">
        <w:t>ules, and the statutory factors, we propose a total forfeiture of $</w:t>
      </w:r>
      <w:r>
        <w:t>25,000</w:t>
      </w:r>
      <w:r w:rsidRPr="00981F23">
        <w:t>, for which</w:t>
      </w:r>
      <w:r>
        <w:t xml:space="preserve"> Jupiter is </w:t>
      </w:r>
      <w:r w:rsidRPr="00981F23">
        <w:t xml:space="preserve">apparently liable.  </w:t>
      </w:r>
    </w:p>
    <w:p w:rsidR="009962C8" w:rsidRPr="00B63FC8" w:rsidP="009962C8" w14:paraId="3924BD08" w14:textId="77777777">
      <w:pPr>
        <w:pStyle w:val="Heading1"/>
        <w:rPr>
          <w:color w:val="000000"/>
          <w:spacing w:val="-2"/>
        </w:rPr>
      </w:pPr>
      <w:bookmarkStart w:id="26" w:name="_Hlk49414205"/>
      <w:r w:rsidRPr="00B63FC8">
        <w:rPr>
          <w:color w:val="000000"/>
          <w:spacing w:val="-2"/>
        </w:rPr>
        <w:t>Conclusion</w:t>
      </w:r>
    </w:p>
    <w:p w:rsidR="009962C8" w:rsidRPr="00981F23" w:rsidP="009962C8" w14:paraId="5174BDFD" w14:textId="081EAFE9">
      <w:pPr>
        <w:pStyle w:val="ParaNum"/>
      </w:pPr>
      <w:r w:rsidRPr="00981F23">
        <w:t xml:space="preserve">We have determined that </w:t>
      </w:r>
      <w:r>
        <w:t>Jupiter</w:t>
      </w:r>
      <w:r w:rsidRPr="00981F23">
        <w:t xml:space="preserve"> apparently willfully violated </w:t>
      </w:r>
      <w:r>
        <w:t>section 301 of the Act and sections 11.11(a), 73.840, 73.845, and 73.878(a) of the Commission’s rules</w:t>
      </w:r>
      <w:r w:rsidRPr="00981F23">
        <w:t xml:space="preserve">.  As such, </w:t>
      </w:r>
      <w:r>
        <w:t>Jupiter</w:t>
      </w:r>
      <w:r w:rsidRPr="00981F23">
        <w:t xml:space="preserve"> is apparently liable for a forfeiture of </w:t>
      </w:r>
      <w:r>
        <w:t>$25,000</w:t>
      </w:r>
      <w:r w:rsidRPr="00981F23">
        <w:t>.</w:t>
      </w:r>
      <w:r w:rsidR="00030B0C">
        <w:t xml:space="preserve">  </w:t>
      </w:r>
    </w:p>
    <w:p w:rsidR="009962C8" w:rsidRPr="00B63FC8" w:rsidP="009962C8" w14:paraId="06A963D6" w14:textId="77777777">
      <w:pPr>
        <w:pStyle w:val="Heading1"/>
        <w:rPr>
          <w:color w:val="000000"/>
          <w:spacing w:val="-2"/>
        </w:rPr>
      </w:pPr>
      <w:r w:rsidRPr="00B63FC8">
        <w:rPr>
          <w:color w:val="000000"/>
        </w:rPr>
        <w:t>ORDERING CLAUSES</w:t>
      </w:r>
    </w:p>
    <w:p w:rsidR="009962C8" w:rsidRPr="00B63FC8" w:rsidP="009962C8" w14:paraId="2B67C2D0" w14:textId="1C4F45BA">
      <w:pPr>
        <w:pStyle w:val="ParaNum"/>
        <w:widowControl/>
        <w:rPr>
          <w:color w:val="000000"/>
          <w:spacing w:val="-2"/>
          <w:szCs w:val="22"/>
        </w:rPr>
      </w:pPr>
      <w:r w:rsidRPr="00981F23">
        <w:t xml:space="preserve">Accordingly, </w:t>
      </w:r>
      <w:r w:rsidRPr="00981F23">
        <w:rPr>
          <w:b/>
        </w:rPr>
        <w:t>IT IS ORDERED</w:t>
      </w:r>
      <w:r w:rsidRPr="00981F23">
        <w:t xml:space="preserve"> that, pursuant to </w:t>
      </w:r>
      <w:r>
        <w:t>section</w:t>
      </w:r>
      <w:r w:rsidRPr="00981F23">
        <w:t xml:space="preserve"> 503(b) of the </w:t>
      </w:r>
      <w:r>
        <w:t>Act</w:t>
      </w:r>
      <w:r>
        <w:rPr>
          <w:sz w:val="20"/>
          <w:vertAlign w:val="superscript"/>
        </w:rPr>
        <w:footnoteReference w:id="42"/>
      </w:r>
      <w:r w:rsidRPr="00981F23">
        <w:t xml:space="preserve"> and </w:t>
      </w:r>
      <w:r>
        <w:t>section</w:t>
      </w:r>
      <w:r w:rsidRPr="00981F23">
        <w:t xml:space="preserve"> 1.80 of the</w:t>
      </w:r>
      <w:r>
        <w:t xml:space="preserve"> Commission’s r</w:t>
      </w:r>
      <w:r w:rsidRPr="00981F23">
        <w:t>ules,</w:t>
      </w:r>
      <w:r>
        <w:rPr>
          <w:sz w:val="20"/>
          <w:vertAlign w:val="superscript"/>
        </w:rPr>
        <w:footnoteReference w:id="43"/>
      </w:r>
      <w:r w:rsidRPr="005E6474">
        <w:rPr>
          <w:sz w:val="20"/>
        </w:rPr>
        <w:t xml:space="preserve"> </w:t>
      </w:r>
      <w:r w:rsidRPr="00B63FC8">
        <w:rPr>
          <w:color w:val="000000"/>
          <w:spacing w:val="-2"/>
          <w:szCs w:val="22"/>
        </w:rPr>
        <w:t>Jupiter Community Radio, Inc.</w:t>
      </w:r>
      <w:r w:rsidRPr="00981F23">
        <w:t xml:space="preserve"> is hereby </w:t>
      </w:r>
      <w:r w:rsidRPr="0032437D">
        <w:rPr>
          <w:b/>
        </w:rPr>
        <w:t>NOTIFIED</w:t>
      </w:r>
      <w:r w:rsidRPr="00981F23">
        <w:t xml:space="preserve"> of this </w:t>
      </w:r>
      <w:r w:rsidRPr="0032437D">
        <w:rPr>
          <w:b/>
        </w:rPr>
        <w:t>APPARENT LIABILITY FOR A FORFEITURE</w:t>
      </w:r>
      <w:r w:rsidRPr="00981F23">
        <w:t xml:space="preserve"> in the amount of</w:t>
      </w:r>
      <w:r>
        <w:t xml:space="preserve"> Twenty-Five Thousand Dollars </w:t>
      </w:r>
      <w:r w:rsidRPr="00981F23">
        <w:t>($</w:t>
      </w:r>
      <w:r>
        <w:t>25,000</w:t>
      </w:r>
      <w:r w:rsidRPr="00981F23">
        <w:t xml:space="preserve">) for willful violations of </w:t>
      </w:r>
      <w:r>
        <w:t>s</w:t>
      </w:r>
      <w:r w:rsidRPr="00981F23">
        <w:t>ection</w:t>
      </w:r>
      <w:r>
        <w:t xml:space="preserve"> 301</w:t>
      </w:r>
      <w:r w:rsidRPr="00981F23">
        <w:t xml:space="preserve"> of the </w:t>
      </w:r>
      <w:r>
        <w:t>Act</w:t>
      </w:r>
      <w:r>
        <w:rPr>
          <w:sz w:val="20"/>
          <w:vertAlign w:val="superscript"/>
        </w:rPr>
        <w:footnoteReference w:id="44"/>
      </w:r>
      <w:r w:rsidRPr="00981F23">
        <w:t xml:space="preserve"> </w:t>
      </w:r>
      <w:r>
        <w:t>and s</w:t>
      </w:r>
      <w:r w:rsidRPr="00981F23">
        <w:t>ection</w:t>
      </w:r>
      <w:r>
        <w:t>s 11.11(a), 73.840, 73.845, and 73.878(a)</w:t>
      </w:r>
      <w:r w:rsidRPr="00981F23">
        <w:t xml:space="preserve"> of the </w:t>
      </w:r>
      <w:r>
        <w:t>Commission’s r</w:t>
      </w:r>
      <w:r w:rsidRPr="00981F23">
        <w:t>ules</w:t>
      </w:r>
      <w:r>
        <w:t>.</w:t>
      </w:r>
      <w:r>
        <w:rPr>
          <w:sz w:val="20"/>
          <w:vertAlign w:val="superscript"/>
        </w:rPr>
        <w:footnoteReference w:id="45"/>
      </w:r>
      <w:r w:rsidRPr="005E6474">
        <w:rPr>
          <w:sz w:val="20"/>
        </w:rPr>
        <w:t xml:space="preserve"> </w:t>
      </w:r>
      <w:r w:rsidR="00030B0C">
        <w:rPr>
          <w:sz w:val="20"/>
        </w:rPr>
        <w:t xml:space="preserve"> </w:t>
      </w:r>
    </w:p>
    <w:bookmarkEnd w:id="26"/>
    <w:p w:rsidR="009962C8" w:rsidRPr="00981F23" w:rsidP="00210F9B" w14:paraId="46A976A3" w14:textId="3E0AC125">
      <w:pPr>
        <w:pStyle w:val="ParaNum"/>
        <w:widowControl/>
        <w:rPr>
          <w:spacing w:val="-2"/>
        </w:rPr>
      </w:pPr>
      <w:r w:rsidRPr="00981F23">
        <w:rPr>
          <w:b/>
        </w:rPr>
        <w:t xml:space="preserve">IT IS FURTHER ORDERED </w:t>
      </w:r>
      <w:r w:rsidRPr="00981F23">
        <w:t xml:space="preserve">that, pursuant to </w:t>
      </w:r>
      <w:r>
        <w:t>s</w:t>
      </w:r>
      <w:r w:rsidRPr="00981F23">
        <w:t>ection 1.80 of the</w:t>
      </w:r>
      <w:r>
        <w:t xml:space="preserve"> Commission’s r</w:t>
      </w:r>
      <w:r w:rsidRPr="00981F23">
        <w:t>ules,</w:t>
      </w:r>
      <w:r>
        <w:rPr>
          <w:sz w:val="20"/>
          <w:vertAlign w:val="superscript"/>
        </w:rPr>
        <w:footnoteReference w:id="46"/>
      </w:r>
      <w:r w:rsidRPr="005E6474">
        <w:rPr>
          <w:sz w:val="20"/>
          <w:vertAlign w:val="superscript"/>
        </w:rPr>
        <w:t xml:space="preserve"> </w:t>
      </w:r>
      <w:r w:rsidRPr="00981F23">
        <w:t xml:space="preserve">within thirty (30) calendar days of the release date of this Notice of Apparent Liability for Forfeiture, </w:t>
      </w:r>
      <w:r w:rsidRPr="00B63FC8">
        <w:rPr>
          <w:color w:val="000000"/>
          <w:spacing w:val="-2"/>
          <w:szCs w:val="22"/>
        </w:rPr>
        <w:t>Jupiter Community Radio, Inc.</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922DF0">
        <w:t>24</w:t>
      </w:r>
      <w:r w:rsidRPr="00981F23">
        <w:t xml:space="preserve"> below.</w:t>
      </w:r>
      <w:r w:rsidR="00030B0C">
        <w:t xml:space="preserve">  </w:t>
      </w:r>
    </w:p>
    <w:p w:rsidR="009962C8" w:rsidRPr="00981F23" w:rsidP="009962C8" w14:paraId="6E391338" w14:textId="42AB11FA">
      <w:pPr>
        <w:pStyle w:val="ParaNum"/>
        <w:rPr>
          <w:spacing w:val="-2"/>
        </w:rPr>
      </w:pPr>
      <w:r w:rsidRPr="00B63FC8">
        <w:rPr>
          <w:color w:val="000000"/>
          <w:spacing w:val="-2"/>
          <w:szCs w:val="22"/>
        </w:rPr>
        <w:t>Jupiter Community Radio, Inc.</w:t>
      </w:r>
      <w:r w:rsidRPr="00981F23">
        <w:t xml:space="preserve"> </w:t>
      </w:r>
      <w:r>
        <w:t xml:space="preserve">shall send electronic notification of payment to the Office of the Field Director, Enforcement Bureau, Federal Communications Commission, at </w:t>
      </w:r>
      <w:hyperlink r:id="rId5" w:history="1">
        <w:r w:rsidRPr="008E6999">
          <w:rPr>
            <w:rStyle w:val="Hyperlink"/>
          </w:rPr>
          <w:t>field@fcc.gov</w:t>
        </w:r>
      </w:hyperlink>
      <w:r>
        <w:t xml:space="preserve"> on the date said payment is made.  </w:t>
      </w: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47"/>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sz w:val="20"/>
          <w:vertAlign w:val="superscript"/>
        </w:rPr>
        <w:footnoteReference w:id="48"/>
      </w:r>
      <w:r w:rsidR="00030B0C">
        <w:t xml:space="preserve">  </w:t>
      </w:r>
    </w:p>
    <w:p w:rsidR="009962C8" w:rsidRPr="00AD0726" w:rsidP="009962C8" w14:paraId="1EA33A8A" w14:textId="77777777">
      <w:pPr>
        <w:numPr>
          <w:ilvl w:val="0"/>
          <w:numId w:val="8"/>
        </w:numPr>
        <w:spacing w:after="120"/>
      </w:pPr>
      <w:r w:rsidRPr="00AD0726">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880DE4">
          <w:rPr>
            <w:rStyle w:val="Hyperlink"/>
          </w:rPr>
          <w:t>RROGWireFaxes@fcc.gov</w:t>
        </w:r>
      </w:hyperlink>
      <w:r>
        <w:t xml:space="preserve"> </w:t>
      </w:r>
      <w:r w:rsidRPr="00AD0726">
        <w:t>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49"/>
      </w:r>
      <w:r w:rsidRPr="00AD0726">
        <w:t xml:space="preserve">  For additional detail and wire transfer instructions</w:t>
      </w:r>
      <w:r>
        <w:t>,</w:t>
      </w:r>
      <w:r w:rsidRPr="00AD0726">
        <w:t xml:space="preserve"> go to </w:t>
      </w:r>
      <w:hyperlink r:id="rId7" w:history="1">
        <w:r w:rsidRPr="00A51BB8">
          <w:rPr>
            <w:rStyle w:val="Hyperlink"/>
            <w:rFonts w:eastAsia="Calibri"/>
            <w:kern w:val="0"/>
          </w:rPr>
          <w:t>https://www.fcc.gov/licensing-databases/fees/wire-transfer</w:t>
        </w:r>
      </w:hyperlink>
      <w:r w:rsidRPr="00AD0726">
        <w:t xml:space="preserve">.  </w:t>
      </w:r>
    </w:p>
    <w:p w:rsidR="009962C8" w:rsidRPr="00AD0726" w:rsidP="009962C8" w14:paraId="770988E3" w14:textId="44EE87CD">
      <w:pPr>
        <w:numPr>
          <w:ilvl w:val="0"/>
          <w:numId w:val="8"/>
        </w:numPr>
        <w:spacing w:after="120"/>
      </w:pPr>
      <w:r w:rsidRPr="00AD0726">
        <w:t xml:space="preserve">Payment by credit card must be made by using the </w:t>
      </w:r>
      <w:r>
        <w:t xml:space="preserve">Commission’s </w:t>
      </w:r>
      <w:r w:rsidRPr="00AD0726">
        <w:t xml:space="preserve">Fee Filer website at </w:t>
      </w:r>
      <w:hyperlink r:id="rId8"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r w:rsidR="00030B0C">
        <w:t xml:space="preserve">  </w:t>
      </w:r>
    </w:p>
    <w:p w:rsidR="009962C8" w:rsidRPr="00B63FC8" w:rsidP="009962C8" w14:paraId="43D5549E" w14:textId="09EACC11">
      <w:pPr>
        <w:widowControl/>
        <w:numPr>
          <w:ilvl w:val="0"/>
          <w:numId w:val="7"/>
        </w:numPr>
        <w:spacing w:after="120"/>
        <w:rPr>
          <w:b/>
          <w:color w:val="000000"/>
          <w:szCs w:val="22"/>
        </w:rPr>
      </w:pPr>
      <w:r w:rsidRPr="00AD0726">
        <w:t>Payment by ACH</w:t>
      </w:r>
      <w:r>
        <w:t xml:space="preserve"> </w:t>
      </w:r>
      <w:r w:rsidRPr="00AD0726">
        <w:t xml:space="preserve">must be made by using the Commission’s Fee Filer website at </w:t>
      </w:r>
      <w:hyperlink r:id="rId8" w:history="1">
        <w:r w:rsidRPr="00B63FC8">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w:t>
      </w:r>
      <w:r w:rsidR="00202B61">
        <w:t>to</w:t>
      </w:r>
      <w:r w:rsidRPr="00AD0726">
        <w:t xml:space="preserve">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r w:rsidR="00030B0C">
        <w:t xml:space="preserve">  </w:t>
      </w:r>
    </w:p>
    <w:p w:rsidR="009962C8" w:rsidRPr="00981F23" w:rsidP="009962C8" w14:paraId="6A1BF774" w14:textId="48116414">
      <w:pPr>
        <w:pStyle w:val="ParaNum"/>
      </w:pPr>
      <w:r w:rsidRPr="00981F23">
        <w:t>Any request for making full payment over time under an installment plan should be sent to:  Chief Financial Officer</w:t>
      </w:r>
      <w:r w:rsidRPr="00AD0726">
        <w:t xml:space="preserve"> – </w:t>
      </w:r>
      <w:r w:rsidRPr="00981F23">
        <w:t xml:space="preserve">Financial Operations, Federal Communications Commission, </w:t>
      </w:r>
      <w:r w:rsidR="008D286A">
        <w:t xml:space="preserve">45 L Street, NE, </w:t>
      </w:r>
      <w:r w:rsidRPr="00981F23">
        <w:t>Washington, DC 20554.</w:t>
      </w:r>
      <w:r>
        <w:rPr>
          <w:rStyle w:val="FootnoteReference"/>
          <w:szCs w:val="22"/>
        </w:rPr>
        <w:footnoteReference w:id="50"/>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9" w:history="1">
        <w:r w:rsidRPr="005476AB">
          <w:rPr>
            <w:rStyle w:val="Hyperlink"/>
          </w:rPr>
          <w:t>ARINQUIRIES@fcc.gov</w:t>
        </w:r>
      </w:hyperlink>
      <w:r w:rsidRPr="00981F23">
        <w:t>.</w:t>
      </w:r>
      <w:r w:rsidR="00030B0C">
        <w:t xml:space="preserve">  </w:t>
      </w:r>
    </w:p>
    <w:p w:rsidR="009962C8" w:rsidRPr="00981F23" w:rsidP="009962C8" w14:paraId="4DF116F9" w14:textId="5E393F03">
      <w:pPr>
        <w:pStyle w:val="ParaNum"/>
      </w:pPr>
      <w:bookmarkStart w:id="27" w:name="_Ref45554469"/>
      <w:r w:rsidRPr="00981F23">
        <w:t xml:space="preserve">The written statement seeking reduction or cancellation of the proposed forfeiture, if any, must include a detailed factual statement supported by appropriate documentation and affidavits pursuant </w:t>
      </w:r>
      <w:r w:rsidRPr="00981F23">
        <w:t xml:space="preserve">to </w:t>
      </w:r>
      <w:r>
        <w:t>s</w:t>
      </w:r>
      <w:r w:rsidRPr="00981F23">
        <w:t xml:space="preserve">ections 1.16 and 1.80(f)(3) of the </w:t>
      </w:r>
      <w:r>
        <w:t>Commission’s r</w:t>
      </w:r>
      <w:r w:rsidRPr="00981F23">
        <w:t>ules.</w:t>
      </w:r>
      <w:r>
        <w:rPr>
          <w:sz w:val="20"/>
          <w:vertAlign w:val="superscript"/>
        </w:rPr>
        <w:footnoteReference w:id="51"/>
      </w:r>
      <w:r w:rsidRPr="00981F23">
        <w:t xml:space="preserve">  The written statement must be mailed to the Office of the Secretary, Federal Communications Commission, </w:t>
      </w:r>
      <w:r w:rsidR="008D286A">
        <w:t xml:space="preserve">45 L Street, NE, </w:t>
      </w:r>
      <w:r w:rsidRPr="00981F23">
        <w:t xml:space="preserve">Washington, DC 20554, ATTN:  Enforcement Bureau – </w:t>
      </w:r>
      <w:r>
        <w:t xml:space="preserve">Office of the Field Director, </w:t>
      </w:r>
      <w:r w:rsidRPr="00981F23">
        <w:t>and must include the NAL/Account Number referenced in the caption.</w:t>
      </w:r>
      <w:r>
        <w:t xml:space="preserve"> </w:t>
      </w:r>
      <w:r w:rsidRPr="00981F23">
        <w:t xml:space="preserve"> The statement must also be e-mailed to</w:t>
      </w:r>
      <w:r>
        <w:t xml:space="preserve"> </w:t>
      </w:r>
      <w:hyperlink r:id="rId5" w:history="1">
        <w:r w:rsidRPr="008E6999">
          <w:rPr>
            <w:rStyle w:val="Hyperlink"/>
          </w:rPr>
          <w:t>field@fcc.gov</w:t>
        </w:r>
      </w:hyperlink>
      <w:r w:rsidRPr="00981F23">
        <w:t>.</w:t>
      </w:r>
      <w:bookmarkEnd w:id="27"/>
      <w:r>
        <w:t xml:space="preserve"> </w:t>
      </w:r>
      <w:r w:rsidRPr="00981F23">
        <w:t xml:space="preserve"> </w:t>
      </w:r>
    </w:p>
    <w:p w:rsidR="009962C8" w:rsidP="009962C8" w14:paraId="350B35A2" w14:textId="7BF304DA">
      <w:pPr>
        <w:pStyle w:val="ParaNum"/>
      </w:pPr>
      <w:r w:rsidRPr="00981F23">
        <w:t>The Commission will not consider reducing or canceling a forfeiture in response to a claim of inability to pay unless the petitioner submits</w:t>
      </w:r>
      <w:r w:rsidR="00B130AB">
        <w:t xml:space="preserve"> the following documentation</w:t>
      </w:r>
      <w:r w:rsidRPr="00981F23">
        <w:t xml:space="preserve">: </w:t>
      </w:r>
      <w:r w:rsidR="00B130AB">
        <w:t xml:space="preserve"> </w:t>
      </w:r>
      <w:r w:rsidRPr="00981F23">
        <w:t xml:space="preserve">(1) federal tax returns for the </w:t>
      </w:r>
      <w:r w:rsidR="00B130AB">
        <w:t>past three years</w:t>
      </w:r>
      <w:r w:rsidRPr="00981F23">
        <w:t xml:space="preserve">; (2) financial statements </w:t>
      </w:r>
      <w:r w:rsidR="00B130AB">
        <w:t xml:space="preserve">for the past three years </w:t>
      </w:r>
      <w:r w:rsidRPr="00981F23">
        <w:t>prepared according to generally accepted accounting practices; or (3)</w:t>
      </w:r>
      <w:r w:rsidR="00645DB7">
        <w:t xml:space="preserve"> </w:t>
      </w:r>
      <w:r w:rsidRPr="00981F23">
        <w:t>some other reliable and objective documentation that accurately reflects the petitioner’s current financial status.</w:t>
      </w:r>
      <w:r>
        <w:rPr>
          <w:rStyle w:val="FootnoteReference"/>
        </w:rPr>
        <w:footnoteReference w:id="52"/>
      </w:r>
      <w:r w:rsidRPr="00981F23">
        <w:t xml:space="preserve">  Any claim of inability to pay must specifically identify the basis for the claim by reference to the financial documentation.</w:t>
      </w:r>
      <w:r w:rsidR="00B130AB">
        <w:t xml:space="preserve">  </w:t>
      </w:r>
      <w:r w:rsidRPr="009A58BC" w:rsidR="00B130AB">
        <w:t xml:space="preserve">Inability to pay, however, is only one of several factors that the Commission will consider in determining the appropriate forfeiture, and we </w:t>
      </w:r>
      <w:r w:rsidR="00B130AB">
        <w:t>retain the</w:t>
      </w:r>
      <w:r w:rsidRPr="009A58BC" w:rsidR="00B130AB">
        <w:t xml:space="preserve"> discretion to decline reducing or canceling the forfeiture if other prongs of 47 U.S.C. §</w:t>
      </w:r>
      <w:r w:rsidR="00C462B7">
        <w:t> </w:t>
      </w:r>
      <w:r w:rsidRPr="009A58BC" w:rsidR="00B130AB">
        <w:t>503(b)(2)(E) support that result</w:t>
      </w:r>
      <w:r w:rsidR="00B130AB">
        <w:t>.</w:t>
      </w:r>
      <w:r>
        <w:rPr>
          <w:rStyle w:val="FootnoteReference"/>
        </w:rPr>
        <w:footnoteReference w:id="53"/>
      </w:r>
      <w:r w:rsidR="00030B0C">
        <w:t xml:space="preserve">  </w:t>
      </w:r>
    </w:p>
    <w:p w:rsidR="009962C8" w:rsidRPr="00975CF6" w:rsidP="009962C8" w14:paraId="0A156644" w14:textId="77310FED">
      <w:pPr>
        <w:pStyle w:val="ParaNum"/>
      </w:pPr>
      <w:r w:rsidRPr="0032437D">
        <w:rPr>
          <w:b/>
        </w:rPr>
        <w:t>I</w:t>
      </w:r>
      <w:r>
        <w:rPr>
          <w:b/>
        </w:rPr>
        <w:t>T I</w:t>
      </w:r>
      <w:r w:rsidRPr="0032437D">
        <w:rPr>
          <w:b/>
        </w:rPr>
        <w:t xml:space="preserve">S FURTHER ORDERED </w:t>
      </w:r>
      <w:r w:rsidRPr="00981F23">
        <w:t xml:space="preserve">that a copy of this Notice of Apparent Liability for Forfeiture shall be sent by first class mail and certified mail, return receipt requested, to </w:t>
      </w:r>
      <w:r>
        <w:t>Wayne J. Manning, President,</w:t>
      </w:r>
      <w:r w:rsidRPr="00981F23">
        <w:t xml:space="preserve"> </w:t>
      </w:r>
      <w:r w:rsidRPr="00B63FC8">
        <w:rPr>
          <w:color w:val="000000"/>
          <w:spacing w:val="-2"/>
          <w:szCs w:val="22"/>
        </w:rPr>
        <w:t>Jupiter Community Radio, Inc., at its address of record; and to Wayne J. Manning, 11050 Wiles Road, Suite 201, Coral Springs, Florida 33076.</w:t>
      </w:r>
      <w:r w:rsidR="00030B0C">
        <w:rPr>
          <w:color w:val="000000"/>
          <w:spacing w:val="-2"/>
          <w:szCs w:val="22"/>
        </w:rPr>
        <w:t xml:space="preserve">  </w:t>
      </w:r>
    </w:p>
    <w:p w:rsidR="009962C8" w:rsidRPr="00B63FC8" w:rsidP="009962C8" w14:paraId="7200ED15" w14:textId="77777777">
      <w:pPr>
        <w:spacing w:before="240"/>
        <w:rPr>
          <w:color w:val="000000"/>
        </w:rPr>
      </w:pPr>
      <w:r w:rsidRPr="00B63FC8">
        <w:rPr>
          <w:color w:val="000000"/>
        </w:rPr>
        <w:tab/>
      </w:r>
      <w:r w:rsidRPr="00B63FC8">
        <w:rPr>
          <w:color w:val="000000"/>
        </w:rPr>
        <w:tab/>
      </w:r>
      <w:r w:rsidRPr="00B63FC8">
        <w:rPr>
          <w:color w:val="000000"/>
        </w:rPr>
        <w:tab/>
      </w:r>
      <w:r w:rsidRPr="00B63FC8">
        <w:rPr>
          <w:color w:val="000000"/>
        </w:rPr>
        <w:tab/>
      </w:r>
      <w:r w:rsidRPr="00B63FC8">
        <w:rPr>
          <w:color w:val="000000"/>
        </w:rPr>
        <w:tab/>
      </w:r>
      <w:r w:rsidRPr="00B63FC8">
        <w:rPr>
          <w:color w:val="000000"/>
        </w:rPr>
        <w:tab/>
        <w:t>FEDERAL COMMUNICATIONS COMMISSION</w:t>
      </w:r>
    </w:p>
    <w:p w:rsidR="009962C8" w:rsidP="00567CD3" w14:paraId="2894292E" w14:textId="7C805BBF">
      <w:pPr>
        <w:rPr>
          <w:color w:val="000000"/>
        </w:rPr>
      </w:pPr>
    </w:p>
    <w:p w:rsidR="00567CD3" w:rsidP="00567CD3" w14:paraId="6B60089F" w14:textId="77777777">
      <w:pPr>
        <w:rPr>
          <w:color w:val="000000"/>
        </w:rPr>
      </w:pPr>
    </w:p>
    <w:p w:rsidR="00567CD3" w:rsidP="00567CD3" w14:paraId="51916C5D" w14:textId="5E379E71">
      <w:pPr>
        <w:rPr>
          <w:color w:val="000000"/>
        </w:rPr>
      </w:pPr>
    </w:p>
    <w:p w:rsidR="00567CD3" w:rsidP="00567CD3" w14:paraId="16C6376F" w14:textId="77777777">
      <w:pPr>
        <w:rPr>
          <w:color w:val="000000"/>
        </w:rPr>
      </w:pPr>
    </w:p>
    <w:p w:rsidR="00030B0C" w:rsidP="00567CD3" w14:paraId="234D77F9" w14:textId="77777777">
      <w:pPr>
        <w:ind w:left="3600" w:firstLine="720"/>
        <w:rPr>
          <w:color w:val="000000"/>
        </w:rPr>
      </w:pPr>
      <w:r w:rsidRPr="00B63FC8">
        <w:rPr>
          <w:color w:val="000000"/>
        </w:rPr>
        <w:t>Ronald D. Ramage</w:t>
      </w:r>
    </w:p>
    <w:p w:rsidR="004C5B2A" w:rsidP="00567CD3" w14:paraId="59EEBA3F" w14:textId="1897332D">
      <w:pPr>
        <w:ind w:left="3600" w:firstLine="720"/>
        <w:rPr>
          <w:color w:val="000000"/>
        </w:rPr>
      </w:pPr>
      <w:r>
        <w:rPr>
          <w:color w:val="000000"/>
        </w:rPr>
        <w:t xml:space="preserve">Regional </w:t>
      </w:r>
      <w:r w:rsidRPr="00B63FC8" w:rsidR="009962C8">
        <w:rPr>
          <w:color w:val="000000"/>
        </w:rPr>
        <w:t>Director</w:t>
      </w:r>
    </w:p>
    <w:p w:rsidR="00030B0C" w:rsidP="00030B0C" w14:paraId="2AA497D1" w14:textId="77777777">
      <w:pPr>
        <w:ind w:left="3600" w:firstLine="720"/>
        <w:rPr>
          <w:color w:val="000000"/>
        </w:rPr>
      </w:pPr>
      <w:r>
        <w:rPr>
          <w:color w:val="000000"/>
        </w:rPr>
        <w:t>Region Two</w:t>
      </w:r>
    </w:p>
    <w:p w:rsidR="00412FC5" w:rsidRPr="00030B0C" w:rsidP="00030B0C" w14:paraId="31105874" w14:textId="7B92F5F9">
      <w:pPr>
        <w:ind w:left="3600" w:firstLine="720"/>
        <w:rPr>
          <w:color w:val="000000"/>
        </w:rPr>
      </w:pPr>
      <w:r w:rsidRPr="00B63FC8">
        <w:rPr>
          <w:color w:val="000000"/>
        </w:rPr>
        <w:t>Enforcement Bureau</w:t>
      </w:r>
    </w:p>
    <w:sectPr w:rsidSect="00307023">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4FD6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D734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F563E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C2C0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C6B" w14:paraId="139FFEC5" w14:textId="77777777">
      <w:r>
        <w:separator/>
      </w:r>
    </w:p>
  </w:footnote>
  <w:footnote w:type="continuationSeparator" w:id="1">
    <w:p w:rsidR="00B26C6B" w:rsidP="00C721AC" w14:paraId="4619A504" w14:textId="77777777">
      <w:pPr>
        <w:spacing w:before="120"/>
        <w:rPr>
          <w:sz w:val="20"/>
        </w:rPr>
      </w:pPr>
      <w:r>
        <w:rPr>
          <w:sz w:val="20"/>
        </w:rPr>
        <w:t xml:space="preserve">(Continued from previous page)  </w:t>
      </w:r>
      <w:r>
        <w:rPr>
          <w:sz w:val="20"/>
        </w:rPr>
        <w:separator/>
      </w:r>
    </w:p>
  </w:footnote>
  <w:footnote w:type="continuationNotice" w:id="2">
    <w:p w:rsidR="00B26C6B" w:rsidP="00C721AC" w14:paraId="7F9EFE55" w14:textId="77777777">
      <w:pPr>
        <w:jc w:val="right"/>
        <w:rPr>
          <w:sz w:val="20"/>
        </w:rPr>
      </w:pPr>
      <w:r>
        <w:rPr>
          <w:sz w:val="20"/>
        </w:rPr>
        <w:t>(continued….)</w:t>
      </w:r>
    </w:p>
  </w:footnote>
  <w:footnote w:id="3">
    <w:p w:rsidR="00BA3BCE" w:rsidP="00BA3BCE" w14:paraId="6F974E43" w14:textId="48AE8AB0">
      <w:pPr>
        <w:pStyle w:val="FootnoteText"/>
      </w:pPr>
      <w:r>
        <w:rPr>
          <w:rStyle w:val="FootnoteReference"/>
        </w:rPr>
        <w:footnoteRef/>
      </w:r>
      <w:r>
        <w:t xml:space="preserve"> 47 U.S.C. § 301, 47 CFR §§ </w:t>
      </w:r>
      <w:r w:rsidR="007F402F">
        <w:t xml:space="preserve">11.11, </w:t>
      </w:r>
      <w:r>
        <w:t>73.840, 73.845, 73.878.</w:t>
      </w:r>
    </w:p>
  </w:footnote>
  <w:footnote w:id="4">
    <w:p w:rsidR="009962C8" w:rsidP="009962C8" w14:paraId="6854B2F8" w14:textId="77777777">
      <w:pPr>
        <w:pStyle w:val="FootnoteText"/>
      </w:pPr>
      <w:r>
        <w:rPr>
          <w:rStyle w:val="FootnoteReference"/>
        </w:rPr>
        <w:footnoteRef/>
      </w:r>
      <w:r>
        <w:t xml:space="preserve"> 47</w:t>
      </w:r>
      <w:r w:rsidRPr="009803CA">
        <w:t xml:space="preserve"> U.S.C. </w:t>
      </w:r>
      <w:r w:rsidRPr="00F14821">
        <w:t>§</w:t>
      </w:r>
      <w:r w:rsidRPr="009803CA">
        <w:t xml:space="preserve"> </w:t>
      </w:r>
      <w:r>
        <w:t>301.</w:t>
      </w:r>
    </w:p>
  </w:footnote>
  <w:footnote w:id="5">
    <w:p w:rsidR="009962C8" w:rsidP="009962C8" w14:paraId="2E745969" w14:textId="19244F37">
      <w:pPr>
        <w:pStyle w:val="FootnoteText"/>
      </w:pPr>
      <w:r>
        <w:rPr>
          <w:rStyle w:val="FootnoteReference"/>
        </w:rPr>
        <w:footnoteRef/>
      </w:r>
      <w:r>
        <w:t xml:space="preserve"> 47 CFR §</w:t>
      </w:r>
      <w:r w:rsidRPr="001C53BB">
        <w:t xml:space="preserve"> 73.84</w:t>
      </w:r>
      <w:r>
        <w:t>0.</w:t>
      </w:r>
    </w:p>
  </w:footnote>
  <w:footnote w:id="6">
    <w:p w:rsidR="00273AD0" w:rsidP="00965C27" w14:paraId="68D4DAD4" w14:textId="77777777">
      <w:pPr>
        <w:pStyle w:val="FootnoteText"/>
      </w:pPr>
      <w:r>
        <w:rPr>
          <w:rStyle w:val="FootnoteReference"/>
        </w:rPr>
        <w:footnoteRef/>
      </w:r>
      <w:r>
        <w:t xml:space="preserve"> 47 CFR §</w:t>
      </w:r>
      <w:r w:rsidRPr="001C53BB">
        <w:t xml:space="preserve"> 73.845</w:t>
      </w:r>
      <w:r>
        <w:t xml:space="preserve">; </w:t>
      </w:r>
      <w:r>
        <w:rPr>
          <w:i/>
          <w:iCs/>
        </w:rPr>
        <w:t>s</w:t>
      </w:r>
      <w:r w:rsidRPr="004820E0">
        <w:rPr>
          <w:i/>
          <w:iCs/>
        </w:rPr>
        <w:t xml:space="preserve">ee </w:t>
      </w:r>
      <w:r w:rsidRPr="003C63D7">
        <w:rPr>
          <w:i/>
          <w:iCs/>
        </w:rPr>
        <w:t xml:space="preserve">also </w:t>
      </w:r>
      <w:r>
        <w:t>47 CFR § 73.1745(a), which prohibits the operation of a broadcast station at variance from the terms of its authorization.</w:t>
      </w:r>
    </w:p>
  </w:footnote>
  <w:footnote w:id="7">
    <w:p w:rsidR="009962C8" w:rsidP="009962C8" w14:paraId="794E70E1" w14:textId="0D15457F">
      <w:pPr>
        <w:pStyle w:val="FootnoteText"/>
      </w:pPr>
      <w:r>
        <w:rPr>
          <w:rStyle w:val="FootnoteReference"/>
        </w:rPr>
        <w:footnoteRef/>
      </w:r>
      <w:r>
        <w:t xml:space="preserve"> 47 CFR §</w:t>
      </w:r>
      <w:r w:rsidRPr="001C53BB">
        <w:t xml:space="preserve"> 73.8</w:t>
      </w:r>
      <w:r>
        <w:t>78(a)</w:t>
      </w:r>
      <w:r w:rsidR="006003B0">
        <w:t xml:space="preserve">; </w:t>
      </w:r>
      <w:r w:rsidR="006003B0">
        <w:rPr>
          <w:i/>
          <w:iCs/>
        </w:rPr>
        <w:t>see also</w:t>
      </w:r>
      <w:r w:rsidR="006003B0">
        <w:t xml:space="preserve"> 47 U.S.C. </w:t>
      </w:r>
      <w:r w:rsidR="00C36111">
        <w:t xml:space="preserve">§ </w:t>
      </w:r>
      <w:r w:rsidR="006003B0">
        <w:t>303(n) (</w:t>
      </w:r>
      <w:r w:rsidR="006003B0">
        <w:rPr>
          <w:rFonts w:cstheme="minorHAnsi"/>
        </w:rPr>
        <w:t>the Commission has “authority to inspect all radio installations associated with stations required to be licensed by any Act . . .”)</w:t>
      </w:r>
      <w:r>
        <w:t>.</w:t>
      </w:r>
    </w:p>
  </w:footnote>
  <w:footnote w:id="8">
    <w:p w:rsidR="00113EBD" w:rsidP="00113EBD" w14:paraId="5A138C5C" w14:textId="77777777">
      <w:pPr>
        <w:pStyle w:val="FootnoteText"/>
      </w:pPr>
      <w:r>
        <w:rPr>
          <w:rStyle w:val="FootnoteReference"/>
        </w:rPr>
        <w:footnoteRef/>
      </w:r>
      <w:r>
        <w:t xml:space="preserve"> 47 CFR § 11.11(a).</w:t>
      </w:r>
    </w:p>
  </w:footnote>
  <w:footnote w:id="9">
    <w:p w:rsidR="009962C8" w:rsidP="009962C8" w14:paraId="20040C9C" w14:textId="228F9800">
      <w:pPr>
        <w:pStyle w:val="FootnoteText"/>
      </w:pPr>
      <w:r>
        <w:rPr>
          <w:rStyle w:val="FootnoteReference"/>
        </w:rPr>
        <w:footnoteRef/>
      </w:r>
      <w:r>
        <w:t xml:space="preserve"> </w:t>
      </w:r>
      <w:r w:rsidRPr="000B0216">
        <w:rPr>
          <w:i/>
          <w:iCs/>
        </w:rPr>
        <w:t>See</w:t>
      </w:r>
      <w:r>
        <w:t xml:space="preserve"> </w:t>
      </w:r>
      <w:r w:rsidR="00123309">
        <w:t xml:space="preserve">Jupiter Community Radio, Inc., Application for a Low Power FM Broadcast Station License, </w:t>
      </w:r>
      <w:r>
        <w:t>File No. BLL-20150722ACD</w:t>
      </w:r>
      <w:r w:rsidR="00077E56">
        <w:t xml:space="preserve"> (</w:t>
      </w:r>
      <w:r w:rsidR="00810EDC">
        <w:t>fil</w:t>
      </w:r>
      <w:r w:rsidR="002005A7">
        <w:t xml:space="preserve">ed July 22, 2015, </w:t>
      </w:r>
      <w:r w:rsidR="00583AD6">
        <w:t>granted July 27, 201</w:t>
      </w:r>
      <w:r w:rsidR="00080390">
        <w:t>5</w:t>
      </w:r>
      <w:r w:rsidR="00077E56">
        <w:t>)</w:t>
      </w:r>
      <w:r>
        <w:t>.</w:t>
      </w:r>
    </w:p>
  </w:footnote>
  <w:footnote w:id="10">
    <w:p w:rsidR="009962C8" w:rsidRPr="00B935ED" w:rsidP="009962C8" w14:paraId="56648341" w14:textId="60136FAE">
      <w:pPr>
        <w:pStyle w:val="FootnoteText"/>
      </w:pPr>
      <w:r>
        <w:rPr>
          <w:rStyle w:val="FootnoteReference"/>
        </w:rPr>
        <w:footnoteRef/>
      </w:r>
      <w:r>
        <w:t xml:space="preserve"> </w:t>
      </w:r>
      <w:r>
        <w:rPr>
          <w:i/>
          <w:iCs/>
        </w:rPr>
        <w:t>Id.</w:t>
      </w:r>
      <w:r>
        <w:t xml:space="preserve">  T</w:t>
      </w:r>
      <w:r w:rsidR="00A0101F">
        <w:t>ransmitter power output</w:t>
      </w:r>
      <w:r>
        <w:t xml:space="preserve"> represents the power (in Watts) directly measured</w:t>
      </w:r>
      <w:r w:rsidR="00A0101F">
        <w:t xml:space="preserve"> at the transmitter</w:t>
      </w:r>
      <w:r>
        <w:t xml:space="preserve"> (either using an external wattmeter or the transmitter’s own internal instrumentation).  E</w:t>
      </w:r>
      <w:r w:rsidR="00A0101F">
        <w:t>ffective radiated power</w:t>
      </w:r>
      <w:r>
        <w:t xml:space="preserve"> is a value that represents the power radiated from an antenna and is calculated as the result of (a) antenna input power (</w:t>
      </w:r>
      <w:r w:rsidRPr="004816A0">
        <w:t>i.e</w:t>
      </w:r>
      <w:r w:rsidRPr="00586246">
        <w:t>.</w:t>
      </w:r>
      <w:r>
        <w:t xml:space="preserve">, </w:t>
      </w:r>
      <w:r w:rsidR="00E1229A">
        <w:t>transmitter power output</w:t>
      </w:r>
      <w:r>
        <w:t xml:space="preserve"> less transmission line loss) and (b) the antenna’s gain.</w:t>
      </w:r>
    </w:p>
  </w:footnote>
  <w:footnote w:id="11">
    <w:p w:rsidR="005E2A87" w:rsidP="005E2A87" w14:paraId="4FF18F8F" w14:textId="786C7676">
      <w:pPr>
        <w:pStyle w:val="FootnoteText"/>
      </w:pPr>
      <w:r>
        <w:rPr>
          <w:rStyle w:val="FootnoteReference"/>
        </w:rPr>
        <w:footnoteRef/>
      </w:r>
      <w:r>
        <w:t xml:space="preserve"> </w:t>
      </w:r>
      <w:r w:rsidR="004A1EF4">
        <w:t>The databases included the Consolidated Database System (CDBS) and the Licensing and Management System (LMS).  The Media Bureau is currently transitioning from use of its CDBS database to LMS.</w:t>
      </w:r>
    </w:p>
  </w:footnote>
  <w:footnote w:id="12">
    <w:p w:rsidR="009962C8" w:rsidP="009962C8" w14:paraId="690C327F" w14:textId="77777777">
      <w:pPr>
        <w:pStyle w:val="FootnoteText"/>
      </w:pPr>
      <w:r>
        <w:rPr>
          <w:rStyle w:val="FootnoteReference"/>
        </w:rPr>
        <w:footnoteRef/>
      </w:r>
      <w:r>
        <w:t xml:space="preserve"> </w:t>
      </w:r>
      <w:r>
        <w:rPr>
          <w:i/>
          <w:iCs/>
        </w:rPr>
        <w:t xml:space="preserve">See </w:t>
      </w:r>
      <w:r>
        <w:t>Jupiter Community Radio, Inc., 2020 Florida Not for Profit Corporation Annual Report (Feb. 7, 2020) (identifying Manning as Jupiter’s president) (on file in EB-FIELDSCR-17-00025789).</w:t>
      </w:r>
    </w:p>
  </w:footnote>
  <w:footnote w:id="13">
    <w:p w:rsidR="009962C8" w:rsidRPr="00A05DAF" w:rsidP="009962C8" w14:paraId="13FA22D5" w14:textId="5A117352">
      <w:pPr>
        <w:pStyle w:val="FootnoteText"/>
      </w:pPr>
      <w:r>
        <w:rPr>
          <w:rStyle w:val="FootnoteReference"/>
        </w:rPr>
        <w:footnoteRef/>
      </w:r>
      <w:r>
        <w:t xml:space="preserve"> Omega Church is the licensee of station WOIB-LP, Oakland Park, FL (Fac. ID. No. 195212).</w:t>
      </w:r>
    </w:p>
  </w:footnote>
  <w:footnote w:id="14">
    <w:p w:rsidR="009962C8" w:rsidRPr="00296722" w:rsidP="009962C8" w14:paraId="7E17000B" w14:textId="77C437E8">
      <w:pPr>
        <w:pStyle w:val="FootnoteText"/>
      </w:pPr>
      <w:r>
        <w:rPr>
          <w:rStyle w:val="FootnoteReference"/>
        </w:rPr>
        <w:footnoteRef/>
      </w:r>
      <w:r>
        <w:t xml:space="preserve"> </w:t>
      </w:r>
      <w:r w:rsidRPr="00B20933">
        <w:t>Jupiter Community Radio, Inc., Notice of Violation, File No. EB-FIELDSCR-17-00025789 at 1 (EB 2020) (NOV)</w:t>
      </w:r>
      <w:r>
        <w:t xml:space="preserve">, </w:t>
      </w:r>
      <w:r>
        <w:rPr>
          <w:i/>
          <w:iCs/>
        </w:rPr>
        <w:t xml:space="preserve">citing </w:t>
      </w:r>
      <w:r>
        <w:t>47 CFR § 73.840.</w:t>
      </w:r>
    </w:p>
  </w:footnote>
  <w:footnote w:id="15">
    <w:p w:rsidR="009962C8" w:rsidRPr="00296722" w:rsidP="009962C8" w14:paraId="5369AED0" w14:textId="77777777">
      <w:pPr>
        <w:pStyle w:val="FootnoteText"/>
      </w:pPr>
      <w:r>
        <w:rPr>
          <w:rStyle w:val="FootnoteReference"/>
        </w:rPr>
        <w:footnoteRef/>
      </w:r>
      <w:r>
        <w:t xml:space="preserve"> </w:t>
      </w:r>
      <w:r w:rsidRPr="00B935ED">
        <w:rPr>
          <w:i/>
          <w:iCs/>
        </w:rPr>
        <w:t>Id</w:t>
      </w:r>
      <w:r>
        <w:t xml:space="preserve">. at 1-2, </w:t>
      </w:r>
      <w:r>
        <w:rPr>
          <w:i/>
          <w:iCs/>
        </w:rPr>
        <w:t>citing</w:t>
      </w:r>
      <w:r>
        <w:t xml:space="preserve"> 47 CFR § 73.845.</w:t>
      </w:r>
    </w:p>
  </w:footnote>
  <w:footnote w:id="16">
    <w:p w:rsidR="009962C8" w:rsidRPr="00296722" w:rsidP="009962C8" w14:paraId="1864557B" w14:textId="6A8209A5">
      <w:pPr>
        <w:pStyle w:val="FootnoteText"/>
      </w:pPr>
      <w:r>
        <w:rPr>
          <w:rStyle w:val="FootnoteReference"/>
        </w:rPr>
        <w:footnoteRef/>
      </w:r>
      <w:r>
        <w:t xml:space="preserve"> </w:t>
      </w:r>
      <w:r>
        <w:rPr>
          <w:i/>
          <w:iCs/>
        </w:rPr>
        <w:t xml:space="preserve">Id. </w:t>
      </w:r>
      <w:r>
        <w:t xml:space="preserve">at 2, </w:t>
      </w:r>
      <w:r w:rsidRPr="009D0689">
        <w:rPr>
          <w:i/>
          <w:iCs/>
        </w:rPr>
        <w:t>citing</w:t>
      </w:r>
      <w:r>
        <w:t xml:space="preserve"> 47 CFR § 73.875(c)(1).</w:t>
      </w:r>
    </w:p>
  </w:footnote>
  <w:footnote w:id="17">
    <w:p w:rsidR="009962C8" w:rsidRPr="00011B82" w:rsidP="009962C8" w14:paraId="5C300315" w14:textId="77777777">
      <w:pPr>
        <w:pStyle w:val="FootnoteText"/>
      </w:pPr>
      <w:r>
        <w:rPr>
          <w:rStyle w:val="FootnoteReference"/>
        </w:rPr>
        <w:footnoteRef/>
      </w:r>
      <w:r>
        <w:t xml:space="preserve"> </w:t>
      </w:r>
      <w:r>
        <w:rPr>
          <w:i/>
          <w:iCs/>
        </w:rPr>
        <w:t>Id.</w:t>
      </w:r>
      <w:r>
        <w:t xml:space="preserve">, </w:t>
      </w:r>
      <w:r>
        <w:rPr>
          <w:i/>
          <w:iCs/>
        </w:rPr>
        <w:t xml:space="preserve">citing </w:t>
      </w:r>
      <w:r>
        <w:t>47 CFR § 73.878(a).</w:t>
      </w:r>
    </w:p>
  </w:footnote>
  <w:footnote w:id="18">
    <w:p w:rsidR="009962C8" w:rsidRPr="00011B82" w:rsidP="009962C8" w14:paraId="38F32DB2" w14:textId="19B8FE9F">
      <w:pPr>
        <w:pStyle w:val="FootnoteText"/>
      </w:pPr>
      <w:r>
        <w:rPr>
          <w:rStyle w:val="FootnoteReference"/>
        </w:rPr>
        <w:footnoteRef/>
      </w:r>
      <w:r>
        <w:t xml:space="preserve"> </w:t>
      </w:r>
      <w:r>
        <w:rPr>
          <w:i/>
          <w:iCs/>
        </w:rPr>
        <w:t>Id.</w:t>
      </w:r>
      <w:r>
        <w:t xml:space="preserve"> at </w:t>
      </w:r>
      <w:r w:rsidR="001801D8">
        <w:t>2-</w:t>
      </w:r>
      <w:r>
        <w:t>3.</w:t>
      </w:r>
    </w:p>
  </w:footnote>
  <w:footnote w:id="19">
    <w:p w:rsidR="009962C8" w:rsidP="009962C8" w14:paraId="642CE32C" w14:textId="77777777">
      <w:pPr>
        <w:pStyle w:val="FootnoteText"/>
      </w:pPr>
      <w:r>
        <w:rPr>
          <w:rStyle w:val="FootnoteReference"/>
        </w:rPr>
        <w:footnoteRef/>
      </w:r>
      <w:r>
        <w:t xml:space="preserve"> E-mail from Field Agent, Office of the Field Director, FCC Enforcement Bureau, to Wayne J. Manning, President, Jupiter Community Radio, Inc. (Apr. 24, 2020, 14:56 EDT) </w:t>
      </w:r>
      <w:r>
        <w:rPr>
          <w:snapToGrid w:val="0"/>
        </w:rPr>
        <w:t>(on file in EB-FIELDSCR-17-00025789).</w:t>
      </w:r>
    </w:p>
  </w:footnote>
  <w:footnote w:id="20">
    <w:p w:rsidR="009962C8" w:rsidP="009962C8" w14:paraId="29140333" w14:textId="2E214CB1">
      <w:pPr>
        <w:pStyle w:val="FootnoteText"/>
      </w:pPr>
      <w:r>
        <w:rPr>
          <w:rStyle w:val="FootnoteReference"/>
        </w:rPr>
        <w:footnoteRef/>
      </w:r>
      <w:bookmarkStart w:id="16" w:name="_Hlk42200939"/>
      <w:r>
        <w:t xml:space="preserve"> </w:t>
      </w:r>
      <w:r w:rsidRPr="00E93EE0">
        <w:t xml:space="preserve">E-mail from </w:t>
      </w:r>
      <w:r>
        <w:t xml:space="preserve">Wayne J. </w:t>
      </w:r>
      <w:r w:rsidRPr="00E93EE0">
        <w:t>Manning</w:t>
      </w:r>
      <w:r>
        <w:t>, President, Jupiter Community Radio, Inc.</w:t>
      </w:r>
      <w:r w:rsidRPr="00E93EE0">
        <w:t xml:space="preserve"> to </w:t>
      </w:r>
      <w:r>
        <w:t>Field Agent,</w:t>
      </w:r>
      <w:r w:rsidRPr="00E93EE0">
        <w:t xml:space="preserve"> Office </w:t>
      </w:r>
      <w:r>
        <w:t>of the Field Director, FCC Enforcement Bureau</w:t>
      </w:r>
      <w:r w:rsidRPr="00E93EE0">
        <w:t xml:space="preserve"> (May 2, 2020</w:t>
      </w:r>
      <w:r>
        <w:t>, 17:14 EDT</w:t>
      </w:r>
      <w:r w:rsidRPr="00E93EE0">
        <w:t>) (on file in EB-FIELDSCR-17-00025789).</w:t>
      </w:r>
    </w:p>
    <w:bookmarkEnd w:id="16"/>
  </w:footnote>
  <w:footnote w:id="21">
    <w:p w:rsidR="009962C8" w:rsidP="009962C8" w14:paraId="7FCB8ACC" w14:textId="4FBE9B52">
      <w:pPr>
        <w:pStyle w:val="FootnoteText"/>
      </w:pPr>
      <w:r>
        <w:rPr>
          <w:rStyle w:val="FootnoteReference"/>
        </w:rPr>
        <w:footnoteRef/>
      </w:r>
      <w:r>
        <w:t xml:space="preserve"> </w:t>
      </w:r>
      <w:bookmarkStart w:id="17" w:name="_Hlk42200959"/>
      <w:r>
        <w:t>E-mail from Field Agent, Office of the Field Director, FCC Enforcement Bureau, to Wayne J. Manning, President, Jupiter Community Radio, Inc. (May 14, 2020, 16:52 EDT) (on file in EB-FIELDSCR-17-00025789).</w:t>
      </w:r>
      <w:bookmarkEnd w:id="17"/>
    </w:p>
  </w:footnote>
  <w:footnote w:id="22">
    <w:p w:rsidR="009962C8" w:rsidP="009962C8" w14:paraId="3E98BB0E" w14:textId="77777777">
      <w:pPr>
        <w:pStyle w:val="FootnoteText"/>
      </w:pPr>
      <w:r>
        <w:rPr>
          <w:rStyle w:val="FootnoteReference"/>
        </w:rPr>
        <w:footnoteRef/>
      </w:r>
      <w:r>
        <w:t xml:space="preserve"> E-mail from Wayne J. Manning, President, Jupiter Community Radio, Inc., to Field Agent, Office of the Field Director, FCC Enforcement Bureau (May 2, 2020, 16:42 EDT) </w:t>
      </w:r>
      <w:r>
        <w:rPr>
          <w:snapToGrid w:val="0"/>
        </w:rPr>
        <w:t>(on file in EB-FIELDSCR-17-00025789).</w:t>
      </w:r>
    </w:p>
  </w:footnote>
  <w:footnote w:id="23">
    <w:p w:rsidR="009962C8" w:rsidRPr="00EF3A8D" w:rsidP="009962C8" w14:paraId="044CE72D" w14:textId="2AD9C1C7">
      <w:pPr>
        <w:pStyle w:val="FootnoteText"/>
      </w:pPr>
      <w:r>
        <w:rPr>
          <w:rStyle w:val="FootnoteReference"/>
        </w:rPr>
        <w:footnoteRef/>
      </w:r>
      <w:r>
        <w:t xml:space="preserve"> </w:t>
      </w:r>
      <w:bookmarkStart w:id="19" w:name="_Hlk43209867"/>
      <w:r>
        <w:t xml:space="preserve">E-mail from Wayne J. Manning, President, Jupiter Community Radio, Inc., to Field Agent, Office of the Field Director, FCC Enforcement Bureau (May 25, 2020, 15:10 EDT) </w:t>
      </w:r>
      <w:r>
        <w:rPr>
          <w:snapToGrid w:val="0"/>
        </w:rPr>
        <w:t>(on file in EB-FIELDSCR-17-00025789).</w:t>
      </w:r>
      <w:bookmarkEnd w:id="19"/>
      <w:r w:rsidR="0042744B">
        <w:rPr>
          <w:snapToGrid w:val="0"/>
        </w:rPr>
        <w:t xml:space="preserve">  Letter</w:t>
      </w:r>
      <w:r w:rsidR="0042744B">
        <w:t xml:space="preserve"> from Wayne J. Manning, President, Jupiter Community Radio, Inc., to Ronald D. Ramage, Acting Field Director, FCC Enforcement Bureau (May 29, 2020) </w:t>
      </w:r>
      <w:r w:rsidR="0042744B">
        <w:rPr>
          <w:snapToGrid w:val="0"/>
        </w:rPr>
        <w:t>(on file in EB-FIELDSCR-17-00025789).</w:t>
      </w:r>
    </w:p>
  </w:footnote>
  <w:footnote w:id="24">
    <w:p w:rsidR="009962C8" w:rsidP="009962C8" w14:paraId="154D49B8" w14:textId="77777777">
      <w:pPr>
        <w:pStyle w:val="FootnoteText"/>
      </w:pPr>
      <w:r>
        <w:rPr>
          <w:rStyle w:val="FootnoteReference"/>
        </w:rPr>
        <w:footnoteRef/>
      </w:r>
      <w:r>
        <w:t xml:space="preserve"> </w:t>
      </w:r>
      <w:bookmarkStart w:id="20" w:name="_Hlk42201008"/>
      <w:r>
        <w:rPr>
          <w:i/>
          <w:iCs/>
        </w:rPr>
        <w:t>Id.</w:t>
      </w:r>
      <w:bookmarkEnd w:id="20"/>
    </w:p>
  </w:footnote>
  <w:footnote w:id="25">
    <w:p w:rsidR="009962C8" w:rsidP="009962C8" w14:paraId="5111DD4D" w14:textId="77777777">
      <w:pPr>
        <w:pStyle w:val="FootnoteText"/>
      </w:pPr>
      <w:r>
        <w:rPr>
          <w:rStyle w:val="FootnoteReference"/>
        </w:rPr>
        <w:footnoteRef/>
      </w:r>
      <w:r>
        <w:t xml:space="preserve"> </w:t>
      </w:r>
      <w:bookmarkStart w:id="21" w:name="_Hlk42201030"/>
      <w:r w:rsidRPr="008D542F">
        <w:rPr>
          <w:i/>
          <w:iCs/>
        </w:rPr>
        <w:t>See</w:t>
      </w:r>
      <w:r>
        <w:t xml:space="preserve"> NOV at 3, </w:t>
      </w:r>
      <w:r w:rsidRPr="00F1002D">
        <w:rPr>
          <w:i/>
          <w:iCs/>
        </w:rPr>
        <w:t>citing</w:t>
      </w:r>
      <w:r>
        <w:t xml:space="preserve"> 47 CFR § 1.16.</w:t>
      </w:r>
      <w:bookmarkEnd w:id="21"/>
    </w:p>
  </w:footnote>
  <w:footnote w:id="26">
    <w:p w:rsidR="009962C8" w:rsidP="009962C8" w14:paraId="3563BB6C" w14:textId="19ADB1EE">
      <w:pPr>
        <w:pStyle w:val="FootnoteText"/>
      </w:pPr>
      <w:r>
        <w:rPr>
          <w:rStyle w:val="FootnoteReference"/>
        </w:rPr>
        <w:footnoteRef/>
      </w:r>
      <w:r>
        <w:t xml:space="preserve"> </w:t>
      </w:r>
      <w:bookmarkStart w:id="22" w:name="_Hlk43118436"/>
      <w:r>
        <w:t>47 U.S.C. § 301, 47 CFR §</w:t>
      </w:r>
      <w:r w:rsidRPr="001C53BB">
        <w:t>§</w:t>
      </w:r>
      <w:r>
        <w:t xml:space="preserve"> </w:t>
      </w:r>
      <w:r w:rsidRPr="001C53BB">
        <w:t>73.840,</w:t>
      </w:r>
      <w:r w:rsidR="008429D3">
        <w:t xml:space="preserve"> 73.845,</w:t>
      </w:r>
      <w:r>
        <w:t xml:space="preserve"> 73.878(a)</w:t>
      </w:r>
      <w:r w:rsidR="007F6C24">
        <w:t>, 11.11(a)</w:t>
      </w:r>
      <w:r>
        <w:t>.</w:t>
      </w:r>
      <w:bookmarkEnd w:id="22"/>
    </w:p>
  </w:footnote>
  <w:footnote w:id="27">
    <w:p w:rsidR="001034A3" w:rsidP="001034A3" w14:paraId="65984B82"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8">
    <w:p w:rsidR="00CD3ECB" w:rsidRPr="0094234F" w:rsidP="00CD3ECB" w14:paraId="0FF1961B" w14:textId="78C8DEB6">
      <w:pPr>
        <w:pStyle w:val="FootnoteText"/>
      </w:pPr>
      <w:r>
        <w:rPr>
          <w:rStyle w:val="FootnoteReference"/>
        </w:rPr>
        <w:footnoteRef/>
      </w:r>
      <w:r>
        <w:t xml:space="preserve"> </w:t>
      </w:r>
      <w:r>
        <w:rPr>
          <w:i/>
          <w:iCs/>
        </w:rPr>
        <w:t>See</w:t>
      </w:r>
      <w:r>
        <w:t xml:space="preserve"> </w:t>
      </w:r>
      <w:r>
        <w:rPr>
          <w:i/>
          <w:iCs/>
        </w:rPr>
        <w:t>supra</w:t>
      </w:r>
      <w:r>
        <w:t xml:space="preserve"> paras. 3-</w:t>
      </w:r>
      <w:r>
        <w:fldChar w:fldCharType="begin"/>
      </w:r>
      <w:r>
        <w:instrText xml:space="preserve"> REF _Ref45548430 \r \h </w:instrText>
      </w:r>
      <w:r>
        <w:fldChar w:fldCharType="separate"/>
      </w:r>
      <w:r>
        <w:t>4</w:t>
      </w:r>
      <w:r>
        <w:fldChar w:fldCharType="end"/>
      </w:r>
      <w:r w:rsidR="006003B0">
        <w:t>, 6</w:t>
      </w:r>
      <w:r w:rsidR="004A6849">
        <w:t xml:space="preserve"> (</w:t>
      </w:r>
      <w:r w:rsidR="006003B0">
        <w:t>detailing the agents’ observation</w:t>
      </w:r>
      <w:r w:rsidR="004A6849">
        <w:t>)</w:t>
      </w:r>
      <w:r>
        <w:rPr>
          <w:i/>
          <w:iCs/>
        </w:rPr>
        <w:t>.</w:t>
      </w:r>
    </w:p>
  </w:footnote>
  <w:footnote w:id="29">
    <w:p w:rsidR="0057677C" w:rsidP="0057677C" w14:paraId="312F27E9" w14:textId="36FD2A1C">
      <w:pPr>
        <w:pStyle w:val="FootnoteText"/>
      </w:pPr>
      <w:r>
        <w:rPr>
          <w:rStyle w:val="FootnoteReference"/>
        </w:rPr>
        <w:footnoteRef/>
      </w:r>
      <w:r>
        <w:t xml:space="preserve"> 47 CFR § 73.840.</w:t>
      </w:r>
    </w:p>
  </w:footnote>
  <w:footnote w:id="30">
    <w:p w:rsidR="0057677C" w:rsidP="0057677C" w14:paraId="63B15905" w14:textId="6FBAB20C">
      <w:pPr>
        <w:pStyle w:val="FootnoteText"/>
      </w:pPr>
      <w:r>
        <w:rPr>
          <w:rStyle w:val="FootnoteReference"/>
        </w:rPr>
        <w:footnoteRef/>
      </w:r>
      <w:r>
        <w:t xml:space="preserve"> </w:t>
      </w:r>
      <w:r w:rsidR="001801D8">
        <w:t xml:space="preserve">47 U.S.C. § 301, </w:t>
      </w:r>
      <w:r>
        <w:t xml:space="preserve">47 CFR § </w:t>
      </w:r>
      <w:r w:rsidRPr="001C53BB">
        <w:t>73.845</w:t>
      </w:r>
      <w:r>
        <w:t xml:space="preserve">.  The Station’s calculated </w:t>
      </w:r>
      <w:r w:rsidRPr="00EF55FB">
        <w:rPr>
          <w:szCs w:val="22"/>
        </w:rPr>
        <w:t>effective radiated power</w:t>
      </w:r>
      <w:r>
        <w:t xml:space="preserve"> of approximately 177 Watts exceeds the 100-Watt maximum </w:t>
      </w:r>
      <w:r w:rsidRPr="00EF55FB">
        <w:rPr>
          <w:szCs w:val="22"/>
        </w:rPr>
        <w:t>effective radiated power</w:t>
      </w:r>
      <w:r>
        <w:t xml:space="preserve"> of LPFM stations authorized by the Commission.  </w:t>
      </w:r>
      <w:r w:rsidRPr="00020932">
        <w:rPr>
          <w:i/>
          <w:iCs/>
        </w:rPr>
        <w:t>See</w:t>
      </w:r>
      <w:r>
        <w:t xml:space="preserve"> 47 CFR §</w:t>
      </w:r>
      <w:r w:rsidRPr="001C53BB">
        <w:t xml:space="preserve"> 73.8</w:t>
      </w:r>
      <w:r>
        <w:t xml:space="preserve">11(a).  </w:t>
      </w:r>
      <w:r w:rsidR="002176BD">
        <w:t xml:space="preserve">The observed two-bay antenna has four times more antenna gain than the authorized single-bay antenna. </w:t>
      </w:r>
      <w:r w:rsidR="00645DB7">
        <w:t xml:space="preserve"> </w:t>
      </w:r>
      <w:r w:rsidR="002176BD">
        <w:t xml:space="preserve">Therefore, for a given antenna input power, the two-bay antenna produces an </w:t>
      </w:r>
      <w:r w:rsidR="002176BD">
        <w:rPr>
          <w:snapToGrid w:val="0"/>
        </w:rPr>
        <w:t xml:space="preserve">effective radiated power </w:t>
      </w:r>
      <w:r w:rsidR="002176BD">
        <w:t xml:space="preserve">that is four times more than the </w:t>
      </w:r>
      <w:r w:rsidR="002176BD">
        <w:rPr>
          <w:snapToGrid w:val="0"/>
        </w:rPr>
        <w:t>effective radiated power</w:t>
      </w:r>
      <w:r w:rsidR="002176BD">
        <w:t xml:space="preserve"> with the single-bay antenna specified on the Station’s license. </w:t>
      </w:r>
      <w:r w:rsidR="00645DB7">
        <w:t xml:space="preserve"> </w:t>
      </w:r>
      <w:r w:rsidR="002176BD">
        <w:t xml:space="preserve">That four-fold increase, together with the Station’s observed operation at 222% of its authorized </w:t>
      </w:r>
      <w:r w:rsidR="002176BD">
        <w:rPr>
          <w:snapToGrid w:val="0"/>
        </w:rPr>
        <w:t>transmitter power output</w:t>
      </w:r>
      <w:r w:rsidR="002176BD">
        <w:t xml:space="preserve">, produces an </w:t>
      </w:r>
      <w:r w:rsidR="002176BD">
        <w:rPr>
          <w:snapToGrid w:val="0"/>
        </w:rPr>
        <w:t>effective radiated power</w:t>
      </w:r>
      <w:r w:rsidR="002176BD">
        <w:t xml:space="preserve"> of 177 Watts, which is approximately 8.88 times the authorized </w:t>
      </w:r>
      <w:r w:rsidR="002176BD">
        <w:rPr>
          <w:snapToGrid w:val="0"/>
        </w:rPr>
        <w:t>effective radiated power</w:t>
      </w:r>
      <w:r w:rsidR="002176BD">
        <w:t xml:space="preserve"> of 20 Watts. </w:t>
      </w:r>
      <w:r w:rsidR="00645DB7">
        <w:t xml:space="preserve"> </w:t>
      </w:r>
      <w:r w:rsidR="002176BD">
        <w:t xml:space="preserve">This increased </w:t>
      </w:r>
      <w:r w:rsidR="002176BD">
        <w:rPr>
          <w:snapToGrid w:val="0"/>
        </w:rPr>
        <w:t>effective radiated power</w:t>
      </w:r>
      <w:r w:rsidR="002176BD">
        <w:t xml:space="preserve"> results in a much larger signal coverage area, and far exceeds the maximum facilities permitted for LPFM stations set forth in 47 CFR § 73.811(a).  </w:t>
      </w:r>
      <w:r>
        <w:t xml:space="preserve">When the LPFM service was established in 2000 as a secondary, noncommercial radio service with a community focus, the Commission authorized this class of service as LP100.  </w:t>
      </w:r>
      <w:r w:rsidRPr="00710547">
        <w:rPr>
          <w:i/>
          <w:iCs/>
        </w:rPr>
        <w:t>Creation of Low Power Radio Service</w:t>
      </w:r>
      <w:r w:rsidRPr="00710547">
        <w:t>, MM Docket No. 99-25, Report and Order, 15 FCC Rcd 2205 (2000)</w:t>
      </w:r>
      <w:r>
        <w:t xml:space="preserve">.  Since 2000, the Commission has considered proposals to increase the power of LPFM stations and has declined to authorize LPFM stations with powers exceeding 100 Watts </w:t>
      </w:r>
      <w:r w:rsidRPr="00EF55FB">
        <w:rPr>
          <w:szCs w:val="22"/>
        </w:rPr>
        <w:t>effective radiated power</w:t>
      </w:r>
      <w:r>
        <w:t xml:space="preserve">.  </w:t>
      </w:r>
      <w:r w:rsidRPr="00FD1C39">
        <w:rPr>
          <w:i/>
          <w:iCs/>
        </w:rPr>
        <w:t>See</w:t>
      </w:r>
      <w:r>
        <w:rPr>
          <w:i/>
          <w:iCs/>
        </w:rPr>
        <w:t xml:space="preserve"> Amendments of Parts 73 and 74 to Improve the Low Power FM Radio Service Technical Rules</w:t>
      </w:r>
      <w:r>
        <w:t xml:space="preserve">, MB Docket Nos. 19-193 and 17-105, Report and Order, 35 FCC Rcd 4115, 4129, para. 36 (2020), </w:t>
      </w:r>
      <w:r w:rsidRPr="00FD355D">
        <w:rPr>
          <w:i/>
          <w:iCs/>
        </w:rPr>
        <w:t>recons. pending</w:t>
      </w:r>
      <w:r>
        <w:t>.  In addition to apparently operating at variance, Manning’s admission that he lacked the capability to remotely control the Station indicated he was unable, during the time he was out of the country, to correct any non-compliant operations within the three-hour period required in 47 CFR § 73.845.</w:t>
      </w:r>
    </w:p>
  </w:footnote>
  <w:footnote w:id="31">
    <w:p w:rsidR="009962C8" w:rsidP="009962C8" w14:paraId="5FC02176" w14:textId="1BA40FEE">
      <w:pPr>
        <w:pStyle w:val="FootnoteText"/>
      </w:pPr>
      <w:r>
        <w:rPr>
          <w:rStyle w:val="FootnoteReference"/>
        </w:rPr>
        <w:footnoteRef/>
      </w:r>
      <w:r>
        <w:t xml:space="preserve"> </w:t>
      </w:r>
      <w:r w:rsidRPr="004352F2">
        <w:rPr>
          <w:i/>
          <w:iCs/>
        </w:rPr>
        <w:t>See e.</w:t>
      </w:r>
      <w:r>
        <w:rPr>
          <w:i/>
          <w:iCs/>
        </w:rPr>
        <w:t>g., Eagle Broadcasting Group, Ltd.</w:t>
      </w:r>
      <w:r>
        <w:t xml:space="preserve">, Memorandum Opinion and Order, 23 FCC Rcd 588, 592, para. 9 (2008), </w:t>
      </w:r>
      <w:r>
        <w:rPr>
          <w:i/>
          <w:iCs/>
        </w:rPr>
        <w:t xml:space="preserve">aff’d sub nom. Eagle Broadcasting Group, Ltd. v. FCC, </w:t>
      </w:r>
      <w:r>
        <w:t xml:space="preserve">563 F.3d 543 (D.C. Cir. 2009); </w:t>
      </w:r>
      <w:r w:rsidRPr="008D5219">
        <w:rPr>
          <w:i/>
          <w:iCs/>
        </w:rPr>
        <w:t>Kingdom of God, Inc.,</w:t>
      </w:r>
      <w:r>
        <w:t xml:space="preserve"> Memorandum Opinion and Order, 31 FCC Rcd 7522, 7526, para. 8 (2016), </w:t>
      </w:r>
      <w:r w:rsidRPr="00BE2540">
        <w:rPr>
          <w:i/>
          <w:iCs/>
        </w:rPr>
        <w:t>recon</w:t>
      </w:r>
      <w:r>
        <w:rPr>
          <w:i/>
          <w:iCs/>
        </w:rPr>
        <w:t>s</w:t>
      </w:r>
      <w:r w:rsidRPr="00BE2540">
        <w:rPr>
          <w:i/>
          <w:iCs/>
        </w:rPr>
        <w:t>. denied,</w:t>
      </w:r>
      <w:r>
        <w:t xml:space="preserve"> 32 FCC Rcd 1599 (2017), 32 FCC Rcd 3654 (2017), </w:t>
      </w:r>
      <w:r w:rsidRPr="008D5219">
        <w:rPr>
          <w:i/>
          <w:iCs/>
        </w:rPr>
        <w:t>aff’d sub nom</w:t>
      </w:r>
      <w:r>
        <w:rPr>
          <w:i/>
          <w:iCs/>
        </w:rPr>
        <w:t>.</w:t>
      </w:r>
      <w:r>
        <w:t xml:space="preserve"> </w:t>
      </w:r>
      <w:r w:rsidRPr="008D5219">
        <w:rPr>
          <w:i/>
          <w:iCs/>
        </w:rPr>
        <w:t>Kingdom of God, Inc</w:t>
      </w:r>
      <w:r>
        <w:rPr>
          <w:i/>
          <w:iCs/>
        </w:rPr>
        <w:t>. v. FCC</w:t>
      </w:r>
      <w:r>
        <w:t>, 719 Fed. Appx</w:t>
      </w:r>
      <w:r w:rsidR="000555AC">
        <w:t>.</w:t>
      </w:r>
      <w:r>
        <w:t xml:space="preserve"> 19 (D.C. Cir. 2018) (per curiam).</w:t>
      </w:r>
    </w:p>
  </w:footnote>
  <w:footnote w:id="32">
    <w:p w:rsidR="009962C8" w:rsidRPr="00C66880" w:rsidP="009962C8" w14:paraId="75359E37" w14:textId="2DACD646">
      <w:pPr>
        <w:pStyle w:val="FootnoteText"/>
      </w:pPr>
      <w:r>
        <w:rPr>
          <w:rStyle w:val="FootnoteReference"/>
        </w:rPr>
        <w:footnoteRef/>
      </w:r>
      <w:r>
        <w:t xml:space="preserve"> </w:t>
      </w:r>
      <w:r>
        <w:rPr>
          <w:i/>
          <w:iCs/>
        </w:rPr>
        <w:t>See</w:t>
      </w:r>
      <w:r>
        <w:t xml:space="preserve"> </w:t>
      </w:r>
      <w:r w:rsidR="00E87398">
        <w:rPr>
          <w:i/>
          <w:iCs/>
        </w:rPr>
        <w:t xml:space="preserve">supra </w:t>
      </w:r>
      <w:r>
        <w:t xml:space="preserve">paras. </w:t>
      </w:r>
      <w:r w:rsidR="00236E34">
        <w:t>5-</w:t>
      </w:r>
      <w:r w:rsidR="00E87398">
        <w:fldChar w:fldCharType="begin"/>
      </w:r>
      <w:r w:rsidR="00E87398">
        <w:instrText xml:space="preserve"> REF _Ref45552947 \r \h </w:instrText>
      </w:r>
      <w:r w:rsidR="00E87398">
        <w:fldChar w:fldCharType="separate"/>
      </w:r>
      <w:r w:rsidR="00E87398">
        <w:t>6</w:t>
      </w:r>
      <w:r w:rsidR="00E87398">
        <w:fldChar w:fldCharType="end"/>
      </w:r>
      <w:r w:rsidR="004A6849">
        <w:t xml:space="preserve"> (</w:t>
      </w:r>
      <w:r w:rsidR="00B4234B">
        <w:t>detailing agent attempts to ins</w:t>
      </w:r>
      <w:r w:rsidR="00F326BB">
        <w:t>p</w:t>
      </w:r>
      <w:r w:rsidR="00B4234B">
        <w:t>ect the Station</w:t>
      </w:r>
      <w:r w:rsidR="004A6849">
        <w:t>)</w:t>
      </w:r>
      <w:r>
        <w:t>.</w:t>
      </w:r>
    </w:p>
  </w:footnote>
  <w:footnote w:id="33">
    <w:p w:rsidR="009962C8" w:rsidRPr="00334B9C" w:rsidP="009962C8" w14:paraId="2503A5AF" w14:textId="77777777">
      <w:pPr>
        <w:pStyle w:val="FootnoteText"/>
      </w:pPr>
      <w:r>
        <w:rPr>
          <w:rStyle w:val="FootnoteReference"/>
        </w:rPr>
        <w:footnoteRef/>
      </w:r>
      <w:r>
        <w:t xml:space="preserve"> </w:t>
      </w:r>
      <w:r>
        <w:rPr>
          <w:i/>
          <w:iCs/>
        </w:rPr>
        <w:t>See</w:t>
      </w:r>
      <w:r>
        <w:t xml:space="preserve"> 47 CFR § 73.878(a).</w:t>
      </w:r>
    </w:p>
  </w:footnote>
  <w:footnote w:id="34">
    <w:p w:rsidR="009962C8" w:rsidP="009962C8" w14:paraId="17F7EE3D" w14:textId="0942222C">
      <w:pPr>
        <w:pStyle w:val="FootnoteText"/>
      </w:pPr>
      <w:r>
        <w:rPr>
          <w:rStyle w:val="FootnoteReference"/>
        </w:rPr>
        <w:footnoteRef/>
      </w:r>
      <w:r>
        <w:t xml:space="preserve"> </w:t>
      </w:r>
      <w:r w:rsidRPr="00E11BB8">
        <w:rPr>
          <w:i/>
          <w:iCs/>
        </w:rPr>
        <w:t xml:space="preserve">See </w:t>
      </w:r>
      <w:r>
        <w:t>47 CFR §</w:t>
      </w:r>
      <w:r w:rsidRPr="001C53BB">
        <w:t xml:space="preserve"> </w:t>
      </w:r>
      <w:r>
        <w:t>11.11(a).  LPFM stations are included in the Commission’s definition of EAS participants.</w:t>
      </w:r>
      <w:r w:rsidR="00E87398">
        <w:t xml:space="preserve">  </w:t>
      </w:r>
      <w:r w:rsidRPr="005E6474" w:rsidR="001C0B12">
        <w:rPr>
          <w:i/>
          <w:iCs/>
        </w:rPr>
        <w:t>Id.</w:t>
      </w:r>
    </w:p>
  </w:footnote>
  <w:footnote w:id="35">
    <w:p w:rsidR="009962C8" w:rsidRPr="00D82231" w:rsidP="009962C8" w14:paraId="1D7B4E76" w14:textId="25F59B34">
      <w:pPr>
        <w:pStyle w:val="FootnoteText"/>
      </w:pPr>
      <w:r>
        <w:rPr>
          <w:rStyle w:val="FootnoteReference"/>
        </w:rPr>
        <w:footnoteRef/>
      </w:r>
      <w:r>
        <w:t xml:space="preserve"> </w:t>
      </w:r>
      <w:r>
        <w:rPr>
          <w:i/>
          <w:iCs/>
        </w:rPr>
        <w:t>See</w:t>
      </w:r>
      <w:r>
        <w:t xml:space="preserve"> </w:t>
      </w:r>
      <w:r w:rsidR="00E87398">
        <w:rPr>
          <w:i/>
          <w:iCs/>
        </w:rPr>
        <w:t xml:space="preserve">supra </w:t>
      </w:r>
      <w:r>
        <w:t xml:space="preserve">paras. </w:t>
      </w:r>
      <w:r w:rsidR="00C45E90">
        <w:t>7</w:t>
      </w:r>
      <w:r>
        <w:t xml:space="preserve">, </w:t>
      </w:r>
      <w:r w:rsidR="00C45E90">
        <w:t>9-</w:t>
      </w:r>
      <w:r w:rsidR="00E87398">
        <w:fldChar w:fldCharType="begin"/>
      </w:r>
      <w:r w:rsidR="00E87398">
        <w:instrText xml:space="preserve"> REF _Ref45553182 \r \h </w:instrText>
      </w:r>
      <w:r w:rsidR="00E87398">
        <w:fldChar w:fldCharType="separate"/>
      </w:r>
      <w:r w:rsidR="00E87398">
        <w:t>10</w:t>
      </w:r>
      <w:r w:rsidR="00E87398">
        <w:fldChar w:fldCharType="end"/>
      </w:r>
      <w:r w:rsidR="003778C2">
        <w:t xml:space="preserve"> (</w:t>
      </w:r>
      <w:r w:rsidR="00B4234B">
        <w:t>detailing agent and company observation and exchange regarding EAS equipment and logs</w:t>
      </w:r>
      <w:r w:rsidR="001702C6">
        <w:t>)</w:t>
      </w:r>
      <w:r>
        <w:t>.</w:t>
      </w:r>
    </w:p>
  </w:footnote>
  <w:footnote w:id="36">
    <w:p w:rsidR="009962C8" w:rsidP="009962C8" w14:paraId="1E7DD677" w14:textId="49259E31">
      <w:pPr>
        <w:pStyle w:val="FootnoteText"/>
      </w:pPr>
      <w:r>
        <w:rPr>
          <w:rStyle w:val="FootnoteReference"/>
        </w:rPr>
        <w:footnoteRef/>
      </w:r>
      <w:r>
        <w:t xml:space="preserve"> 47 U.S.C. § 503(b).</w:t>
      </w:r>
    </w:p>
  </w:footnote>
  <w:footnote w:id="37">
    <w:p w:rsidR="009962C8" w:rsidP="009962C8" w14:paraId="5C9965A6" w14:textId="089A47F4">
      <w:pPr>
        <w:pStyle w:val="FootnoteText"/>
      </w:pPr>
      <w:r>
        <w:rPr>
          <w:rStyle w:val="FootnoteReference"/>
        </w:rPr>
        <w:footnoteRef/>
      </w:r>
      <w:r>
        <w:t xml:space="preserve"> 47 U.S.C. § 503(b)(2)(A); </w:t>
      </w:r>
      <w:r w:rsidRPr="00B63FC8">
        <w:rPr>
          <w:snapToGrid w:val="0"/>
          <w:color w:val="000000"/>
        </w:rPr>
        <w:t xml:space="preserve">47 CFR § 1.80(b)(1).  </w:t>
      </w:r>
      <w:bookmarkStart w:id="24" w:name="_Hlk18672240"/>
      <w:r w:rsidRPr="00B63FC8">
        <w:rPr>
          <w:i/>
          <w:snapToGrid w:val="0"/>
          <w:color w:val="000000"/>
        </w:rPr>
        <w:t>Amendment of Section 1.80(b) of the Commission’s Rules, Adjustment of Civil Monetary Penalties to Reflect Inflation</w:t>
      </w:r>
      <w:r w:rsidRPr="00B63FC8">
        <w:rPr>
          <w:snapToGrid w:val="0"/>
          <w:color w:val="000000"/>
        </w:rPr>
        <w:t>, Order, 34 FCC Rcd 12824 (EB 2019).</w:t>
      </w:r>
      <w:bookmarkEnd w:id="24"/>
    </w:p>
  </w:footnote>
  <w:footnote w:id="38">
    <w:p w:rsidR="009962C8" w:rsidP="009962C8" w14:paraId="03DD8A05" w14:textId="77777777">
      <w:pPr>
        <w:pStyle w:val="FootnoteText"/>
      </w:pPr>
      <w:r>
        <w:rPr>
          <w:rStyle w:val="FootnoteReference"/>
        </w:rPr>
        <w:footnoteRef/>
      </w:r>
      <w:r>
        <w:t xml:space="preserve"> 47 U.S.C. § 503(b)(2)(E).</w:t>
      </w:r>
    </w:p>
  </w:footnote>
  <w:footnote w:id="39">
    <w:p w:rsidR="009962C8" w:rsidP="009962C8" w14:paraId="650486D4" w14:textId="029487B7">
      <w:pPr>
        <w:pStyle w:val="FootnoteText"/>
      </w:pPr>
      <w:r>
        <w:rPr>
          <w:rStyle w:val="FootnoteReference"/>
        </w:rPr>
        <w:footnoteRef/>
      </w:r>
      <w:r>
        <w:t xml:space="preserve"> </w:t>
      </w:r>
      <w:bookmarkStart w:id="25" w:name="_Hlk54257694"/>
      <w:r w:rsidRPr="00B63FC8">
        <w:rPr>
          <w:color w:val="000000"/>
        </w:rPr>
        <w:t>47 CFR § 1.80(b)(</w:t>
      </w:r>
      <w:r w:rsidR="00805042">
        <w:rPr>
          <w:color w:val="000000"/>
        </w:rPr>
        <w:t>9</w:t>
      </w:r>
      <w:r w:rsidRPr="00B63FC8">
        <w:rPr>
          <w:color w:val="000000"/>
        </w:rPr>
        <w:t>), Note to paragraph (b)(</w:t>
      </w:r>
      <w:r w:rsidR="00A80D9C">
        <w:rPr>
          <w:color w:val="000000"/>
        </w:rPr>
        <w:t>8</w:t>
      </w:r>
      <w:r w:rsidRPr="00B63FC8">
        <w:rPr>
          <w:color w:val="000000"/>
        </w:rPr>
        <w:t>).</w:t>
      </w:r>
      <w:bookmarkEnd w:id="25"/>
      <w:r w:rsidR="00A80D9C">
        <w:rPr>
          <w:color w:val="000000"/>
        </w:rPr>
        <w:t xml:space="preserve">  </w:t>
      </w:r>
    </w:p>
  </w:footnote>
  <w:footnote w:id="40">
    <w:p w:rsidR="009962C8" w:rsidRPr="00F57B33" w:rsidP="009962C8" w14:paraId="79B568E0" w14:textId="77777777">
      <w:pPr>
        <w:pStyle w:val="FootnoteText"/>
      </w:pPr>
      <w:r>
        <w:rPr>
          <w:rStyle w:val="FootnoteReference"/>
        </w:rPr>
        <w:footnoteRef/>
      </w:r>
      <w:r>
        <w:t xml:space="preserve"> </w:t>
      </w:r>
      <w:r>
        <w:rPr>
          <w:i/>
          <w:iCs/>
        </w:rPr>
        <w:t>Id</w:t>
      </w:r>
      <w:r>
        <w:t>.</w:t>
      </w:r>
    </w:p>
  </w:footnote>
  <w:footnote w:id="41">
    <w:p w:rsidR="009962C8" w:rsidP="009962C8" w14:paraId="3F854EDD" w14:textId="55D76D2B">
      <w:pPr>
        <w:pStyle w:val="FootnoteText"/>
      </w:pPr>
      <w:r>
        <w:rPr>
          <w:rStyle w:val="FootnoteReference"/>
        </w:rPr>
        <w:footnoteRef/>
      </w:r>
      <w:r>
        <w:t xml:space="preserve"> </w:t>
      </w:r>
      <w:r w:rsidRPr="00B5798F">
        <w:rPr>
          <w:i/>
          <w:iCs/>
        </w:rPr>
        <w:t>The Commission’s Forfeiture Policy Statement and Amendment to Section 1.80 of the Rules to Incorporate the Forfeiture Guidelines</w:t>
      </w:r>
      <w:r w:rsidRPr="00B5798F">
        <w:t>, Report and Order, 12 FCC Rcd 17087 (1997) (</w:t>
      </w:r>
      <w:r w:rsidRPr="00B5798F">
        <w:rPr>
          <w:i/>
          <w:iCs/>
        </w:rPr>
        <w:t>Forfeiture Policy Statement</w:t>
      </w:r>
      <w:r w:rsidRPr="00B5798F">
        <w:t xml:space="preserve">), </w:t>
      </w:r>
      <w:r w:rsidRPr="00B5798F">
        <w:rPr>
          <w:i/>
          <w:iCs/>
        </w:rPr>
        <w:t>recons. denied</w:t>
      </w:r>
      <w:r w:rsidRPr="00B5798F">
        <w:t>, 15 FCC Rcd 303 (1999); 47 CFR § 1.80</w:t>
      </w:r>
      <w:r w:rsidR="008D7B75">
        <w:t>(b)</w:t>
      </w:r>
      <w:r w:rsidRPr="00B5798F">
        <w:t>.</w:t>
      </w:r>
    </w:p>
  </w:footnote>
  <w:footnote w:id="42">
    <w:p w:rsidR="009962C8" w:rsidRPr="00B63FC8" w:rsidP="009962C8" w14:paraId="48C0FFB6" w14:textId="77777777">
      <w:pPr>
        <w:pStyle w:val="FootnoteText"/>
        <w:widowControl w:val="0"/>
        <w:rPr>
          <w:color w:val="000000"/>
        </w:rPr>
      </w:pPr>
      <w:r w:rsidRPr="00B63FC8">
        <w:rPr>
          <w:rStyle w:val="FootnoteReference"/>
          <w:color w:val="000000"/>
        </w:rPr>
        <w:footnoteRef/>
      </w:r>
      <w:r w:rsidRPr="00B63FC8">
        <w:rPr>
          <w:color w:val="000000"/>
        </w:rPr>
        <w:t xml:space="preserve"> 47 U.S.C. § 503(b).</w:t>
      </w:r>
    </w:p>
  </w:footnote>
  <w:footnote w:id="43">
    <w:p w:rsidR="009962C8" w:rsidRPr="00B63FC8" w:rsidP="009962C8" w14:paraId="2F1ECEA5" w14:textId="77777777">
      <w:pPr>
        <w:pStyle w:val="FootnoteText"/>
        <w:rPr>
          <w:color w:val="000000"/>
        </w:rPr>
      </w:pPr>
      <w:r w:rsidRPr="00B63FC8">
        <w:rPr>
          <w:rStyle w:val="FootnoteReference"/>
          <w:color w:val="000000"/>
        </w:rPr>
        <w:footnoteRef/>
      </w:r>
      <w:r w:rsidRPr="00B63FC8">
        <w:rPr>
          <w:color w:val="000000"/>
          <w:lang w:val="es-ES"/>
        </w:rPr>
        <w:t xml:space="preserve"> 47 CFR § 1.80.</w:t>
      </w:r>
    </w:p>
  </w:footnote>
  <w:footnote w:id="44">
    <w:p w:rsidR="009962C8" w:rsidRPr="00B63FC8" w:rsidP="009962C8" w14:paraId="4BEA6E80" w14:textId="77777777">
      <w:pPr>
        <w:pStyle w:val="FootnoteText"/>
        <w:rPr>
          <w:color w:val="000000"/>
        </w:rPr>
      </w:pPr>
      <w:r w:rsidRPr="00B63FC8">
        <w:rPr>
          <w:rStyle w:val="FootnoteReference"/>
          <w:color w:val="000000"/>
        </w:rPr>
        <w:footnoteRef/>
      </w:r>
      <w:r w:rsidRPr="00B63FC8">
        <w:rPr>
          <w:color w:val="000000"/>
          <w:lang w:val="es-ES"/>
        </w:rPr>
        <w:t xml:space="preserve"> 47 U.S.C. § 301.</w:t>
      </w:r>
    </w:p>
  </w:footnote>
  <w:footnote w:id="45">
    <w:p w:rsidR="009962C8" w:rsidRPr="00B63FC8" w:rsidP="009962C8" w14:paraId="7B9E072D" w14:textId="77777777">
      <w:pPr>
        <w:pStyle w:val="FootnoteText"/>
        <w:rPr>
          <w:color w:val="000000"/>
        </w:rPr>
      </w:pPr>
      <w:r w:rsidRPr="00B63FC8">
        <w:rPr>
          <w:rStyle w:val="FootnoteReference"/>
          <w:color w:val="000000"/>
        </w:rPr>
        <w:footnoteRef/>
      </w:r>
      <w:r w:rsidRPr="00B63FC8">
        <w:rPr>
          <w:color w:val="000000"/>
          <w:lang w:val="es-ES"/>
        </w:rPr>
        <w:t xml:space="preserve"> 47 CFR §§ 11.11(a), </w:t>
      </w:r>
      <w:r>
        <w:t>73.840, 73.845, 73.878(a).</w:t>
      </w:r>
    </w:p>
  </w:footnote>
  <w:footnote w:id="46">
    <w:p w:rsidR="009962C8" w:rsidRPr="00B63FC8" w:rsidP="009962C8" w14:paraId="78865204" w14:textId="77777777">
      <w:pPr>
        <w:pStyle w:val="FootnoteText"/>
        <w:rPr>
          <w:color w:val="000000"/>
        </w:rPr>
      </w:pPr>
      <w:r w:rsidRPr="00B63FC8">
        <w:rPr>
          <w:rStyle w:val="FootnoteReference"/>
          <w:color w:val="000000"/>
        </w:rPr>
        <w:footnoteRef/>
      </w:r>
      <w:r w:rsidRPr="00B63FC8">
        <w:rPr>
          <w:color w:val="000000"/>
        </w:rPr>
        <w:t xml:space="preserve"> 47 CFR § 1.80.</w:t>
      </w:r>
    </w:p>
  </w:footnote>
  <w:footnote w:id="47">
    <w:p w:rsidR="009962C8" w:rsidRPr="005476AB" w:rsidP="009962C8" w14:paraId="54054948"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8">
    <w:p w:rsidR="009962C8" w:rsidRPr="005476AB" w:rsidP="009962C8" w14:paraId="69D9234C"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49">
    <w:p w:rsidR="009962C8" w:rsidP="009962C8" w14:paraId="4A2C1A23" w14:textId="43329E15">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p>
  </w:footnote>
  <w:footnote w:id="50">
    <w:p w:rsidR="009962C8" w:rsidP="009962C8" w14:paraId="18F39067"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51">
    <w:p w:rsidR="009962C8" w:rsidRPr="00B63FC8" w:rsidP="009962C8" w14:paraId="52F7712B" w14:textId="77777777">
      <w:pPr>
        <w:pStyle w:val="FootnoteText"/>
        <w:rPr>
          <w:color w:val="000000"/>
        </w:rPr>
      </w:pPr>
      <w:r w:rsidRPr="00B63FC8">
        <w:rPr>
          <w:rStyle w:val="FootnoteReference"/>
          <w:color w:val="000000"/>
        </w:rPr>
        <w:footnoteRef/>
      </w:r>
      <w:r w:rsidRPr="00B63FC8">
        <w:rPr>
          <w:color w:val="000000"/>
        </w:rPr>
        <w:t xml:space="preserve"> 47 CFR §§ 1.16, 1.80(f)(3).</w:t>
      </w:r>
    </w:p>
  </w:footnote>
  <w:footnote w:id="52">
    <w:p w:rsidR="00B130AB" w:rsidP="00B130AB" w14:paraId="0416BAF7" w14:textId="77777777">
      <w:pPr>
        <w:pStyle w:val="FootnoteText"/>
      </w:pPr>
      <w:r>
        <w:rPr>
          <w:rStyle w:val="FootnoteReference"/>
        </w:rPr>
        <w:footnoteRef/>
      </w:r>
      <w:r>
        <w:t xml:space="preserve"> </w:t>
      </w:r>
      <w:r w:rsidRPr="009A58BC">
        <w:t>47 U.S.C. § 503(b)(2)(E).</w:t>
      </w:r>
    </w:p>
  </w:footnote>
  <w:footnote w:id="53">
    <w:p w:rsidR="00B130AB" w:rsidP="00B130AB" w14:paraId="2EDB518F" w14:textId="160C5F83">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w:t>
      </w:r>
      <w:r w:rsidRPr="00776C69" w:rsidR="007E12B2">
        <w:rPr>
          <w:i/>
          <w:iCs/>
          <w:snapToGrid w:val="0"/>
        </w:rPr>
        <w:t>Morehead, Kentucky,</w:t>
      </w:r>
      <w:r w:rsidR="007E12B2">
        <w:rPr>
          <w:snapToGrid w:val="0"/>
        </w:rPr>
        <w:t xml:space="preserve"> </w:t>
      </w:r>
      <w:r>
        <w:rPr>
          <w:snapToGrid w:val="0"/>
        </w:rPr>
        <w:t xml:space="preserve">Forfeiture Order, 34 FCC Rcd 770, </w:t>
      </w:r>
      <w:r w:rsidR="003752EE">
        <w:rPr>
          <w:snapToGrid w:val="0"/>
        </w:rPr>
        <w:t xml:space="preserve">778-79, </w:t>
      </w:r>
      <w:r>
        <w:rPr>
          <w:snapToGrid w:val="0"/>
        </w:rPr>
        <w:t>paras. 18</w:t>
      </w:r>
      <w:r w:rsidR="003752EE">
        <w:t>-</w:t>
      </w:r>
      <w:r>
        <w:rPr>
          <w:snapToGrid w:val="0"/>
        </w:rPr>
        <w:t xml:space="preserve">21 (2019); </w:t>
      </w:r>
      <w:r>
        <w:rPr>
          <w:i/>
          <w:iCs/>
          <w:snapToGrid w:val="0"/>
        </w:rPr>
        <w:t>Fabrice Polynice, Harold Sido and Veronise Sido, North Miami, Florida</w:t>
      </w:r>
      <w:r>
        <w:rPr>
          <w:snapToGrid w:val="0"/>
        </w:rPr>
        <w:t>, Forfeiture Order, 33 FCC Rcd 6852, 6860</w:t>
      </w:r>
      <w:r w:rsidR="003752EE">
        <w:t>-</w:t>
      </w:r>
      <w:r>
        <w:rPr>
          <w:snapToGrid w:val="0"/>
        </w:rPr>
        <w:t>62, paras. 21</w:t>
      </w:r>
      <w:r w:rsidR="003752EE">
        <w:t>-</w:t>
      </w:r>
      <w:r>
        <w:rPr>
          <w:snapToGrid w:val="0"/>
        </w:rPr>
        <w:t xml:space="preserve">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w:t>
      </w:r>
      <w:r w:rsidR="003752EE">
        <w:rPr>
          <w:snapToGrid w:val="0"/>
        </w:rPr>
        <w:t>0</w:t>
      </w:r>
      <w:r w:rsidR="003752EE">
        <w:t>-6</w:t>
      </w:r>
      <w:r>
        <w:rPr>
          <w:snapToGrid w:val="0"/>
        </w:rPr>
        <w:t>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35134" w:rsidP="005F73BA" w14:paraId="6652175A" w14:textId="4B15B84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5F73BA">
      <w:tab/>
      <w:t>Federal Communications Commission</w:t>
    </w:r>
    <w:r w:rsidR="005F73BA">
      <w:tab/>
    </w:r>
    <w:r w:rsidR="005F73BA">
      <w:rPr>
        <w:spacing w:val="-2"/>
      </w:rPr>
      <w:t xml:space="preserve">DA </w:t>
    </w:r>
    <w:r w:rsidR="004C5B2A">
      <w:t>20-1248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F73BA" w:rsidP="00686715" w14:paraId="7DADF852" w14:textId="55B6370D">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r w:rsidR="005F73BA">
      <w:tab/>
      <w:t>Federal Communications Commission</w:t>
    </w:r>
    <w:r w:rsidR="005F73BA">
      <w:tab/>
    </w:r>
    <w:r w:rsidR="005F73BA">
      <w:rPr>
        <w:spacing w:val="-2"/>
      </w:rPr>
      <w:t xml:space="preserve">DA </w:t>
    </w:r>
    <w:r w:rsidR="004C5B2A">
      <w:t>20-1248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FB739F"/>
    <w:multiLevelType w:val="hybridMultilevel"/>
    <w:tmpl w:val="B51686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C8"/>
    <w:rsid w:val="00002937"/>
    <w:rsid w:val="00011B82"/>
    <w:rsid w:val="00016027"/>
    <w:rsid w:val="00020932"/>
    <w:rsid w:val="00022EF0"/>
    <w:rsid w:val="00026737"/>
    <w:rsid w:val="00030B0C"/>
    <w:rsid w:val="0003186D"/>
    <w:rsid w:val="00036039"/>
    <w:rsid w:val="00036ECD"/>
    <w:rsid w:val="00037DB0"/>
    <w:rsid w:val="00037F90"/>
    <w:rsid w:val="000452C2"/>
    <w:rsid w:val="000555AC"/>
    <w:rsid w:val="000778FE"/>
    <w:rsid w:val="00077E56"/>
    <w:rsid w:val="00080390"/>
    <w:rsid w:val="000875BF"/>
    <w:rsid w:val="00096D8C"/>
    <w:rsid w:val="000B0216"/>
    <w:rsid w:val="000B435E"/>
    <w:rsid w:val="000C0B65"/>
    <w:rsid w:val="000C272A"/>
    <w:rsid w:val="000C67EB"/>
    <w:rsid w:val="000E05FE"/>
    <w:rsid w:val="000E3D42"/>
    <w:rsid w:val="000F7F57"/>
    <w:rsid w:val="00100249"/>
    <w:rsid w:val="001034A3"/>
    <w:rsid w:val="00113EBD"/>
    <w:rsid w:val="00122BD5"/>
    <w:rsid w:val="00123309"/>
    <w:rsid w:val="00133F79"/>
    <w:rsid w:val="00137FBE"/>
    <w:rsid w:val="001702C6"/>
    <w:rsid w:val="001801D8"/>
    <w:rsid w:val="00185E9E"/>
    <w:rsid w:val="00194A66"/>
    <w:rsid w:val="001B2114"/>
    <w:rsid w:val="001B726E"/>
    <w:rsid w:val="001C0B12"/>
    <w:rsid w:val="001C2D13"/>
    <w:rsid w:val="001C53BB"/>
    <w:rsid w:val="001D6BCF"/>
    <w:rsid w:val="001E01CA"/>
    <w:rsid w:val="001E2920"/>
    <w:rsid w:val="001E5FB0"/>
    <w:rsid w:val="002005A7"/>
    <w:rsid w:val="00201AFE"/>
    <w:rsid w:val="00202B61"/>
    <w:rsid w:val="00210F9B"/>
    <w:rsid w:val="00214EBD"/>
    <w:rsid w:val="002176BD"/>
    <w:rsid w:val="0023213D"/>
    <w:rsid w:val="00235B50"/>
    <w:rsid w:val="00236E34"/>
    <w:rsid w:val="00245D72"/>
    <w:rsid w:val="00252C94"/>
    <w:rsid w:val="00267CB4"/>
    <w:rsid w:val="00273AD0"/>
    <w:rsid w:val="00275221"/>
    <w:rsid w:val="00275CF5"/>
    <w:rsid w:val="0028301F"/>
    <w:rsid w:val="00285017"/>
    <w:rsid w:val="002908E3"/>
    <w:rsid w:val="00296722"/>
    <w:rsid w:val="002A2D2E"/>
    <w:rsid w:val="002C00E8"/>
    <w:rsid w:val="003035D2"/>
    <w:rsid w:val="00307023"/>
    <w:rsid w:val="00310E95"/>
    <w:rsid w:val="0032437D"/>
    <w:rsid w:val="00334B9C"/>
    <w:rsid w:val="003372F7"/>
    <w:rsid w:val="00343749"/>
    <w:rsid w:val="00344C0B"/>
    <w:rsid w:val="003467ED"/>
    <w:rsid w:val="0035386B"/>
    <w:rsid w:val="00365CAF"/>
    <w:rsid w:val="003660ED"/>
    <w:rsid w:val="003752EE"/>
    <w:rsid w:val="003778C2"/>
    <w:rsid w:val="00377EB3"/>
    <w:rsid w:val="003822DE"/>
    <w:rsid w:val="003918A5"/>
    <w:rsid w:val="003B012D"/>
    <w:rsid w:val="003B0550"/>
    <w:rsid w:val="003B4FF2"/>
    <w:rsid w:val="003B694F"/>
    <w:rsid w:val="003C63D7"/>
    <w:rsid w:val="003D1562"/>
    <w:rsid w:val="003E371F"/>
    <w:rsid w:val="003F0A23"/>
    <w:rsid w:val="003F171C"/>
    <w:rsid w:val="00412FC5"/>
    <w:rsid w:val="00416427"/>
    <w:rsid w:val="00422276"/>
    <w:rsid w:val="004242F1"/>
    <w:rsid w:val="0042744B"/>
    <w:rsid w:val="00433F30"/>
    <w:rsid w:val="004352F2"/>
    <w:rsid w:val="00445A00"/>
    <w:rsid w:val="00451B0F"/>
    <w:rsid w:val="004521C6"/>
    <w:rsid w:val="00454D59"/>
    <w:rsid w:val="00475064"/>
    <w:rsid w:val="0048083F"/>
    <w:rsid w:val="004816A0"/>
    <w:rsid w:val="004820E0"/>
    <w:rsid w:val="004A1EF4"/>
    <w:rsid w:val="004A2362"/>
    <w:rsid w:val="004A6849"/>
    <w:rsid w:val="004B3D2F"/>
    <w:rsid w:val="004B7220"/>
    <w:rsid w:val="004C2EE3"/>
    <w:rsid w:val="004C5B2A"/>
    <w:rsid w:val="004D2F1D"/>
    <w:rsid w:val="004E4A22"/>
    <w:rsid w:val="00511968"/>
    <w:rsid w:val="00530506"/>
    <w:rsid w:val="005341CC"/>
    <w:rsid w:val="00541B0C"/>
    <w:rsid w:val="005453C3"/>
    <w:rsid w:val="005476AB"/>
    <w:rsid w:val="005530E7"/>
    <w:rsid w:val="0055614C"/>
    <w:rsid w:val="00566D06"/>
    <w:rsid w:val="00567CD3"/>
    <w:rsid w:val="0057677C"/>
    <w:rsid w:val="00577560"/>
    <w:rsid w:val="00581971"/>
    <w:rsid w:val="00583AD6"/>
    <w:rsid w:val="00586246"/>
    <w:rsid w:val="00586F40"/>
    <w:rsid w:val="005925F3"/>
    <w:rsid w:val="005A0567"/>
    <w:rsid w:val="005B0556"/>
    <w:rsid w:val="005E14C2"/>
    <w:rsid w:val="005E2A87"/>
    <w:rsid w:val="005E6474"/>
    <w:rsid w:val="005F73BA"/>
    <w:rsid w:val="006003B0"/>
    <w:rsid w:val="00602FAD"/>
    <w:rsid w:val="00607BA5"/>
    <w:rsid w:val="0061180A"/>
    <w:rsid w:val="00612E87"/>
    <w:rsid w:val="00626EB6"/>
    <w:rsid w:val="00635BD9"/>
    <w:rsid w:val="0063779F"/>
    <w:rsid w:val="00641B01"/>
    <w:rsid w:val="00645DB7"/>
    <w:rsid w:val="0065384C"/>
    <w:rsid w:val="00655D03"/>
    <w:rsid w:val="00666C4B"/>
    <w:rsid w:val="00677E19"/>
    <w:rsid w:val="00683388"/>
    <w:rsid w:val="00683F84"/>
    <w:rsid w:val="00686715"/>
    <w:rsid w:val="00695D3B"/>
    <w:rsid w:val="006A6A81"/>
    <w:rsid w:val="006B3C4F"/>
    <w:rsid w:val="006C181E"/>
    <w:rsid w:val="006D73F2"/>
    <w:rsid w:val="006E34AB"/>
    <w:rsid w:val="006E752B"/>
    <w:rsid w:val="006F7393"/>
    <w:rsid w:val="0070224F"/>
    <w:rsid w:val="00707F69"/>
    <w:rsid w:val="00710547"/>
    <w:rsid w:val="007115F7"/>
    <w:rsid w:val="00732995"/>
    <w:rsid w:val="00735C30"/>
    <w:rsid w:val="00741B9C"/>
    <w:rsid w:val="007420E1"/>
    <w:rsid w:val="00757F3D"/>
    <w:rsid w:val="00763EAD"/>
    <w:rsid w:val="00776C69"/>
    <w:rsid w:val="00781926"/>
    <w:rsid w:val="00781C49"/>
    <w:rsid w:val="00785689"/>
    <w:rsid w:val="00787233"/>
    <w:rsid w:val="00796BEE"/>
    <w:rsid w:val="0079754B"/>
    <w:rsid w:val="007A1E6D"/>
    <w:rsid w:val="007B0EB2"/>
    <w:rsid w:val="007C4B8A"/>
    <w:rsid w:val="007C6D29"/>
    <w:rsid w:val="007D4F08"/>
    <w:rsid w:val="007E12B2"/>
    <w:rsid w:val="007F31FE"/>
    <w:rsid w:val="007F3E8B"/>
    <w:rsid w:val="007F402F"/>
    <w:rsid w:val="007F6C24"/>
    <w:rsid w:val="00805042"/>
    <w:rsid w:val="00807B35"/>
    <w:rsid w:val="00810B6F"/>
    <w:rsid w:val="00810EDC"/>
    <w:rsid w:val="00812E76"/>
    <w:rsid w:val="00822CE0"/>
    <w:rsid w:val="00835134"/>
    <w:rsid w:val="00841AB1"/>
    <w:rsid w:val="008429D3"/>
    <w:rsid w:val="00860D22"/>
    <w:rsid w:val="00863B80"/>
    <w:rsid w:val="00880DE4"/>
    <w:rsid w:val="008842A1"/>
    <w:rsid w:val="00886BCB"/>
    <w:rsid w:val="0088797D"/>
    <w:rsid w:val="008A2184"/>
    <w:rsid w:val="008A38ED"/>
    <w:rsid w:val="008C68F1"/>
    <w:rsid w:val="008D286A"/>
    <w:rsid w:val="008D5219"/>
    <w:rsid w:val="008D542F"/>
    <w:rsid w:val="008D7B75"/>
    <w:rsid w:val="008E0593"/>
    <w:rsid w:val="008E6999"/>
    <w:rsid w:val="00905716"/>
    <w:rsid w:val="00921803"/>
    <w:rsid w:val="00922DF0"/>
    <w:rsid w:val="00925003"/>
    <w:rsid w:val="00926503"/>
    <w:rsid w:val="00933C09"/>
    <w:rsid w:val="0094234F"/>
    <w:rsid w:val="00953933"/>
    <w:rsid w:val="00953E0B"/>
    <w:rsid w:val="00965C27"/>
    <w:rsid w:val="009726D8"/>
    <w:rsid w:val="00975CF6"/>
    <w:rsid w:val="009803CA"/>
    <w:rsid w:val="00981F23"/>
    <w:rsid w:val="00982B1E"/>
    <w:rsid w:val="009849A5"/>
    <w:rsid w:val="009962C8"/>
    <w:rsid w:val="009A58BC"/>
    <w:rsid w:val="009C1C2C"/>
    <w:rsid w:val="009D0689"/>
    <w:rsid w:val="009D7308"/>
    <w:rsid w:val="009F76DB"/>
    <w:rsid w:val="00A0101F"/>
    <w:rsid w:val="00A05DAF"/>
    <w:rsid w:val="00A2245A"/>
    <w:rsid w:val="00A32C3B"/>
    <w:rsid w:val="00A342BF"/>
    <w:rsid w:val="00A4327A"/>
    <w:rsid w:val="00A45F4F"/>
    <w:rsid w:val="00A51BB8"/>
    <w:rsid w:val="00A600A9"/>
    <w:rsid w:val="00A63967"/>
    <w:rsid w:val="00A64899"/>
    <w:rsid w:val="00A80D9C"/>
    <w:rsid w:val="00A83CAC"/>
    <w:rsid w:val="00AA55B7"/>
    <w:rsid w:val="00AA5B9E"/>
    <w:rsid w:val="00AB08D1"/>
    <w:rsid w:val="00AB2407"/>
    <w:rsid w:val="00AB2C2A"/>
    <w:rsid w:val="00AB53DF"/>
    <w:rsid w:val="00AC6F85"/>
    <w:rsid w:val="00AD0726"/>
    <w:rsid w:val="00AE4C3B"/>
    <w:rsid w:val="00AF3FC1"/>
    <w:rsid w:val="00B0129C"/>
    <w:rsid w:val="00B07E5C"/>
    <w:rsid w:val="00B130AB"/>
    <w:rsid w:val="00B150EA"/>
    <w:rsid w:val="00B20933"/>
    <w:rsid w:val="00B26C6B"/>
    <w:rsid w:val="00B4133A"/>
    <w:rsid w:val="00B4234B"/>
    <w:rsid w:val="00B5798F"/>
    <w:rsid w:val="00B62FBF"/>
    <w:rsid w:val="00B63FC8"/>
    <w:rsid w:val="00B811F7"/>
    <w:rsid w:val="00B935ED"/>
    <w:rsid w:val="00BA3BCE"/>
    <w:rsid w:val="00BA55AB"/>
    <w:rsid w:val="00BA5DC6"/>
    <w:rsid w:val="00BA6196"/>
    <w:rsid w:val="00BB22EC"/>
    <w:rsid w:val="00BB633B"/>
    <w:rsid w:val="00BC6D8C"/>
    <w:rsid w:val="00BD4A6E"/>
    <w:rsid w:val="00BE2540"/>
    <w:rsid w:val="00C34006"/>
    <w:rsid w:val="00C345AC"/>
    <w:rsid w:val="00C36111"/>
    <w:rsid w:val="00C36B4C"/>
    <w:rsid w:val="00C426B1"/>
    <w:rsid w:val="00C45E90"/>
    <w:rsid w:val="00C462B7"/>
    <w:rsid w:val="00C62074"/>
    <w:rsid w:val="00C626CF"/>
    <w:rsid w:val="00C66160"/>
    <w:rsid w:val="00C66880"/>
    <w:rsid w:val="00C721AC"/>
    <w:rsid w:val="00C866B6"/>
    <w:rsid w:val="00C8692A"/>
    <w:rsid w:val="00C90D6A"/>
    <w:rsid w:val="00C93116"/>
    <w:rsid w:val="00C934B0"/>
    <w:rsid w:val="00CA247E"/>
    <w:rsid w:val="00CA6D21"/>
    <w:rsid w:val="00CB6288"/>
    <w:rsid w:val="00CC72B6"/>
    <w:rsid w:val="00CD3ECB"/>
    <w:rsid w:val="00CF59AB"/>
    <w:rsid w:val="00D00E53"/>
    <w:rsid w:val="00D0218D"/>
    <w:rsid w:val="00D2341D"/>
    <w:rsid w:val="00D25FB5"/>
    <w:rsid w:val="00D44223"/>
    <w:rsid w:val="00D605F2"/>
    <w:rsid w:val="00D72E8B"/>
    <w:rsid w:val="00D82231"/>
    <w:rsid w:val="00DA2529"/>
    <w:rsid w:val="00DA6AA3"/>
    <w:rsid w:val="00DB130A"/>
    <w:rsid w:val="00DB2EBB"/>
    <w:rsid w:val="00DC03A1"/>
    <w:rsid w:val="00DC10A1"/>
    <w:rsid w:val="00DC445E"/>
    <w:rsid w:val="00DC655F"/>
    <w:rsid w:val="00DD0B59"/>
    <w:rsid w:val="00DD7EBD"/>
    <w:rsid w:val="00DF4107"/>
    <w:rsid w:val="00DF62B6"/>
    <w:rsid w:val="00E040E1"/>
    <w:rsid w:val="00E055F9"/>
    <w:rsid w:val="00E07225"/>
    <w:rsid w:val="00E11BB8"/>
    <w:rsid w:val="00E1229A"/>
    <w:rsid w:val="00E2678F"/>
    <w:rsid w:val="00E31797"/>
    <w:rsid w:val="00E45260"/>
    <w:rsid w:val="00E4702D"/>
    <w:rsid w:val="00E5409F"/>
    <w:rsid w:val="00E5559C"/>
    <w:rsid w:val="00E60334"/>
    <w:rsid w:val="00E87398"/>
    <w:rsid w:val="00E93EE0"/>
    <w:rsid w:val="00EC0B98"/>
    <w:rsid w:val="00ED2D5B"/>
    <w:rsid w:val="00EE6488"/>
    <w:rsid w:val="00EF3A8D"/>
    <w:rsid w:val="00EF477C"/>
    <w:rsid w:val="00EF55FB"/>
    <w:rsid w:val="00F021FA"/>
    <w:rsid w:val="00F1002D"/>
    <w:rsid w:val="00F14821"/>
    <w:rsid w:val="00F15F3F"/>
    <w:rsid w:val="00F326BB"/>
    <w:rsid w:val="00F42D6E"/>
    <w:rsid w:val="00F57B33"/>
    <w:rsid w:val="00F62E97"/>
    <w:rsid w:val="00F64209"/>
    <w:rsid w:val="00F72D0E"/>
    <w:rsid w:val="00F901EE"/>
    <w:rsid w:val="00F93BF5"/>
    <w:rsid w:val="00FA2512"/>
    <w:rsid w:val="00FD0CC7"/>
    <w:rsid w:val="00FD1C39"/>
    <w:rsid w:val="00FD355D"/>
    <w:rsid w:val="00FF6A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864882-3CB5-4D2C-A1F7-6592DE25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B3"/>
    <w:pPr>
      <w:widowControl w:val="0"/>
    </w:pPr>
    <w:rPr>
      <w:snapToGrid w:val="0"/>
      <w:kern w:val="28"/>
      <w:sz w:val="22"/>
    </w:rPr>
  </w:style>
  <w:style w:type="paragraph" w:styleId="Heading1">
    <w:name w:val="heading 1"/>
    <w:basedOn w:val="Normal"/>
    <w:next w:val="ParaNum"/>
    <w:link w:val="Heading1Char"/>
    <w:qFormat/>
    <w:rsid w:val="00377E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77EB3"/>
    <w:pPr>
      <w:keepNext/>
      <w:numPr>
        <w:ilvl w:val="1"/>
        <w:numId w:val="3"/>
      </w:numPr>
      <w:spacing w:after="120"/>
      <w:outlineLvl w:val="1"/>
    </w:pPr>
    <w:rPr>
      <w:b/>
    </w:rPr>
  </w:style>
  <w:style w:type="paragraph" w:styleId="Heading3">
    <w:name w:val="heading 3"/>
    <w:basedOn w:val="Normal"/>
    <w:next w:val="ParaNum"/>
    <w:qFormat/>
    <w:rsid w:val="00377EB3"/>
    <w:pPr>
      <w:keepNext/>
      <w:numPr>
        <w:ilvl w:val="2"/>
        <w:numId w:val="3"/>
      </w:numPr>
      <w:tabs>
        <w:tab w:val="left" w:pos="2160"/>
      </w:tabs>
      <w:spacing w:after="120"/>
      <w:outlineLvl w:val="2"/>
    </w:pPr>
    <w:rPr>
      <w:b/>
    </w:rPr>
  </w:style>
  <w:style w:type="paragraph" w:styleId="Heading4">
    <w:name w:val="heading 4"/>
    <w:basedOn w:val="Normal"/>
    <w:next w:val="ParaNum"/>
    <w:qFormat/>
    <w:rsid w:val="00377EB3"/>
    <w:pPr>
      <w:keepNext/>
      <w:numPr>
        <w:ilvl w:val="3"/>
        <w:numId w:val="3"/>
      </w:numPr>
      <w:tabs>
        <w:tab w:val="left" w:pos="2880"/>
      </w:tabs>
      <w:spacing w:after="120"/>
      <w:outlineLvl w:val="3"/>
    </w:pPr>
    <w:rPr>
      <w:b/>
    </w:rPr>
  </w:style>
  <w:style w:type="paragraph" w:styleId="Heading5">
    <w:name w:val="heading 5"/>
    <w:basedOn w:val="Normal"/>
    <w:next w:val="ParaNum"/>
    <w:qFormat/>
    <w:rsid w:val="00377EB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7EB3"/>
    <w:pPr>
      <w:numPr>
        <w:ilvl w:val="5"/>
        <w:numId w:val="3"/>
      </w:numPr>
      <w:tabs>
        <w:tab w:val="left" w:pos="4320"/>
      </w:tabs>
      <w:spacing w:after="120"/>
      <w:outlineLvl w:val="5"/>
    </w:pPr>
    <w:rPr>
      <w:b/>
    </w:rPr>
  </w:style>
  <w:style w:type="paragraph" w:styleId="Heading7">
    <w:name w:val="heading 7"/>
    <w:basedOn w:val="Normal"/>
    <w:next w:val="ParaNum"/>
    <w:qFormat/>
    <w:rsid w:val="00377E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7EB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7E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7E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EB3"/>
  </w:style>
  <w:style w:type="paragraph" w:customStyle="1" w:styleId="ParaNum">
    <w:name w:val="ParaNum"/>
    <w:basedOn w:val="Normal"/>
    <w:link w:val="ParaNumChar"/>
    <w:rsid w:val="00377EB3"/>
    <w:pPr>
      <w:numPr>
        <w:numId w:val="2"/>
      </w:numPr>
      <w:tabs>
        <w:tab w:val="clear" w:pos="1080"/>
        <w:tab w:val="num" w:pos="1440"/>
      </w:tabs>
      <w:spacing w:after="120"/>
    </w:pPr>
  </w:style>
  <w:style w:type="paragraph" w:styleId="EndnoteText">
    <w:name w:val="endnote text"/>
    <w:basedOn w:val="Normal"/>
    <w:semiHidden/>
    <w:rsid w:val="00377EB3"/>
    <w:rPr>
      <w:sz w:val="20"/>
    </w:rPr>
  </w:style>
  <w:style w:type="character" w:styleId="EndnoteReference">
    <w:name w:val="endnote reference"/>
    <w:semiHidden/>
    <w:rsid w:val="00377EB3"/>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377EB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77EB3"/>
    <w:rPr>
      <w:rFonts w:ascii="Times New Roman" w:hAnsi="Times New Roman"/>
      <w:dstrike w:val="0"/>
      <w:color w:val="auto"/>
      <w:sz w:val="20"/>
      <w:vertAlign w:val="superscript"/>
    </w:rPr>
  </w:style>
  <w:style w:type="paragraph" w:styleId="TOC1">
    <w:name w:val="toc 1"/>
    <w:basedOn w:val="Normal"/>
    <w:next w:val="Normal"/>
    <w:semiHidden/>
    <w:rsid w:val="00377E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7EB3"/>
    <w:pPr>
      <w:tabs>
        <w:tab w:val="left" w:pos="720"/>
        <w:tab w:val="right" w:leader="dot" w:pos="9360"/>
      </w:tabs>
      <w:suppressAutoHyphens/>
      <w:ind w:left="720" w:right="720" w:hanging="360"/>
    </w:pPr>
    <w:rPr>
      <w:noProof/>
    </w:rPr>
  </w:style>
  <w:style w:type="paragraph" w:styleId="TOC3">
    <w:name w:val="toc 3"/>
    <w:basedOn w:val="Normal"/>
    <w:next w:val="Normal"/>
    <w:semiHidden/>
    <w:rsid w:val="00377E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7E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7E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7E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7E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7E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7E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7EB3"/>
    <w:pPr>
      <w:tabs>
        <w:tab w:val="right" w:pos="9360"/>
      </w:tabs>
      <w:suppressAutoHyphens/>
    </w:pPr>
  </w:style>
  <w:style w:type="character" w:customStyle="1" w:styleId="EquationCaption">
    <w:name w:val="_Equation Caption"/>
    <w:rsid w:val="00377EB3"/>
  </w:style>
  <w:style w:type="paragraph" w:styleId="Header">
    <w:name w:val="header"/>
    <w:basedOn w:val="Normal"/>
    <w:autoRedefine/>
    <w:rsid w:val="00377EB3"/>
    <w:pPr>
      <w:tabs>
        <w:tab w:val="center" w:pos="4680"/>
        <w:tab w:val="right" w:pos="9360"/>
      </w:tabs>
    </w:pPr>
    <w:rPr>
      <w:b/>
    </w:rPr>
  </w:style>
  <w:style w:type="paragraph" w:styleId="Footer">
    <w:name w:val="footer"/>
    <w:basedOn w:val="Normal"/>
    <w:link w:val="FooterChar"/>
    <w:uiPriority w:val="99"/>
    <w:rsid w:val="00377EB3"/>
    <w:pPr>
      <w:tabs>
        <w:tab w:val="center" w:pos="4320"/>
        <w:tab w:val="right" w:pos="8640"/>
      </w:tabs>
    </w:pPr>
  </w:style>
  <w:style w:type="character" w:styleId="PageNumber">
    <w:name w:val="page number"/>
    <w:basedOn w:val="DefaultParagraphFont"/>
    <w:rsid w:val="00377EB3"/>
  </w:style>
  <w:style w:type="paragraph" w:styleId="BlockText">
    <w:name w:val="Block Text"/>
    <w:basedOn w:val="Normal"/>
    <w:rsid w:val="00377EB3"/>
    <w:pPr>
      <w:spacing w:after="240"/>
      <w:ind w:left="1440" w:right="1440"/>
    </w:pPr>
  </w:style>
  <w:style w:type="paragraph" w:customStyle="1" w:styleId="Paratitle">
    <w:name w:val="Para title"/>
    <w:basedOn w:val="Normal"/>
    <w:rsid w:val="00377EB3"/>
    <w:pPr>
      <w:tabs>
        <w:tab w:val="center" w:pos="9270"/>
      </w:tabs>
      <w:spacing w:after="240"/>
    </w:pPr>
    <w:rPr>
      <w:spacing w:val="-2"/>
    </w:rPr>
  </w:style>
  <w:style w:type="paragraph" w:customStyle="1" w:styleId="Bullet">
    <w:name w:val="Bullet"/>
    <w:basedOn w:val="Normal"/>
    <w:rsid w:val="00377EB3"/>
    <w:pPr>
      <w:tabs>
        <w:tab w:val="left" w:pos="2160"/>
      </w:tabs>
      <w:spacing w:after="220"/>
      <w:ind w:left="2160" w:hanging="720"/>
    </w:pPr>
  </w:style>
  <w:style w:type="paragraph" w:customStyle="1" w:styleId="TableFormat">
    <w:name w:val="TableFormat"/>
    <w:basedOn w:val="Bullet"/>
    <w:rsid w:val="00377EB3"/>
    <w:pPr>
      <w:tabs>
        <w:tab w:val="clear" w:pos="2160"/>
        <w:tab w:val="left" w:pos="5040"/>
      </w:tabs>
      <w:ind w:left="5040" w:hanging="3600"/>
    </w:pPr>
  </w:style>
  <w:style w:type="paragraph" w:customStyle="1" w:styleId="TOCTitle">
    <w:name w:val="TOC Title"/>
    <w:basedOn w:val="Normal"/>
    <w:rsid w:val="00377E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EB3"/>
    <w:pPr>
      <w:jc w:val="center"/>
    </w:pPr>
    <w:rPr>
      <w:rFonts w:ascii="Times New Roman Bold" w:hAnsi="Times New Roman Bold"/>
      <w:b/>
      <w:bCs/>
      <w:caps/>
      <w:szCs w:val="22"/>
    </w:rPr>
  </w:style>
  <w:style w:type="character" w:styleId="Hyperlink">
    <w:name w:val="Hyperlink"/>
    <w:rsid w:val="00377EB3"/>
    <w:rPr>
      <w:color w:val="0000FF"/>
      <w:u w:val="single"/>
    </w:rPr>
  </w:style>
  <w:style w:type="character" w:customStyle="1" w:styleId="FooterChar">
    <w:name w:val="Footer Char"/>
    <w:link w:val="Footer"/>
    <w:uiPriority w:val="99"/>
    <w:rsid w:val="00377EB3"/>
    <w:rPr>
      <w:snapToGrid w:val="0"/>
      <w:kern w:val="28"/>
      <w:sz w:val="22"/>
    </w:rPr>
  </w:style>
  <w:style w:type="character" w:customStyle="1" w:styleId="Heading1Char">
    <w:name w:val="Heading 1 Char"/>
    <w:link w:val="Heading1"/>
    <w:locked/>
    <w:rsid w:val="009962C8"/>
    <w:rPr>
      <w:rFonts w:ascii="Times New Roman Bold" w:hAnsi="Times New Roman Bold"/>
      <w:b/>
      <w:caps/>
      <w:snapToGrid w:val="0"/>
      <w:kern w:val="28"/>
      <w:sz w:val="22"/>
    </w:rPr>
  </w:style>
  <w:style w:type="character" w:customStyle="1" w:styleId="Heading2Char">
    <w:name w:val="Heading 2 Char"/>
    <w:link w:val="Heading2"/>
    <w:locked/>
    <w:rsid w:val="009962C8"/>
    <w:rPr>
      <w:b/>
      <w:snapToGrid w:val="0"/>
      <w:kern w:val="28"/>
      <w:sz w:val="22"/>
    </w:rPr>
  </w:style>
  <w:style w:type="paragraph" w:styleId="BodyText">
    <w:name w:val="Body Text"/>
    <w:aliases w:val="b"/>
    <w:basedOn w:val="Normal"/>
    <w:link w:val="BodyTextChar"/>
    <w:uiPriority w:val="99"/>
    <w:rsid w:val="009962C8"/>
    <w:rPr>
      <w:b/>
      <w:kern w:val="0"/>
      <w:sz w:val="24"/>
      <w:u w:val="single"/>
    </w:rPr>
  </w:style>
  <w:style w:type="character" w:customStyle="1" w:styleId="BodyTextChar">
    <w:name w:val="Body Text Char"/>
    <w:aliases w:val="b Char"/>
    <w:basedOn w:val="DefaultParagraphFont"/>
    <w:link w:val="BodyText"/>
    <w:uiPriority w:val="99"/>
    <w:rsid w:val="009962C8"/>
    <w:rPr>
      <w:b/>
      <w:snapToGrid w:val="0"/>
      <w:sz w:val="24"/>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9962C8"/>
  </w:style>
  <w:style w:type="character" w:customStyle="1" w:styleId="ParaNumChar">
    <w:name w:val="ParaNum Char"/>
    <w:link w:val="ParaNum"/>
    <w:locked/>
    <w:rsid w:val="009962C8"/>
    <w:rPr>
      <w:snapToGrid w:val="0"/>
      <w:kern w:val="28"/>
      <w:sz w:val="22"/>
    </w:rPr>
  </w:style>
  <w:style w:type="character" w:styleId="CommentReference">
    <w:name w:val="annotation reference"/>
    <w:basedOn w:val="DefaultParagraphFont"/>
    <w:rsid w:val="005B0556"/>
    <w:rPr>
      <w:sz w:val="16"/>
      <w:szCs w:val="16"/>
    </w:rPr>
  </w:style>
  <w:style w:type="paragraph" w:styleId="CommentText">
    <w:name w:val="annotation text"/>
    <w:basedOn w:val="Normal"/>
    <w:link w:val="CommentTextChar"/>
    <w:rsid w:val="005B0556"/>
    <w:rPr>
      <w:sz w:val="20"/>
    </w:rPr>
  </w:style>
  <w:style w:type="character" w:customStyle="1" w:styleId="CommentTextChar">
    <w:name w:val="Comment Text Char"/>
    <w:basedOn w:val="DefaultParagraphFont"/>
    <w:link w:val="CommentText"/>
    <w:rsid w:val="005B0556"/>
    <w:rPr>
      <w:snapToGrid w:val="0"/>
      <w:kern w:val="28"/>
    </w:rPr>
  </w:style>
  <w:style w:type="paragraph" w:styleId="CommentSubject">
    <w:name w:val="annotation subject"/>
    <w:basedOn w:val="CommentText"/>
    <w:next w:val="CommentText"/>
    <w:link w:val="CommentSubjectChar"/>
    <w:rsid w:val="005B0556"/>
    <w:rPr>
      <w:b/>
      <w:bCs/>
    </w:rPr>
  </w:style>
  <w:style w:type="character" w:customStyle="1" w:styleId="CommentSubjectChar">
    <w:name w:val="Comment Subject Char"/>
    <w:basedOn w:val="CommentTextChar"/>
    <w:link w:val="CommentSubject"/>
    <w:rsid w:val="005B0556"/>
    <w:rPr>
      <w:b/>
      <w:bCs/>
      <w:snapToGrid w:val="0"/>
      <w:kern w:val="28"/>
    </w:rPr>
  </w:style>
  <w:style w:type="paragraph" w:styleId="BalloonText">
    <w:name w:val="Balloon Text"/>
    <w:basedOn w:val="Normal"/>
    <w:link w:val="BalloonTextChar"/>
    <w:rsid w:val="005B0556"/>
    <w:rPr>
      <w:rFonts w:ascii="Segoe UI" w:hAnsi="Segoe UI" w:cs="Segoe UI"/>
      <w:sz w:val="18"/>
      <w:szCs w:val="18"/>
    </w:rPr>
  </w:style>
  <w:style w:type="character" w:customStyle="1" w:styleId="BalloonTextChar">
    <w:name w:val="Balloon Text Char"/>
    <w:basedOn w:val="DefaultParagraphFont"/>
    <w:link w:val="BalloonText"/>
    <w:rsid w:val="005B0556"/>
    <w:rPr>
      <w:rFonts w:ascii="Segoe UI" w:hAnsi="Segoe UI" w:cs="Segoe UI"/>
      <w:snapToGrid w:val="0"/>
      <w:kern w:val="28"/>
      <w:sz w:val="18"/>
      <w:szCs w:val="18"/>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B130AB"/>
    <w:rPr>
      <w:sz w:val="20"/>
      <w:szCs w:val="20"/>
    </w:rPr>
  </w:style>
  <w:style w:type="paragraph" w:styleId="Revision">
    <w:name w:val="Revision"/>
    <w:hidden/>
    <w:uiPriority w:val="99"/>
    <w:semiHidden/>
    <w:rsid w:val="00A342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