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313DE" w:rsidP="00013A8B" w14:paraId="5C97EDB0" w14:textId="519B2F54">
      <w:pPr>
        <w:jc w:val="right"/>
        <w:rPr>
          <w:b/>
          <w:szCs w:val="22"/>
        </w:rPr>
      </w:pPr>
      <w:bookmarkStart w:id="0" w:name="_GoBack"/>
      <w:bookmarkEnd w:id="0"/>
      <w:r w:rsidRPr="00B313DE">
        <w:rPr>
          <w:b/>
          <w:szCs w:val="22"/>
        </w:rPr>
        <w:t xml:space="preserve">DA </w:t>
      </w:r>
      <w:r w:rsidR="00AF10F9">
        <w:rPr>
          <w:b/>
          <w:szCs w:val="22"/>
        </w:rPr>
        <w:t>20</w:t>
      </w:r>
      <w:r w:rsidRPr="00B313DE">
        <w:rPr>
          <w:b/>
          <w:szCs w:val="22"/>
        </w:rPr>
        <w:t>-</w:t>
      </w:r>
      <w:r w:rsidR="0042053A">
        <w:rPr>
          <w:b/>
          <w:szCs w:val="22"/>
        </w:rPr>
        <w:t>124</w:t>
      </w:r>
    </w:p>
    <w:p w:rsidR="00013A8B" w:rsidRPr="00B313DE" w:rsidP="00013A8B" w14:paraId="4B865EEA" w14:textId="26F3E353">
      <w:pPr>
        <w:spacing w:before="60"/>
        <w:jc w:val="right"/>
        <w:rPr>
          <w:b/>
          <w:szCs w:val="22"/>
        </w:rPr>
      </w:pPr>
      <w:r w:rsidRPr="00B313DE">
        <w:rPr>
          <w:b/>
          <w:szCs w:val="22"/>
        </w:rPr>
        <w:t xml:space="preserve">Released:  </w:t>
      </w:r>
      <w:bookmarkStart w:id="1" w:name="_Hlk31625261"/>
      <w:r w:rsidR="00AA5885">
        <w:rPr>
          <w:b/>
          <w:szCs w:val="22"/>
        </w:rPr>
        <w:t>February</w:t>
      </w:r>
      <w:r w:rsidR="00AF10F9">
        <w:rPr>
          <w:b/>
          <w:szCs w:val="22"/>
        </w:rPr>
        <w:t xml:space="preserve"> </w:t>
      </w:r>
      <w:r w:rsidR="000D3965">
        <w:rPr>
          <w:b/>
          <w:szCs w:val="22"/>
        </w:rPr>
        <w:t>5</w:t>
      </w:r>
      <w:r w:rsidRPr="00B313DE" w:rsidR="00C73E90">
        <w:rPr>
          <w:b/>
          <w:szCs w:val="22"/>
        </w:rPr>
        <w:t>, 20</w:t>
      </w:r>
      <w:r w:rsidR="00AF10F9">
        <w:rPr>
          <w:b/>
          <w:szCs w:val="22"/>
        </w:rPr>
        <w:t>20</w:t>
      </w:r>
      <w:bookmarkEnd w:id="1"/>
    </w:p>
    <w:p w:rsidR="00013A8B" w:rsidP="00D15FD8" w14:paraId="7CF41903" w14:textId="77777777">
      <w:pPr>
        <w:jc w:val="center"/>
        <w:rPr>
          <w:sz w:val="24"/>
        </w:rPr>
      </w:pPr>
    </w:p>
    <w:p w:rsidR="0025149D" w:rsidP="00D15FD8" w14:paraId="11583627" w14:textId="77777777">
      <w:pPr>
        <w:jc w:val="center"/>
        <w:rPr>
          <w:b/>
          <w:caps/>
          <w:szCs w:val="22"/>
        </w:rPr>
      </w:pPr>
      <w:r w:rsidRPr="0005776F">
        <w:rPr>
          <w:b/>
          <w:caps/>
          <w:szCs w:val="22"/>
        </w:rPr>
        <w:t xml:space="preserve">wireless telecommunications bureau seeks comment on </w:t>
      </w:r>
    </w:p>
    <w:p w:rsidR="0025149D" w:rsidP="00D15FD8" w14:paraId="1E644B19" w14:textId="77777777">
      <w:pPr>
        <w:jc w:val="center"/>
        <w:rPr>
          <w:b/>
          <w:caps/>
          <w:szCs w:val="22"/>
        </w:rPr>
      </w:pPr>
      <w:r>
        <w:rPr>
          <w:b/>
          <w:caps/>
          <w:szCs w:val="22"/>
        </w:rPr>
        <w:t>LV STADIUM EVENTS COMPANY, LLC</w:t>
      </w:r>
      <w:r w:rsidRPr="0005776F" w:rsidR="00DA2C64">
        <w:rPr>
          <w:b/>
          <w:caps/>
          <w:szCs w:val="22"/>
        </w:rPr>
        <w:t xml:space="preserve"> </w:t>
      </w:r>
      <w:r>
        <w:rPr>
          <w:b/>
          <w:caps/>
          <w:szCs w:val="22"/>
        </w:rPr>
        <w:t>REQUEST</w:t>
      </w:r>
      <w:r w:rsidR="00DA2C64">
        <w:rPr>
          <w:b/>
          <w:caps/>
          <w:szCs w:val="22"/>
        </w:rPr>
        <w:t xml:space="preserve"> for waiver </w:t>
      </w:r>
      <w:r>
        <w:rPr>
          <w:b/>
          <w:caps/>
          <w:szCs w:val="22"/>
        </w:rPr>
        <w:t>OF</w:t>
      </w:r>
    </w:p>
    <w:p w:rsidR="0008528C" w:rsidP="00D15FD8" w14:paraId="3B707868" w14:textId="72D71BAA">
      <w:pPr>
        <w:jc w:val="center"/>
        <w:rPr>
          <w:b/>
          <w:caps/>
          <w:szCs w:val="22"/>
        </w:rPr>
      </w:pPr>
      <w:r>
        <w:rPr>
          <w:b/>
          <w:caps/>
          <w:szCs w:val="22"/>
        </w:rPr>
        <w:t xml:space="preserve">800 MHz </w:t>
      </w:r>
      <w:r w:rsidR="0025149D">
        <w:rPr>
          <w:b/>
          <w:caps/>
          <w:szCs w:val="22"/>
        </w:rPr>
        <w:t xml:space="preserve">GUARD BAND </w:t>
      </w:r>
      <w:r>
        <w:rPr>
          <w:b/>
          <w:caps/>
          <w:szCs w:val="22"/>
        </w:rPr>
        <w:t xml:space="preserve">LICENSING </w:t>
      </w:r>
      <w:r w:rsidR="00411F1B">
        <w:rPr>
          <w:b/>
          <w:caps/>
          <w:szCs w:val="22"/>
        </w:rPr>
        <w:t>FREEZE</w:t>
      </w:r>
    </w:p>
    <w:p w:rsidR="00D15FD8" w:rsidRPr="0005776F" w:rsidP="00D15FD8" w14:paraId="64C81268" w14:textId="77777777">
      <w:pPr>
        <w:jc w:val="center"/>
        <w:rPr>
          <w:b/>
          <w:caps/>
          <w:szCs w:val="22"/>
        </w:rPr>
      </w:pPr>
    </w:p>
    <w:p w:rsidR="0008528C" w:rsidRPr="0005776F" w:rsidP="00D15FD8" w14:paraId="6A771DCF" w14:textId="0920BF6D">
      <w:pPr>
        <w:jc w:val="center"/>
        <w:rPr>
          <w:b/>
          <w:szCs w:val="22"/>
        </w:rPr>
      </w:pPr>
      <w:r>
        <w:rPr>
          <w:b/>
          <w:szCs w:val="22"/>
        </w:rPr>
        <w:t>FCC File No. 0008872979</w:t>
      </w:r>
    </w:p>
    <w:p w:rsidR="0008528C" w:rsidRPr="0005776F" w:rsidP="0008528C" w14:paraId="76BF7BF7" w14:textId="77777777">
      <w:pPr>
        <w:rPr>
          <w:szCs w:val="22"/>
        </w:rPr>
      </w:pPr>
    </w:p>
    <w:p w:rsidR="00D15FD8" w:rsidP="0008528C" w14:paraId="2B03B6E8" w14:textId="4A71EAEC">
      <w:pPr>
        <w:tabs>
          <w:tab w:val="right" w:pos="9360"/>
        </w:tabs>
        <w:rPr>
          <w:b/>
          <w:szCs w:val="22"/>
        </w:rPr>
      </w:pPr>
      <w:r w:rsidRPr="0005776F">
        <w:rPr>
          <w:b/>
          <w:szCs w:val="22"/>
        </w:rPr>
        <w:t xml:space="preserve">Comment Date: </w:t>
      </w:r>
      <w:r w:rsidR="000D3965">
        <w:rPr>
          <w:b/>
          <w:szCs w:val="22"/>
        </w:rPr>
        <w:t>February 26</w:t>
      </w:r>
      <w:r w:rsidRPr="00B313DE" w:rsidR="000D3965">
        <w:rPr>
          <w:b/>
          <w:szCs w:val="22"/>
        </w:rPr>
        <w:t>, 20</w:t>
      </w:r>
      <w:r w:rsidR="000D3965">
        <w:rPr>
          <w:b/>
          <w:szCs w:val="22"/>
        </w:rPr>
        <w:t>20</w:t>
      </w:r>
    </w:p>
    <w:p w:rsidR="0008528C" w:rsidRPr="0005776F" w:rsidP="0008528C" w14:paraId="488CA5A4" w14:textId="07EF2F80">
      <w:pPr>
        <w:tabs>
          <w:tab w:val="right" w:pos="9360"/>
        </w:tabs>
        <w:rPr>
          <w:b/>
          <w:szCs w:val="22"/>
        </w:rPr>
      </w:pPr>
      <w:r w:rsidRPr="0005776F">
        <w:rPr>
          <w:b/>
          <w:szCs w:val="22"/>
        </w:rPr>
        <w:t xml:space="preserve">Reply </w:t>
      </w:r>
      <w:r w:rsidRPr="0005776F" w:rsidR="00D15FD8">
        <w:rPr>
          <w:b/>
          <w:szCs w:val="22"/>
        </w:rPr>
        <w:t xml:space="preserve">Comment </w:t>
      </w:r>
      <w:r w:rsidRPr="0005776F">
        <w:rPr>
          <w:b/>
          <w:szCs w:val="22"/>
        </w:rPr>
        <w:t xml:space="preserve">Date:  </w:t>
      </w:r>
      <w:r w:rsidR="000D3965">
        <w:rPr>
          <w:b/>
          <w:szCs w:val="22"/>
        </w:rPr>
        <w:t xml:space="preserve">March </w:t>
      </w:r>
      <w:r w:rsidR="003A561D">
        <w:rPr>
          <w:b/>
          <w:szCs w:val="22"/>
        </w:rPr>
        <w:t>10</w:t>
      </w:r>
      <w:r w:rsidRPr="00B313DE" w:rsidR="000D3965">
        <w:rPr>
          <w:b/>
          <w:szCs w:val="22"/>
        </w:rPr>
        <w:t>, 20</w:t>
      </w:r>
      <w:r w:rsidR="000D3965">
        <w:rPr>
          <w:b/>
          <w:szCs w:val="22"/>
        </w:rPr>
        <w:t>20</w:t>
      </w:r>
    </w:p>
    <w:p w:rsidR="0008528C" w:rsidRPr="0005776F" w:rsidP="00D15FD8" w14:paraId="56BB69BB" w14:textId="77777777">
      <w:pPr>
        <w:tabs>
          <w:tab w:val="right" w:pos="8640"/>
        </w:tabs>
        <w:spacing w:after="120"/>
        <w:rPr>
          <w:szCs w:val="22"/>
        </w:rPr>
      </w:pPr>
    </w:p>
    <w:p w:rsidR="00B631B8" w:rsidRPr="00B631B8" w:rsidP="00B631B8" w14:paraId="3F26994F" w14:textId="30DA4D4C">
      <w:pPr>
        <w:widowControl/>
        <w:autoSpaceDE w:val="0"/>
        <w:autoSpaceDN w:val="0"/>
        <w:adjustRightInd w:val="0"/>
        <w:spacing w:after="120" w:line="276" w:lineRule="auto"/>
        <w:ind w:firstLine="720"/>
        <w:rPr>
          <w:rFonts w:eastAsia="Calibri"/>
          <w:snapToGrid/>
          <w:kern w:val="0"/>
          <w:szCs w:val="22"/>
        </w:rPr>
      </w:pPr>
      <w:r w:rsidRPr="00B631B8">
        <w:rPr>
          <w:rFonts w:eastAsia="Calibri"/>
          <w:snapToGrid/>
          <w:kern w:val="0"/>
          <w:szCs w:val="22"/>
        </w:rPr>
        <w:t xml:space="preserve">By this </w:t>
      </w:r>
      <w:r w:rsidRPr="00B631B8">
        <w:rPr>
          <w:rFonts w:eastAsia="Calibri"/>
          <w:i/>
          <w:snapToGrid/>
          <w:kern w:val="0"/>
          <w:szCs w:val="22"/>
        </w:rPr>
        <w:t>Public Notice</w:t>
      </w:r>
      <w:r w:rsidRPr="00B631B8">
        <w:rPr>
          <w:rFonts w:eastAsia="Calibri"/>
          <w:snapToGrid/>
          <w:kern w:val="0"/>
          <w:szCs w:val="22"/>
        </w:rPr>
        <w:t>, we seek comment on a request by LV Stadium Events Company, LLC (LV Stadium Events) for waiver</w:t>
      </w:r>
      <w:r>
        <w:rPr>
          <w:rFonts w:eastAsia="Calibri"/>
          <w:snapToGrid/>
          <w:kern w:val="0"/>
          <w:szCs w:val="22"/>
          <w:vertAlign w:val="superscript"/>
        </w:rPr>
        <w:footnoteReference w:id="3"/>
      </w:r>
      <w:r w:rsidRPr="00B631B8">
        <w:rPr>
          <w:rFonts w:eastAsia="Calibri"/>
          <w:snapToGrid/>
          <w:kern w:val="0"/>
          <w:szCs w:val="22"/>
        </w:rPr>
        <w:t xml:space="preserve"> of the freeze on the licensing of new stations on 800 MHz Guard Band (816-817/861-862 MHz) (GB) spectrum.</w:t>
      </w:r>
      <w:r>
        <w:rPr>
          <w:rFonts w:eastAsia="Calibri"/>
          <w:snapToGrid/>
          <w:kern w:val="0"/>
          <w:szCs w:val="22"/>
          <w:vertAlign w:val="superscript"/>
        </w:rPr>
        <w:footnoteReference w:id="4"/>
      </w:r>
      <w:r w:rsidRPr="00B631B8">
        <w:rPr>
          <w:rFonts w:eastAsia="Calibri"/>
          <w:snapToGrid/>
          <w:kern w:val="0"/>
          <w:szCs w:val="22"/>
        </w:rPr>
        <w:t xml:space="preserve">  LV Stadium Events seeks to operate three GB channels and asserts it has investigated all spectrum and technology options before requesting this waiver relief and found no other solution for addressing its security and public safety responsibilities.</w:t>
      </w:r>
      <w:r>
        <w:rPr>
          <w:rFonts w:eastAsia="Calibri"/>
          <w:snapToGrid/>
          <w:kern w:val="0"/>
          <w:szCs w:val="22"/>
          <w:vertAlign w:val="superscript"/>
        </w:rPr>
        <w:footnoteReference w:id="5"/>
      </w:r>
    </w:p>
    <w:p w:rsidR="00B631B8" w:rsidRPr="00B631B8" w:rsidP="00B631B8" w14:paraId="59908463" w14:textId="2D29B75F">
      <w:pPr>
        <w:widowControl/>
        <w:autoSpaceDE w:val="0"/>
        <w:autoSpaceDN w:val="0"/>
        <w:adjustRightInd w:val="0"/>
        <w:spacing w:after="120" w:line="276" w:lineRule="auto"/>
        <w:ind w:firstLine="720"/>
        <w:rPr>
          <w:rFonts w:eastAsia="Calibri"/>
          <w:snapToGrid/>
          <w:kern w:val="0"/>
          <w:szCs w:val="22"/>
        </w:rPr>
      </w:pPr>
      <w:r w:rsidRPr="00B631B8">
        <w:rPr>
          <w:rFonts w:eastAsia="Calibri"/>
          <w:snapToGrid/>
          <w:kern w:val="0"/>
          <w:szCs w:val="22"/>
        </w:rPr>
        <w:t>LV Stadium Events states that it</w:t>
      </w:r>
      <w:r w:rsidRPr="00B631B8">
        <w:rPr>
          <w:rFonts w:eastAsia="Calibri"/>
          <w:snapToGrid/>
          <w:spacing w:val="-17"/>
          <w:kern w:val="0"/>
          <w:szCs w:val="22"/>
        </w:rPr>
        <w:t xml:space="preserve"> </w:t>
      </w:r>
      <w:r w:rsidRPr="00B631B8">
        <w:rPr>
          <w:rFonts w:eastAsia="Calibri"/>
          <w:snapToGrid/>
          <w:spacing w:val="-1"/>
          <w:kern w:val="0"/>
          <w:szCs w:val="22"/>
        </w:rPr>
        <w:t>has</w:t>
      </w:r>
      <w:r w:rsidRPr="00B631B8">
        <w:rPr>
          <w:rFonts w:eastAsia="Calibri"/>
          <w:snapToGrid/>
          <w:spacing w:val="-17"/>
          <w:kern w:val="0"/>
          <w:szCs w:val="22"/>
        </w:rPr>
        <w:t xml:space="preserve"> </w:t>
      </w:r>
      <w:r w:rsidRPr="00B631B8">
        <w:rPr>
          <w:rFonts w:eastAsia="Calibri"/>
          <w:snapToGrid/>
          <w:spacing w:val="-1"/>
          <w:kern w:val="0"/>
          <w:szCs w:val="22"/>
        </w:rPr>
        <w:t>been</w:t>
      </w:r>
      <w:r w:rsidRPr="00B631B8">
        <w:rPr>
          <w:rFonts w:eastAsia="Calibri"/>
          <w:snapToGrid/>
          <w:spacing w:val="-17"/>
          <w:kern w:val="0"/>
          <w:szCs w:val="22"/>
        </w:rPr>
        <w:t xml:space="preserve"> </w:t>
      </w:r>
      <w:r w:rsidRPr="00B631B8">
        <w:rPr>
          <w:rFonts w:eastAsia="Calibri"/>
          <w:snapToGrid/>
          <w:spacing w:val="-1"/>
          <w:kern w:val="0"/>
          <w:szCs w:val="22"/>
        </w:rPr>
        <w:t>engaged</w:t>
      </w:r>
      <w:r w:rsidRPr="00B631B8">
        <w:rPr>
          <w:rFonts w:eastAsia="Calibri"/>
          <w:snapToGrid/>
          <w:spacing w:val="-17"/>
          <w:kern w:val="0"/>
          <w:szCs w:val="22"/>
        </w:rPr>
        <w:t xml:space="preserve"> </w:t>
      </w:r>
      <w:r w:rsidRPr="00B631B8">
        <w:rPr>
          <w:rFonts w:eastAsia="Calibri"/>
          <w:snapToGrid/>
          <w:kern w:val="0"/>
          <w:szCs w:val="22"/>
        </w:rPr>
        <w:t>by</w:t>
      </w:r>
      <w:r w:rsidRPr="00B631B8">
        <w:rPr>
          <w:rFonts w:eastAsia="Calibri"/>
          <w:snapToGrid/>
          <w:spacing w:val="-17"/>
          <w:kern w:val="0"/>
          <w:szCs w:val="22"/>
        </w:rPr>
        <w:t xml:space="preserve"> </w:t>
      </w:r>
      <w:r w:rsidRPr="00B631B8">
        <w:rPr>
          <w:rFonts w:eastAsia="Calibri"/>
          <w:snapToGrid/>
          <w:kern w:val="0"/>
          <w:szCs w:val="22"/>
        </w:rPr>
        <w:t>the</w:t>
      </w:r>
      <w:r w:rsidRPr="00B631B8">
        <w:rPr>
          <w:rFonts w:eastAsia="Calibri"/>
          <w:snapToGrid/>
          <w:spacing w:val="-18"/>
          <w:kern w:val="0"/>
          <w:szCs w:val="22"/>
        </w:rPr>
        <w:t xml:space="preserve"> </w:t>
      </w:r>
      <w:r w:rsidRPr="00B631B8">
        <w:rPr>
          <w:rFonts w:eastAsia="Calibri"/>
          <w:snapToGrid/>
          <w:spacing w:val="-1"/>
          <w:kern w:val="0"/>
          <w:szCs w:val="22"/>
        </w:rPr>
        <w:t>Las</w:t>
      </w:r>
      <w:r w:rsidRPr="00B631B8">
        <w:rPr>
          <w:rFonts w:eastAsia="Calibri"/>
          <w:snapToGrid/>
          <w:spacing w:val="-17"/>
          <w:kern w:val="0"/>
          <w:szCs w:val="22"/>
        </w:rPr>
        <w:t xml:space="preserve"> </w:t>
      </w:r>
      <w:r w:rsidRPr="00B631B8">
        <w:rPr>
          <w:rFonts w:eastAsia="Calibri"/>
          <w:snapToGrid/>
          <w:spacing w:val="-1"/>
          <w:kern w:val="0"/>
          <w:szCs w:val="22"/>
        </w:rPr>
        <w:t>Vegas</w:t>
      </w:r>
      <w:r w:rsidRPr="00B631B8">
        <w:rPr>
          <w:rFonts w:eastAsia="Calibri"/>
          <w:snapToGrid/>
          <w:spacing w:val="-17"/>
          <w:kern w:val="0"/>
          <w:szCs w:val="22"/>
        </w:rPr>
        <w:t xml:space="preserve"> </w:t>
      </w:r>
      <w:r w:rsidRPr="00B631B8">
        <w:rPr>
          <w:rFonts w:eastAsia="Calibri"/>
          <w:snapToGrid/>
          <w:kern w:val="0"/>
          <w:szCs w:val="22"/>
        </w:rPr>
        <w:t>Stadium Authority</w:t>
      </w:r>
      <w:r w:rsidRPr="00B631B8">
        <w:rPr>
          <w:rFonts w:eastAsia="Calibri"/>
          <w:snapToGrid/>
          <w:spacing w:val="1"/>
          <w:kern w:val="0"/>
          <w:szCs w:val="22"/>
        </w:rPr>
        <w:t xml:space="preserve"> </w:t>
      </w:r>
      <w:r w:rsidRPr="00B631B8">
        <w:rPr>
          <w:rFonts w:eastAsia="Calibri"/>
          <w:snapToGrid/>
          <w:kern w:val="0"/>
          <w:szCs w:val="22"/>
        </w:rPr>
        <w:t>to</w:t>
      </w:r>
      <w:r w:rsidRPr="00B631B8">
        <w:rPr>
          <w:rFonts w:eastAsia="Calibri"/>
          <w:snapToGrid/>
          <w:spacing w:val="1"/>
          <w:kern w:val="0"/>
          <w:szCs w:val="22"/>
        </w:rPr>
        <w:t xml:space="preserve"> </w:t>
      </w:r>
      <w:r w:rsidRPr="00B631B8">
        <w:rPr>
          <w:rFonts w:eastAsia="Calibri"/>
          <w:snapToGrid/>
          <w:spacing w:val="-1"/>
          <w:kern w:val="0"/>
          <w:szCs w:val="22"/>
        </w:rPr>
        <w:t>provide</w:t>
      </w:r>
      <w:r w:rsidRPr="00B631B8">
        <w:rPr>
          <w:rFonts w:eastAsia="Calibri"/>
          <w:snapToGrid/>
          <w:kern w:val="0"/>
          <w:szCs w:val="22"/>
        </w:rPr>
        <w:t xml:space="preserve"> </w:t>
      </w:r>
      <w:r w:rsidRPr="00B631B8">
        <w:rPr>
          <w:rFonts w:eastAsia="Calibri"/>
          <w:snapToGrid/>
          <w:spacing w:val="-1"/>
          <w:kern w:val="0"/>
          <w:szCs w:val="22"/>
        </w:rPr>
        <w:t>security,</w:t>
      </w:r>
      <w:r w:rsidRPr="00B631B8">
        <w:rPr>
          <w:rFonts w:eastAsia="Calibri"/>
          <w:snapToGrid/>
          <w:spacing w:val="1"/>
          <w:kern w:val="0"/>
          <w:szCs w:val="22"/>
        </w:rPr>
        <w:t xml:space="preserve"> </w:t>
      </w:r>
      <w:r w:rsidRPr="00B631B8">
        <w:rPr>
          <w:rFonts w:eastAsia="Calibri"/>
          <w:snapToGrid/>
          <w:spacing w:val="-1"/>
          <w:kern w:val="0"/>
          <w:szCs w:val="22"/>
        </w:rPr>
        <w:t>maintenance,</w:t>
      </w:r>
      <w:r w:rsidRPr="00B631B8">
        <w:rPr>
          <w:rFonts w:eastAsia="Calibri"/>
          <w:snapToGrid/>
          <w:spacing w:val="3"/>
          <w:kern w:val="0"/>
          <w:szCs w:val="22"/>
        </w:rPr>
        <w:t xml:space="preserve"> </w:t>
      </w:r>
      <w:r w:rsidRPr="00B631B8">
        <w:rPr>
          <w:rFonts w:eastAsia="Calibri"/>
          <w:snapToGrid/>
          <w:kern w:val="0"/>
          <w:szCs w:val="22"/>
        </w:rPr>
        <w:t>and</w:t>
      </w:r>
      <w:r w:rsidRPr="00B631B8">
        <w:rPr>
          <w:rFonts w:eastAsia="Calibri"/>
          <w:snapToGrid/>
          <w:spacing w:val="1"/>
          <w:kern w:val="0"/>
          <w:szCs w:val="22"/>
        </w:rPr>
        <w:t xml:space="preserve"> </w:t>
      </w:r>
      <w:r w:rsidRPr="00B631B8">
        <w:rPr>
          <w:rFonts w:eastAsia="Calibri"/>
          <w:snapToGrid/>
          <w:spacing w:val="-1"/>
          <w:kern w:val="0"/>
          <w:szCs w:val="22"/>
        </w:rPr>
        <w:t>other</w:t>
      </w:r>
      <w:r w:rsidRPr="00B631B8">
        <w:rPr>
          <w:rFonts w:eastAsia="Calibri"/>
          <w:snapToGrid/>
          <w:kern w:val="0"/>
          <w:szCs w:val="22"/>
        </w:rPr>
        <w:t xml:space="preserve"> </w:t>
      </w:r>
      <w:r w:rsidRPr="00B631B8">
        <w:rPr>
          <w:rFonts w:eastAsia="Calibri"/>
          <w:snapToGrid/>
          <w:spacing w:val="-1"/>
          <w:kern w:val="0"/>
          <w:szCs w:val="22"/>
        </w:rPr>
        <w:t>services</w:t>
      </w:r>
      <w:r w:rsidRPr="00B631B8">
        <w:rPr>
          <w:rFonts w:eastAsia="Calibri"/>
          <w:snapToGrid/>
          <w:spacing w:val="3"/>
          <w:kern w:val="0"/>
          <w:szCs w:val="22"/>
        </w:rPr>
        <w:t xml:space="preserve"> </w:t>
      </w:r>
      <w:r w:rsidRPr="00B631B8">
        <w:rPr>
          <w:rFonts w:eastAsia="Calibri"/>
          <w:snapToGrid/>
          <w:spacing w:val="-1"/>
          <w:kern w:val="0"/>
          <w:szCs w:val="22"/>
        </w:rPr>
        <w:t>at</w:t>
      </w:r>
      <w:r w:rsidRPr="00B631B8">
        <w:rPr>
          <w:rFonts w:eastAsia="Calibri"/>
          <w:snapToGrid/>
          <w:spacing w:val="1"/>
          <w:kern w:val="0"/>
          <w:szCs w:val="22"/>
        </w:rPr>
        <w:t xml:space="preserve"> </w:t>
      </w:r>
      <w:r w:rsidRPr="00B631B8">
        <w:rPr>
          <w:rFonts w:eastAsia="Calibri"/>
          <w:snapToGrid/>
          <w:kern w:val="0"/>
          <w:szCs w:val="22"/>
        </w:rPr>
        <w:t xml:space="preserve">the </w:t>
      </w:r>
      <w:r w:rsidRPr="00B631B8">
        <w:rPr>
          <w:rFonts w:eastAsia="Calibri"/>
          <w:snapToGrid/>
          <w:spacing w:val="-1"/>
          <w:kern w:val="0"/>
          <w:szCs w:val="22"/>
        </w:rPr>
        <w:t>new</w:t>
      </w:r>
      <w:r w:rsidRPr="00B631B8">
        <w:rPr>
          <w:rFonts w:eastAsia="Calibri"/>
          <w:snapToGrid/>
          <w:spacing w:val="1"/>
          <w:kern w:val="0"/>
          <w:szCs w:val="22"/>
        </w:rPr>
        <w:t xml:space="preserve"> </w:t>
      </w:r>
      <w:r w:rsidRPr="00B631B8">
        <w:rPr>
          <w:rFonts w:eastAsia="Calibri"/>
          <w:snapToGrid/>
          <w:spacing w:val="-1"/>
          <w:kern w:val="0"/>
          <w:szCs w:val="22"/>
        </w:rPr>
        <w:t>domed</w:t>
      </w:r>
      <w:r w:rsidRPr="00B631B8">
        <w:rPr>
          <w:rFonts w:eastAsia="Calibri"/>
          <w:snapToGrid/>
          <w:spacing w:val="1"/>
          <w:kern w:val="0"/>
          <w:szCs w:val="22"/>
        </w:rPr>
        <w:t xml:space="preserve"> </w:t>
      </w:r>
      <w:r w:rsidRPr="00B631B8">
        <w:rPr>
          <w:rFonts w:eastAsia="Calibri"/>
          <w:snapToGrid/>
          <w:spacing w:val="-1"/>
          <w:kern w:val="0"/>
          <w:szCs w:val="22"/>
        </w:rPr>
        <w:t>stadium</w:t>
      </w:r>
      <w:r w:rsidRPr="00B631B8">
        <w:rPr>
          <w:rFonts w:eastAsia="Calibri"/>
          <w:snapToGrid/>
          <w:spacing w:val="22"/>
          <w:kern w:val="0"/>
          <w:szCs w:val="22"/>
        </w:rPr>
        <w:t xml:space="preserve"> </w:t>
      </w:r>
      <w:r w:rsidRPr="00B631B8">
        <w:rPr>
          <w:rFonts w:eastAsia="Calibri"/>
          <w:snapToGrid/>
          <w:spacing w:val="-1"/>
          <w:kern w:val="0"/>
          <w:szCs w:val="22"/>
        </w:rPr>
        <w:t>being</w:t>
      </w:r>
      <w:r w:rsidRPr="00B631B8">
        <w:rPr>
          <w:rFonts w:eastAsia="Calibri"/>
          <w:snapToGrid/>
          <w:spacing w:val="24"/>
          <w:kern w:val="0"/>
          <w:szCs w:val="22"/>
        </w:rPr>
        <w:t xml:space="preserve"> </w:t>
      </w:r>
      <w:r w:rsidRPr="00B631B8">
        <w:rPr>
          <w:rFonts w:eastAsia="Calibri"/>
          <w:snapToGrid/>
          <w:spacing w:val="-1"/>
          <w:kern w:val="0"/>
          <w:szCs w:val="22"/>
        </w:rPr>
        <w:t>constructed</w:t>
      </w:r>
      <w:r w:rsidRPr="00B631B8">
        <w:rPr>
          <w:rFonts w:eastAsia="Calibri"/>
          <w:snapToGrid/>
          <w:spacing w:val="22"/>
          <w:kern w:val="0"/>
          <w:szCs w:val="22"/>
        </w:rPr>
        <w:t xml:space="preserve"> </w:t>
      </w:r>
      <w:r w:rsidRPr="00B631B8">
        <w:rPr>
          <w:rFonts w:eastAsia="Calibri"/>
          <w:snapToGrid/>
          <w:kern w:val="0"/>
          <w:szCs w:val="22"/>
        </w:rPr>
        <w:t>for</w:t>
      </w:r>
      <w:r w:rsidRPr="00B631B8">
        <w:rPr>
          <w:rFonts w:eastAsia="Calibri"/>
          <w:snapToGrid/>
          <w:spacing w:val="22"/>
          <w:kern w:val="0"/>
          <w:szCs w:val="22"/>
        </w:rPr>
        <w:t xml:space="preserve"> </w:t>
      </w:r>
      <w:r w:rsidRPr="00B631B8">
        <w:rPr>
          <w:rFonts w:eastAsia="Calibri"/>
          <w:snapToGrid/>
          <w:kern w:val="0"/>
          <w:szCs w:val="22"/>
        </w:rPr>
        <w:t>the</w:t>
      </w:r>
      <w:r w:rsidRPr="00B631B8">
        <w:rPr>
          <w:rFonts w:eastAsia="Calibri"/>
          <w:snapToGrid/>
          <w:spacing w:val="21"/>
          <w:kern w:val="0"/>
          <w:szCs w:val="22"/>
        </w:rPr>
        <w:t xml:space="preserve"> </w:t>
      </w:r>
      <w:r w:rsidRPr="00B631B8">
        <w:rPr>
          <w:rFonts w:eastAsia="Calibri"/>
          <w:snapToGrid/>
          <w:kern w:val="0"/>
          <w:szCs w:val="22"/>
        </w:rPr>
        <w:t>Las</w:t>
      </w:r>
      <w:r w:rsidRPr="00B631B8">
        <w:rPr>
          <w:rFonts w:eastAsia="Calibri"/>
          <w:snapToGrid/>
          <w:spacing w:val="22"/>
          <w:kern w:val="0"/>
          <w:szCs w:val="22"/>
        </w:rPr>
        <w:t xml:space="preserve"> </w:t>
      </w:r>
      <w:r w:rsidRPr="00B631B8">
        <w:rPr>
          <w:rFonts w:eastAsia="Calibri"/>
          <w:snapToGrid/>
          <w:kern w:val="0"/>
          <w:szCs w:val="22"/>
        </w:rPr>
        <w:t>Vegas</w:t>
      </w:r>
      <w:r w:rsidRPr="00B631B8">
        <w:rPr>
          <w:rFonts w:eastAsia="Calibri"/>
          <w:snapToGrid/>
          <w:spacing w:val="22"/>
          <w:kern w:val="0"/>
          <w:szCs w:val="22"/>
        </w:rPr>
        <w:t xml:space="preserve"> </w:t>
      </w:r>
      <w:r w:rsidRPr="00B631B8">
        <w:rPr>
          <w:rFonts w:eastAsia="Calibri"/>
          <w:snapToGrid/>
          <w:spacing w:val="-1"/>
          <w:kern w:val="0"/>
          <w:szCs w:val="22"/>
        </w:rPr>
        <w:t>Raiders</w:t>
      </w:r>
      <w:r w:rsidRPr="00B631B8">
        <w:rPr>
          <w:rFonts w:eastAsia="Calibri"/>
          <w:snapToGrid/>
          <w:spacing w:val="22"/>
          <w:kern w:val="0"/>
          <w:szCs w:val="22"/>
        </w:rPr>
        <w:t xml:space="preserve"> </w:t>
      </w:r>
      <w:r w:rsidRPr="00B631B8">
        <w:rPr>
          <w:rFonts w:eastAsia="Calibri"/>
          <w:snapToGrid/>
          <w:kern w:val="0"/>
          <w:szCs w:val="22"/>
        </w:rPr>
        <w:t>of</w:t>
      </w:r>
      <w:r w:rsidRPr="00B631B8">
        <w:rPr>
          <w:rFonts w:eastAsia="Calibri"/>
          <w:snapToGrid/>
          <w:spacing w:val="24"/>
          <w:kern w:val="0"/>
          <w:szCs w:val="22"/>
        </w:rPr>
        <w:t xml:space="preserve"> </w:t>
      </w:r>
      <w:r w:rsidRPr="00B631B8">
        <w:rPr>
          <w:rFonts w:eastAsia="Calibri"/>
          <w:snapToGrid/>
          <w:kern w:val="0"/>
          <w:szCs w:val="22"/>
        </w:rPr>
        <w:t>the</w:t>
      </w:r>
      <w:r w:rsidRPr="00B631B8">
        <w:rPr>
          <w:rFonts w:eastAsia="Calibri"/>
          <w:snapToGrid/>
          <w:spacing w:val="21"/>
          <w:kern w:val="0"/>
          <w:szCs w:val="22"/>
        </w:rPr>
        <w:t xml:space="preserve"> </w:t>
      </w:r>
      <w:r w:rsidRPr="00B631B8">
        <w:rPr>
          <w:rFonts w:eastAsia="Calibri"/>
          <w:snapToGrid/>
          <w:spacing w:val="-1"/>
          <w:kern w:val="0"/>
          <w:szCs w:val="22"/>
        </w:rPr>
        <w:t>National</w:t>
      </w:r>
      <w:r w:rsidRPr="00B631B8">
        <w:rPr>
          <w:rFonts w:eastAsia="Calibri"/>
          <w:snapToGrid/>
          <w:spacing w:val="25"/>
          <w:kern w:val="0"/>
          <w:szCs w:val="22"/>
        </w:rPr>
        <w:t xml:space="preserve"> </w:t>
      </w:r>
      <w:r w:rsidRPr="00B631B8">
        <w:rPr>
          <w:rFonts w:eastAsia="Calibri"/>
          <w:snapToGrid/>
          <w:spacing w:val="-1"/>
          <w:kern w:val="0"/>
          <w:szCs w:val="22"/>
        </w:rPr>
        <w:t>Football League</w:t>
      </w:r>
      <w:r w:rsidRPr="00B631B8">
        <w:rPr>
          <w:rFonts w:eastAsia="Calibri"/>
          <w:snapToGrid/>
          <w:kern w:val="0"/>
          <w:szCs w:val="22"/>
        </w:rPr>
        <w:t>.  LV Stadium Events states that it needs to deploy a five-channel 800 MHz system</w:t>
      </w:r>
      <w:r w:rsidR="00E033DD">
        <w:rPr>
          <w:rFonts w:eastAsia="Calibri"/>
          <w:snapToGrid/>
          <w:kern w:val="0"/>
          <w:szCs w:val="22"/>
        </w:rPr>
        <w:t xml:space="preserve">, </w:t>
      </w:r>
      <w:r w:rsidRPr="00B631B8">
        <w:rPr>
          <w:rFonts w:eastAsia="Calibri"/>
          <w:snapToGrid/>
          <w:kern w:val="0"/>
          <w:szCs w:val="22"/>
        </w:rPr>
        <w:t>that it has already secured two 800 MHz channels</w:t>
      </w:r>
      <w:r w:rsidR="00E033DD">
        <w:rPr>
          <w:rFonts w:eastAsia="Calibri"/>
          <w:snapToGrid/>
          <w:kern w:val="0"/>
          <w:szCs w:val="22"/>
        </w:rPr>
        <w:t>,</w:t>
      </w:r>
      <w:r w:rsidRPr="00B631B8">
        <w:rPr>
          <w:rFonts w:eastAsia="Calibri"/>
          <w:snapToGrid/>
          <w:kern w:val="0"/>
          <w:szCs w:val="22"/>
        </w:rPr>
        <w:t xml:space="preserve"> and now needs three additional channels to meet the facility’s requirements.</w:t>
      </w:r>
      <w:r>
        <w:rPr>
          <w:rFonts w:eastAsia="Calibri"/>
          <w:snapToGrid/>
          <w:kern w:val="0"/>
          <w:szCs w:val="22"/>
          <w:vertAlign w:val="superscript"/>
        </w:rPr>
        <w:footnoteReference w:id="6"/>
      </w:r>
      <w:r w:rsidRPr="00B631B8">
        <w:rPr>
          <w:rFonts w:eastAsia="Calibri"/>
          <w:snapToGrid/>
          <w:kern w:val="0"/>
          <w:szCs w:val="22"/>
        </w:rPr>
        <w:t xml:space="preserve">  However, LV Stadium Events asserts that although Las Vegas is almost three hundred miles from the Mexican border, it is included in the “buffer zone” beyond the defined Mexican Border Region (MBR) where rebanding is not yet finished and, therefore, remains subject to the freeze on </w:t>
      </w:r>
      <w:r w:rsidR="002E4BA1">
        <w:rPr>
          <w:rFonts w:eastAsia="Calibri"/>
          <w:snapToGrid/>
          <w:kern w:val="0"/>
          <w:szCs w:val="22"/>
        </w:rPr>
        <w:t>Expansion Band (EB)</w:t>
      </w:r>
      <w:r w:rsidRPr="00B631B8">
        <w:rPr>
          <w:rFonts w:eastAsia="Calibri"/>
          <w:snapToGrid/>
          <w:kern w:val="0"/>
          <w:szCs w:val="22"/>
        </w:rPr>
        <w:t>/GB channels.</w:t>
      </w:r>
      <w:r>
        <w:rPr>
          <w:rFonts w:eastAsia="Calibri"/>
          <w:snapToGrid/>
          <w:kern w:val="0"/>
          <w:szCs w:val="22"/>
          <w:vertAlign w:val="superscript"/>
        </w:rPr>
        <w:footnoteReference w:id="7"/>
      </w:r>
      <w:r w:rsidRPr="00B631B8">
        <w:rPr>
          <w:rFonts w:eastAsia="Calibri"/>
          <w:snapToGrid/>
          <w:kern w:val="0"/>
          <w:szCs w:val="22"/>
        </w:rPr>
        <w:t xml:space="preserve">  LV Stadium Events concludes that while </w:t>
      </w:r>
      <w:r w:rsidRPr="00B631B8">
        <w:rPr>
          <w:rFonts w:eastAsia="Calibri"/>
          <w:snapToGrid/>
          <w:kern w:val="0"/>
          <w:szCs w:val="22"/>
        </w:rPr>
        <w:t>most of the rest of the country now has access to EB/GB channels (and Sprint-vacated channels), Las Vegas does not.</w:t>
      </w:r>
      <w:r>
        <w:rPr>
          <w:rFonts w:eastAsia="Calibri"/>
          <w:snapToGrid/>
          <w:kern w:val="0"/>
          <w:szCs w:val="22"/>
          <w:vertAlign w:val="superscript"/>
        </w:rPr>
        <w:footnoteReference w:id="8"/>
      </w:r>
    </w:p>
    <w:p w:rsidR="00B631B8" w:rsidRPr="00B631B8" w:rsidP="00B631B8" w14:paraId="0690191B" w14:textId="678F44B8">
      <w:pPr>
        <w:widowControl/>
        <w:autoSpaceDE w:val="0"/>
        <w:autoSpaceDN w:val="0"/>
        <w:adjustRightInd w:val="0"/>
        <w:spacing w:after="120" w:line="276" w:lineRule="auto"/>
        <w:ind w:firstLine="720"/>
        <w:rPr>
          <w:rFonts w:eastAsia="Calibri"/>
          <w:snapToGrid/>
          <w:kern w:val="0"/>
          <w:szCs w:val="22"/>
        </w:rPr>
      </w:pPr>
      <w:r w:rsidRPr="00B631B8">
        <w:rPr>
          <w:rFonts w:eastAsia="Calibri"/>
          <w:snapToGrid/>
          <w:kern w:val="0"/>
          <w:szCs w:val="22"/>
        </w:rPr>
        <w:t>We seek comment on the waiver request, especially from any parties whose operations could be impacted by grant of the waiver.</w:t>
      </w:r>
    </w:p>
    <w:p w:rsidR="0008528C" w:rsidRPr="0005776F" w:rsidP="00D15FD8" w14:paraId="4BAA8804" w14:textId="77777777">
      <w:pPr>
        <w:spacing w:before="120" w:after="120"/>
        <w:rPr>
          <w:b/>
          <w:szCs w:val="22"/>
        </w:rPr>
      </w:pPr>
      <w:r w:rsidRPr="0005776F">
        <w:rPr>
          <w:b/>
          <w:szCs w:val="22"/>
        </w:rPr>
        <w:t>Procedural Matters</w:t>
      </w:r>
    </w:p>
    <w:p w:rsidR="0008528C" w:rsidRPr="005D2B63" w:rsidP="00D15FD8" w14:paraId="6830F092" w14:textId="77777777">
      <w:pPr>
        <w:pStyle w:val="ParaNum"/>
        <w:numPr>
          <w:ilvl w:val="0"/>
          <w:numId w:val="0"/>
        </w:numPr>
        <w:ind w:firstLine="720"/>
      </w:pPr>
      <w:r w:rsidRPr="005D2B63">
        <w:t xml:space="preserve">Interested parties may file comments and reply comments in response to the waiver request on or before the dates listed on the first page of this </w:t>
      </w:r>
      <w:r w:rsidRPr="005D2B63">
        <w:rPr>
          <w:i/>
        </w:rPr>
        <w:t>Public Notice</w:t>
      </w:r>
      <w:r w:rsidRPr="005D2B63">
        <w:t xml:space="preserve">.  All pleadings must reference </w:t>
      </w:r>
      <w:r w:rsidRPr="005D2B63">
        <w:rPr>
          <w:color w:val="000000"/>
          <w:szCs w:val="22"/>
        </w:rPr>
        <w:t>the docket number</w:t>
      </w:r>
      <w:r>
        <w:rPr>
          <w:color w:val="000000"/>
          <w:szCs w:val="22"/>
        </w:rPr>
        <w:t xml:space="preserve"> appearing on the first page of this </w:t>
      </w:r>
      <w:r w:rsidRPr="005D2B63">
        <w:rPr>
          <w:i/>
          <w:color w:val="000000"/>
          <w:szCs w:val="22"/>
        </w:rPr>
        <w:t>Public Notice</w:t>
      </w:r>
      <w:r w:rsidRPr="005D2B63">
        <w:t>.  Parties may file comments using (1) the Commission’s Electronic Comment Filing System (ECFS), (2) the Federal Government’s eRulemaking Portal, or (3) by filing paper copies.</w:t>
      </w:r>
      <w:r>
        <w:rPr>
          <w:vertAlign w:val="superscript"/>
        </w:rPr>
        <w:footnoteReference w:id="9"/>
      </w:r>
    </w:p>
    <w:p w:rsidR="0008528C" w:rsidRPr="005D2B63" w:rsidP="00D15FD8" w14:paraId="3889F931" w14:textId="77777777">
      <w:pPr>
        <w:widowControl/>
        <w:numPr>
          <w:ilvl w:val="0"/>
          <w:numId w:val="11"/>
        </w:numPr>
        <w:tabs>
          <w:tab w:val="left" w:pos="-720"/>
        </w:tabs>
        <w:suppressAutoHyphens/>
        <w:spacing w:after="120"/>
      </w:pPr>
      <w:r w:rsidRPr="005D2B63">
        <w:t>Electronic Filers:  File comments electronically using the Internet by accessing the ECFS:  http://www.fcc.gov/cgb/ecfs/ or the Federal eRulemaking Portal:  http://www.regulations.gov.  Filers should follow the instructions provided on the website for submitting comments.</w:t>
      </w:r>
    </w:p>
    <w:p w:rsidR="0008528C" w:rsidRPr="005D2B63" w:rsidP="00D15FD8" w14:paraId="202992B6" w14:textId="77777777">
      <w:pPr>
        <w:widowControl/>
        <w:numPr>
          <w:ilvl w:val="0"/>
          <w:numId w:val="11"/>
        </w:numPr>
        <w:tabs>
          <w:tab w:val="left" w:pos="-720"/>
        </w:tabs>
        <w:suppressAutoHyphens/>
        <w:spacing w:after="120"/>
      </w:pPr>
      <w:r w:rsidRPr="005D2B63">
        <w:t xml:space="preserve">In completing the transmittal screen, filers should include their full name, U.S. Postal Service mailing address, and the applicable docket or rulemaking number.  Parties may also submit an electronic comment by Internet e-mail. </w:t>
      </w:r>
      <w:r>
        <w:t xml:space="preserve"> </w:t>
      </w:r>
      <w:r w:rsidRPr="005D2B63">
        <w:t>To get filing instructions, filers should send an e-mail to ecfs@fcc.gov, and include the following words in the body of the message, “get form.”  A sample form and directions will be sent in response.</w:t>
      </w:r>
    </w:p>
    <w:p w:rsidR="0008528C" w:rsidRPr="005D2B63" w:rsidP="00D15FD8" w14:paraId="75EE15A6" w14:textId="77777777">
      <w:pPr>
        <w:widowControl/>
        <w:numPr>
          <w:ilvl w:val="0"/>
          <w:numId w:val="11"/>
        </w:numPr>
        <w:tabs>
          <w:tab w:val="left" w:pos="-720"/>
        </w:tabs>
        <w:suppressAutoHyphens/>
        <w:spacing w:after="120"/>
      </w:pPr>
      <w:r w:rsidRPr="005D2B63">
        <w:t xml:space="preserve">Paper Filers:  Parties who choose to file by paper must file an original and </w:t>
      </w:r>
      <w:r>
        <w:t>one</w:t>
      </w:r>
      <w:r w:rsidRPr="005D2B63">
        <w:t xml:space="preserve"> cop</w:t>
      </w:r>
      <w:r>
        <w:t>y</w:t>
      </w:r>
      <w:r w:rsidRPr="005D2B63">
        <w:t xml:space="preserve"> of each filing.  </w:t>
      </w:r>
      <w:r>
        <w:t>If more than one docket or rulemaking number appears in the caption of this proceeding, filers must submit two additional copies for each additional docket or rulemaking number.</w:t>
      </w:r>
    </w:p>
    <w:p w:rsidR="0008528C" w:rsidRPr="005D2B63" w:rsidP="00D15FD8" w14:paraId="49C170B9" w14:textId="77777777">
      <w:pPr>
        <w:pStyle w:val="ParaNum"/>
        <w:numPr>
          <w:ilvl w:val="0"/>
          <w:numId w:val="0"/>
        </w:numPr>
        <w:ind w:firstLine="720"/>
      </w:pPr>
      <w:r w:rsidRPr="005D2B63">
        <w:t>Send filings by hand or messenger delivery, by commercial overnight courier, or by first-class or overnight U.S. Postal Service mail.  Address filings to the Commission’s Secretary, Office of the Secretary, Federal Communications Commission.</w:t>
      </w:r>
    </w:p>
    <w:p w:rsidR="0008528C" w:rsidRPr="005D2B63" w:rsidP="00D15FD8" w14:paraId="1D0E46F2" w14:textId="77777777">
      <w:pPr>
        <w:widowControl/>
        <w:numPr>
          <w:ilvl w:val="0"/>
          <w:numId w:val="13"/>
        </w:numPr>
        <w:tabs>
          <w:tab w:val="left" w:pos="-720"/>
        </w:tabs>
        <w:suppressAutoHyphens/>
        <w:spacing w:after="120"/>
      </w:pPr>
      <w:r w:rsidRPr="005D2B63">
        <w:t>Deliver hand-delivered or messenger-delivered paper filings to FCC Headquarters at 445 12</w:t>
      </w:r>
      <w:r w:rsidRPr="005D2B63">
        <w:rPr>
          <w:vertAlign w:val="superscript"/>
        </w:rPr>
        <w:t>th</w:t>
      </w:r>
      <w:r w:rsidRPr="005D2B63">
        <w:t xml:space="preserve"> St., SW, Room TW-A325, Washington, DC 20554 between 8:00 AM and 7:00 PM.  Use rubber bands or fasteners to hold deliveries together.  Dispose of all envelopes before entering the building.</w:t>
      </w:r>
    </w:p>
    <w:p w:rsidR="0008528C" w:rsidRPr="005D2B63" w:rsidP="00D15FD8" w14:paraId="47C46E4E" w14:textId="77777777">
      <w:pPr>
        <w:widowControl/>
        <w:numPr>
          <w:ilvl w:val="0"/>
          <w:numId w:val="13"/>
        </w:numPr>
        <w:tabs>
          <w:tab w:val="left" w:pos="-720"/>
        </w:tabs>
        <w:suppressAutoHyphens/>
        <w:spacing w:after="120"/>
      </w:pPr>
      <w:r w:rsidRPr="005D2B63">
        <w:t>Send commercial overnight mail (other than U.S. Postal Service Express Mail and Priority Mail) to</w:t>
      </w:r>
      <w:r>
        <w:t xml:space="preserve"> 9050 Junction Drive, Annapolis Junction, MD 20701</w:t>
      </w:r>
      <w:r w:rsidRPr="005D2B63">
        <w:t>.</w:t>
      </w:r>
    </w:p>
    <w:p w:rsidR="0008528C" w:rsidRPr="005D2B63" w:rsidP="00D15FD8" w14:paraId="55C88F9C" w14:textId="77777777">
      <w:pPr>
        <w:widowControl/>
        <w:numPr>
          <w:ilvl w:val="0"/>
          <w:numId w:val="13"/>
        </w:numPr>
        <w:tabs>
          <w:tab w:val="left" w:pos="-720"/>
        </w:tabs>
        <w:suppressAutoHyphens/>
        <w:spacing w:after="120"/>
      </w:pPr>
      <w:r w:rsidRPr="005D2B63">
        <w:t>Send U.S. Postal Service first-class, Express, and Priority mail to 445 12</w:t>
      </w:r>
      <w:r w:rsidRPr="005D2B63">
        <w:rPr>
          <w:vertAlign w:val="superscript"/>
        </w:rPr>
        <w:t>th</w:t>
      </w:r>
      <w:r w:rsidRPr="005D2B63">
        <w:t xml:space="preserve"> St</w:t>
      </w:r>
      <w:r>
        <w:t>.</w:t>
      </w:r>
      <w:r w:rsidRPr="005D2B63">
        <w:t>, SW, Washington DC 20554.</w:t>
      </w:r>
    </w:p>
    <w:p w:rsidR="0008528C" w:rsidRPr="005D2B63" w:rsidP="00D15FD8" w14:paraId="0A3A3562" w14:textId="77777777">
      <w:pPr>
        <w:pStyle w:val="ParaNum"/>
        <w:numPr>
          <w:ilvl w:val="0"/>
          <w:numId w:val="0"/>
        </w:numPr>
        <w:ind w:firstLine="720"/>
      </w:pPr>
      <w:r w:rsidRPr="005D2B63">
        <w:t xml:space="preserve">The request, and comments and reply comments filed in response to this </w:t>
      </w:r>
      <w:r w:rsidRPr="005D2B63">
        <w:rPr>
          <w:i/>
        </w:rPr>
        <w:t>Public Notice</w:t>
      </w:r>
      <w:r w:rsidRPr="005D2B63">
        <w:t xml:space="preserve"> are available for viewing via the Commission’s Electronic Comment Filing System (ECFS) by entering </w:t>
      </w:r>
      <w:bookmarkStart w:id="2" w:name="_Hlk498696300"/>
      <w:r w:rsidRPr="005D2B63">
        <w:t>the docket number</w:t>
      </w:r>
      <w:r>
        <w:t xml:space="preserve"> appearing on the first page of this </w:t>
      </w:r>
      <w:r w:rsidRPr="005D2B63">
        <w:rPr>
          <w:i/>
        </w:rPr>
        <w:t>Public Notice</w:t>
      </w:r>
      <w:bookmarkEnd w:id="2"/>
      <w:r w:rsidRPr="005D2B63">
        <w:t xml:space="preserve">.  The documents also will be available for public inspection and copying during business hours in the FCC Reference Information Center, Portals II, 445 12th Street S.W., Room CY-A257, Washington, D.C. 20554.  </w:t>
      </w:r>
      <w:r>
        <w:t xml:space="preserve">Reference Information Center business hours are available at </w:t>
      </w:r>
      <w:hyperlink r:id="rId5" w:history="1">
        <w:r w:rsidRPr="00E637AF">
          <w:rPr>
            <w:rStyle w:val="Hyperlink"/>
            <w:szCs w:val="22"/>
          </w:rPr>
          <w:t>https://www.fcc.gov/general/fcc-reference-information-center</w:t>
        </w:r>
      </w:hyperlink>
      <w:r>
        <w:t xml:space="preserve">. </w:t>
      </w:r>
    </w:p>
    <w:p w:rsidR="0008528C" w:rsidRPr="005D2B63" w:rsidP="00D15FD8" w14:paraId="761E9EAE" w14:textId="77777777">
      <w:pPr>
        <w:pStyle w:val="ParaNum"/>
        <w:numPr>
          <w:ilvl w:val="0"/>
          <w:numId w:val="0"/>
        </w:numPr>
        <w:ind w:firstLine="720"/>
      </w:pPr>
      <w:r w:rsidRPr="005D2B63">
        <w:t xml:space="preserve">Alternate formats of this </w:t>
      </w:r>
      <w:r w:rsidRPr="005D2B63">
        <w:rPr>
          <w:i/>
        </w:rPr>
        <w:t>Public Notice</w:t>
      </w:r>
      <w:r w:rsidRPr="005D2B63">
        <w:t xml:space="preserve"> (computer diskette, large print, audio recording, and Braille) are available to persons with disabilities by contacting the Consumer &amp; Governmental Affairs Bureau at (202) 418-0530 (voice), (202) 418-0432 (TTY), or send an e-mail to fcc504@fcc.gov. </w:t>
      </w:r>
    </w:p>
    <w:p w:rsidR="0008528C" w:rsidRPr="005D2B63" w:rsidP="00D15FD8" w14:paraId="0FBA6E41" w14:textId="77777777">
      <w:pPr>
        <w:pStyle w:val="ParaNum"/>
        <w:numPr>
          <w:ilvl w:val="0"/>
          <w:numId w:val="0"/>
        </w:numPr>
        <w:ind w:firstLine="720"/>
        <w:rPr>
          <w:szCs w:val="22"/>
        </w:rPr>
      </w:pPr>
      <w:r w:rsidRPr="005D2B63">
        <w:rPr>
          <w:szCs w:val="22"/>
        </w:rPr>
        <w:t xml:space="preserve">This proceeding has been designated as a “permit-but-disclose” proceeding in accordance with the Commission's </w:t>
      </w:r>
      <w:r w:rsidRPr="005D2B63">
        <w:rPr>
          <w:i/>
          <w:szCs w:val="22"/>
        </w:rPr>
        <w:t>ex parte</w:t>
      </w:r>
      <w:r w:rsidRPr="005D2B63">
        <w:rPr>
          <w:szCs w:val="22"/>
        </w:rPr>
        <w:t xml:space="preserve"> rules.</w:t>
      </w:r>
      <w:r>
        <w:rPr>
          <w:szCs w:val="22"/>
          <w:vertAlign w:val="superscript"/>
        </w:rPr>
        <w:footnoteReference w:id="10"/>
      </w:r>
      <w:r w:rsidRPr="005D2B63">
        <w:rPr>
          <w:szCs w:val="22"/>
        </w:rPr>
        <w:t xml:space="preserve">  Persons making </w:t>
      </w:r>
      <w:r w:rsidRPr="005D2B63">
        <w:rPr>
          <w:i/>
          <w:szCs w:val="22"/>
        </w:rPr>
        <w:t xml:space="preserve">ex parte </w:t>
      </w:r>
      <w:r w:rsidRPr="005D2B6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D2B63">
        <w:rPr>
          <w:i/>
          <w:iCs/>
          <w:szCs w:val="22"/>
        </w:rPr>
        <w:t xml:space="preserve">ex parte </w:t>
      </w:r>
      <w:r w:rsidRPr="005D2B63">
        <w:rPr>
          <w:szCs w:val="22"/>
        </w:rPr>
        <w:t xml:space="preserve">presentations are reminded that memoranda summarizing the presentation must (1) list all persons attending or otherwise participating in the meeting at which the </w:t>
      </w:r>
      <w:r w:rsidRPr="005D2B63">
        <w:rPr>
          <w:i/>
          <w:iCs/>
          <w:szCs w:val="22"/>
        </w:rPr>
        <w:t xml:space="preserve">ex parte </w:t>
      </w:r>
      <w:r w:rsidRPr="005D2B6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D2B63">
        <w:rPr>
          <w:i/>
          <w:iCs/>
          <w:szCs w:val="22"/>
        </w:rPr>
        <w:t xml:space="preserve">ex parte </w:t>
      </w:r>
      <w:r w:rsidRPr="005D2B63">
        <w:rPr>
          <w:szCs w:val="22"/>
        </w:rPr>
        <w:t xml:space="preserve">meetings are deemed to be written </w:t>
      </w:r>
      <w:r w:rsidRPr="005D2B63">
        <w:rPr>
          <w:i/>
          <w:iCs/>
          <w:szCs w:val="22"/>
        </w:rPr>
        <w:t>ex parte</w:t>
      </w:r>
      <w:r w:rsidRPr="005D2B63">
        <w:rPr>
          <w:szCs w:val="22"/>
        </w:rPr>
        <w:t xml:space="preserve"> presentations and must be filed consistent with rule 1.1206(b).  In proceedings governed by rule 1.49(f) or for which the Commission has made available a method of electronic filing, written </w:t>
      </w:r>
      <w:r w:rsidRPr="005D2B63">
        <w:rPr>
          <w:i/>
          <w:iCs/>
          <w:szCs w:val="22"/>
        </w:rPr>
        <w:t xml:space="preserve">ex parte </w:t>
      </w:r>
      <w:r w:rsidRPr="005D2B63">
        <w:rPr>
          <w:szCs w:val="22"/>
        </w:rPr>
        <w:t xml:space="preserve">presentations and memoranda summarizing oral </w:t>
      </w:r>
      <w:r w:rsidRPr="005D2B63">
        <w:rPr>
          <w:i/>
          <w:iCs/>
          <w:szCs w:val="22"/>
        </w:rPr>
        <w:t xml:space="preserve">ex parte </w:t>
      </w:r>
      <w:r w:rsidRPr="005D2B63">
        <w:rPr>
          <w:szCs w:val="22"/>
        </w:rPr>
        <w:t>presentations, and all attachments thereto, must be filed through the electronic comment filing system available for that proceeding, and must be filed in their native format (</w:t>
      </w:r>
      <w:r w:rsidRPr="005D2B63">
        <w:rPr>
          <w:i/>
          <w:iCs/>
          <w:szCs w:val="22"/>
        </w:rPr>
        <w:t>e.g.</w:t>
      </w:r>
      <w:r w:rsidRPr="005D2B63">
        <w:rPr>
          <w:szCs w:val="22"/>
        </w:rPr>
        <w:t xml:space="preserve">, .doc, .xml, .ppt, searchable .pdf).  Participants in this proceeding should familiarize themselves with the Commission’s </w:t>
      </w:r>
      <w:r w:rsidRPr="005D2B63">
        <w:rPr>
          <w:i/>
          <w:iCs/>
          <w:szCs w:val="22"/>
        </w:rPr>
        <w:t xml:space="preserve">ex parte </w:t>
      </w:r>
      <w:r w:rsidRPr="005D2B63">
        <w:rPr>
          <w:szCs w:val="22"/>
        </w:rPr>
        <w:t>rules.</w:t>
      </w:r>
    </w:p>
    <w:p w:rsidR="00F973A3" w:rsidP="00D15FD8" w14:paraId="7E245C98" w14:textId="4412D4DC">
      <w:pPr>
        <w:pStyle w:val="ParaNum"/>
        <w:numPr>
          <w:ilvl w:val="0"/>
          <w:numId w:val="0"/>
        </w:numPr>
        <w:ind w:firstLine="720"/>
        <w:rPr>
          <w:szCs w:val="22"/>
        </w:rPr>
      </w:pPr>
      <w:r w:rsidRPr="005D2B63">
        <w:rPr>
          <w:szCs w:val="22"/>
        </w:rPr>
        <w:t xml:space="preserve">For further information, contact </w:t>
      </w:r>
      <w:r w:rsidR="00E033DD">
        <w:rPr>
          <w:szCs w:val="22"/>
        </w:rPr>
        <w:t>Wilbert Nixon</w:t>
      </w:r>
      <w:r w:rsidRPr="005D2B63">
        <w:rPr>
          <w:szCs w:val="22"/>
        </w:rPr>
        <w:t xml:space="preserve"> of the Wireless Telecommunications Bureau, Mobility Division, at (202) 418-</w:t>
      </w:r>
      <w:r w:rsidR="00E033DD">
        <w:rPr>
          <w:szCs w:val="22"/>
        </w:rPr>
        <w:t>0985</w:t>
      </w:r>
      <w:r w:rsidRPr="005D2B63">
        <w:rPr>
          <w:szCs w:val="22"/>
        </w:rPr>
        <w:t xml:space="preserve">, </w:t>
      </w:r>
      <w:hyperlink r:id="rId6" w:history="1">
        <w:r w:rsidRPr="00CD4364" w:rsidR="00E033DD">
          <w:rPr>
            <w:rStyle w:val="Hyperlink"/>
            <w:szCs w:val="22"/>
          </w:rPr>
          <w:t>wilbert.nixon@fcc.gov</w:t>
        </w:r>
      </w:hyperlink>
      <w:r w:rsidRPr="005D2B63">
        <w:rPr>
          <w:szCs w:val="22"/>
        </w:rPr>
        <w:t>.</w:t>
      </w:r>
    </w:p>
    <w:p w:rsidR="0008528C" w:rsidRPr="00F973A3" w:rsidP="00301C23" w14:paraId="54014122" w14:textId="6673BC73">
      <w:pPr>
        <w:pStyle w:val="ParaNum"/>
        <w:numPr>
          <w:ilvl w:val="0"/>
          <w:numId w:val="0"/>
        </w:numPr>
        <w:rPr>
          <w:szCs w:val="22"/>
        </w:rPr>
      </w:pPr>
      <w:r w:rsidRPr="005D2B63">
        <w:t>Action by the Chief, Mobility Division, Wireless Telecommunications Bureau.</w:t>
      </w:r>
    </w:p>
    <w:p w:rsidR="006A2104" w:rsidP="00D15FD8" w14:paraId="4F2C9064" w14:textId="77777777">
      <w:pPr>
        <w:tabs>
          <w:tab w:val="left" w:pos="6480"/>
          <w:tab w:val="left" w:pos="6660"/>
        </w:tabs>
        <w:spacing w:before="60"/>
        <w:rPr>
          <w:szCs w:val="22"/>
        </w:rPr>
      </w:pPr>
    </w:p>
    <w:p w:rsidR="0008528C" w:rsidP="00D15FD8" w14:paraId="7BAC1A66" w14:textId="77777777">
      <w:pPr>
        <w:jc w:val="center"/>
        <w:rPr>
          <w:sz w:val="24"/>
        </w:rPr>
      </w:pPr>
      <w:r>
        <w:t xml:space="preserve">- </w:t>
      </w:r>
      <w:r w:rsidRPr="00D15FD8">
        <w:rPr>
          <w:b/>
        </w:rPr>
        <w:t>FCC</w:t>
      </w:r>
      <w:r>
        <w:t xml:space="preserve"> -</w:t>
      </w:r>
    </w:p>
    <w:sectPr w:rsidSect="00D15FD8">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2ADFA8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7704B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301C23" w14:paraId="03438F6A" w14:textId="34D6CC0C">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sidR="00CC3DB0">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301C23" w14:paraId="4C3C6CB7" w14:textId="77777777">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00B9" w14:paraId="54A69F33" w14:textId="77777777">
      <w:r>
        <w:separator/>
      </w:r>
    </w:p>
  </w:footnote>
  <w:footnote w:type="continuationSeparator" w:id="1">
    <w:p w:rsidR="002B00B9" w14:paraId="16AEA6D9" w14:textId="77777777">
      <w:pPr>
        <w:rPr>
          <w:sz w:val="20"/>
        </w:rPr>
      </w:pPr>
      <w:r>
        <w:rPr>
          <w:sz w:val="20"/>
        </w:rPr>
        <w:t xml:space="preserve">(Continued from previous page)  </w:t>
      </w:r>
      <w:r>
        <w:rPr>
          <w:sz w:val="20"/>
        </w:rPr>
        <w:separator/>
      </w:r>
    </w:p>
  </w:footnote>
  <w:footnote w:type="continuationNotice" w:id="2">
    <w:p w:rsidR="002B00B9" w:rsidP="00910F12" w14:paraId="494264DB" w14:textId="77777777">
      <w:pPr>
        <w:jc w:val="right"/>
        <w:rPr>
          <w:sz w:val="20"/>
        </w:rPr>
      </w:pPr>
      <w:r>
        <w:rPr>
          <w:sz w:val="20"/>
        </w:rPr>
        <w:t>(continued….)</w:t>
      </w:r>
    </w:p>
  </w:footnote>
  <w:footnote w:id="3">
    <w:p w:rsidR="00B631B8" w:rsidRPr="005514B1" w:rsidP="00B631B8" w14:paraId="4716C4C8" w14:textId="77777777">
      <w:pPr>
        <w:pStyle w:val="FootnoteText"/>
      </w:pPr>
      <w:r w:rsidRPr="005514B1">
        <w:rPr>
          <w:rStyle w:val="FootnoteReference"/>
          <w:sz w:val="20"/>
        </w:rPr>
        <w:footnoteRef/>
      </w:r>
      <w:r w:rsidRPr="005514B1">
        <w:t xml:space="preserve"> FCC File No. 0008872979, Request for Waiver (filed Nov. 8, 2019) (Request).</w:t>
      </w:r>
    </w:p>
  </w:footnote>
  <w:footnote w:id="4">
    <w:p w:rsidR="00B631B8" w:rsidRPr="005514B1" w:rsidP="00B631B8" w14:paraId="1A3E8B3D" w14:textId="66E48355">
      <w:pPr>
        <w:pStyle w:val="BodyText"/>
        <w:kinsoku w:val="0"/>
        <w:overflowPunct w:val="0"/>
        <w:spacing w:line="217" w:lineRule="exact"/>
        <w:jc w:val="both"/>
        <w:rPr>
          <w:sz w:val="20"/>
        </w:rPr>
      </w:pPr>
      <w:r w:rsidRPr="005514B1">
        <w:rPr>
          <w:rStyle w:val="FootnoteReference"/>
          <w:sz w:val="20"/>
        </w:rPr>
        <w:footnoteRef/>
      </w:r>
      <w:r w:rsidRPr="005514B1">
        <w:rPr>
          <w:sz w:val="20"/>
        </w:rPr>
        <w:t xml:space="preserve"> </w:t>
      </w:r>
      <w:r w:rsidRPr="005514B1">
        <w:rPr>
          <w:i/>
          <w:iCs/>
          <w:kern w:val="0"/>
          <w:sz w:val="20"/>
        </w:rPr>
        <w:t>See</w:t>
      </w:r>
      <w:r w:rsidRPr="005514B1">
        <w:rPr>
          <w:i/>
          <w:iCs/>
          <w:spacing w:val="-6"/>
          <w:kern w:val="0"/>
          <w:sz w:val="20"/>
        </w:rPr>
        <w:t xml:space="preserve"> </w:t>
      </w:r>
      <w:r w:rsidRPr="005514B1">
        <w:rPr>
          <w:i/>
          <w:iCs/>
          <w:kern w:val="0"/>
          <w:sz w:val="20"/>
        </w:rPr>
        <w:t>Improving</w:t>
      </w:r>
      <w:r w:rsidRPr="005514B1">
        <w:rPr>
          <w:i/>
          <w:iCs/>
          <w:spacing w:val="-6"/>
          <w:kern w:val="0"/>
          <w:sz w:val="20"/>
        </w:rPr>
        <w:t xml:space="preserve"> </w:t>
      </w:r>
      <w:r w:rsidRPr="005514B1">
        <w:rPr>
          <w:i/>
          <w:iCs/>
          <w:kern w:val="0"/>
          <w:sz w:val="20"/>
        </w:rPr>
        <w:t>Public</w:t>
      </w:r>
      <w:r w:rsidRPr="005514B1">
        <w:rPr>
          <w:i/>
          <w:iCs/>
          <w:spacing w:val="-5"/>
          <w:kern w:val="0"/>
          <w:sz w:val="20"/>
        </w:rPr>
        <w:t xml:space="preserve"> </w:t>
      </w:r>
      <w:r w:rsidRPr="005514B1">
        <w:rPr>
          <w:i/>
          <w:iCs/>
          <w:kern w:val="0"/>
          <w:sz w:val="20"/>
        </w:rPr>
        <w:t>Safety</w:t>
      </w:r>
      <w:r w:rsidRPr="005514B1">
        <w:rPr>
          <w:i/>
          <w:iCs/>
          <w:spacing w:val="-7"/>
          <w:kern w:val="0"/>
          <w:sz w:val="20"/>
        </w:rPr>
        <w:t xml:space="preserve"> </w:t>
      </w:r>
      <w:r w:rsidRPr="005514B1">
        <w:rPr>
          <w:i/>
          <w:iCs/>
          <w:kern w:val="0"/>
          <w:sz w:val="20"/>
        </w:rPr>
        <w:t>Communications</w:t>
      </w:r>
      <w:r w:rsidRPr="005514B1">
        <w:rPr>
          <w:i/>
          <w:iCs/>
          <w:spacing w:val="-5"/>
          <w:kern w:val="0"/>
          <w:sz w:val="20"/>
        </w:rPr>
        <w:t xml:space="preserve"> </w:t>
      </w:r>
      <w:r w:rsidRPr="005514B1">
        <w:rPr>
          <w:i/>
          <w:iCs/>
          <w:kern w:val="0"/>
          <w:sz w:val="20"/>
        </w:rPr>
        <w:t>in</w:t>
      </w:r>
      <w:r w:rsidRPr="005514B1">
        <w:rPr>
          <w:i/>
          <w:iCs/>
          <w:spacing w:val="-6"/>
          <w:kern w:val="0"/>
          <w:sz w:val="20"/>
        </w:rPr>
        <w:t xml:space="preserve"> </w:t>
      </w:r>
      <w:r w:rsidRPr="005514B1">
        <w:rPr>
          <w:i/>
          <w:iCs/>
          <w:kern w:val="0"/>
          <w:sz w:val="20"/>
        </w:rPr>
        <w:t>the</w:t>
      </w:r>
      <w:r w:rsidRPr="005514B1">
        <w:rPr>
          <w:i/>
          <w:iCs/>
          <w:spacing w:val="-7"/>
          <w:kern w:val="0"/>
          <w:sz w:val="20"/>
        </w:rPr>
        <w:t xml:space="preserve"> </w:t>
      </w:r>
      <w:r w:rsidRPr="005514B1">
        <w:rPr>
          <w:i/>
          <w:iCs/>
          <w:kern w:val="0"/>
          <w:sz w:val="20"/>
        </w:rPr>
        <w:t>800</w:t>
      </w:r>
      <w:r w:rsidRPr="005514B1">
        <w:rPr>
          <w:i/>
          <w:iCs/>
          <w:spacing w:val="-5"/>
          <w:kern w:val="0"/>
          <w:sz w:val="20"/>
        </w:rPr>
        <w:t xml:space="preserve"> </w:t>
      </w:r>
      <w:r w:rsidRPr="005514B1">
        <w:rPr>
          <w:i/>
          <w:iCs/>
          <w:spacing w:val="-1"/>
          <w:kern w:val="0"/>
          <w:sz w:val="20"/>
        </w:rPr>
        <w:t>MHz</w:t>
      </w:r>
      <w:r w:rsidRPr="005514B1">
        <w:rPr>
          <w:i/>
          <w:iCs/>
          <w:spacing w:val="-6"/>
          <w:kern w:val="0"/>
          <w:sz w:val="20"/>
        </w:rPr>
        <w:t xml:space="preserve"> </w:t>
      </w:r>
      <w:r w:rsidRPr="005514B1">
        <w:rPr>
          <w:i/>
          <w:iCs/>
          <w:spacing w:val="1"/>
          <w:kern w:val="0"/>
          <w:sz w:val="20"/>
        </w:rPr>
        <w:t>Band</w:t>
      </w:r>
      <w:r w:rsidRPr="005514B1">
        <w:rPr>
          <w:spacing w:val="1"/>
          <w:kern w:val="0"/>
          <w:sz w:val="20"/>
        </w:rPr>
        <w:t>,</w:t>
      </w:r>
      <w:r w:rsidRPr="005514B1">
        <w:rPr>
          <w:spacing w:val="-7"/>
          <w:kern w:val="0"/>
          <w:sz w:val="20"/>
        </w:rPr>
        <w:t xml:space="preserve"> </w:t>
      </w:r>
      <w:r w:rsidRPr="005514B1">
        <w:rPr>
          <w:spacing w:val="-1"/>
          <w:kern w:val="0"/>
          <w:sz w:val="20"/>
        </w:rPr>
        <w:t>Order,</w:t>
      </w:r>
      <w:r w:rsidRPr="005514B1">
        <w:rPr>
          <w:spacing w:val="-6"/>
          <w:kern w:val="0"/>
          <w:sz w:val="20"/>
        </w:rPr>
        <w:t xml:space="preserve"> </w:t>
      </w:r>
      <w:r w:rsidRPr="005514B1">
        <w:rPr>
          <w:kern w:val="0"/>
          <w:sz w:val="20"/>
        </w:rPr>
        <w:t>23</w:t>
      </w:r>
      <w:r w:rsidRPr="005514B1">
        <w:rPr>
          <w:spacing w:val="-6"/>
          <w:kern w:val="0"/>
          <w:sz w:val="20"/>
        </w:rPr>
        <w:t xml:space="preserve"> </w:t>
      </w:r>
      <w:r w:rsidRPr="005514B1">
        <w:rPr>
          <w:spacing w:val="-1"/>
          <w:kern w:val="0"/>
          <w:sz w:val="20"/>
        </w:rPr>
        <w:t>FCC</w:t>
      </w:r>
      <w:r w:rsidRPr="005514B1">
        <w:rPr>
          <w:spacing w:val="-6"/>
          <w:kern w:val="0"/>
          <w:sz w:val="20"/>
        </w:rPr>
        <w:t xml:space="preserve"> </w:t>
      </w:r>
      <w:r w:rsidRPr="005514B1">
        <w:rPr>
          <w:spacing w:val="-1"/>
          <w:kern w:val="0"/>
          <w:sz w:val="20"/>
        </w:rPr>
        <w:t>Rcd</w:t>
      </w:r>
      <w:r w:rsidRPr="005514B1">
        <w:rPr>
          <w:spacing w:val="-4"/>
          <w:kern w:val="0"/>
          <w:sz w:val="20"/>
        </w:rPr>
        <w:t xml:space="preserve"> </w:t>
      </w:r>
      <w:r w:rsidRPr="005514B1">
        <w:rPr>
          <w:kern w:val="0"/>
          <w:sz w:val="20"/>
        </w:rPr>
        <w:t>15966,</w:t>
      </w:r>
      <w:r w:rsidRPr="005514B1">
        <w:rPr>
          <w:spacing w:val="-7"/>
          <w:kern w:val="0"/>
          <w:sz w:val="20"/>
        </w:rPr>
        <w:t xml:space="preserve"> </w:t>
      </w:r>
      <w:r w:rsidRPr="005514B1">
        <w:rPr>
          <w:kern w:val="0"/>
          <w:sz w:val="20"/>
        </w:rPr>
        <w:t>15972-73,</w:t>
      </w:r>
      <w:r w:rsidRPr="005514B1">
        <w:rPr>
          <w:spacing w:val="-6"/>
          <w:kern w:val="0"/>
          <w:sz w:val="20"/>
        </w:rPr>
        <w:t xml:space="preserve"> </w:t>
      </w:r>
      <w:r w:rsidRPr="005514B1">
        <w:rPr>
          <w:spacing w:val="-1"/>
          <w:kern w:val="0"/>
          <w:sz w:val="20"/>
        </w:rPr>
        <w:t>para.</w:t>
      </w:r>
      <w:r w:rsidRPr="005514B1">
        <w:rPr>
          <w:spacing w:val="-7"/>
          <w:kern w:val="0"/>
          <w:sz w:val="20"/>
        </w:rPr>
        <w:t xml:space="preserve"> </w:t>
      </w:r>
      <w:r w:rsidRPr="005514B1">
        <w:rPr>
          <w:kern w:val="0"/>
          <w:sz w:val="20"/>
        </w:rPr>
        <w:t>17 (2008)</w:t>
      </w:r>
      <w:r>
        <w:rPr>
          <w:kern w:val="0"/>
          <w:sz w:val="20"/>
        </w:rPr>
        <w:t>.</w:t>
      </w:r>
      <w:r w:rsidRPr="00B631B8">
        <w:rPr>
          <w:i/>
          <w:iCs/>
          <w:kern w:val="0"/>
          <w:sz w:val="20"/>
        </w:rPr>
        <w:t xml:space="preserve"> </w:t>
      </w:r>
      <w:r>
        <w:rPr>
          <w:i/>
          <w:iCs/>
          <w:kern w:val="0"/>
          <w:sz w:val="20"/>
        </w:rPr>
        <w:t xml:space="preserve"> </w:t>
      </w:r>
      <w:r w:rsidRPr="00B631B8">
        <w:rPr>
          <w:i/>
          <w:iCs/>
          <w:kern w:val="0"/>
          <w:sz w:val="20"/>
        </w:rPr>
        <w:t>See also Public Safety and Homeland Security Bureau and Wireless Telecommunications Bureau Announce the Completion of 800 MHz Band Reconfiguration in Certain NPSPAC Regions and the Availability of Additional Sprint Vacated Channels</w:t>
      </w:r>
      <w:r w:rsidRPr="00B631B8">
        <w:rPr>
          <w:kern w:val="0"/>
          <w:sz w:val="20"/>
        </w:rPr>
        <w:t xml:space="preserve">, Public Notice, 31 FCC Rcd 12891, 12896-97 (PSHSB/WTB 2016) (citing </w:t>
      </w:r>
      <w:r w:rsidRPr="00B631B8">
        <w:rPr>
          <w:i/>
          <w:iCs/>
          <w:kern w:val="0"/>
          <w:sz w:val="20"/>
        </w:rPr>
        <w:t>Amendment of Part 90 of the Commission’s Rules to Improve Access to Private Land Mobile Radio Spectrum; Land Mobile Communications Council Petition for Rulemaking Regarding Interim Eligibility for 800 MHz Expansion and Guard Band Frequencies; Petition for Rulemaking Regarding Conditional Licensing Authority Above 470 MHz</w:t>
      </w:r>
      <w:r w:rsidRPr="00B631B8">
        <w:rPr>
          <w:kern w:val="0"/>
          <w:sz w:val="20"/>
        </w:rPr>
        <w:t>, Notice of Proposed Rulemaking, 31 FCC Rcd 9431 (2016)).</w:t>
      </w:r>
      <w:r>
        <w:rPr>
          <w:kern w:val="0"/>
          <w:sz w:val="20"/>
        </w:rPr>
        <w:t xml:space="preserve">  </w:t>
      </w:r>
      <w:r w:rsidRPr="00C5578E">
        <w:rPr>
          <w:i/>
          <w:iCs/>
          <w:kern w:val="0"/>
          <w:sz w:val="20"/>
        </w:rPr>
        <w:t>See also</w:t>
      </w:r>
      <w:r>
        <w:rPr>
          <w:kern w:val="0"/>
          <w:sz w:val="20"/>
        </w:rPr>
        <w:t xml:space="preserve"> Public Safety and Homeland Security Bureau Extends 800 MHz Application Freeze along Border with Mexico, </w:t>
      </w:r>
      <w:r w:rsidRPr="00C5578E">
        <w:rPr>
          <w:i/>
          <w:iCs/>
          <w:kern w:val="0"/>
          <w:sz w:val="20"/>
        </w:rPr>
        <w:t>Public Notice</w:t>
      </w:r>
      <w:r>
        <w:rPr>
          <w:kern w:val="0"/>
          <w:sz w:val="20"/>
        </w:rPr>
        <w:t>, 32 FCC Rcd 1817, 1817 (PSHSB 2017).</w:t>
      </w:r>
    </w:p>
  </w:footnote>
  <w:footnote w:id="5">
    <w:p w:rsidR="00B631B8" w:rsidRPr="005514B1" w:rsidP="00B631B8" w14:paraId="2FB05058" w14:textId="417AC1EF">
      <w:pPr>
        <w:pStyle w:val="FootnoteText"/>
      </w:pPr>
      <w:r w:rsidRPr="005514B1">
        <w:rPr>
          <w:rStyle w:val="FootnoteReference"/>
          <w:sz w:val="20"/>
        </w:rPr>
        <w:footnoteRef/>
      </w:r>
      <w:r w:rsidRPr="005514B1">
        <w:t xml:space="preserve"> LV Stadium Events seeks to add three channels to its license Call Sign WRDM729 operating on frequencies 861.1625 MHz, 861.5125 MHz and 861.9125 MHz.</w:t>
      </w:r>
    </w:p>
  </w:footnote>
  <w:footnote w:id="6">
    <w:p w:rsidR="00B631B8" w:rsidRPr="005514B1" w:rsidP="00B631B8" w14:paraId="0AE72F08" w14:textId="77777777">
      <w:pPr>
        <w:pStyle w:val="FootnoteText"/>
      </w:pPr>
      <w:r w:rsidRPr="005514B1">
        <w:rPr>
          <w:rStyle w:val="FootnoteReference"/>
          <w:sz w:val="20"/>
        </w:rPr>
        <w:footnoteRef/>
      </w:r>
      <w:r w:rsidRPr="005514B1">
        <w:t xml:space="preserve"> Request at 2.</w:t>
      </w:r>
    </w:p>
  </w:footnote>
  <w:footnote w:id="7">
    <w:p w:rsidR="00B631B8" w:rsidRPr="00A5567D" w:rsidP="00B631B8" w14:paraId="6203FCC1" w14:textId="77777777">
      <w:pPr>
        <w:pStyle w:val="FootnoteText"/>
      </w:pPr>
      <w:r w:rsidRPr="00A5567D">
        <w:rPr>
          <w:rStyle w:val="FootnoteReference"/>
          <w:sz w:val="20"/>
        </w:rPr>
        <w:footnoteRef/>
      </w:r>
      <w:r w:rsidRPr="00A5567D">
        <w:t xml:space="preserve"> Although the process has taken longer than originally contemplated, rebanding has substantially alleviated the interference risk to public safety, and the process is now nearing completion</w:t>
      </w:r>
      <w:r>
        <w:t>.</w:t>
      </w:r>
      <w:r w:rsidRPr="00A5567D">
        <w:rPr>
          <w:i/>
          <w:iCs/>
        </w:rPr>
        <w:t xml:space="preserve"> Improving Public Safety Communications in the 800 MHz Band, Order and Sixth Further Notice of Proposed </w:t>
      </w:r>
      <w:r w:rsidRPr="0005571A">
        <w:rPr>
          <w:i/>
          <w:iCs/>
        </w:rPr>
        <w:t>Rulemaking</w:t>
      </w:r>
      <w:r w:rsidRPr="0005571A">
        <w:t xml:space="preserve">, </w:t>
      </w:r>
      <w:r w:rsidRPr="00A5567D">
        <w:t xml:space="preserve">34 FCC Rcd 10208, 10209, para. 5 (2019).  Only a few licensees, all in the Mexican border region, have yet to complete physical reconfiguration. 800 MHz Transition Administrator, LLC, Quarterly Progress Report for The Quarter Ended June 30, 2019, WT Docket No. 02-55, at 19, Appendix 1 and Appendix 3 (filed Sept. 13, 2019).  The 800 MHz Transition Administrator is an independent entity established to administer the rebanding program under Commission oversight.  </w:t>
      </w:r>
      <w:r w:rsidRPr="00A5567D">
        <w:rPr>
          <w:i/>
          <w:iCs/>
        </w:rPr>
        <w:t>See 800 MHz Report and Order</w:t>
      </w:r>
      <w:r w:rsidRPr="00A5567D">
        <w:t>, 19 FCC Rcd at 14969, 14986.</w:t>
      </w:r>
    </w:p>
  </w:footnote>
  <w:footnote w:id="8">
    <w:p w:rsidR="00B631B8" w:rsidRPr="005514B1" w:rsidP="00B631B8" w14:paraId="4E045074" w14:textId="3D43C44B">
      <w:pPr>
        <w:pStyle w:val="FootnoteText"/>
      </w:pPr>
      <w:r w:rsidRPr="005514B1">
        <w:rPr>
          <w:rStyle w:val="FootnoteReference"/>
          <w:sz w:val="20"/>
        </w:rPr>
        <w:footnoteRef/>
      </w:r>
      <w:r w:rsidRPr="005514B1">
        <w:t xml:space="preserve"> </w:t>
      </w:r>
      <w:r w:rsidRPr="005514B1">
        <w:rPr>
          <w:i/>
          <w:iCs/>
        </w:rPr>
        <w:t>See Public Safety and Homeland Security Bureau and Wireless Telecommunications Bureau Announce the</w:t>
      </w:r>
      <w:r w:rsidRPr="005514B1">
        <w:t xml:space="preserve"> </w:t>
      </w:r>
      <w:r w:rsidRPr="005514B1">
        <w:rPr>
          <w:i/>
          <w:iCs/>
        </w:rPr>
        <w:t>Availability of Additional Sprint Vacated Channels and the Availability of Expansion Band and Guard Band</w:t>
      </w:r>
      <w:r w:rsidRPr="005514B1">
        <w:t xml:space="preserve"> </w:t>
      </w:r>
      <w:r w:rsidRPr="005514B1">
        <w:rPr>
          <w:i/>
          <w:iCs/>
        </w:rPr>
        <w:t>Channels in Certain NPSPAC Regions</w:t>
      </w:r>
      <w:r w:rsidRPr="005514B1">
        <w:t>, Public Notice, DA 19-330 (rel. Apr. 25, 2019).</w:t>
      </w:r>
      <w:r>
        <w:t xml:space="preserve">  Also, a</w:t>
      </w:r>
      <w:r w:rsidRPr="00A5567D">
        <w:t xml:space="preserve">s part of the rebanding of the 800 MHz band to resolve interference between commercial and public safety systems, the Commission created the Expansion Band (815-816/860-861 MHz) and the Guard Band (816-817/861-862 MHz) in order to provide spectral separation between commercial licensees operating ESMR systems above 817/862 MHz and public safety licensees operating below 815/860 MHz. </w:t>
      </w:r>
      <w:r w:rsidRPr="00A5567D">
        <w:rPr>
          <w:i/>
          <w:iCs/>
        </w:rPr>
        <w:t xml:space="preserve">See </w:t>
      </w:r>
      <w:r w:rsidRPr="00A5567D">
        <w:rPr>
          <w:i/>
        </w:rPr>
        <w:t>800 MHz Report and Order</w:t>
      </w:r>
      <w:r w:rsidRPr="00A5567D">
        <w:t>, 19 FCC Rcd 14969, 15053-55, paras. 154-58 (2004).</w:t>
      </w:r>
    </w:p>
  </w:footnote>
  <w:footnote w:id="9">
    <w:p w:rsidR="0008528C" w:rsidP="0008528C" w14:paraId="00ACC76D" w14:textId="77777777">
      <w:pPr>
        <w:pStyle w:val="FootnoteText"/>
      </w:pPr>
      <w:r>
        <w:rPr>
          <w:rStyle w:val="FootnoteReference"/>
        </w:rPr>
        <w:footnoteRef/>
      </w:r>
      <w:r>
        <w:t xml:space="preserve"> </w:t>
      </w:r>
      <w:r>
        <w:rPr>
          <w:i/>
        </w:rPr>
        <w:t xml:space="preserve">See </w:t>
      </w:r>
      <w:r w:rsidRPr="00EE24FF">
        <w:rPr>
          <w:i/>
        </w:rPr>
        <w:t>Electronic Filing of Documents in Rulemaking Proceedings</w:t>
      </w:r>
      <w:r>
        <w:t xml:space="preserve">, </w:t>
      </w:r>
      <w:r w:rsidRPr="00EE24FF">
        <w:t>Report and Order</w:t>
      </w:r>
      <w:r>
        <w:t>, 13 FCC Rcd 11322 (1998).</w:t>
      </w:r>
    </w:p>
  </w:footnote>
  <w:footnote w:id="10">
    <w:p w:rsidR="0008528C" w:rsidP="0008528C" w14:paraId="7F6B59B1" w14:textId="77777777">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FB4460C" w14:textId="2FADEBC4">
    <w:pPr>
      <w:tabs>
        <w:tab w:val="center" w:pos="4680"/>
        <w:tab w:val="right" w:pos="9360"/>
      </w:tabs>
    </w:pPr>
    <w:r w:rsidRPr="009838BC">
      <w:rPr>
        <w:b/>
      </w:rPr>
      <w:tab/>
      <w:t>Federal Communications Commission</w:t>
    </w:r>
    <w:r w:rsidRPr="009838BC">
      <w:rPr>
        <w:b/>
      </w:rPr>
      <w:tab/>
    </w:r>
    <w:r w:rsidR="004032A7">
      <w:rPr>
        <w:b/>
      </w:rPr>
      <w:t xml:space="preserve">DA </w:t>
    </w:r>
    <w:r w:rsidR="00AA5885">
      <w:rPr>
        <w:b/>
      </w:rPr>
      <w:t>20</w:t>
    </w:r>
    <w:r w:rsidR="004032A7">
      <w:rPr>
        <w:b/>
      </w:rPr>
      <w:t>-</w:t>
    </w:r>
    <w:r w:rsidR="00CC3DB0">
      <w:rPr>
        <w:b/>
      </w:rPr>
      <w:t>124</w:t>
    </w:r>
  </w:p>
  <w:p w:rsidR="009838BC" w:rsidRPr="009838BC" w:rsidP="009838BC" w14:paraId="01F00C69" w14:textId="48C27B08">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7118C7A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6B261CE" w14:textId="3157EC3A">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05F9A836" w14:textId="77777777">
                    <w:pPr>
                      <w:rPr>
                        <w:rFonts w:ascii="Arial" w:hAnsi="Arial"/>
                        <w:b/>
                      </w:rPr>
                    </w:pPr>
                    <w:r>
                      <w:rPr>
                        <w:rFonts w:ascii="Arial" w:hAnsi="Arial"/>
                        <w:b/>
                      </w:rPr>
                      <w:t>Federal Communications Commission</w:t>
                    </w:r>
                  </w:p>
                  <w:p w:rsidR="009838BC" w:rsidP="009838BC" w14:paraId="55B6C32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F68CCE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79435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A0747D">
      <w:rPr>
        <w:rFonts w:ascii="Arial" w:hAnsi="Arial" w:cs="Arial"/>
        <w:b/>
        <w:sz w:val="96"/>
      </w:rPr>
      <w:t>PUBLIC NOTICE</w:t>
    </w:r>
  </w:p>
  <w:p w:rsidR="009838BC" w:rsidRPr="00357D50" w:rsidP="009838BC" w14:paraId="145EEE8F" w14:textId="1AD3C956">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column">
                <wp:posOffset>3400425</wp:posOffset>
              </wp:positionH>
              <wp:positionV relativeFrom="paragraph">
                <wp:posOffset>130810</wp:posOffset>
              </wp:positionV>
              <wp:extent cx="2640965" cy="447675"/>
              <wp:effectExtent l="0" t="0" r="0" b="2540"/>
              <wp:wrapNone/>
              <wp:docPr id="2"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0.3pt;margin-left:267.7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5F35FE1" w14:textId="77777777">
                    <w:pPr>
                      <w:spacing w:before="40"/>
                      <w:jc w:val="right"/>
                      <w:rPr>
                        <w:rFonts w:ascii="Arial" w:hAnsi="Arial"/>
                        <w:b/>
                        <w:sz w:val="16"/>
                      </w:rPr>
                    </w:pPr>
                    <w:r>
                      <w:rPr>
                        <w:rFonts w:ascii="Arial" w:hAnsi="Arial"/>
                        <w:b/>
                        <w:sz w:val="16"/>
                      </w:rPr>
                      <w:t>News Media Information 202 / 418-0500</w:t>
                    </w:r>
                  </w:p>
                  <w:p w:rsidR="009838BC" w:rsidP="009838BC" w14:paraId="54B21BB2"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FDD5727"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7620" t="5715" r="11430" b="13335"/>
              <wp:wrapNone/>
              <wp:docPr id="1"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p>
  <w:p w:rsidR="006F7393" w:rsidRPr="009838BC" w:rsidP="00D15FD8" w14:paraId="18F2ABCF"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80480F"/>
    <w:multiLevelType w:val="hybridMultilevel"/>
    <w:tmpl w:val="8DAECBD2"/>
    <w:lvl w:ilvl="0">
      <w:start w:val="1"/>
      <w:numFmt w:val="decimal"/>
      <w:lvlText w:val="%1."/>
      <w:lvlJc w:val="left"/>
      <w:pPr>
        <w:tabs>
          <w:tab w:val="num" w:pos="1170"/>
        </w:tabs>
        <w:ind w:left="90" w:firstLine="720"/>
      </w:pPr>
      <w:rPr>
        <w:rFonts w:hint="default"/>
        <w:b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A52DC0"/>
    <w:multiLevelType w:val="hybridMultilevel"/>
    <w:tmpl w:val="B278309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5522003"/>
    <w:multiLevelType w:val="hybridMultilevel"/>
    <w:tmpl w:val="8388A2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News Gothic MT"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News Gothic M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News Gothic M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0"/>
  </w:num>
  <w:num w:numId="3">
    <w:abstractNumId w:val="6"/>
  </w:num>
  <w:num w:numId="4">
    <w:abstractNumId w:val="8"/>
  </w:num>
  <w:num w:numId="5">
    <w:abstractNumId w:val="5"/>
  </w:num>
  <w:num w:numId="6">
    <w:abstractNumId w:val="1"/>
  </w:num>
  <w:num w:numId="7">
    <w:abstractNumId w:val="2"/>
  </w:num>
  <w:num w:numId="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28C"/>
    <w:rsid w:val="000072CE"/>
    <w:rsid w:val="00013A8B"/>
    <w:rsid w:val="00021445"/>
    <w:rsid w:val="00036039"/>
    <w:rsid w:val="00037F90"/>
    <w:rsid w:val="00043881"/>
    <w:rsid w:val="000554CA"/>
    <w:rsid w:val="0005571A"/>
    <w:rsid w:val="0005776F"/>
    <w:rsid w:val="0008528C"/>
    <w:rsid w:val="000875BF"/>
    <w:rsid w:val="00096D8C"/>
    <w:rsid w:val="000A7EF8"/>
    <w:rsid w:val="000C0B65"/>
    <w:rsid w:val="000D3965"/>
    <w:rsid w:val="000E0F20"/>
    <w:rsid w:val="000E3D42"/>
    <w:rsid w:val="000E5884"/>
    <w:rsid w:val="00122BD5"/>
    <w:rsid w:val="001737EA"/>
    <w:rsid w:val="001979D9"/>
    <w:rsid w:val="001D6BCF"/>
    <w:rsid w:val="001E01CA"/>
    <w:rsid w:val="002060D9"/>
    <w:rsid w:val="00215819"/>
    <w:rsid w:val="00226822"/>
    <w:rsid w:val="00236169"/>
    <w:rsid w:val="0025149D"/>
    <w:rsid w:val="00260594"/>
    <w:rsid w:val="00262C0E"/>
    <w:rsid w:val="00283B64"/>
    <w:rsid w:val="00285017"/>
    <w:rsid w:val="002A2D2E"/>
    <w:rsid w:val="002B00B9"/>
    <w:rsid w:val="002C6111"/>
    <w:rsid w:val="002E1873"/>
    <w:rsid w:val="002E4BA1"/>
    <w:rsid w:val="00301C23"/>
    <w:rsid w:val="00327AD5"/>
    <w:rsid w:val="00337F9F"/>
    <w:rsid w:val="00343749"/>
    <w:rsid w:val="0034519D"/>
    <w:rsid w:val="00357D50"/>
    <w:rsid w:val="003720DF"/>
    <w:rsid w:val="003878C4"/>
    <w:rsid w:val="003925DC"/>
    <w:rsid w:val="003A561D"/>
    <w:rsid w:val="003B0550"/>
    <w:rsid w:val="003B694F"/>
    <w:rsid w:val="003F171C"/>
    <w:rsid w:val="004032A7"/>
    <w:rsid w:val="00406761"/>
    <w:rsid w:val="00411F1B"/>
    <w:rsid w:val="00412FC5"/>
    <w:rsid w:val="0042053A"/>
    <w:rsid w:val="00422276"/>
    <w:rsid w:val="004242F1"/>
    <w:rsid w:val="0042677B"/>
    <w:rsid w:val="00441905"/>
    <w:rsid w:val="00445A00"/>
    <w:rsid w:val="00451B0F"/>
    <w:rsid w:val="00454CEF"/>
    <w:rsid w:val="0046125F"/>
    <w:rsid w:val="00463A75"/>
    <w:rsid w:val="00487524"/>
    <w:rsid w:val="00496106"/>
    <w:rsid w:val="004B2340"/>
    <w:rsid w:val="004C12D0"/>
    <w:rsid w:val="004C2B88"/>
    <w:rsid w:val="004C2EE3"/>
    <w:rsid w:val="004E4A22"/>
    <w:rsid w:val="004E7CE1"/>
    <w:rsid w:val="00511968"/>
    <w:rsid w:val="005514B1"/>
    <w:rsid w:val="00555276"/>
    <w:rsid w:val="0055614C"/>
    <w:rsid w:val="0057011B"/>
    <w:rsid w:val="005C331E"/>
    <w:rsid w:val="005C6020"/>
    <w:rsid w:val="005D2B63"/>
    <w:rsid w:val="00607BA5"/>
    <w:rsid w:val="00626EB6"/>
    <w:rsid w:val="006353A3"/>
    <w:rsid w:val="00651EF0"/>
    <w:rsid w:val="00655D03"/>
    <w:rsid w:val="0067245B"/>
    <w:rsid w:val="00683F84"/>
    <w:rsid w:val="00684980"/>
    <w:rsid w:val="00697055"/>
    <w:rsid w:val="006A2104"/>
    <w:rsid w:val="006A5878"/>
    <w:rsid w:val="006A6A81"/>
    <w:rsid w:val="006B39E9"/>
    <w:rsid w:val="006C1DD7"/>
    <w:rsid w:val="006E26AF"/>
    <w:rsid w:val="006F7393"/>
    <w:rsid w:val="0070224F"/>
    <w:rsid w:val="007115F7"/>
    <w:rsid w:val="007155BA"/>
    <w:rsid w:val="00720D7D"/>
    <w:rsid w:val="007777A4"/>
    <w:rsid w:val="00785689"/>
    <w:rsid w:val="0079754B"/>
    <w:rsid w:val="007A1E6D"/>
    <w:rsid w:val="007A362A"/>
    <w:rsid w:val="00802432"/>
    <w:rsid w:val="00822CE0"/>
    <w:rsid w:val="00837C62"/>
    <w:rsid w:val="00841AB1"/>
    <w:rsid w:val="008B4DA2"/>
    <w:rsid w:val="008C22FD"/>
    <w:rsid w:val="008F081C"/>
    <w:rsid w:val="00906C20"/>
    <w:rsid w:val="00910F12"/>
    <w:rsid w:val="009122FF"/>
    <w:rsid w:val="00926503"/>
    <w:rsid w:val="00930ECF"/>
    <w:rsid w:val="00944038"/>
    <w:rsid w:val="00963918"/>
    <w:rsid w:val="009838BC"/>
    <w:rsid w:val="00A0747D"/>
    <w:rsid w:val="00A45783"/>
    <w:rsid w:val="00A45F4F"/>
    <w:rsid w:val="00A5567D"/>
    <w:rsid w:val="00A600A9"/>
    <w:rsid w:val="00A852D6"/>
    <w:rsid w:val="00A866AC"/>
    <w:rsid w:val="00AA55B7"/>
    <w:rsid w:val="00AA5885"/>
    <w:rsid w:val="00AA5B9E"/>
    <w:rsid w:val="00AB2407"/>
    <w:rsid w:val="00AB53DF"/>
    <w:rsid w:val="00AD10AA"/>
    <w:rsid w:val="00AF10F9"/>
    <w:rsid w:val="00B07E5C"/>
    <w:rsid w:val="00B2196A"/>
    <w:rsid w:val="00B313DE"/>
    <w:rsid w:val="00B326E3"/>
    <w:rsid w:val="00B37F81"/>
    <w:rsid w:val="00B46EB2"/>
    <w:rsid w:val="00B631B8"/>
    <w:rsid w:val="00B811F7"/>
    <w:rsid w:val="00BA5DC6"/>
    <w:rsid w:val="00BA6196"/>
    <w:rsid w:val="00BB0007"/>
    <w:rsid w:val="00BC4077"/>
    <w:rsid w:val="00BC6D8C"/>
    <w:rsid w:val="00C16AF2"/>
    <w:rsid w:val="00C34006"/>
    <w:rsid w:val="00C426B1"/>
    <w:rsid w:val="00C5578E"/>
    <w:rsid w:val="00C73E90"/>
    <w:rsid w:val="00C82B6B"/>
    <w:rsid w:val="00C84604"/>
    <w:rsid w:val="00C90D6A"/>
    <w:rsid w:val="00CC3DB0"/>
    <w:rsid w:val="00CC72B6"/>
    <w:rsid w:val="00CD4364"/>
    <w:rsid w:val="00CE02F1"/>
    <w:rsid w:val="00D0218D"/>
    <w:rsid w:val="00D15FD8"/>
    <w:rsid w:val="00D216CD"/>
    <w:rsid w:val="00D7321B"/>
    <w:rsid w:val="00D94E69"/>
    <w:rsid w:val="00DA2529"/>
    <w:rsid w:val="00DA2C64"/>
    <w:rsid w:val="00DB130A"/>
    <w:rsid w:val="00DC10A1"/>
    <w:rsid w:val="00DC655F"/>
    <w:rsid w:val="00DD7EBD"/>
    <w:rsid w:val="00DF0B7D"/>
    <w:rsid w:val="00DF62B6"/>
    <w:rsid w:val="00E033DD"/>
    <w:rsid w:val="00E07225"/>
    <w:rsid w:val="00E155B7"/>
    <w:rsid w:val="00E5409F"/>
    <w:rsid w:val="00E637AF"/>
    <w:rsid w:val="00EA2038"/>
    <w:rsid w:val="00EC0185"/>
    <w:rsid w:val="00EC1A74"/>
    <w:rsid w:val="00EC32D6"/>
    <w:rsid w:val="00EE24FF"/>
    <w:rsid w:val="00F021FA"/>
    <w:rsid w:val="00F0600D"/>
    <w:rsid w:val="00F13CB1"/>
    <w:rsid w:val="00F15966"/>
    <w:rsid w:val="00F36346"/>
    <w:rsid w:val="00F57ACA"/>
    <w:rsid w:val="00F62E97"/>
    <w:rsid w:val="00F64209"/>
    <w:rsid w:val="00F661F7"/>
    <w:rsid w:val="00F67644"/>
    <w:rsid w:val="00F93BF5"/>
    <w:rsid w:val="00F96F63"/>
    <w:rsid w:val="00F973A3"/>
    <w:rsid w:val="00FF09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C8BF6F1-2207-4C17-90D3-D0B44E71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38"/>
    <w:pPr>
      <w:widowControl w:val="0"/>
    </w:pPr>
    <w:rPr>
      <w:snapToGrid w:val="0"/>
      <w:kern w:val="28"/>
      <w:sz w:val="22"/>
    </w:rPr>
  </w:style>
  <w:style w:type="paragraph" w:styleId="Heading1">
    <w:name w:val="heading 1"/>
    <w:basedOn w:val="Normal"/>
    <w:next w:val="ParaNum"/>
    <w:qFormat/>
    <w:rsid w:val="0094403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44038"/>
    <w:pPr>
      <w:keepNext/>
      <w:numPr>
        <w:ilvl w:val="1"/>
        <w:numId w:val="3"/>
      </w:numPr>
      <w:spacing w:after="120"/>
      <w:outlineLvl w:val="1"/>
    </w:pPr>
    <w:rPr>
      <w:b/>
    </w:rPr>
  </w:style>
  <w:style w:type="paragraph" w:styleId="Heading3">
    <w:name w:val="heading 3"/>
    <w:aliases w:val="1,3,31,?? 3,Titre 3,Titre 31"/>
    <w:basedOn w:val="Normal"/>
    <w:next w:val="ParaNum"/>
    <w:qFormat/>
    <w:rsid w:val="00944038"/>
    <w:pPr>
      <w:keepNext/>
      <w:numPr>
        <w:ilvl w:val="2"/>
        <w:numId w:val="3"/>
      </w:numPr>
      <w:tabs>
        <w:tab w:val="left" w:pos="2160"/>
      </w:tabs>
      <w:spacing w:after="120"/>
      <w:outlineLvl w:val="2"/>
    </w:pPr>
    <w:rPr>
      <w:b/>
    </w:rPr>
  </w:style>
  <w:style w:type="paragraph" w:styleId="Heading4">
    <w:name w:val="heading 4"/>
    <w:basedOn w:val="Normal"/>
    <w:next w:val="ParaNum"/>
    <w:qFormat/>
    <w:rsid w:val="00944038"/>
    <w:pPr>
      <w:keepNext/>
      <w:numPr>
        <w:ilvl w:val="3"/>
        <w:numId w:val="3"/>
      </w:numPr>
      <w:tabs>
        <w:tab w:val="left" w:pos="2880"/>
      </w:tabs>
      <w:spacing w:after="120"/>
      <w:outlineLvl w:val="3"/>
    </w:pPr>
    <w:rPr>
      <w:b/>
    </w:rPr>
  </w:style>
  <w:style w:type="paragraph" w:styleId="Heading5">
    <w:name w:val="heading 5"/>
    <w:basedOn w:val="Normal"/>
    <w:next w:val="ParaNum"/>
    <w:qFormat/>
    <w:rsid w:val="0094403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44038"/>
    <w:pPr>
      <w:numPr>
        <w:ilvl w:val="5"/>
        <w:numId w:val="3"/>
      </w:numPr>
      <w:tabs>
        <w:tab w:val="left" w:pos="4320"/>
      </w:tabs>
      <w:spacing w:after="120"/>
      <w:outlineLvl w:val="5"/>
    </w:pPr>
    <w:rPr>
      <w:b/>
    </w:rPr>
  </w:style>
  <w:style w:type="paragraph" w:styleId="Heading7">
    <w:name w:val="heading 7"/>
    <w:basedOn w:val="Normal"/>
    <w:next w:val="ParaNum"/>
    <w:qFormat/>
    <w:rsid w:val="0094403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4403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4403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440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44038"/>
  </w:style>
  <w:style w:type="paragraph" w:customStyle="1" w:styleId="ParaNum">
    <w:name w:val="ParaNum"/>
    <w:basedOn w:val="Normal"/>
    <w:link w:val="ParaNumChar"/>
    <w:rsid w:val="00944038"/>
    <w:pPr>
      <w:numPr>
        <w:numId w:val="2"/>
      </w:numPr>
      <w:tabs>
        <w:tab w:val="clear" w:pos="1080"/>
        <w:tab w:val="num" w:pos="1440"/>
      </w:tabs>
      <w:spacing w:after="120"/>
    </w:pPr>
  </w:style>
  <w:style w:type="paragraph" w:styleId="EndnoteText">
    <w:name w:val="endnote text"/>
    <w:basedOn w:val="Normal"/>
    <w:semiHidden/>
    <w:rsid w:val="00944038"/>
    <w:rPr>
      <w:sz w:val="20"/>
    </w:rPr>
  </w:style>
  <w:style w:type="character" w:styleId="EndnoteReference">
    <w:name w:val="endnote reference"/>
    <w:semiHidden/>
    <w:rsid w:val="00944038"/>
    <w:rPr>
      <w:vertAlign w:val="superscript"/>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rsid w:val="00944038"/>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944038"/>
    <w:rPr>
      <w:rFonts w:ascii="Times New Roman" w:hAnsi="Times New Roman"/>
      <w:dstrike w:val="0"/>
      <w:color w:val="auto"/>
      <w:sz w:val="22"/>
      <w:vertAlign w:val="superscript"/>
    </w:rPr>
  </w:style>
  <w:style w:type="paragraph" w:styleId="TOC1">
    <w:name w:val="toc 1"/>
    <w:basedOn w:val="Normal"/>
    <w:next w:val="Normal"/>
    <w:uiPriority w:val="39"/>
    <w:rsid w:val="0094403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44038"/>
    <w:pPr>
      <w:tabs>
        <w:tab w:val="left" w:pos="720"/>
        <w:tab w:val="right" w:leader="dot" w:pos="9360"/>
      </w:tabs>
      <w:suppressAutoHyphens/>
      <w:ind w:left="720" w:right="720" w:hanging="360"/>
    </w:pPr>
    <w:rPr>
      <w:noProof/>
    </w:rPr>
  </w:style>
  <w:style w:type="paragraph" w:styleId="TOC3">
    <w:name w:val="toc 3"/>
    <w:basedOn w:val="Normal"/>
    <w:next w:val="Normal"/>
    <w:semiHidden/>
    <w:rsid w:val="0094403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403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403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403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403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403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403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4038"/>
    <w:pPr>
      <w:tabs>
        <w:tab w:val="right" w:pos="9360"/>
      </w:tabs>
      <w:suppressAutoHyphens/>
    </w:pPr>
  </w:style>
  <w:style w:type="character" w:customStyle="1" w:styleId="EquationCaption">
    <w:name w:val="_Equation Caption"/>
    <w:rsid w:val="00944038"/>
  </w:style>
  <w:style w:type="paragraph" w:styleId="Header">
    <w:name w:val="header"/>
    <w:basedOn w:val="Normal"/>
    <w:autoRedefine/>
    <w:rsid w:val="0094403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944038"/>
    <w:pPr>
      <w:tabs>
        <w:tab w:val="center" w:pos="4320"/>
        <w:tab w:val="right" w:pos="8640"/>
      </w:tabs>
    </w:pPr>
  </w:style>
  <w:style w:type="character" w:styleId="PageNumber">
    <w:name w:val="page number"/>
    <w:basedOn w:val="DefaultParagraphFont"/>
    <w:rsid w:val="00944038"/>
  </w:style>
  <w:style w:type="paragraph" w:styleId="BlockText">
    <w:name w:val="Block Text"/>
    <w:basedOn w:val="Normal"/>
    <w:rsid w:val="00944038"/>
    <w:pPr>
      <w:spacing w:after="240"/>
      <w:ind w:left="1440" w:right="1440"/>
    </w:pPr>
  </w:style>
  <w:style w:type="paragraph" w:customStyle="1" w:styleId="Paratitle">
    <w:name w:val="Para title"/>
    <w:basedOn w:val="Normal"/>
    <w:rsid w:val="00944038"/>
    <w:pPr>
      <w:tabs>
        <w:tab w:val="center" w:pos="9270"/>
      </w:tabs>
      <w:spacing w:after="240"/>
    </w:pPr>
    <w:rPr>
      <w:spacing w:val="-2"/>
    </w:rPr>
  </w:style>
  <w:style w:type="paragraph" w:customStyle="1" w:styleId="Bullet">
    <w:name w:val="Bullet"/>
    <w:basedOn w:val="Normal"/>
    <w:rsid w:val="00944038"/>
    <w:pPr>
      <w:numPr>
        <w:numId w:val="1"/>
      </w:numPr>
      <w:tabs>
        <w:tab w:val="clear" w:pos="360"/>
        <w:tab w:val="left" w:pos="2160"/>
      </w:tabs>
      <w:spacing w:after="220"/>
      <w:ind w:left="2160" w:hanging="720"/>
    </w:pPr>
  </w:style>
  <w:style w:type="paragraph" w:customStyle="1" w:styleId="TableFormat">
    <w:name w:val="TableFormat"/>
    <w:basedOn w:val="Bullet"/>
    <w:rsid w:val="00944038"/>
    <w:pPr>
      <w:numPr>
        <w:numId w:val="0"/>
      </w:numPr>
      <w:tabs>
        <w:tab w:val="clear" w:pos="2160"/>
        <w:tab w:val="left" w:pos="5040"/>
      </w:tabs>
      <w:ind w:left="5040" w:hanging="3600"/>
    </w:pPr>
  </w:style>
  <w:style w:type="paragraph" w:customStyle="1" w:styleId="TOCTitle">
    <w:name w:val="TOC Title"/>
    <w:basedOn w:val="Normal"/>
    <w:rsid w:val="0094403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4038"/>
    <w:pPr>
      <w:jc w:val="center"/>
    </w:pPr>
    <w:rPr>
      <w:rFonts w:ascii="Times New Roman Bold" w:hAnsi="Times New Roman Bold"/>
      <w:b/>
      <w:bCs/>
      <w:caps/>
      <w:szCs w:val="22"/>
    </w:rPr>
  </w:style>
  <w:style w:type="character" w:styleId="Hyperlink">
    <w:name w:val="Hyperlink"/>
    <w:rsid w:val="00944038"/>
    <w:rPr>
      <w:color w:val="0000FF"/>
      <w:u w:val="single"/>
    </w:rPr>
  </w:style>
  <w:style w:type="character" w:customStyle="1" w:styleId="FooterChar">
    <w:name w:val="Footer Char"/>
    <w:link w:val="Footer"/>
    <w:uiPriority w:val="99"/>
    <w:rsid w:val="00944038"/>
    <w:rPr>
      <w:snapToGrid w:val="0"/>
      <w:kern w:val="28"/>
      <w:sz w:val="22"/>
    </w:rPr>
  </w:style>
  <w:style w:type="character" w:customStyle="1" w:styleId="ParaNumChar">
    <w:name w:val="ParaNum Char"/>
    <w:link w:val="ParaNum"/>
    <w:rsid w:val="0008528C"/>
    <w:rPr>
      <w:snapToGrid w:val="0"/>
      <w:kern w:val="28"/>
      <w:sz w:val="22"/>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basedOn w:val="DefaultParagraphFont"/>
    <w:link w:val="FootnoteText"/>
    <w:rsid w:val="0008528C"/>
  </w:style>
  <w:style w:type="character" w:styleId="Emphasis">
    <w:name w:val="Emphasis"/>
    <w:uiPriority w:val="20"/>
    <w:qFormat/>
    <w:rsid w:val="0008528C"/>
    <w:rPr>
      <w:i/>
      <w:iCs/>
    </w:rPr>
  </w:style>
  <w:style w:type="character" w:customStyle="1" w:styleId="UnresolvedMention1">
    <w:name w:val="Unresolved Mention1"/>
    <w:uiPriority w:val="99"/>
    <w:semiHidden/>
    <w:unhideWhenUsed/>
    <w:rsid w:val="00697055"/>
    <w:rPr>
      <w:color w:val="605E5C"/>
      <w:shd w:val="clear" w:color="auto" w:fill="E1DFDD"/>
    </w:rPr>
  </w:style>
  <w:style w:type="character" w:styleId="FollowedHyperlink">
    <w:name w:val="FollowedHyperlink"/>
    <w:uiPriority w:val="99"/>
    <w:semiHidden/>
    <w:unhideWhenUsed/>
    <w:rsid w:val="00697055"/>
    <w:rPr>
      <w:color w:val="954F72"/>
      <w:u w:val="single"/>
    </w:rPr>
  </w:style>
  <w:style w:type="character" w:customStyle="1" w:styleId="UnresolvedMention2">
    <w:name w:val="Unresolved Mention2"/>
    <w:basedOn w:val="DefaultParagraphFont"/>
    <w:uiPriority w:val="99"/>
    <w:rsid w:val="00AF10F9"/>
    <w:rPr>
      <w:color w:val="605E5C"/>
      <w:shd w:val="clear" w:color="auto" w:fill="E1DFDD"/>
    </w:rPr>
  </w:style>
  <w:style w:type="paragraph" w:styleId="BalloonText">
    <w:name w:val="Balloon Text"/>
    <w:basedOn w:val="Normal"/>
    <w:link w:val="BalloonTextChar"/>
    <w:uiPriority w:val="99"/>
    <w:semiHidden/>
    <w:unhideWhenUsed/>
    <w:rsid w:val="00AD1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0AA"/>
    <w:rPr>
      <w:rFonts w:ascii="Segoe UI" w:hAnsi="Segoe UI" w:cs="Segoe UI"/>
      <w:snapToGrid w:val="0"/>
      <w:kern w:val="28"/>
      <w:sz w:val="18"/>
      <w:szCs w:val="18"/>
    </w:rPr>
  </w:style>
  <w:style w:type="paragraph" w:styleId="BodyText">
    <w:name w:val="Body Text"/>
    <w:basedOn w:val="Normal"/>
    <w:link w:val="BodyTextChar"/>
    <w:uiPriority w:val="99"/>
    <w:unhideWhenUsed/>
    <w:rsid w:val="008B4DA2"/>
    <w:pPr>
      <w:spacing w:after="120"/>
    </w:pPr>
  </w:style>
  <w:style w:type="character" w:customStyle="1" w:styleId="BodyTextChar">
    <w:name w:val="Body Text Char"/>
    <w:basedOn w:val="DefaultParagraphFont"/>
    <w:link w:val="BodyText"/>
    <w:uiPriority w:val="99"/>
    <w:rsid w:val="008B4DA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fcc-reference-information-center" TargetMode="External" /><Relationship Id="rId6" Type="http://schemas.openxmlformats.org/officeDocument/2006/relationships/hyperlink" Target="mailto:wilbert.nixo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