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06471" w:rsidRPr="004B2EBD" w:rsidP="004B2EBD" w14:paraId="56C5E488" w14:textId="3CCB0743">
      <w:pPr>
        <w:rPr>
          <w:sz w:val="22"/>
          <w:szCs w:val="22"/>
        </w:rPr>
      </w:pPr>
      <w:bookmarkStart w:id="0" w:name="_Hlk524695779"/>
      <w:r w:rsidRPr="004B2EBD">
        <w:rPr>
          <w:sz w:val="22"/>
          <w:szCs w:val="22"/>
        </w:rPr>
        <w:t xml:space="preserve">Paul </w:t>
      </w:r>
      <w:r w:rsidRPr="004B2EBD" w:rsidR="006E208C">
        <w:rPr>
          <w:sz w:val="22"/>
          <w:szCs w:val="22"/>
        </w:rPr>
        <w:t>J. Feldman</w:t>
      </w:r>
      <w:r w:rsidRPr="004B2EBD" w:rsidR="00CE6E37">
        <w:rPr>
          <w:sz w:val="22"/>
          <w:szCs w:val="22"/>
        </w:rPr>
        <w:t>, Esq.</w:t>
      </w:r>
      <w:r w:rsidRPr="004B2EBD" w:rsidR="00CE6E37">
        <w:rPr>
          <w:sz w:val="22"/>
          <w:szCs w:val="22"/>
        </w:rPr>
        <w:tab/>
      </w:r>
      <w:r w:rsidRPr="004B2EBD" w:rsidR="00CE6E37">
        <w:rPr>
          <w:sz w:val="22"/>
          <w:szCs w:val="22"/>
        </w:rPr>
        <w:tab/>
      </w:r>
      <w:r w:rsidRPr="004B2EBD" w:rsidR="00CE6E37">
        <w:rPr>
          <w:sz w:val="22"/>
          <w:szCs w:val="22"/>
        </w:rPr>
        <w:tab/>
      </w:r>
      <w:r w:rsidRPr="004B2EBD" w:rsidR="00CE6E37">
        <w:rPr>
          <w:sz w:val="22"/>
          <w:szCs w:val="22"/>
        </w:rPr>
        <w:tab/>
      </w:r>
      <w:r w:rsidRPr="004B2EBD" w:rsidR="00CE6E37">
        <w:rPr>
          <w:sz w:val="22"/>
          <w:szCs w:val="22"/>
        </w:rPr>
        <w:tab/>
      </w:r>
      <w:r w:rsidRPr="004B2EBD" w:rsidR="00CE6E37">
        <w:rPr>
          <w:sz w:val="22"/>
          <w:szCs w:val="22"/>
        </w:rPr>
        <w:tab/>
      </w:r>
      <w:r w:rsidRPr="004B2EBD" w:rsidR="00CE6E37">
        <w:rPr>
          <w:sz w:val="22"/>
          <w:szCs w:val="22"/>
        </w:rPr>
        <w:tab/>
      </w:r>
      <w:r w:rsidRPr="004B2EBD" w:rsidR="00CE6E37">
        <w:rPr>
          <w:sz w:val="22"/>
          <w:szCs w:val="22"/>
        </w:rPr>
        <w:tab/>
        <w:t xml:space="preserve">DA </w:t>
      </w:r>
      <w:r w:rsidRPr="004B2EBD" w:rsidR="000827AB">
        <w:rPr>
          <w:sz w:val="22"/>
          <w:szCs w:val="22"/>
        </w:rPr>
        <w:t>20</w:t>
      </w:r>
      <w:r w:rsidRPr="004B2EBD" w:rsidR="00CE6E37">
        <w:rPr>
          <w:sz w:val="22"/>
          <w:szCs w:val="22"/>
        </w:rPr>
        <w:t>-</w:t>
      </w:r>
      <w:r w:rsidR="00CF3D90">
        <w:rPr>
          <w:sz w:val="22"/>
          <w:szCs w:val="22"/>
        </w:rPr>
        <w:t>1259</w:t>
      </w:r>
      <w:bookmarkStart w:id="1" w:name="_GoBack"/>
      <w:bookmarkEnd w:id="1"/>
    </w:p>
    <w:p w:rsidR="00806471" w:rsidRPr="004B2EBD" w:rsidP="004B2EBD" w14:paraId="00DD26B4" w14:textId="29F35709">
      <w:pPr>
        <w:rPr>
          <w:sz w:val="22"/>
          <w:szCs w:val="22"/>
        </w:rPr>
      </w:pPr>
      <w:r w:rsidRPr="004B2EBD">
        <w:rPr>
          <w:sz w:val="22"/>
          <w:szCs w:val="22"/>
        </w:rPr>
        <w:t xml:space="preserve">Fletcher, Heald </w:t>
      </w:r>
      <w:r w:rsidRPr="004B2EBD" w:rsidR="0066636E">
        <w:rPr>
          <w:sz w:val="22"/>
          <w:szCs w:val="22"/>
        </w:rPr>
        <w:t xml:space="preserve">&amp; </w:t>
      </w:r>
      <w:r w:rsidRPr="004B2EBD">
        <w:rPr>
          <w:sz w:val="22"/>
          <w:szCs w:val="22"/>
        </w:rPr>
        <w:t>Hildreth</w:t>
      </w:r>
      <w:r w:rsidRPr="004B2EBD" w:rsidR="00CE6E37">
        <w:rPr>
          <w:sz w:val="22"/>
          <w:szCs w:val="22"/>
        </w:rPr>
        <w:t xml:space="preserve"> </w:t>
      </w:r>
    </w:p>
    <w:p w:rsidR="00806471" w:rsidRPr="004B2EBD" w:rsidP="004B2EBD" w14:paraId="3F226D14" w14:textId="4558139E">
      <w:pPr>
        <w:tabs>
          <w:tab w:val="center" w:pos="4680"/>
        </w:tabs>
        <w:rPr>
          <w:sz w:val="22"/>
          <w:szCs w:val="22"/>
        </w:rPr>
      </w:pPr>
      <w:r w:rsidRPr="004B2EBD">
        <w:rPr>
          <w:sz w:val="22"/>
          <w:szCs w:val="22"/>
        </w:rPr>
        <w:t>1</w:t>
      </w:r>
      <w:r w:rsidRPr="004B2EBD" w:rsidR="006E208C">
        <w:rPr>
          <w:sz w:val="22"/>
          <w:szCs w:val="22"/>
        </w:rPr>
        <w:t>3</w:t>
      </w:r>
      <w:r w:rsidRPr="004B2EBD">
        <w:rPr>
          <w:sz w:val="22"/>
          <w:szCs w:val="22"/>
        </w:rPr>
        <w:t xml:space="preserve">00 </w:t>
      </w:r>
      <w:r w:rsidRPr="004B2EBD" w:rsidR="006E208C">
        <w:rPr>
          <w:sz w:val="22"/>
          <w:szCs w:val="22"/>
        </w:rPr>
        <w:t>N. 17</w:t>
      </w:r>
      <w:r w:rsidRPr="004B2EBD" w:rsidR="006E208C">
        <w:rPr>
          <w:sz w:val="22"/>
          <w:szCs w:val="22"/>
          <w:vertAlign w:val="superscript"/>
        </w:rPr>
        <w:t>th</w:t>
      </w:r>
      <w:r w:rsidRPr="004B2EBD" w:rsidR="006E208C">
        <w:rPr>
          <w:sz w:val="22"/>
          <w:szCs w:val="22"/>
        </w:rPr>
        <w:t xml:space="preserve"> </w:t>
      </w:r>
      <w:r w:rsidRPr="004B2EBD">
        <w:rPr>
          <w:sz w:val="22"/>
          <w:szCs w:val="22"/>
        </w:rPr>
        <w:t>Street</w:t>
      </w:r>
      <w:r w:rsidRPr="004B2EBD" w:rsidR="006E208C">
        <w:rPr>
          <w:sz w:val="22"/>
          <w:szCs w:val="22"/>
        </w:rPr>
        <w:t>, Suite 1100</w:t>
      </w:r>
      <w:r w:rsidRPr="004B2EBD" w:rsidR="0066636E">
        <w:rPr>
          <w:sz w:val="22"/>
          <w:szCs w:val="22"/>
        </w:rPr>
        <w:tab/>
      </w:r>
    </w:p>
    <w:p w:rsidR="00806471" w:rsidRPr="004B2EBD" w:rsidP="004B2EBD" w14:paraId="26BF801F" w14:textId="47277380">
      <w:pPr>
        <w:rPr>
          <w:sz w:val="22"/>
          <w:szCs w:val="22"/>
        </w:rPr>
      </w:pPr>
      <w:r w:rsidRPr="004B2EBD">
        <w:rPr>
          <w:sz w:val="22"/>
          <w:szCs w:val="22"/>
        </w:rPr>
        <w:t>Arlington, VA</w:t>
      </w:r>
      <w:r w:rsidRPr="004B2EBD" w:rsidR="00CE6E37">
        <w:rPr>
          <w:sz w:val="22"/>
          <w:szCs w:val="22"/>
        </w:rPr>
        <w:t xml:space="preserve"> 2</w:t>
      </w:r>
      <w:r w:rsidRPr="004B2EBD">
        <w:rPr>
          <w:sz w:val="22"/>
          <w:szCs w:val="22"/>
        </w:rPr>
        <w:t>22</w:t>
      </w:r>
      <w:r w:rsidRPr="004B2EBD" w:rsidR="00CE6E37">
        <w:rPr>
          <w:sz w:val="22"/>
          <w:szCs w:val="22"/>
        </w:rPr>
        <w:t>0</w:t>
      </w:r>
      <w:r w:rsidRPr="004B2EBD">
        <w:rPr>
          <w:sz w:val="22"/>
          <w:szCs w:val="22"/>
        </w:rPr>
        <w:t>9</w:t>
      </w:r>
      <w:r w:rsidRPr="004B2EBD" w:rsidR="00CE6E37">
        <w:rPr>
          <w:sz w:val="22"/>
          <w:szCs w:val="22"/>
        </w:rPr>
        <w:t xml:space="preserve"> </w:t>
      </w:r>
    </w:p>
    <w:p w:rsidR="00806471" w:rsidRPr="004B2EBD" w:rsidP="004B2EBD" w14:paraId="1BA2DAC3" w14:textId="77777777">
      <w:pPr>
        <w:rPr>
          <w:sz w:val="22"/>
          <w:szCs w:val="22"/>
        </w:rPr>
      </w:pPr>
    </w:p>
    <w:p w:rsidR="00806471" w:rsidRPr="004B2EBD" w:rsidP="004B2EBD" w14:paraId="4A246D51" w14:textId="6E9FFA79">
      <w:pPr>
        <w:rPr>
          <w:b/>
          <w:sz w:val="22"/>
          <w:szCs w:val="22"/>
          <w:u w:val="single"/>
        </w:rPr>
      </w:pPr>
      <w:r w:rsidRPr="004B2EBD">
        <w:rPr>
          <w:sz w:val="22"/>
          <w:szCs w:val="22"/>
        </w:rPr>
        <w:t xml:space="preserve">RE:  </w:t>
      </w:r>
      <w:r w:rsidRPr="004B2EBD" w:rsidR="006E208C">
        <w:rPr>
          <w:b/>
          <w:sz w:val="22"/>
          <w:szCs w:val="22"/>
          <w:u w:val="single"/>
        </w:rPr>
        <w:t>Southern California Regional Rail Authority</w:t>
      </w:r>
      <w:r w:rsidRPr="004B2EBD">
        <w:rPr>
          <w:b/>
          <w:sz w:val="22"/>
          <w:szCs w:val="22"/>
          <w:u w:val="single"/>
        </w:rPr>
        <w:t xml:space="preserve">, Call Sign </w:t>
      </w:r>
      <w:r w:rsidRPr="004B2EBD" w:rsidR="00663D7A">
        <w:rPr>
          <w:b/>
          <w:sz w:val="22"/>
          <w:szCs w:val="22"/>
          <w:u w:val="single"/>
        </w:rPr>
        <w:t>WQYR421</w:t>
      </w:r>
    </w:p>
    <w:p w:rsidR="00663D7A" w:rsidRPr="004B2EBD" w:rsidP="004B2EBD" w14:paraId="6BF2868B" w14:textId="77777777">
      <w:pPr>
        <w:rPr>
          <w:sz w:val="22"/>
          <w:szCs w:val="22"/>
        </w:rPr>
      </w:pPr>
    </w:p>
    <w:p w:rsidR="00806471" w:rsidRPr="004B2EBD" w:rsidP="004B2EBD" w14:paraId="728294C3" w14:textId="210F0100">
      <w:pPr>
        <w:rPr>
          <w:sz w:val="22"/>
          <w:szCs w:val="22"/>
        </w:rPr>
      </w:pPr>
      <w:r w:rsidRPr="004B2EBD">
        <w:rPr>
          <w:sz w:val="22"/>
          <w:szCs w:val="22"/>
        </w:rPr>
        <w:t xml:space="preserve">Dear Mr. </w:t>
      </w:r>
      <w:r w:rsidRPr="004B2EBD" w:rsidR="00FE6605">
        <w:rPr>
          <w:sz w:val="22"/>
          <w:szCs w:val="22"/>
        </w:rPr>
        <w:t>Feldman</w:t>
      </w:r>
      <w:r w:rsidRPr="004B2EBD">
        <w:rPr>
          <w:sz w:val="22"/>
          <w:szCs w:val="22"/>
        </w:rPr>
        <w:t>:</w:t>
      </w:r>
    </w:p>
    <w:p w:rsidR="00806471" w:rsidRPr="004B2EBD" w:rsidP="004B2EBD" w14:paraId="169202F7" w14:textId="77777777">
      <w:pPr>
        <w:rPr>
          <w:sz w:val="22"/>
          <w:szCs w:val="22"/>
        </w:rPr>
      </w:pPr>
    </w:p>
    <w:p w:rsidR="0098427C" w:rsidRPr="004B2EBD" w:rsidP="004B2EBD" w14:paraId="02D1F95B" w14:textId="6157FD48">
      <w:pPr>
        <w:ind w:firstLine="720"/>
        <w:rPr>
          <w:sz w:val="22"/>
          <w:szCs w:val="22"/>
        </w:rPr>
      </w:pPr>
      <w:r w:rsidRPr="004B2EBD">
        <w:rPr>
          <w:sz w:val="22"/>
          <w:szCs w:val="22"/>
        </w:rPr>
        <w:t>The Mobility Division (Division) of the Wireless Telecommunications Bureau (Bureau) hereby grants</w:t>
      </w:r>
      <w:r w:rsidRPr="004B2EBD" w:rsidR="006E208C">
        <w:rPr>
          <w:sz w:val="22"/>
          <w:szCs w:val="22"/>
        </w:rPr>
        <w:t xml:space="preserve"> </w:t>
      </w:r>
      <w:r w:rsidRPr="004B2EBD" w:rsidR="0097398F">
        <w:rPr>
          <w:sz w:val="22"/>
          <w:szCs w:val="22"/>
        </w:rPr>
        <w:t xml:space="preserve">the </w:t>
      </w:r>
      <w:r w:rsidRPr="004B2EBD" w:rsidR="00FA5342">
        <w:rPr>
          <w:sz w:val="22"/>
          <w:szCs w:val="22"/>
        </w:rPr>
        <w:t>L</w:t>
      </w:r>
      <w:r w:rsidRPr="004B2EBD" w:rsidR="0097398F">
        <w:rPr>
          <w:sz w:val="22"/>
          <w:szCs w:val="22"/>
        </w:rPr>
        <w:t xml:space="preserve">icense </w:t>
      </w:r>
      <w:r w:rsidRPr="004B2EBD" w:rsidR="00FA5342">
        <w:rPr>
          <w:sz w:val="22"/>
          <w:szCs w:val="22"/>
        </w:rPr>
        <w:t>M</w:t>
      </w:r>
      <w:r w:rsidRPr="004B2EBD">
        <w:rPr>
          <w:sz w:val="22"/>
          <w:szCs w:val="22"/>
        </w:rPr>
        <w:t xml:space="preserve">odification </w:t>
      </w:r>
      <w:r w:rsidRPr="004B2EBD" w:rsidR="00FA5342">
        <w:rPr>
          <w:sz w:val="22"/>
          <w:szCs w:val="22"/>
        </w:rPr>
        <w:t>A</w:t>
      </w:r>
      <w:r w:rsidRPr="004B2EBD">
        <w:rPr>
          <w:sz w:val="22"/>
          <w:szCs w:val="22"/>
        </w:rPr>
        <w:t>pplication</w:t>
      </w:r>
      <w:r>
        <w:rPr>
          <w:rStyle w:val="FootnoteReference"/>
          <w:sz w:val="22"/>
          <w:szCs w:val="22"/>
        </w:rPr>
        <w:footnoteReference w:id="2"/>
      </w:r>
      <w:r w:rsidRPr="004B2EBD" w:rsidR="0097398F">
        <w:rPr>
          <w:sz w:val="22"/>
          <w:szCs w:val="22"/>
        </w:rPr>
        <w:t xml:space="preserve"> of </w:t>
      </w:r>
      <w:r w:rsidRPr="004B2EBD" w:rsidR="00B92B6B">
        <w:rPr>
          <w:sz w:val="22"/>
          <w:szCs w:val="22"/>
        </w:rPr>
        <w:t xml:space="preserve">the </w:t>
      </w:r>
      <w:r w:rsidRPr="004B2EBD" w:rsidR="0097733C">
        <w:rPr>
          <w:sz w:val="22"/>
          <w:szCs w:val="22"/>
        </w:rPr>
        <w:t>Southern California Regional Rail Authority (SCRRA)</w:t>
      </w:r>
      <w:r w:rsidRPr="004B2EBD" w:rsidR="0066636E">
        <w:rPr>
          <w:sz w:val="22"/>
          <w:szCs w:val="22"/>
        </w:rPr>
        <w:t xml:space="preserve"> </w:t>
      </w:r>
      <w:r w:rsidRPr="004B2EBD" w:rsidR="000827AB">
        <w:rPr>
          <w:sz w:val="22"/>
          <w:szCs w:val="22"/>
        </w:rPr>
        <w:t>f</w:t>
      </w:r>
      <w:r w:rsidRPr="004B2EBD" w:rsidR="009A3EFA">
        <w:rPr>
          <w:sz w:val="22"/>
          <w:szCs w:val="22"/>
        </w:rPr>
        <w:t xml:space="preserve">or </w:t>
      </w:r>
      <w:bookmarkStart w:id="3" w:name="_Hlk528048071"/>
      <w:r w:rsidRPr="004B2EBD">
        <w:rPr>
          <w:sz w:val="22"/>
          <w:szCs w:val="22"/>
        </w:rPr>
        <w:t xml:space="preserve">permanent authority </w:t>
      </w:r>
      <w:bookmarkEnd w:id="3"/>
      <w:r w:rsidRPr="004B2EBD">
        <w:rPr>
          <w:sz w:val="22"/>
          <w:szCs w:val="22"/>
        </w:rPr>
        <w:t xml:space="preserve">to operate </w:t>
      </w:r>
      <w:r w:rsidRPr="004B2EBD" w:rsidR="00663D7A">
        <w:rPr>
          <w:sz w:val="22"/>
          <w:szCs w:val="22"/>
        </w:rPr>
        <w:t xml:space="preserve">17 </w:t>
      </w:r>
      <w:r w:rsidRPr="004B2EBD">
        <w:rPr>
          <w:sz w:val="22"/>
          <w:szCs w:val="22"/>
        </w:rPr>
        <w:t>positive train control (PTC) wireless radio base stations</w:t>
      </w:r>
      <w:r w:rsidRPr="004B2EBD" w:rsidR="00D81D94">
        <w:rPr>
          <w:sz w:val="22"/>
          <w:szCs w:val="22"/>
        </w:rPr>
        <w:t>,</w:t>
      </w:r>
      <w:r w:rsidRPr="004B2EBD" w:rsidR="00FE6605">
        <w:rPr>
          <w:sz w:val="22"/>
          <w:szCs w:val="22"/>
        </w:rPr>
        <w:t xml:space="preserve"> </w:t>
      </w:r>
      <w:r w:rsidRPr="004B2EBD" w:rsidR="00663D7A">
        <w:rPr>
          <w:sz w:val="22"/>
          <w:szCs w:val="22"/>
        </w:rPr>
        <w:t>5</w:t>
      </w:r>
      <w:r w:rsidRPr="004B2EBD" w:rsidR="00200AC5">
        <w:rPr>
          <w:sz w:val="22"/>
          <w:szCs w:val="22"/>
        </w:rPr>
        <w:t>46</w:t>
      </w:r>
      <w:r w:rsidRPr="004B2EBD" w:rsidR="00663D7A">
        <w:rPr>
          <w:sz w:val="22"/>
          <w:szCs w:val="22"/>
        </w:rPr>
        <w:t xml:space="preserve"> </w:t>
      </w:r>
      <w:r w:rsidRPr="004B2EBD" w:rsidR="00D407B0">
        <w:rPr>
          <w:sz w:val="22"/>
          <w:szCs w:val="22"/>
        </w:rPr>
        <w:t xml:space="preserve">PTC </w:t>
      </w:r>
      <w:r w:rsidRPr="004B2EBD" w:rsidR="00FE6605">
        <w:rPr>
          <w:sz w:val="22"/>
          <w:szCs w:val="22"/>
        </w:rPr>
        <w:t>wireless radio wayside stations</w:t>
      </w:r>
      <w:r w:rsidRPr="004B2EBD" w:rsidR="00200AC5">
        <w:rPr>
          <w:sz w:val="22"/>
          <w:szCs w:val="22"/>
        </w:rPr>
        <w:t>, and related mobile (loco</w:t>
      </w:r>
      <w:r w:rsidRPr="004B2EBD" w:rsidR="005A0729">
        <w:rPr>
          <w:sz w:val="22"/>
          <w:szCs w:val="22"/>
        </w:rPr>
        <w:t>motive</w:t>
      </w:r>
      <w:r w:rsidRPr="004B2EBD" w:rsidR="00200AC5">
        <w:rPr>
          <w:sz w:val="22"/>
          <w:szCs w:val="22"/>
        </w:rPr>
        <w:t>)</w:t>
      </w:r>
      <w:r w:rsidRPr="004B2EBD" w:rsidR="005A0729">
        <w:rPr>
          <w:sz w:val="22"/>
          <w:szCs w:val="22"/>
        </w:rPr>
        <w:t xml:space="preserve"> </w:t>
      </w:r>
      <w:r w:rsidRPr="004B2EBD" w:rsidR="007D69B9">
        <w:rPr>
          <w:sz w:val="22"/>
          <w:szCs w:val="22"/>
        </w:rPr>
        <w:t xml:space="preserve">stations </w:t>
      </w:r>
      <w:r w:rsidRPr="004B2EBD">
        <w:rPr>
          <w:sz w:val="22"/>
          <w:szCs w:val="22"/>
        </w:rPr>
        <w:t>under</w:t>
      </w:r>
      <w:r w:rsidRPr="004B2EBD" w:rsidR="0057066F">
        <w:rPr>
          <w:sz w:val="22"/>
          <w:szCs w:val="22"/>
        </w:rPr>
        <w:t xml:space="preserve"> </w:t>
      </w:r>
      <w:bookmarkStart w:id="4" w:name="_Hlk31975091"/>
      <w:r w:rsidRPr="004B2EBD" w:rsidR="0066636E">
        <w:rPr>
          <w:sz w:val="22"/>
          <w:szCs w:val="22"/>
        </w:rPr>
        <w:t xml:space="preserve">Automated Maritime Telecommunications System </w:t>
      </w:r>
      <w:bookmarkEnd w:id="4"/>
      <w:r w:rsidRPr="004B2EBD" w:rsidR="0066636E">
        <w:rPr>
          <w:sz w:val="22"/>
          <w:szCs w:val="22"/>
        </w:rPr>
        <w:t>(AMTS) Call Sign WQYR421</w:t>
      </w:r>
      <w:r w:rsidRPr="004B2EBD">
        <w:rPr>
          <w:sz w:val="22"/>
          <w:szCs w:val="22"/>
        </w:rPr>
        <w:t>.</w:t>
      </w:r>
      <w:r>
        <w:rPr>
          <w:rStyle w:val="FootnoteReference"/>
          <w:sz w:val="22"/>
          <w:szCs w:val="22"/>
        </w:rPr>
        <w:footnoteReference w:id="3"/>
      </w:r>
      <w:r w:rsidRPr="004B2EBD" w:rsidR="00C026FB">
        <w:rPr>
          <w:sz w:val="22"/>
          <w:szCs w:val="22"/>
        </w:rPr>
        <w:t xml:space="preserve">  </w:t>
      </w:r>
      <w:r w:rsidR="005333E4">
        <w:rPr>
          <w:sz w:val="22"/>
          <w:szCs w:val="22"/>
        </w:rPr>
        <w:t>For the reasons discussed below, w</w:t>
      </w:r>
      <w:r w:rsidRPr="004B2EBD" w:rsidR="00B12391">
        <w:rPr>
          <w:sz w:val="22"/>
          <w:szCs w:val="22"/>
        </w:rPr>
        <w:t xml:space="preserve">e </w:t>
      </w:r>
      <w:r w:rsidRPr="004B2EBD" w:rsidR="00996A05">
        <w:rPr>
          <w:sz w:val="22"/>
          <w:szCs w:val="22"/>
        </w:rPr>
        <w:t xml:space="preserve">also grant SCRRA’s </w:t>
      </w:r>
      <w:r w:rsidRPr="004B2EBD" w:rsidR="00D63BBD">
        <w:rPr>
          <w:sz w:val="22"/>
          <w:szCs w:val="22"/>
        </w:rPr>
        <w:t>r</w:t>
      </w:r>
      <w:r w:rsidRPr="004B2EBD" w:rsidR="00852C66">
        <w:rPr>
          <w:sz w:val="22"/>
          <w:szCs w:val="22"/>
        </w:rPr>
        <w:t xml:space="preserve">equest </w:t>
      </w:r>
      <w:r w:rsidRPr="004B2EBD" w:rsidR="00996A05">
        <w:rPr>
          <w:sz w:val="22"/>
          <w:szCs w:val="22"/>
        </w:rPr>
        <w:t>for</w:t>
      </w:r>
      <w:r w:rsidRPr="004B2EBD" w:rsidR="00B45E45">
        <w:rPr>
          <w:sz w:val="22"/>
          <w:szCs w:val="22"/>
        </w:rPr>
        <w:t xml:space="preserve"> </w:t>
      </w:r>
      <w:r w:rsidRPr="004B2EBD" w:rsidR="00507556">
        <w:rPr>
          <w:sz w:val="22"/>
          <w:szCs w:val="22"/>
        </w:rPr>
        <w:t xml:space="preserve">waiver of </w:t>
      </w:r>
      <w:r w:rsidRPr="004B2EBD" w:rsidR="00576309">
        <w:rPr>
          <w:sz w:val="22"/>
          <w:szCs w:val="22"/>
        </w:rPr>
        <w:t>certain</w:t>
      </w:r>
      <w:r w:rsidRPr="004B2EBD" w:rsidR="00A05006">
        <w:rPr>
          <w:sz w:val="22"/>
          <w:szCs w:val="22"/>
        </w:rPr>
        <w:t xml:space="preserve"> </w:t>
      </w:r>
      <w:r w:rsidRPr="004B2EBD" w:rsidR="001B745B">
        <w:rPr>
          <w:sz w:val="22"/>
          <w:szCs w:val="22"/>
        </w:rPr>
        <w:t>rule</w:t>
      </w:r>
      <w:r w:rsidRPr="004B2EBD" w:rsidR="00507556">
        <w:rPr>
          <w:sz w:val="22"/>
          <w:szCs w:val="22"/>
        </w:rPr>
        <w:t>s</w:t>
      </w:r>
      <w:r w:rsidRPr="004B2EBD" w:rsidR="00CD6AF9">
        <w:rPr>
          <w:sz w:val="22"/>
          <w:szCs w:val="22"/>
        </w:rPr>
        <w:t xml:space="preserve"> to </w:t>
      </w:r>
      <w:r w:rsidRPr="004B2EBD" w:rsidR="005849D2">
        <w:rPr>
          <w:sz w:val="22"/>
          <w:szCs w:val="22"/>
        </w:rPr>
        <w:t xml:space="preserve">facilitate </w:t>
      </w:r>
      <w:r w:rsidRPr="004B2EBD" w:rsidR="007736E9">
        <w:rPr>
          <w:sz w:val="22"/>
          <w:szCs w:val="22"/>
        </w:rPr>
        <w:t xml:space="preserve">its </w:t>
      </w:r>
      <w:r w:rsidRPr="004B2EBD" w:rsidR="00517A77">
        <w:rPr>
          <w:sz w:val="22"/>
          <w:szCs w:val="22"/>
        </w:rPr>
        <w:t>PTC</w:t>
      </w:r>
      <w:r w:rsidRPr="004B2EBD" w:rsidR="00CD6AF9">
        <w:rPr>
          <w:sz w:val="22"/>
          <w:szCs w:val="22"/>
        </w:rPr>
        <w:t xml:space="preserve"> </w:t>
      </w:r>
      <w:r w:rsidRPr="004B2EBD" w:rsidR="00631193">
        <w:rPr>
          <w:sz w:val="22"/>
          <w:szCs w:val="22"/>
        </w:rPr>
        <w:t>deployment</w:t>
      </w:r>
      <w:r w:rsidRPr="004B2EBD" w:rsidR="0090281D">
        <w:rPr>
          <w:sz w:val="22"/>
          <w:szCs w:val="22"/>
        </w:rPr>
        <w:t>.</w:t>
      </w:r>
      <w:r>
        <w:rPr>
          <w:rStyle w:val="FootnoteReference"/>
          <w:sz w:val="22"/>
          <w:szCs w:val="22"/>
        </w:rPr>
        <w:footnoteReference w:id="4"/>
      </w:r>
    </w:p>
    <w:p w:rsidR="0098427C" w:rsidRPr="004B2EBD" w:rsidP="004B2EBD" w14:paraId="5F9B1345" w14:textId="77777777">
      <w:pPr>
        <w:ind w:firstLine="720"/>
        <w:rPr>
          <w:sz w:val="22"/>
          <w:szCs w:val="22"/>
        </w:rPr>
      </w:pPr>
    </w:p>
    <w:p w:rsidR="00770105" w:rsidP="00770105" w14:paraId="7E255C27" w14:textId="7A20C6E0">
      <w:pPr>
        <w:ind w:firstLine="720"/>
        <w:rPr>
          <w:sz w:val="22"/>
          <w:szCs w:val="22"/>
        </w:rPr>
      </w:pPr>
      <w:r w:rsidRPr="004B2EBD">
        <w:rPr>
          <w:sz w:val="22"/>
          <w:szCs w:val="22"/>
        </w:rPr>
        <w:t>T</w:t>
      </w:r>
      <w:r w:rsidRPr="004B2EBD" w:rsidR="0090281D">
        <w:rPr>
          <w:sz w:val="22"/>
          <w:szCs w:val="22"/>
        </w:rPr>
        <w:t>oday</w:t>
      </w:r>
      <w:r w:rsidRPr="004B2EBD">
        <w:rPr>
          <w:sz w:val="22"/>
          <w:szCs w:val="22"/>
        </w:rPr>
        <w:t xml:space="preserve">’s </w:t>
      </w:r>
      <w:r w:rsidRPr="004B2EBD" w:rsidR="005152DF">
        <w:rPr>
          <w:sz w:val="22"/>
          <w:szCs w:val="22"/>
        </w:rPr>
        <w:t>a</w:t>
      </w:r>
      <w:r w:rsidRPr="004B2EBD" w:rsidR="006149C6">
        <w:rPr>
          <w:sz w:val="22"/>
          <w:szCs w:val="22"/>
        </w:rPr>
        <w:t>ction</w:t>
      </w:r>
      <w:r w:rsidRPr="004B2EBD" w:rsidR="004C6DEB">
        <w:rPr>
          <w:sz w:val="22"/>
          <w:szCs w:val="22"/>
        </w:rPr>
        <w:t xml:space="preserve"> </w:t>
      </w:r>
      <w:r w:rsidRPr="004B2EBD" w:rsidR="00BE046E">
        <w:rPr>
          <w:sz w:val="22"/>
          <w:szCs w:val="22"/>
        </w:rPr>
        <w:t xml:space="preserve">authorizes </w:t>
      </w:r>
      <w:r w:rsidRPr="004B2EBD" w:rsidR="00B87DF1">
        <w:rPr>
          <w:sz w:val="22"/>
          <w:szCs w:val="22"/>
        </w:rPr>
        <w:t>SCRRA,</w:t>
      </w:r>
      <w:r w:rsidRPr="004B2EBD" w:rsidR="004B2385">
        <w:rPr>
          <w:sz w:val="22"/>
          <w:szCs w:val="22"/>
        </w:rPr>
        <w:t xml:space="preserve"> operator of the Metrolink commuter railroad (Metrolink</w:t>
      </w:r>
      <w:r w:rsidRPr="004B2EBD" w:rsidR="001A3C22">
        <w:rPr>
          <w:sz w:val="22"/>
          <w:szCs w:val="22"/>
        </w:rPr>
        <w:t>)</w:t>
      </w:r>
      <w:r w:rsidRPr="004B2EBD" w:rsidR="009B65BC">
        <w:rPr>
          <w:sz w:val="22"/>
          <w:szCs w:val="22"/>
        </w:rPr>
        <w:t>,</w:t>
      </w:r>
      <w:r w:rsidRPr="004B2EBD" w:rsidR="001A3C22">
        <w:rPr>
          <w:sz w:val="22"/>
          <w:szCs w:val="22"/>
        </w:rPr>
        <w:t xml:space="preserve"> </w:t>
      </w:r>
      <w:r w:rsidRPr="004B2EBD" w:rsidR="00CE6E37">
        <w:rPr>
          <w:sz w:val="22"/>
          <w:szCs w:val="22"/>
        </w:rPr>
        <w:t>to deploy a Congressionally-mandated</w:t>
      </w:r>
      <w:r w:rsidRPr="004B2EBD" w:rsidR="006E2D56">
        <w:rPr>
          <w:sz w:val="22"/>
          <w:szCs w:val="22"/>
        </w:rPr>
        <w:t>, interoperable</w:t>
      </w:r>
      <w:r w:rsidRPr="004B2EBD" w:rsidR="00CE6E37">
        <w:rPr>
          <w:sz w:val="22"/>
          <w:szCs w:val="22"/>
        </w:rPr>
        <w:t xml:space="preserve"> PTC system on</w:t>
      </w:r>
      <w:r w:rsidRPr="004B2EBD" w:rsidR="00C026FB">
        <w:rPr>
          <w:sz w:val="22"/>
          <w:szCs w:val="22"/>
        </w:rPr>
        <w:t xml:space="preserve"> </w:t>
      </w:r>
      <w:r w:rsidRPr="004B2EBD" w:rsidR="0066636E">
        <w:rPr>
          <w:sz w:val="22"/>
          <w:szCs w:val="22"/>
        </w:rPr>
        <w:t xml:space="preserve">its </w:t>
      </w:r>
      <w:r w:rsidRPr="004B2EBD" w:rsidR="00FE6605">
        <w:rPr>
          <w:sz w:val="22"/>
          <w:szCs w:val="22"/>
        </w:rPr>
        <w:t xml:space="preserve">rail lines </w:t>
      </w:r>
      <w:r w:rsidRPr="004B2EBD" w:rsidR="00663D7A">
        <w:rPr>
          <w:sz w:val="22"/>
          <w:szCs w:val="22"/>
        </w:rPr>
        <w:t xml:space="preserve">serving </w:t>
      </w:r>
      <w:r w:rsidRPr="004B2EBD" w:rsidR="008F5A2C">
        <w:rPr>
          <w:sz w:val="22"/>
          <w:szCs w:val="22"/>
        </w:rPr>
        <w:t>Los Angeles, Orange, Riverside, San Bernardino, and Ventura counties, Cal</w:t>
      </w:r>
      <w:r w:rsidRPr="004B2EBD" w:rsidR="00736607">
        <w:rPr>
          <w:sz w:val="22"/>
          <w:szCs w:val="22"/>
        </w:rPr>
        <w:t>i</w:t>
      </w:r>
      <w:r w:rsidRPr="004B2EBD" w:rsidR="008F5A2C">
        <w:rPr>
          <w:sz w:val="22"/>
          <w:szCs w:val="22"/>
        </w:rPr>
        <w:t>fornia</w:t>
      </w:r>
      <w:r w:rsidRPr="004B2EBD" w:rsidR="00743278">
        <w:rPr>
          <w:sz w:val="22"/>
          <w:szCs w:val="22"/>
        </w:rPr>
        <w:t>.</w:t>
      </w:r>
      <w:r>
        <w:rPr>
          <w:rStyle w:val="FootnoteReference"/>
          <w:sz w:val="22"/>
          <w:szCs w:val="22"/>
        </w:rPr>
        <w:footnoteReference w:id="5"/>
      </w:r>
      <w:r w:rsidRPr="004B2EBD">
        <w:rPr>
          <w:sz w:val="22"/>
          <w:szCs w:val="22"/>
        </w:rPr>
        <w:t xml:space="preserve"> </w:t>
      </w:r>
      <w:r w:rsidRPr="004B2EBD" w:rsidR="00743278">
        <w:rPr>
          <w:sz w:val="22"/>
          <w:szCs w:val="22"/>
        </w:rPr>
        <w:t xml:space="preserve"> </w:t>
      </w:r>
      <w:r w:rsidRPr="004B2EBD" w:rsidR="0066636E">
        <w:rPr>
          <w:sz w:val="22"/>
          <w:szCs w:val="22"/>
        </w:rPr>
        <w:t>Our action t</w:t>
      </w:r>
      <w:r w:rsidRPr="004B2EBD" w:rsidR="00987DAA">
        <w:rPr>
          <w:sz w:val="22"/>
          <w:szCs w:val="22"/>
        </w:rPr>
        <w:t>oday</w:t>
      </w:r>
      <w:r w:rsidRPr="004B2EBD" w:rsidR="00F31C5E">
        <w:rPr>
          <w:sz w:val="22"/>
          <w:szCs w:val="22"/>
        </w:rPr>
        <w:t xml:space="preserve"> </w:t>
      </w:r>
      <w:r w:rsidRPr="004B2EBD" w:rsidR="002B4887">
        <w:rPr>
          <w:sz w:val="22"/>
          <w:szCs w:val="22"/>
        </w:rPr>
        <w:t xml:space="preserve">also </w:t>
      </w:r>
      <w:r w:rsidRPr="004B2EBD" w:rsidR="0066636E">
        <w:rPr>
          <w:sz w:val="22"/>
          <w:szCs w:val="22"/>
        </w:rPr>
        <w:t xml:space="preserve">will </w:t>
      </w:r>
      <w:r w:rsidRPr="004B2EBD" w:rsidR="004A1C88">
        <w:rPr>
          <w:sz w:val="22"/>
          <w:szCs w:val="22"/>
        </w:rPr>
        <w:t xml:space="preserve">benefit </w:t>
      </w:r>
      <w:r w:rsidRPr="004B2EBD" w:rsidR="00F5404A">
        <w:rPr>
          <w:sz w:val="22"/>
          <w:szCs w:val="22"/>
        </w:rPr>
        <w:t xml:space="preserve">three </w:t>
      </w:r>
      <w:r w:rsidRPr="004B2EBD" w:rsidR="004162E7">
        <w:rPr>
          <w:sz w:val="22"/>
          <w:szCs w:val="22"/>
        </w:rPr>
        <w:t>railro</w:t>
      </w:r>
      <w:r w:rsidRPr="004B2EBD" w:rsidR="007C6A2D">
        <w:rPr>
          <w:sz w:val="22"/>
          <w:szCs w:val="22"/>
        </w:rPr>
        <w:t>a</w:t>
      </w:r>
      <w:r w:rsidRPr="004B2EBD" w:rsidR="004162E7">
        <w:rPr>
          <w:sz w:val="22"/>
          <w:szCs w:val="22"/>
        </w:rPr>
        <w:t>ds</w:t>
      </w:r>
      <w:r w:rsidRPr="004B2EBD" w:rsidR="00994BE1">
        <w:rPr>
          <w:sz w:val="22"/>
          <w:szCs w:val="22"/>
        </w:rPr>
        <w:t xml:space="preserve"> that operate as tenants on portions of </w:t>
      </w:r>
      <w:r w:rsidRPr="004B2EBD" w:rsidR="004D0B9C">
        <w:rPr>
          <w:sz w:val="22"/>
          <w:szCs w:val="22"/>
        </w:rPr>
        <w:t xml:space="preserve">the </w:t>
      </w:r>
      <w:r w:rsidRPr="004B2EBD" w:rsidR="00994BE1">
        <w:rPr>
          <w:sz w:val="22"/>
          <w:szCs w:val="22"/>
        </w:rPr>
        <w:t>SCRRA rail network</w:t>
      </w:r>
      <w:r w:rsidRPr="004B2EBD" w:rsidR="004162E7">
        <w:rPr>
          <w:sz w:val="22"/>
          <w:szCs w:val="22"/>
        </w:rPr>
        <w:t>—</w:t>
      </w:r>
      <w:r w:rsidRPr="004B2EBD" w:rsidR="00615BF0">
        <w:rPr>
          <w:sz w:val="22"/>
          <w:szCs w:val="22"/>
        </w:rPr>
        <w:t>Amtrak,</w:t>
      </w:r>
      <w:r w:rsidRPr="004B2EBD" w:rsidR="002D6AAB">
        <w:rPr>
          <w:sz w:val="22"/>
          <w:szCs w:val="22"/>
        </w:rPr>
        <w:t xml:space="preserve"> the BNSF Railway (BNSF),</w:t>
      </w:r>
      <w:r w:rsidRPr="004B2EBD" w:rsidR="00F5404A">
        <w:rPr>
          <w:sz w:val="22"/>
          <w:szCs w:val="22"/>
        </w:rPr>
        <w:t xml:space="preserve"> and </w:t>
      </w:r>
      <w:r w:rsidRPr="004B2EBD" w:rsidR="00615BF0">
        <w:rPr>
          <w:sz w:val="22"/>
          <w:szCs w:val="22"/>
        </w:rPr>
        <w:t xml:space="preserve">the </w:t>
      </w:r>
      <w:r w:rsidRPr="004B2EBD" w:rsidR="006A5A72">
        <w:rPr>
          <w:sz w:val="22"/>
          <w:szCs w:val="22"/>
        </w:rPr>
        <w:t>Union Pacific Railroad</w:t>
      </w:r>
      <w:r w:rsidRPr="004B2EBD" w:rsidR="002D6AAB">
        <w:rPr>
          <w:sz w:val="22"/>
          <w:szCs w:val="22"/>
        </w:rPr>
        <w:t xml:space="preserve"> (UP)</w:t>
      </w:r>
      <w:r w:rsidRPr="004B2EBD" w:rsidR="0098427C">
        <w:rPr>
          <w:sz w:val="22"/>
          <w:szCs w:val="22"/>
        </w:rPr>
        <w:t>.</w:t>
      </w:r>
      <w:r>
        <w:rPr>
          <w:rStyle w:val="FootnoteReference"/>
          <w:sz w:val="22"/>
          <w:szCs w:val="22"/>
        </w:rPr>
        <w:footnoteReference w:id="6"/>
      </w:r>
      <w:r w:rsidRPr="004B2EBD" w:rsidR="00615BF0">
        <w:rPr>
          <w:sz w:val="22"/>
          <w:szCs w:val="22"/>
        </w:rPr>
        <w:t xml:space="preserve"> </w:t>
      </w:r>
      <w:r w:rsidRPr="004B2EBD" w:rsidR="00411CEA">
        <w:rPr>
          <w:sz w:val="22"/>
          <w:szCs w:val="22"/>
        </w:rPr>
        <w:t xml:space="preserve"> </w:t>
      </w:r>
      <w:r w:rsidRPr="004B2EBD" w:rsidR="00743278">
        <w:rPr>
          <w:sz w:val="22"/>
          <w:szCs w:val="22"/>
        </w:rPr>
        <w:t xml:space="preserve">This grant of </w:t>
      </w:r>
      <w:r w:rsidR="00D62A95">
        <w:rPr>
          <w:sz w:val="22"/>
          <w:szCs w:val="22"/>
        </w:rPr>
        <w:t xml:space="preserve">permanent </w:t>
      </w:r>
      <w:r w:rsidRPr="004B2EBD" w:rsidR="00743278">
        <w:rPr>
          <w:sz w:val="22"/>
          <w:szCs w:val="22"/>
        </w:rPr>
        <w:t xml:space="preserve">operating authority </w:t>
      </w:r>
      <w:r w:rsidRPr="004B2EBD" w:rsidR="00CE6E37">
        <w:rPr>
          <w:sz w:val="22"/>
          <w:szCs w:val="22"/>
        </w:rPr>
        <w:t xml:space="preserve">is subject to </w:t>
      </w:r>
      <w:r w:rsidRPr="004B2EBD" w:rsidR="00C71F15">
        <w:rPr>
          <w:sz w:val="22"/>
          <w:szCs w:val="22"/>
        </w:rPr>
        <w:t xml:space="preserve">the </w:t>
      </w:r>
      <w:r w:rsidRPr="004B2EBD" w:rsidR="00CE6E37">
        <w:rPr>
          <w:sz w:val="22"/>
          <w:szCs w:val="22"/>
        </w:rPr>
        <w:t xml:space="preserve">conditions </w:t>
      </w:r>
      <w:r w:rsidRPr="004B2EBD" w:rsidR="00C026FB">
        <w:rPr>
          <w:sz w:val="22"/>
          <w:szCs w:val="22"/>
        </w:rPr>
        <w:t xml:space="preserve">we </w:t>
      </w:r>
      <w:r w:rsidRPr="004B2EBD" w:rsidR="00CE6E37">
        <w:rPr>
          <w:sz w:val="22"/>
          <w:szCs w:val="22"/>
        </w:rPr>
        <w:t>adopt below.</w:t>
      </w:r>
    </w:p>
    <w:p w:rsidR="00770105" w14:paraId="567A78D5" w14:textId="77777777">
      <w:pPr>
        <w:rPr>
          <w:sz w:val="22"/>
          <w:szCs w:val="22"/>
        </w:rPr>
      </w:pPr>
      <w:r>
        <w:rPr>
          <w:sz w:val="22"/>
          <w:szCs w:val="22"/>
        </w:rPr>
        <w:br w:type="page"/>
      </w:r>
    </w:p>
    <w:p w:rsidR="00806471" w:rsidRPr="00E16E24" w:rsidP="00E16E24" w14:paraId="49E258C4" w14:textId="7A4D4378">
      <w:pPr>
        <w:pStyle w:val="ListParagraph"/>
        <w:numPr>
          <w:ilvl w:val="0"/>
          <w:numId w:val="2"/>
        </w:numPr>
        <w:rPr>
          <w:b/>
          <w:sz w:val="22"/>
          <w:szCs w:val="22"/>
        </w:rPr>
      </w:pPr>
      <w:r w:rsidRPr="00E16E24">
        <w:rPr>
          <w:b/>
          <w:sz w:val="22"/>
          <w:szCs w:val="22"/>
        </w:rPr>
        <w:t>BACKGROUND</w:t>
      </w:r>
      <w:r w:rsidRPr="00E16E24">
        <w:rPr>
          <w:sz w:val="22"/>
          <w:szCs w:val="22"/>
        </w:rPr>
        <w:t xml:space="preserve">   </w:t>
      </w:r>
    </w:p>
    <w:p w:rsidR="00806471" w:rsidRPr="004B2EBD" w:rsidP="004B2EBD" w14:paraId="0B7427FB" w14:textId="77777777">
      <w:pPr>
        <w:ind w:firstLine="720"/>
        <w:rPr>
          <w:sz w:val="22"/>
          <w:szCs w:val="22"/>
        </w:rPr>
      </w:pPr>
    </w:p>
    <w:p w:rsidR="00502243" w:rsidP="004B2EBD" w14:paraId="6A397255" w14:textId="7E191DB5">
      <w:pPr>
        <w:ind w:firstLine="720"/>
        <w:rPr>
          <w:sz w:val="22"/>
          <w:szCs w:val="22"/>
        </w:rPr>
      </w:pPr>
      <w:r w:rsidRPr="004B2EBD">
        <w:rPr>
          <w:i/>
          <w:sz w:val="22"/>
          <w:szCs w:val="22"/>
        </w:rPr>
        <w:t>Rail Safety Improvement Act of 2008</w:t>
      </w:r>
      <w:r w:rsidRPr="004B2EBD" w:rsidR="00CE6E37">
        <w:rPr>
          <w:sz w:val="22"/>
          <w:szCs w:val="22"/>
        </w:rPr>
        <w:t xml:space="preserve">.  </w:t>
      </w:r>
      <w:r w:rsidRPr="00634C2F" w:rsidR="00634C2F">
        <w:rPr>
          <w:sz w:val="22"/>
          <w:szCs w:val="22"/>
        </w:rPr>
        <w:t xml:space="preserve">Congress established the PTC mandate in the </w:t>
      </w:r>
      <w:r w:rsidRPr="004D1B3C" w:rsidR="00634C2F">
        <w:rPr>
          <w:i/>
          <w:iCs/>
          <w:sz w:val="22"/>
          <w:szCs w:val="22"/>
        </w:rPr>
        <w:t>Rail Safety Improvement Act of 2008</w:t>
      </w:r>
      <w:r w:rsidRPr="00634C2F" w:rsidR="00634C2F">
        <w:rPr>
          <w:sz w:val="22"/>
          <w:szCs w:val="22"/>
        </w:rPr>
        <w:t xml:space="preserve"> (</w:t>
      </w:r>
      <w:r w:rsidR="003621F1">
        <w:rPr>
          <w:sz w:val="22"/>
          <w:szCs w:val="22"/>
        </w:rPr>
        <w:t>the Rail Safety Act</w:t>
      </w:r>
      <w:r w:rsidRPr="00634C2F" w:rsidR="00634C2F">
        <w:rPr>
          <w:sz w:val="22"/>
          <w:szCs w:val="22"/>
        </w:rPr>
        <w:t>)</w:t>
      </w:r>
      <w:r>
        <w:rPr>
          <w:sz w:val="22"/>
          <w:szCs w:val="22"/>
          <w:vertAlign w:val="superscript"/>
        </w:rPr>
        <w:footnoteReference w:id="7"/>
      </w:r>
      <w:r w:rsidRPr="00634C2F" w:rsidR="00634C2F">
        <w:rPr>
          <w:sz w:val="22"/>
          <w:szCs w:val="22"/>
        </w:rPr>
        <w:t xml:space="preserve"> following a catastrophic rail accident in Chatsworth, California, where, on September 12, 2008, a Metrolink commuter train collided head-on with a Union Pacific freight train, killing 25 passengers and injuring more than 100 other passengers.</w:t>
      </w:r>
      <w:r>
        <w:rPr>
          <w:sz w:val="22"/>
          <w:szCs w:val="22"/>
          <w:vertAlign w:val="superscript"/>
        </w:rPr>
        <w:footnoteReference w:id="8"/>
      </w:r>
      <w:r w:rsidRPr="00634C2F" w:rsidR="00634C2F">
        <w:rPr>
          <w:sz w:val="22"/>
          <w:szCs w:val="22"/>
        </w:rPr>
        <w:t xml:space="preserve">  The National Transportation Safety Board (NTSB) found that a Metrolink engineer failed to appropriately respond to a red signal, and that a PTC system would have stopped the Metrolink train short of the red signal preventing the fatal collision.</w:t>
      </w:r>
      <w:r>
        <w:rPr>
          <w:sz w:val="22"/>
          <w:szCs w:val="22"/>
          <w:vertAlign w:val="superscript"/>
        </w:rPr>
        <w:footnoteReference w:id="9"/>
      </w:r>
    </w:p>
    <w:p w:rsidR="00414F4E" w:rsidP="004B2EBD" w14:paraId="11C61124" w14:textId="77777777">
      <w:pPr>
        <w:ind w:firstLine="720"/>
        <w:rPr>
          <w:sz w:val="22"/>
          <w:szCs w:val="22"/>
        </w:rPr>
      </w:pPr>
    </w:p>
    <w:p w:rsidR="006B499F" w:rsidRPr="004B2EBD" w:rsidP="004B2EBD" w14:paraId="5A0C139C" w14:textId="32BF013D">
      <w:pPr>
        <w:ind w:firstLine="720"/>
        <w:rPr>
          <w:sz w:val="22"/>
          <w:szCs w:val="22"/>
        </w:rPr>
      </w:pPr>
      <w:r>
        <w:rPr>
          <w:sz w:val="22"/>
          <w:szCs w:val="22"/>
        </w:rPr>
        <w:t>T</w:t>
      </w:r>
      <w:r w:rsidR="0008699D">
        <w:rPr>
          <w:sz w:val="22"/>
          <w:szCs w:val="22"/>
        </w:rPr>
        <w:t>he Rail Safety Act</w:t>
      </w:r>
      <w:r w:rsidR="0016091E">
        <w:rPr>
          <w:sz w:val="22"/>
          <w:szCs w:val="22"/>
        </w:rPr>
        <w:t>,</w:t>
      </w:r>
      <w:r w:rsidRPr="0016091E" w:rsidR="0016091E">
        <w:rPr>
          <w:sz w:val="22"/>
          <w:szCs w:val="22"/>
        </w:rPr>
        <w:t xml:space="preserve"> </w:t>
      </w:r>
      <w:r w:rsidR="0016091E">
        <w:rPr>
          <w:sz w:val="22"/>
          <w:szCs w:val="22"/>
        </w:rPr>
        <w:t xml:space="preserve">as amended by </w:t>
      </w:r>
      <w:r w:rsidRPr="004B2EBD" w:rsidR="0016091E">
        <w:rPr>
          <w:i/>
          <w:sz w:val="22"/>
          <w:szCs w:val="22"/>
        </w:rPr>
        <w:t xml:space="preserve">the </w:t>
      </w:r>
      <w:r w:rsidRPr="004B2EBD" w:rsidR="0016091E">
        <w:rPr>
          <w:rFonts w:eastAsia="Arial"/>
          <w:i/>
          <w:sz w:val="22"/>
          <w:szCs w:val="22"/>
        </w:rPr>
        <w:t>Positive Train Control Enforcement and Implementation Act of 2015</w:t>
      </w:r>
      <w:r w:rsidRPr="0016091E" w:rsidR="0016091E">
        <w:rPr>
          <w:rFonts w:eastAsia="Arial"/>
          <w:iCs/>
          <w:sz w:val="22"/>
          <w:szCs w:val="22"/>
        </w:rPr>
        <w:t>,</w:t>
      </w:r>
      <w:r w:rsidR="0008699D">
        <w:rPr>
          <w:sz w:val="22"/>
          <w:szCs w:val="22"/>
        </w:rPr>
        <w:t xml:space="preserve"> </w:t>
      </w:r>
      <w:r w:rsidRPr="004B2EBD" w:rsidR="00CE6E37">
        <w:rPr>
          <w:sz w:val="22"/>
          <w:szCs w:val="22"/>
        </w:rPr>
        <w:t>required most U.S. freight</w:t>
      </w:r>
      <w:r w:rsidR="00D62A95">
        <w:rPr>
          <w:sz w:val="22"/>
          <w:szCs w:val="22"/>
        </w:rPr>
        <w:t>, passenger</w:t>
      </w:r>
      <w:r w:rsidR="0008699D">
        <w:rPr>
          <w:sz w:val="22"/>
          <w:szCs w:val="22"/>
        </w:rPr>
        <w:t>,</w:t>
      </w:r>
      <w:r w:rsidRPr="004B2EBD" w:rsidR="00CE6E37">
        <w:rPr>
          <w:sz w:val="22"/>
          <w:szCs w:val="22"/>
        </w:rPr>
        <w:t xml:space="preserve"> and commuter railroads to install and operate interoperable PTC systems by December 31, 2018.</w:t>
      </w:r>
      <w:r>
        <w:rPr>
          <w:rStyle w:val="FootnoteReference"/>
          <w:sz w:val="22"/>
          <w:szCs w:val="22"/>
        </w:rPr>
        <w:footnoteReference w:id="10"/>
      </w:r>
      <w:r w:rsidRPr="004B2EBD" w:rsidR="00F91FDE">
        <w:rPr>
          <w:sz w:val="22"/>
          <w:szCs w:val="22"/>
        </w:rPr>
        <w:t xml:space="preserve">  </w:t>
      </w:r>
      <w:r w:rsidR="0016091E">
        <w:rPr>
          <w:sz w:val="22"/>
          <w:szCs w:val="22"/>
        </w:rPr>
        <w:t xml:space="preserve">Four </w:t>
      </w:r>
      <w:r w:rsidRPr="004B2EBD" w:rsidR="0022381C">
        <w:rPr>
          <w:sz w:val="22"/>
          <w:szCs w:val="22"/>
        </w:rPr>
        <w:t xml:space="preserve">railroads timely </w:t>
      </w:r>
      <w:r w:rsidRPr="004B2EBD" w:rsidR="00AC2929">
        <w:rPr>
          <w:sz w:val="22"/>
          <w:szCs w:val="22"/>
        </w:rPr>
        <w:t xml:space="preserve">implemented a </w:t>
      </w:r>
      <w:r w:rsidRPr="004B2EBD" w:rsidR="0022381C">
        <w:rPr>
          <w:sz w:val="22"/>
          <w:szCs w:val="22"/>
        </w:rPr>
        <w:t>Federal Railroad Administration</w:t>
      </w:r>
      <w:r w:rsidRPr="004B2EBD" w:rsidR="0097398F">
        <w:rPr>
          <w:sz w:val="22"/>
          <w:szCs w:val="22"/>
        </w:rPr>
        <w:t xml:space="preserve"> (FRA)</w:t>
      </w:r>
      <w:r>
        <w:rPr>
          <w:rStyle w:val="FootnoteReference"/>
          <w:sz w:val="22"/>
          <w:szCs w:val="22"/>
        </w:rPr>
        <w:footnoteReference w:id="11"/>
      </w:r>
      <w:r w:rsidRPr="004B2EBD" w:rsidR="0022381C">
        <w:rPr>
          <w:sz w:val="22"/>
          <w:szCs w:val="22"/>
        </w:rPr>
        <w:t xml:space="preserve"> </w:t>
      </w:r>
      <w:r w:rsidRPr="004B2EBD" w:rsidR="00AC2929">
        <w:rPr>
          <w:sz w:val="22"/>
          <w:szCs w:val="22"/>
        </w:rPr>
        <w:t>certified</w:t>
      </w:r>
      <w:r w:rsidRPr="004B2EBD" w:rsidR="00743278">
        <w:rPr>
          <w:sz w:val="22"/>
          <w:szCs w:val="22"/>
        </w:rPr>
        <w:t>,</w:t>
      </w:r>
      <w:r w:rsidRPr="004B2EBD" w:rsidR="00AC2929">
        <w:rPr>
          <w:sz w:val="22"/>
          <w:szCs w:val="22"/>
        </w:rPr>
        <w:t xml:space="preserve"> interoperable PTC system on all of their required main lines.</w:t>
      </w:r>
      <w:r>
        <w:rPr>
          <w:rStyle w:val="FootnoteReference"/>
          <w:sz w:val="22"/>
          <w:szCs w:val="22"/>
        </w:rPr>
        <w:footnoteReference w:id="12"/>
      </w:r>
      <w:r w:rsidRPr="004B2EBD" w:rsidR="00AC2929">
        <w:rPr>
          <w:sz w:val="22"/>
          <w:szCs w:val="22"/>
        </w:rPr>
        <w:t xml:space="preserve">  </w:t>
      </w:r>
      <w:r w:rsidRPr="004B2EBD" w:rsidR="00CE6E37">
        <w:rPr>
          <w:sz w:val="22"/>
          <w:szCs w:val="22"/>
        </w:rPr>
        <w:t xml:space="preserve">As the Rail Safety Act permits, </w:t>
      </w:r>
      <w:r w:rsidR="00832E8C">
        <w:rPr>
          <w:sz w:val="22"/>
          <w:szCs w:val="22"/>
        </w:rPr>
        <w:t xml:space="preserve">the remaining </w:t>
      </w:r>
      <w:r w:rsidRPr="004B2EBD" w:rsidR="00CE6E37">
        <w:rPr>
          <w:sz w:val="22"/>
          <w:szCs w:val="22"/>
        </w:rPr>
        <w:t xml:space="preserve">railroads </w:t>
      </w:r>
      <w:r w:rsidR="00A64724">
        <w:rPr>
          <w:sz w:val="22"/>
          <w:szCs w:val="22"/>
        </w:rPr>
        <w:t xml:space="preserve">subject to the PTC mandate </w:t>
      </w:r>
      <w:r w:rsidRPr="004B2EBD" w:rsidR="00CE6E37">
        <w:rPr>
          <w:sz w:val="22"/>
          <w:szCs w:val="22"/>
        </w:rPr>
        <w:t>requested up to a 2-year extension, until December 31, 2020, to implement PTC.</w:t>
      </w:r>
      <w:r>
        <w:rPr>
          <w:rStyle w:val="FootnoteReference"/>
          <w:sz w:val="22"/>
          <w:szCs w:val="22"/>
        </w:rPr>
        <w:footnoteReference w:id="13"/>
      </w:r>
      <w:r w:rsidR="00832E8C">
        <w:rPr>
          <w:sz w:val="22"/>
          <w:szCs w:val="22"/>
        </w:rPr>
        <w:t xml:space="preserve">  </w:t>
      </w:r>
      <w:r w:rsidR="00197756">
        <w:rPr>
          <w:sz w:val="22"/>
          <w:szCs w:val="22"/>
        </w:rPr>
        <w:t xml:space="preserve">The FRA </w:t>
      </w:r>
      <w:r w:rsidR="00A64724">
        <w:rPr>
          <w:sz w:val="22"/>
          <w:szCs w:val="22"/>
        </w:rPr>
        <w:t xml:space="preserve">found </w:t>
      </w:r>
      <w:r w:rsidR="00197756">
        <w:rPr>
          <w:sz w:val="22"/>
          <w:szCs w:val="22"/>
        </w:rPr>
        <w:t>that these</w:t>
      </w:r>
      <w:r w:rsidR="004F2B6F">
        <w:rPr>
          <w:sz w:val="22"/>
          <w:szCs w:val="22"/>
        </w:rPr>
        <w:t xml:space="preserve"> railroads met the </w:t>
      </w:r>
      <w:r w:rsidRPr="004B0339" w:rsidR="004B0339">
        <w:rPr>
          <w:sz w:val="22"/>
          <w:szCs w:val="22"/>
        </w:rPr>
        <w:t xml:space="preserve">statutory criteria necessary to qualify for an </w:t>
      </w:r>
      <w:r w:rsidR="0016091E">
        <w:rPr>
          <w:sz w:val="22"/>
          <w:szCs w:val="22"/>
        </w:rPr>
        <w:t xml:space="preserve">extended implementation </w:t>
      </w:r>
      <w:r w:rsidRPr="004B0339" w:rsidR="004B0339">
        <w:rPr>
          <w:sz w:val="22"/>
          <w:szCs w:val="22"/>
        </w:rPr>
        <w:t>schedule</w:t>
      </w:r>
      <w:r w:rsidRPr="00B07B55" w:rsidR="00832E8C">
        <w:rPr>
          <w:sz w:val="22"/>
          <w:szCs w:val="22"/>
        </w:rPr>
        <w:t>.</w:t>
      </w:r>
      <w:r>
        <w:rPr>
          <w:rStyle w:val="FootnoteReference"/>
          <w:sz w:val="22"/>
          <w:szCs w:val="22"/>
        </w:rPr>
        <w:footnoteReference w:id="14"/>
      </w:r>
      <w:r w:rsidR="00832E8C">
        <w:rPr>
          <w:sz w:val="22"/>
          <w:szCs w:val="22"/>
        </w:rPr>
        <w:t xml:space="preserve">  </w:t>
      </w:r>
    </w:p>
    <w:p w:rsidR="006B499F" w:rsidRPr="004B2EBD" w:rsidP="004B2EBD" w14:paraId="21B53848" w14:textId="77777777">
      <w:pPr>
        <w:ind w:firstLine="720"/>
        <w:rPr>
          <w:sz w:val="22"/>
          <w:szCs w:val="22"/>
        </w:rPr>
      </w:pPr>
    </w:p>
    <w:p w:rsidR="00F11289" w:rsidRPr="004B2EBD" w:rsidP="004B2EBD" w14:paraId="05621D24" w14:textId="1D0DF581">
      <w:pPr>
        <w:ind w:firstLine="720"/>
        <w:rPr>
          <w:sz w:val="22"/>
          <w:szCs w:val="22"/>
        </w:rPr>
      </w:pPr>
      <w:r w:rsidRPr="004B2EBD">
        <w:rPr>
          <w:sz w:val="22"/>
          <w:szCs w:val="22"/>
        </w:rPr>
        <w:t>PTC systems are designed to reduce the risk of human-error rail accidents, by “prevent[ing] train-to-train collisions, over-speed derailments, incursions into established work zone limits, and the movement of a train through a switch left in the wrong position.”</w:t>
      </w:r>
      <w:r>
        <w:rPr>
          <w:rStyle w:val="FootnoteReference"/>
          <w:sz w:val="22"/>
          <w:szCs w:val="22"/>
        </w:rPr>
        <w:footnoteReference w:id="15"/>
      </w:r>
      <w:r w:rsidRPr="004B2EBD">
        <w:rPr>
          <w:sz w:val="22"/>
          <w:szCs w:val="22"/>
        </w:rPr>
        <w:t xml:space="preserve">  </w:t>
      </w:r>
      <w:bookmarkStart w:id="5" w:name="co_pp_sp_4493_10883_1"/>
      <w:bookmarkEnd w:id="5"/>
      <w:r w:rsidRPr="004B2EBD">
        <w:rPr>
          <w:sz w:val="22"/>
          <w:szCs w:val="22"/>
        </w:rPr>
        <w:t xml:space="preserve">The U.S. rail industry has chosen to implement PTC </w:t>
      </w:r>
      <w:r w:rsidR="008B3701">
        <w:rPr>
          <w:sz w:val="22"/>
          <w:szCs w:val="22"/>
        </w:rPr>
        <w:t>through</w:t>
      </w:r>
      <w:r w:rsidRPr="003525EB" w:rsidR="003525EB">
        <w:rPr>
          <w:sz w:val="22"/>
          <w:szCs w:val="22"/>
        </w:rPr>
        <w:t xml:space="preserve"> </w:t>
      </w:r>
      <w:r w:rsidRPr="004B2EBD" w:rsidR="003525EB">
        <w:rPr>
          <w:sz w:val="22"/>
          <w:szCs w:val="22"/>
        </w:rPr>
        <w:t xml:space="preserve">wireless networks </w:t>
      </w:r>
      <w:r w:rsidR="003525EB">
        <w:rPr>
          <w:sz w:val="22"/>
          <w:szCs w:val="22"/>
        </w:rPr>
        <w:t xml:space="preserve">that </w:t>
      </w:r>
      <w:r w:rsidRPr="004B2EBD">
        <w:rPr>
          <w:sz w:val="22"/>
          <w:szCs w:val="22"/>
        </w:rPr>
        <w:t>us</w:t>
      </w:r>
      <w:r w:rsidR="003525EB">
        <w:rPr>
          <w:sz w:val="22"/>
          <w:szCs w:val="22"/>
        </w:rPr>
        <w:t>e</w:t>
      </w:r>
      <w:r w:rsidRPr="004B2EBD">
        <w:rPr>
          <w:sz w:val="22"/>
          <w:szCs w:val="22"/>
        </w:rPr>
        <w:t xml:space="preserve"> radio spectrum</w:t>
      </w:r>
      <w:r w:rsidRPr="004B2EBD" w:rsidR="00817680">
        <w:rPr>
          <w:sz w:val="22"/>
          <w:szCs w:val="22"/>
        </w:rPr>
        <w:t xml:space="preserve">.  These networks have </w:t>
      </w:r>
      <w:r w:rsidRPr="004B2EBD">
        <w:rPr>
          <w:sz w:val="22"/>
          <w:szCs w:val="22"/>
        </w:rPr>
        <w:t xml:space="preserve">the capacity to enable real-time information sharing between trains, rail wayside devices, and “back office” applications, </w:t>
      </w:r>
      <w:r w:rsidRPr="004B2EBD">
        <w:rPr>
          <w:sz w:val="22"/>
          <w:szCs w:val="22"/>
        </w:rPr>
        <w:t>regarding train movement authorities, speed restrictions, train position and speed, and the state of signal and switch devices.</w:t>
      </w:r>
    </w:p>
    <w:p w:rsidR="00F11289" w:rsidRPr="004B2EBD" w:rsidP="004B2EBD" w14:paraId="6B8BA3B5" w14:textId="77777777">
      <w:pPr>
        <w:ind w:firstLine="720"/>
        <w:rPr>
          <w:sz w:val="22"/>
          <w:szCs w:val="22"/>
        </w:rPr>
      </w:pPr>
    </w:p>
    <w:p w:rsidR="00CF0891" w:rsidRPr="004B2EBD" w:rsidP="004B2EBD" w14:paraId="3EEA5850" w14:textId="3E729AC3">
      <w:pPr>
        <w:ind w:firstLine="720"/>
        <w:rPr>
          <w:sz w:val="22"/>
          <w:szCs w:val="22"/>
        </w:rPr>
      </w:pPr>
      <w:r w:rsidRPr="004B2EBD">
        <w:rPr>
          <w:i/>
          <w:sz w:val="22"/>
          <w:szCs w:val="22"/>
        </w:rPr>
        <w:t>SCRRA</w:t>
      </w:r>
      <w:r w:rsidRPr="004B2EBD" w:rsidR="00736607">
        <w:rPr>
          <w:i/>
          <w:sz w:val="22"/>
          <w:szCs w:val="22"/>
        </w:rPr>
        <w:t>/Metrolink</w:t>
      </w:r>
      <w:r w:rsidRPr="004B2EBD">
        <w:rPr>
          <w:sz w:val="22"/>
          <w:szCs w:val="22"/>
        </w:rPr>
        <w:t xml:space="preserve">. </w:t>
      </w:r>
      <w:r w:rsidRPr="004B2EBD">
        <w:rPr>
          <w:sz w:val="22"/>
          <w:szCs w:val="22"/>
        </w:rPr>
        <w:t xml:space="preserve"> SCRRA</w:t>
      </w:r>
      <w:r w:rsidRPr="004B2EBD" w:rsidR="000166B4">
        <w:rPr>
          <w:sz w:val="22"/>
          <w:szCs w:val="22"/>
        </w:rPr>
        <w:t xml:space="preserve"> is </w:t>
      </w:r>
      <w:r w:rsidRPr="004B2EBD">
        <w:rPr>
          <w:sz w:val="22"/>
          <w:szCs w:val="22"/>
        </w:rPr>
        <w:t>a</w:t>
      </w:r>
      <w:r w:rsidRPr="004B2EBD" w:rsidR="00736607">
        <w:rPr>
          <w:sz w:val="22"/>
          <w:szCs w:val="22"/>
        </w:rPr>
        <w:t xml:space="preserve"> joint powers authority </w:t>
      </w:r>
      <w:r w:rsidRPr="004B2EBD" w:rsidR="00817680">
        <w:rPr>
          <w:sz w:val="22"/>
          <w:szCs w:val="22"/>
        </w:rPr>
        <w:t xml:space="preserve">of </w:t>
      </w:r>
      <w:r w:rsidRPr="004B2EBD" w:rsidR="00566244">
        <w:rPr>
          <w:sz w:val="22"/>
          <w:szCs w:val="22"/>
        </w:rPr>
        <w:t xml:space="preserve">the </w:t>
      </w:r>
      <w:r w:rsidRPr="004B2EBD" w:rsidR="00817680">
        <w:rPr>
          <w:sz w:val="22"/>
          <w:szCs w:val="22"/>
        </w:rPr>
        <w:t xml:space="preserve">transportation commissions </w:t>
      </w:r>
      <w:r w:rsidRPr="004B2EBD" w:rsidR="00736607">
        <w:rPr>
          <w:sz w:val="22"/>
          <w:szCs w:val="22"/>
        </w:rPr>
        <w:t xml:space="preserve">representing </w:t>
      </w:r>
      <w:r w:rsidRPr="004B2EBD" w:rsidR="0097398F">
        <w:rPr>
          <w:sz w:val="22"/>
          <w:szCs w:val="22"/>
        </w:rPr>
        <w:t>Lo</w:t>
      </w:r>
      <w:r w:rsidRPr="004B2EBD" w:rsidR="00736607">
        <w:rPr>
          <w:sz w:val="22"/>
          <w:szCs w:val="22"/>
        </w:rPr>
        <w:t>s Angeles, Orange, Riverside, San Bernardino</w:t>
      </w:r>
      <w:r w:rsidRPr="004B2EBD" w:rsidR="00277461">
        <w:rPr>
          <w:sz w:val="22"/>
          <w:szCs w:val="22"/>
        </w:rPr>
        <w:t>,</w:t>
      </w:r>
      <w:r w:rsidRPr="004B2EBD" w:rsidR="00736607">
        <w:rPr>
          <w:sz w:val="22"/>
          <w:szCs w:val="22"/>
        </w:rPr>
        <w:t xml:space="preserve"> and Ventura</w:t>
      </w:r>
      <w:r w:rsidRPr="004B2EBD" w:rsidR="000E3003">
        <w:rPr>
          <w:sz w:val="22"/>
          <w:szCs w:val="22"/>
        </w:rPr>
        <w:t xml:space="preserve"> counties</w:t>
      </w:r>
      <w:r w:rsidRPr="004B2EBD" w:rsidR="0097398F">
        <w:rPr>
          <w:sz w:val="22"/>
          <w:szCs w:val="22"/>
        </w:rPr>
        <w:t>.</w:t>
      </w:r>
      <w:r>
        <w:rPr>
          <w:rStyle w:val="FootnoteReference"/>
          <w:sz w:val="22"/>
          <w:szCs w:val="22"/>
        </w:rPr>
        <w:footnoteReference w:id="16"/>
      </w:r>
      <w:r w:rsidRPr="004B2EBD" w:rsidR="0097398F">
        <w:rPr>
          <w:sz w:val="22"/>
          <w:szCs w:val="22"/>
        </w:rPr>
        <w:t xml:space="preserve">  </w:t>
      </w:r>
      <w:r w:rsidRPr="004B2EBD">
        <w:rPr>
          <w:sz w:val="22"/>
          <w:szCs w:val="22"/>
        </w:rPr>
        <w:t>Metrolink</w:t>
      </w:r>
      <w:r w:rsidRPr="004B2EBD" w:rsidR="009D1D39">
        <w:rPr>
          <w:sz w:val="22"/>
          <w:szCs w:val="22"/>
        </w:rPr>
        <w:t xml:space="preserve"> </w:t>
      </w:r>
      <w:r w:rsidRPr="004B2EBD" w:rsidR="00C13642">
        <w:rPr>
          <w:sz w:val="22"/>
          <w:szCs w:val="22"/>
        </w:rPr>
        <w:t xml:space="preserve">commenced service </w:t>
      </w:r>
      <w:r w:rsidRPr="004B2EBD">
        <w:rPr>
          <w:sz w:val="22"/>
          <w:szCs w:val="22"/>
        </w:rPr>
        <w:t>in October 1992</w:t>
      </w:r>
      <w:r w:rsidRPr="004B2EBD" w:rsidR="00070796">
        <w:rPr>
          <w:sz w:val="22"/>
          <w:szCs w:val="22"/>
        </w:rPr>
        <w:t>.</w:t>
      </w:r>
      <w:r>
        <w:rPr>
          <w:rStyle w:val="FootnoteReference"/>
          <w:sz w:val="22"/>
          <w:szCs w:val="22"/>
        </w:rPr>
        <w:footnoteReference w:id="17"/>
      </w:r>
      <w:r w:rsidRPr="004B2EBD" w:rsidR="00070796">
        <w:rPr>
          <w:sz w:val="22"/>
          <w:szCs w:val="22"/>
        </w:rPr>
        <w:t xml:space="preserve"> </w:t>
      </w:r>
      <w:r w:rsidRPr="004B2EBD" w:rsidR="00114700">
        <w:rPr>
          <w:sz w:val="22"/>
          <w:szCs w:val="22"/>
        </w:rPr>
        <w:t>Metrolink operates seven train lines serving 61 stations, with over 409 route miles of track.</w:t>
      </w:r>
      <w:r>
        <w:rPr>
          <w:rStyle w:val="FootnoteReference"/>
          <w:sz w:val="22"/>
          <w:szCs w:val="22"/>
        </w:rPr>
        <w:footnoteReference w:id="18"/>
      </w:r>
      <w:r w:rsidRPr="004B2EBD" w:rsidR="00114700">
        <w:rPr>
          <w:sz w:val="22"/>
          <w:szCs w:val="22"/>
        </w:rPr>
        <w:t xml:space="preserve">  On an average weekday, Metrolink serves </w:t>
      </w:r>
      <w:r w:rsidRPr="004B2EBD" w:rsidR="00566244">
        <w:rPr>
          <w:sz w:val="22"/>
          <w:szCs w:val="22"/>
        </w:rPr>
        <w:t>nearly 40</w:t>
      </w:r>
      <w:r w:rsidRPr="004B2EBD" w:rsidR="00114700">
        <w:rPr>
          <w:sz w:val="22"/>
          <w:szCs w:val="22"/>
        </w:rPr>
        <w:t>,</w:t>
      </w:r>
      <w:r w:rsidRPr="004B2EBD" w:rsidR="00566244">
        <w:rPr>
          <w:sz w:val="22"/>
          <w:szCs w:val="22"/>
        </w:rPr>
        <w:t>000</w:t>
      </w:r>
      <w:r w:rsidRPr="004B2EBD" w:rsidR="00114700">
        <w:rPr>
          <w:sz w:val="22"/>
          <w:szCs w:val="22"/>
        </w:rPr>
        <w:t xml:space="preserve"> riders.</w:t>
      </w:r>
      <w:r>
        <w:rPr>
          <w:rStyle w:val="FootnoteReference"/>
          <w:sz w:val="22"/>
          <w:szCs w:val="22"/>
        </w:rPr>
        <w:footnoteReference w:id="19"/>
      </w:r>
      <w:r w:rsidRPr="004B2EBD" w:rsidR="00114700">
        <w:rPr>
          <w:sz w:val="22"/>
          <w:szCs w:val="22"/>
        </w:rPr>
        <w:t xml:space="preserve">  </w:t>
      </w:r>
      <w:r w:rsidRPr="004B2EBD" w:rsidR="00566244">
        <w:rPr>
          <w:sz w:val="22"/>
          <w:szCs w:val="22"/>
        </w:rPr>
        <w:t xml:space="preserve">Metrolink </w:t>
      </w:r>
      <w:r w:rsidRPr="004B2EBD" w:rsidR="000166B4">
        <w:rPr>
          <w:sz w:val="22"/>
          <w:szCs w:val="22"/>
        </w:rPr>
        <w:t xml:space="preserve">serves as a host </w:t>
      </w:r>
      <w:r w:rsidRPr="004B2EBD" w:rsidR="00F10B64">
        <w:rPr>
          <w:sz w:val="22"/>
          <w:szCs w:val="22"/>
        </w:rPr>
        <w:t xml:space="preserve">railroad </w:t>
      </w:r>
      <w:r w:rsidRPr="004B2EBD" w:rsidR="00114700">
        <w:rPr>
          <w:sz w:val="22"/>
          <w:szCs w:val="22"/>
        </w:rPr>
        <w:t xml:space="preserve">on portions of its track </w:t>
      </w:r>
      <w:r w:rsidRPr="004B2EBD" w:rsidR="00F10B64">
        <w:rPr>
          <w:sz w:val="22"/>
          <w:szCs w:val="22"/>
        </w:rPr>
        <w:t xml:space="preserve">for </w:t>
      </w:r>
      <w:r w:rsidRPr="004B2EBD" w:rsidR="00E63D8D">
        <w:rPr>
          <w:sz w:val="22"/>
          <w:szCs w:val="22"/>
        </w:rPr>
        <w:t xml:space="preserve">tenant rails </w:t>
      </w:r>
      <w:r w:rsidRPr="004B2EBD" w:rsidR="00C97D0E">
        <w:rPr>
          <w:sz w:val="22"/>
          <w:szCs w:val="22"/>
        </w:rPr>
        <w:t xml:space="preserve">Amtrak, </w:t>
      </w:r>
      <w:r w:rsidRPr="004B2EBD" w:rsidR="00A0245A">
        <w:rPr>
          <w:sz w:val="22"/>
          <w:szCs w:val="22"/>
        </w:rPr>
        <w:t>BNSF,</w:t>
      </w:r>
      <w:r w:rsidRPr="004B2EBD" w:rsidR="00CE383A">
        <w:rPr>
          <w:sz w:val="22"/>
          <w:szCs w:val="22"/>
        </w:rPr>
        <w:t xml:space="preserve"> and </w:t>
      </w:r>
      <w:r w:rsidRPr="004B2EBD" w:rsidR="00F10B64">
        <w:rPr>
          <w:sz w:val="22"/>
          <w:szCs w:val="22"/>
        </w:rPr>
        <w:t>UP.</w:t>
      </w:r>
      <w:r>
        <w:rPr>
          <w:rStyle w:val="FootnoteReference"/>
          <w:sz w:val="22"/>
          <w:szCs w:val="22"/>
        </w:rPr>
        <w:footnoteReference w:id="20"/>
      </w:r>
      <w:r w:rsidRPr="004B2EBD" w:rsidR="00F10B64">
        <w:rPr>
          <w:sz w:val="22"/>
          <w:szCs w:val="22"/>
        </w:rPr>
        <w:t xml:space="preserve">  </w:t>
      </w:r>
      <w:r w:rsidRPr="004B2EBD" w:rsidR="00566244">
        <w:rPr>
          <w:sz w:val="22"/>
          <w:szCs w:val="22"/>
        </w:rPr>
        <w:t>Metrolink</w:t>
      </w:r>
      <w:r w:rsidRPr="004B2EBD" w:rsidR="00654210">
        <w:rPr>
          <w:sz w:val="22"/>
          <w:szCs w:val="22"/>
        </w:rPr>
        <w:t xml:space="preserve"> </w:t>
      </w:r>
      <w:r w:rsidR="008B3701">
        <w:rPr>
          <w:sz w:val="22"/>
          <w:szCs w:val="22"/>
        </w:rPr>
        <w:t xml:space="preserve">also </w:t>
      </w:r>
      <w:r w:rsidRPr="004B2EBD" w:rsidR="005C3939">
        <w:rPr>
          <w:sz w:val="22"/>
          <w:szCs w:val="22"/>
        </w:rPr>
        <w:t xml:space="preserve">operates </w:t>
      </w:r>
      <w:r w:rsidRPr="004B2EBD" w:rsidR="008B3701">
        <w:rPr>
          <w:sz w:val="22"/>
          <w:szCs w:val="22"/>
        </w:rPr>
        <w:t xml:space="preserve">within its territory </w:t>
      </w:r>
      <w:r w:rsidRPr="004B2EBD" w:rsidR="005C3939">
        <w:rPr>
          <w:sz w:val="22"/>
          <w:szCs w:val="22"/>
        </w:rPr>
        <w:t>as</w:t>
      </w:r>
      <w:r w:rsidRPr="004B2EBD" w:rsidR="00F10B64">
        <w:rPr>
          <w:sz w:val="22"/>
          <w:szCs w:val="22"/>
        </w:rPr>
        <w:t xml:space="preserve"> a tenant railroad on </w:t>
      </w:r>
      <w:r w:rsidRPr="004B2EBD" w:rsidR="005C3939">
        <w:rPr>
          <w:sz w:val="22"/>
          <w:szCs w:val="22"/>
        </w:rPr>
        <w:t xml:space="preserve">track </w:t>
      </w:r>
      <w:r w:rsidRPr="004B2EBD" w:rsidR="00F10B64">
        <w:rPr>
          <w:sz w:val="22"/>
          <w:szCs w:val="22"/>
        </w:rPr>
        <w:t>hosted</w:t>
      </w:r>
      <w:r w:rsidRPr="004B2EBD" w:rsidR="005C3939">
        <w:rPr>
          <w:sz w:val="22"/>
          <w:szCs w:val="22"/>
        </w:rPr>
        <w:t xml:space="preserve"> (</w:t>
      </w:r>
      <w:r w:rsidRPr="004B2EBD" w:rsidR="005C3939">
        <w:rPr>
          <w:i/>
          <w:iCs/>
          <w:sz w:val="22"/>
          <w:szCs w:val="22"/>
        </w:rPr>
        <w:t>i.e.</w:t>
      </w:r>
      <w:r w:rsidRPr="004B2EBD" w:rsidR="005C3939">
        <w:rPr>
          <w:sz w:val="22"/>
          <w:szCs w:val="22"/>
        </w:rPr>
        <w:t>, owned and operated)</w:t>
      </w:r>
      <w:r w:rsidRPr="004B2EBD" w:rsidR="00F10B64">
        <w:rPr>
          <w:sz w:val="22"/>
          <w:szCs w:val="22"/>
        </w:rPr>
        <w:t xml:space="preserve"> by BNSF</w:t>
      </w:r>
      <w:r w:rsidRPr="004B2EBD" w:rsidR="0022640F">
        <w:rPr>
          <w:sz w:val="22"/>
          <w:szCs w:val="22"/>
        </w:rPr>
        <w:t xml:space="preserve"> </w:t>
      </w:r>
      <w:r w:rsidRPr="004B2EBD" w:rsidR="00B24A14">
        <w:rPr>
          <w:sz w:val="22"/>
          <w:szCs w:val="22"/>
        </w:rPr>
        <w:t xml:space="preserve">and </w:t>
      </w:r>
      <w:r w:rsidRPr="004B2EBD" w:rsidR="00F10B64">
        <w:rPr>
          <w:sz w:val="22"/>
          <w:szCs w:val="22"/>
        </w:rPr>
        <w:t>UP.</w:t>
      </w:r>
      <w:r>
        <w:rPr>
          <w:rStyle w:val="FootnoteReference"/>
          <w:sz w:val="22"/>
          <w:szCs w:val="22"/>
        </w:rPr>
        <w:footnoteReference w:id="21"/>
      </w:r>
      <w:r w:rsidRPr="004B2EBD" w:rsidR="00A0245A">
        <w:rPr>
          <w:sz w:val="22"/>
          <w:szCs w:val="22"/>
        </w:rPr>
        <w:t xml:space="preserve">  </w:t>
      </w:r>
      <w:r w:rsidRPr="004B2EBD" w:rsidR="005A018D">
        <w:rPr>
          <w:sz w:val="22"/>
          <w:szCs w:val="22"/>
        </w:rPr>
        <w:t>SCRRA has invested more than $220 million to deploy PTC.</w:t>
      </w:r>
      <w:r>
        <w:rPr>
          <w:rStyle w:val="FootnoteReference"/>
          <w:sz w:val="22"/>
          <w:szCs w:val="22"/>
        </w:rPr>
        <w:footnoteReference w:id="22"/>
      </w:r>
      <w:r w:rsidRPr="004B2EBD" w:rsidR="005A018D">
        <w:rPr>
          <w:sz w:val="22"/>
          <w:szCs w:val="22"/>
        </w:rPr>
        <w:t xml:space="preserve">       </w:t>
      </w:r>
    </w:p>
    <w:p w:rsidR="00806471" w:rsidRPr="004B2EBD" w:rsidP="004B2EBD" w14:paraId="4B3120BD" w14:textId="77777777">
      <w:pPr>
        <w:ind w:firstLine="720"/>
        <w:rPr>
          <w:i/>
          <w:sz w:val="22"/>
          <w:szCs w:val="22"/>
        </w:rPr>
      </w:pPr>
    </w:p>
    <w:p w:rsidR="00EB36EE" w:rsidRPr="004B2EBD" w:rsidP="004B2EBD" w14:paraId="70C14D3E" w14:textId="550D8DE1">
      <w:pPr>
        <w:ind w:firstLine="720"/>
        <w:rPr>
          <w:sz w:val="22"/>
          <w:szCs w:val="22"/>
        </w:rPr>
      </w:pPr>
      <w:r w:rsidRPr="004B2EBD">
        <w:rPr>
          <w:i/>
          <w:sz w:val="22"/>
          <w:szCs w:val="22"/>
        </w:rPr>
        <w:t xml:space="preserve">Spectrum </w:t>
      </w:r>
      <w:r w:rsidRPr="004B2EBD" w:rsidR="00554C5F">
        <w:rPr>
          <w:i/>
          <w:sz w:val="22"/>
          <w:szCs w:val="22"/>
        </w:rPr>
        <w:t>Acquisition and A</w:t>
      </w:r>
      <w:r w:rsidRPr="004B2EBD">
        <w:rPr>
          <w:i/>
          <w:sz w:val="22"/>
          <w:szCs w:val="22"/>
        </w:rPr>
        <w:t>uthorization</w:t>
      </w:r>
      <w:r w:rsidRPr="004B2EBD">
        <w:rPr>
          <w:sz w:val="22"/>
          <w:szCs w:val="22"/>
        </w:rPr>
        <w:t xml:space="preserve">.  </w:t>
      </w:r>
      <w:r w:rsidRPr="004B2EBD" w:rsidR="00554C5F">
        <w:rPr>
          <w:sz w:val="22"/>
          <w:szCs w:val="22"/>
        </w:rPr>
        <w:t xml:space="preserve">SCRRA </w:t>
      </w:r>
      <w:r w:rsidR="00BF2548">
        <w:rPr>
          <w:sz w:val="22"/>
          <w:szCs w:val="22"/>
        </w:rPr>
        <w:t xml:space="preserve">first </w:t>
      </w:r>
      <w:r w:rsidRPr="004B2EBD" w:rsidR="00736607">
        <w:rPr>
          <w:sz w:val="22"/>
          <w:szCs w:val="22"/>
        </w:rPr>
        <w:t xml:space="preserve">applied to </w:t>
      </w:r>
      <w:r w:rsidR="00BF2548">
        <w:rPr>
          <w:sz w:val="22"/>
          <w:szCs w:val="22"/>
        </w:rPr>
        <w:t xml:space="preserve">the Commission to </w:t>
      </w:r>
      <w:r w:rsidRPr="004B2EBD" w:rsidR="00554C5F">
        <w:rPr>
          <w:sz w:val="22"/>
          <w:szCs w:val="22"/>
        </w:rPr>
        <w:t xml:space="preserve">acquire </w:t>
      </w:r>
      <w:r w:rsidRPr="004B2EBD" w:rsidR="00E72383">
        <w:rPr>
          <w:sz w:val="22"/>
          <w:szCs w:val="22"/>
        </w:rPr>
        <w:t xml:space="preserve">spectrum </w:t>
      </w:r>
      <w:r w:rsidRPr="004B2EBD" w:rsidR="009D1D39">
        <w:rPr>
          <w:sz w:val="22"/>
          <w:szCs w:val="22"/>
        </w:rPr>
        <w:t xml:space="preserve">in 2010, </w:t>
      </w:r>
      <w:r w:rsidRPr="004B2EBD" w:rsidR="00E72383">
        <w:rPr>
          <w:sz w:val="22"/>
          <w:szCs w:val="22"/>
        </w:rPr>
        <w:t xml:space="preserve">by </w:t>
      </w:r>
      <w:r w:rsidR="00BF2548">
        <w:rPr>
          <w:sz w:val="22"/>
          <w:szCs w:val="22"/>
        </w:rPr>
        <w:t xml:space="preserve">requesting to </w:t>
      </w:r>
      <w:r w:rsidRPr="004B2EBD" w:rsidR="00E72383">
        <w:rPr>
          <w:sz w:val="22"/>
          <w:szCs w:val="22"/>
        </w:rPr>
        <w:t xml:space="preserve">partition an area comprising Metrolink’s </w:t>
      </w:r>
      <w:r w:rsidRPr="004B2EBD" w:rsidR="00180773">
        <w:rPr>
          <w:sz w:val="22"/>
          <w:szCs w:val="22"/>
        </w:rPr>
        <w:t>five</w:t>
      </w:r>
      <w:r w:rsidRPr="004B2EBD" w:rsidR="00E72383">
        <w:rPr>
          <w:sz w:val="22"/>
          <w:szCs w:val="22"/>
        </w:rPr>
        <w:t>-county service territory</w:t>
      </w:r>
      <w:r w:rsidRPr="004B2EBD" w:rsidR="00554C5F">
        <w:rPr>
          <w:sz w:val="22"/>
          <w:szCs w:val="22"/>
        </w:rPr>
        <w:t xml:space="preserve"> </w:t>
      </w:r>
      <w:r w:rsidRPr="004B2EBD" w:rsidR="00FF081B">
        <w:rPr>
          <w:sz w:val="22"/>
          <w:szCs w:val="22"/>
        </w:rPr>
        <w:t xml:space="preserve">and </w:t>
      </w:r>
      <w:r w:rsidRPr="004B2EBD" w:rsidR="00C8740D">
        <w:rPr>
          <w:sz w:val="22"/>
          <w:szCs w:val="22"/>
        </w:rPr>
        <w:t xml:space="preserve">neighboring </w:t>
      </w:r>
      <w:r w:rsidRPr="004B2EBD" w:rsidR="009A1C86">
        <w:rPr>
          <w:sz w:val="22"/>
          <w:szCs w:val="22"/>
        </w:rPr>
        <w:t>San</w:t>
      </w:r>
      <w:r w:rsidRPr="004B2EBD" w:rsidR="00FF081B">
        <w:rPr>
          <w:sz w:val="22"/>
          <w:szCs w:val="22"/>
        </w:rPr>
        <w:t xml:space="preserve"> D</w:t>
      </w:r>
      <w:r w:rsidRPr="004B2EBD" w:rsidR="009A1C86">
        <w:rPr>
          <w:sz w:val="22"/>
          <w:szCs w:val="22"/>
        </w:rPr>
        <w:t>ie</w:t>
      </w:r>
      <w:r w:rsidRPr="004B2EBD" w:rsidR="00FF081B">
        <w:rPr>
          <w:sz w:val="22"/>
          <w:szCs w:val="22"/>
        </w:rPr>
        <w:t xml:space="preserve">go </w:t>
      </w:r>
      <w:r w:rsidRPr="004B2EBD" w:rsidR="009A1C86">
        <w:rPr>
          <w:sz w:val="22"/>
          <w:szCs w:val="22"/>
        </w:rPr>
        <w:t>County</w:t>
      </w:r>
      <w:r w:rsidRPr="004B2EBD" w:rsidR="00FF081B">
        <w:rPr>
          <w:sz w:val="22"/>
          <w:szCs w:val="22"/>
        </w:rPr>
        <w:t xml:space="preserve"> </w:t>
      </w:r>
      <w:r w:rsidRPr="004B2EBD" w:rsidR="00554C5F">
        <w:rPr>
          <w:sz w:val="22"/>
          <w:szCs w:val="22"/>
        </w:rPr>
        <w:t xml:space="preserve">from AMTS </w:t>
      </w:r>
      <w:r w:rsidRPr="004B2EBD" w:rsidR="00CB242A">
        <w:rPr>
          <w:sz w:val="22"/>
          <w:szCs w:val="22"/>
        </w:rPr>
        <w:t xml:space="preserve">License </w:t>
      </w:r>
      <w:r w:rsidRPr="004B2EBD" w:rsidR="00554C5F">
        <w:rPr>
          <w:sz w:val="22"/>
          <w:szCs w:val="22"/>
        </w:rPr>
        <w:t>WQGF318,</w:t>
      </w:r>
      <w:r>
        <w:rPr>
          <w:rStyle w:val="FootnoteReference"/>
          <w:sz w:val="22"/>
          <w:szCs w:val="22"/>
        </w:rPr>
        <w:footnoteReference w:id="23"/>
      </w:r>
      <w:r w:rsidRPr="004B2EBD" w:rsidR="00554C5F">
        <w:rPr>
          <w:sz w:val="22"/>
          <w:szCs w:val="22"/>
        </w:rPr>
        <w:t xml:space="preserve"> licensed to Maritime Communications/Land Mobile, LLC (MCLM).</w:t>
      </w:r>
      <w:r>
        <w:rPr>
          <w:rStyle w:val="FootnoteReference"/>
          <w:sz w:val="22"/>
          <w:szCs w:val="22"/>
        </w:rPr>
        <w:footnoteReference w:id="24"/>
      </w:r>
      <w:r w:rsidRPr="004B2EBD" w:rsidR="00E64F17">
        <w:rPr>
          <w:sz w:val="22"/>
          <w:szCs w:val="22"/>
        </w:rPr>
        <w:t xml:space="preserve">  </w:t>
      </w:r>
      <w:r w:rsidRPr="004B2EBD" w:rsidR="001758CF">
        <w:rPr>
          <w:sz w:val="22"/>
          <w:szCs w:val="22"/>
        </w:rPr>
        <w:t>SCRRA</w:t>
      </w:r>
      <w:r w:rsidRPr="004B2EBD" w:rsidR="00D855B7">
        <w:rPr>
          <w:sz w:val="22"/>
          <w:szCs w:val="22"/>
        </w:rPr>
        <w:t>’s</w:t>
      </w:r>
      <w:r w:rsidRPr="004B2EBD" w:rsidR="001758CF">
        <w:rPr>
          <w:sz w:val="22"/>
          <w:szCs w:val="22"/>
        </w:rPr>
        <w:t xml:space="preserve"> </w:t>
      </w:r>
      <w:r w:rsidRPr="004B2EBD" w:rsidR="00745F6B">
        <w:rPr>
          <w:sz w:val="22"/>
          <w:szCs w:val="22"/>
        </w:rPr>
        <w:t>Assignment A</w:t>
      </w:r>
      <w:r w:rsidRPr="004B2EBD" w:rsidR="00E72383">
        <w:rPr>
          <w:sz w:val="22"/>
          <w:szCs w:val="22"/>
        </w:rPr>
        <w:t xml:space="preserve">pplication included </w:t>
      </w:r>
      <w:r w:rsidRPr="004B2EBD" w:rsidR="001758CF">
        <w:rPr>
          <w:sz w:val="22"/>
          <w:szCs w:val="22"/>
        </w:rPr>
        <w:t>a</w:t>
      </w:r>
      <w:r w:rsidRPr="004B2EBD" w:rsidR="00745F6B">
        <w:rPr>
          <w:sz w:val="22"/>
          <w:szCs w:val="22"/>
        </w:rPr>
        <w:t xml:space="preserve"> </w:t>
      </w:r>
      <w:r w:rsidRPr="004B2EBD" w:rsidR="00E72383">
        <w:rPr>
          <w:sz w:val="22"/>
          <w:szCs w:val="22"/>
        </w:rPr>
        <w:t xml:space="preserve">request </w:t>
      </w:r>
      <w:r w:rsidRPr="004B2EBD" w:rsidR="00E64F17">
        <w:rPr>
          <w:sz w:val="22"/>
          <w:szCs w:val="22"/>
        </w:rPr>
        <w:t xml:space="preserve">for </w:t>
      </w:r>
      <w:r w:rsidRPr="004B2EBD" w:rsidR="00D855B7">
        <w:rPr>
          <w:sz w:val="22"/>
          <w:szCs w:val="22"/>
        </w:rPr>
        <w:t xml:space="preserve">waiver of several </w:t>
      </w:r>
      <w:r w:rsidRPr="004B2EBD" w:rsidR="001758CF">
        <w:rPr>
          <w:sz w:val="22"/>
          <w:szCs w:val="22"/>
        </w:rPr>
        <w:t xml:space="preserve">technical </w:t>
      </w:r>
      <w:r w:rsidRPr="004B2EBD" w:rsidR="00E72383">
        <w:rPr>
          <w:sz w:val="22"/>
          <w:szCs w:val="22"/>
        </w:rPr>
        <w:t>rule</w:t>
      </w:r>
      <w:r w:rsidRPr="004B2EBD" w:rsidR="00D855B7">
        <w:rPr>
          <w:sz w:val="22"/>
          <w:szCs w:val="22"/>
        </w:rPr>
        <w:t>s</w:t>
      </w:r>
      <w:r w:rsidRPr="004B2EBD" w:rsidR="00B46FA8">
        <w:rPr>
          <w:sz w:val="22"/>
          <w:szCs w:val="22"/>
        </w:rPr>
        <w:t xml:space="preserve"> to facilitate </w:t>
      </w:r>
      <w:r w:rsidRPr="004B2EBD" w:rsidR="009D1D39">
        <w:rPr>
          <w:sz w:val="22"/>
          <w:szCs w:val="22"/>
        </w:rPr>
        <w:t xml:space="preserve">Metrolink’s </w:t>
      </w:r>
      <w:r w:rsidRPr="004B2EBD" w:rsidR="00B46FA8">
        <w:rPr>
          <w:sz w:val="22"/>
          <w:szCs w:val="22"/>
        </w:rPr>
        <w:t>use of the spectrum for PTC</w:t>
      </w:r>
      <w:r w:rsidRPr="004B2EBD" w:rsidR="00E64F17">
        <w:rPr>
          <w:sz w:val="22"/>
          <w:szCs w:val="22"/>
        </w:rPr>
        <w:t>.  S</w:t>
      </w:r>
      <w:r w:rsidRPr="004B2EBD" w:rsidR="00B46FA8">
        <w:rPr>
          <w:sz w:val="22"/>
          <w:szCs w:val="22"/>
        </w:rPr>
        <w:t xml:space="preserve">CRRA </w:t>
      </w:r>
      <w:r w:rsidRPr="004B2EBD" w:rsidR="008A6600">
        <w:rPr>
          <w:sz w:val="22"/>
          <w:szCs w:val="22"/>
        </w:rPr>
        <w:t>narro</w:t>
      </w:r>
      <w:r w:rsidRPr="004B2EBD" w:rsidR="00C83858">
        <w:rPr>
          <w:sz w:val="22"/>
          <w:szCs w:val="22"/>
        </w:rPr>
        <w:t>w</w:t>
      </w:r>
      <w:r w:rsidRPr="004B2EBD" w:rsidR="008A6600">
        <w:rPr>
          <w:sz w:val="22"/>
          <w:szCs w:val="22"/>
        </w:rPr>
        <w:t xml:space="preserve">ed the scope </w:t>
      </w:r>
      <w:r w:rsidRPr="004B2EBD" w:rsidR="00C83858">
        <w:rPr>
          <w:sz w:val="22"/>
          <w:szCs w:val="22"/>
        </w:rPr>
        <w:t xml:space="preserve">of its </w:t>
      </w:r>
      <w:r w:rsidRPr="004B2EBD" w:rsidR="00745F6B">
        <w:rPr>
          <w:sz w:val="22"/>
          <w:szCs w:val="22"/>
        </w:rPr>
        <w:t xml:space="preserve">waiver </w:t>
      </w:r>
      <w:r w:rsidRPr="004B2EBD" w:rsidR="009D1D39">
        <w:rPr>
          <w:sz w:val="22"/>
          <w:szCs w:val="22"/>
        </w:rPr>
        <w:t>request</w:t>
      </w:r>
      <w:r w:rsidRPr="004B2EBD" w:rsidR="008F7AF9">
        <w:rPr>
          <w:sz w:val="22"/>
          <w:szCs w:val="22"/>
        </w:rPr>
        <w:t xml:space="preserve"> on </w:t>
      </w:r>
      <w:r w:rsidRPr="004B2EBD" w:rsidR="00B543FE">
        <w:rPr>
          <w:sz w:val="22"/>
          <w:szCs w:val="22"/>
        </w:rPr>
        <w:t xml:space="preserve">October 20, 2015 and </w:t>
      </w:r>
      <w:r w:rsidRPr="004B2EBD" w:rsidR="00FE1BF1">
        <w:rPr>
          <w:sz w:val="22"/>
          <w:szCs w:val="22"/>
        </w:rPr>
        <w:t>June 8, 2016</w:t>
      </w:r>
      <w:r w:rsidRPr="004B2EBD" w:rsidR="00554C5F">
        <w:rPr>
          <w:sz w:val="22"/>
          <w:szCs w:val="22"/>
        </w:rPr>
        <w:t>.</w:t>
      </w:r>
      <w:r>
        <w:rPr>
          <w:rStyle w:val="FootnoteReference"/>
          <w:sz w:val="22"/>
          <w:szCs w:val="22"/>
        </w:rPr>
        <w:footnoteReference w:id="25"/>
      </w:r>
      <w:r w:rsidRPr="004B2EBD" w:rsidR="00996A05">
        <w:rPr>
          <w:sz w:val="22"/>
          <w:szCs w:val="22"/>
        </w:rPr>
        <w:t xml:space="preserve">  </w:t>
      </w:r>
      <w:r w:rsidRPr="004B2EBD" w:rsidR="00A97398">
        <w:rPr>
          <w:sz w:val="22"/>
          <w:szCs w:val="22"/>
        </w:rPr>
        <w:t>On</w:t>
      </w:r>
      <w:r w:rsidRPr="004B2EBD" w:rsidR="00F2166A">
        <w:rPr>
          <w:sz w:val="22"/>
          <w:szCs w:val="22"/>
        </w:rPr>
        <w:t xml:space="preserve"> September 14, 2016, the</w:t>
      </w:r>
      <w:r w:rsidRPr="004B2EBD" w:rsidR="00AC65CC">
        <w:rPr>
          <w:sz w:val="22"/>
          <w:szCs w:val="22"/>
        </w:rPr>
        <w:t xml:space="preserve"> </w:t>
      </w:r>
      <w:r w:rsidRPr="004B2EBD" w:rsidR="0062222C">
        <w:rPr>
          <w:sz w:val="22"/>
          <w:szCs w:val="22"/>
        </w:rPr>
        <w:t>Mobility Division</w:t>
      </w:r>
      <w:r w:rsidRPr="004B2EBD" w:rsidR="00F2166A">
        <w:rPr>
          <w:sz w:val="22"/>
          <w:szCs w:val="22"/>
        </w:rPr>
        <w:t xml:space="preserve"> consented to </w:t>
      </w:r>
      <w:r w:rsidRPr="004B2EBD" w:rsidR="00554C5F">
        <w:rPr>
          <w:sz w:val="22"/>
          <w:szCs w:val="22"/>
        </w:rPr>
        <w:t xml:space="preserve">the </w:t>
      </w:r>
      <w:r w:rsidRPr="004B2EBD" w:rsidR="00D855B7">
        <w:rPr>
          <w:sz w:val="22"/>
          <w:szCs w:val="22"/>
        </w:rPr>
        <w:t xml:space="preserve">spectrum </w:t>
      </w:r>
      <w:r w:rsidRPr="004B2EBD" w:rsidR="00745F6B">
        <w:rPr>
          <w:sz w:val="22"/>
          <w:szCs w:val="22"/>
        </w:rPr>
        <w:t>A</w:t>
      </w:r>
      <w:r w:rsidRPr="004B2EBD" w:rsidR="00B46FA8">
        <w:rPr>
          <w:sz w:val="22"/>
          <w:szCs w:val="22"/>
        </w:rPr>
        <w:t xml:space="preserve">ssignment </w:t>
      </w:r>
      <w:r w:rsidRPr="004B2EBD" w:rsidR="00745F6B">
        <w:rPr>
          <w:sz w:val="22"/>
          <w:szCs w:val="22"/>
        </w:rPr>
        <w:t>A</w:t>
      </w:r>
      <w:r w:rsidRPr="004B2EBD" w:rsidR="00F2166A">
        <w:rPr>
          <w:sz w:val="22"/>
          <w:szCs w:val="22"/>
        </w:rPr>
        <w:t>pplication</w:t>
      </w:r>
      <w:r w:rsidRPr="004B2EBD" w:rsidR="0078552F">
        <w:rPr>
          <w:sz w:val="22"/>
          <w:szCs w:val="22"/>
        </w:rPr>
        <w:t xml:space="preserve"> and </w:t>
      </w:r>
      <w:r w:rsidRPr="004B2EBD" w:rsidR="00F2166A">
        <w:rPr>
          <w:sz w:val="22"/>
          <w:szCs w:val="22"/>
        </w:rPr>
        <w:t xml:space="preserve">granted </w:t>
      </w:r>
      <w:r w:rsidRPr="004B2EBD" w:rsidR="0062222C">
        <w:rPr>
          <w:sz w:val="22"/>
          <w:szCs w:val="22"/>
        </w:rPr>
        <w:t xml:space="preserve">SCRRA’s </w:t>
      </w:r>
      <w:r w:rsidRPr="004B2EBD" w:rsidR="0064613E">
        <w:rPr>
          <w:sz w:val="22"/>
          <w:szCs w:val="22"/>
        </w:rPr>
        <w:t xml:space="preserve">amended </w:t>
      </w:r>
      <w:r w:rsidRPr="004B2EBD" w:rsidR="009D1D39">
        <w:rPr>
          <w:sz w:val="22"/>
          <w:szCs w:val="22"/>
        </w:rPr>
        <w:t xml:space="preserve">waiver </w:t>
      </w:r>
      <w:r w:rsidRPr="004B2EBD" w:rsidR="00F2166A">
        <w:rPr>
          <w:sz w:val="22"/>
          <w:szCs w:val="22"/>
        </w:rPr>
        <w:t>request.</w:t>
      </w:r>
      <w:r>
        <w:rPr>
          <w:rStyle w:val="FootnoteReference"/>
          <w:sz w:val="22"/>
          <w:szCs w:val="22"/>
        </w:rPr>
        <w:footnoteReference w:id="26"/>
      </w:r>
      <w:r w:rsidRPr="004B2EBD" w:rsidR="00296807">
        <w:rPr>
          <w:sz w:val="22"/>
          <w:szCs w:val="22"/>
        </w:rPr>
        <w:t xml:space="preserve"> </w:t>
      </w:r>
      <w:r w:rsidRPr="004B2EBD" w:rsidR="0062222C">
        <w:rPr>
          <w:rStyle w:val="FootnoteReference"/>
          <w:sz w:val="22"/>
          <w:szCs w:val="22"/>
        </w:rPr>
        <w:t xml:space="preserve"> </w:t>
      </w:r>
      <w:r w:rsidRPr="004B2EBD" w:rsidR="00996A05">
        <w:rPr>
          <w:sz w:val="22"/>
          <w:szCs w:val="22"/>
        </w:rPr>
        <w:t>O</w:t>
      </w:r>
      <w:r w:rsidRPr="004B2EBD" w:rsidR="0062222C">
        <w:rPr>
          <w:sz w:val="22"/>
          <w:szCs w:val="22"/>
        </w:rPr>
        <w:t xml:space="preserve">n December 16, 2016, </w:t>
      </w:r>
      <w:r w:rsidRPr="004B2EBD" w:rsidR="002B7D27">
        <w:rPr>
          <w:sz w:val="22"/>
          <w:szCs w:val="22"/>
        </w:rPr>
        <w:t xml:space="preserve">SCRRA consummated </w:t>
      </w:r>
      <w:r w:rsidRPr="004B2EBD" w:rsidR="007D274E">
        <w:rPr>
          <w:sz w:val="22"/>
          <w:szCs w:val="22"/>
        </w:rPr>
        <w:t xml:space="preserve">the </w:t>
      </w:r>
      <w:r w:rsidRPr="004B2EBD" w:rsidR="00A97398">
        <w:rPr>
          <w:sz w:val="22"/>
          <w:szCs w:val="22"/>
        </w:rPr>
        <w:t xml:space="preserve">spectrum </w:t>
      </w:r>
      <w:r w:rsidRPr="004B2EBD" w:rsidR="002B7D27">
        <w:rPr>
          <w:sz w:val="22"/>
          <w:szCs w:val="22"/>
        </w:rPr>
        <w:t>acquisition</w:t>
      </w:r>
      <w:r w:rsidRPr="004B2EBD" w:rsidR="00D824A6">
        <w:rPr>
          <w:sz w:val="22"/>
          <w:szCs w:val="22"/>
        </w:rPr>
        <w:t xml:space="preserve">, </w:t>
      </w:r>
      <w:r w:rsidRPr="004B2EBD" w:rsidR="004E2C65">
        <w:rPr>
          <w:sz w:val="22"/>
          <w:szCs w:val="22"/>
        </w:rPr>
        <w:t>resulting in</w:t>
      </w:r>
      <w:r w:rsidRPr="004B2EBD" w:rsidR="00CB242A">
        <w:rPr>
          <w:sz w:val="22"/>
          <w:szCs w:val="22"/>
        </w:rPr>
        <w:t xml:space="preserve"> the grant of</w:t>
      </w:r>
      <w:r w:rsidRPr="004B2EBD" w:rsidR="00A449F3">
        <w:rPr>
          <w:sz w:val="22"/>
          <w:szCs w:val="22"/>
        </w:rPr>
        <w:t xml:space="preserve"> C</w:t>
      </w:r>
      <w:r w:rsidRPr="004B2EBD" w:rsidR="00813983">
        <w:rPr>
          <w:sz w:val="22"/>
          <w:szCs w:val="22"/>
        </w:rPr>
        <w:t xml:space="preserve">all </w:t>
      </w:r>
      <w:r w:rsidRPr="004B2EBD" w:rsidR="00A449F3">
        <w:rPr>
          <w:sz w:val="22"/>
          <w:szCs w:val="22"/>
        </w:rPr>
        <w:t>S</w:t>
      </w:r>
      <w:r w:rsidRPr="004B2EBD" w:rsidR="00813983">
        <w:rPr>
          <w:sz w:val="22"/>
          <w:szCs w:val="22"/>
        </w:rPr>
        <w:t>ign WQYR421 (217.500-218.000 MHz</w:t>
      </w:r>
      <w:r w:rsidRPr="004B2EBD" w:rsidR="00996CAC">
        <w:rPr>
          <w:sz w:val="22"/>
          <w:szCs w:val="22"/>
        </w:rPr>
        <w:t>, 218.500-219.000 MHz</w:t>
      </w:r>
      <w:r w:rsidRPr="004B2EBD" w:rsidR="00813983">
        <w:rPr>
          <w:sz w:val="22"/>
          <w:szCs w:val="22"/>
        </w:rPr>
        <w:t>)</w:t>
      </w:r>
      <w:r w:rsidRPr="004B2EBD" w:rsidR="00996CAC">
        <w:rPr>
          <w:sz w:val="22"/>
          <w:szCs w:val="22"/>
        </w:rPr>
        <w:t>.</w:t>
      </w:r>
      <w:r>
        <w:rPr>
          <w:rStyle w:val="FootnoteReference"/>
          <w:sz w:val="22"/>
          <w:szCs w:val="22"/>
        </w:rPr>
        <w:footnoteReference w:id="27"/>
      </w:r>
    </w:p>
    <w:p w:rsidR="003C6E8B" w:rsidRPr="004B2EBD" w:rsidP="00361DEE" w14:paraId="51B11144" w14:textId="47712B6C">
      <w:pPr>
        <w:ind w:firstLine="720"/>
        <w:rPr>
          <w:sz w:val="22"/>
          <w:szCs w:val="22"/>
        </w:rPr>
      </w:pPr>
      <w:r w:rsidRPr="004B2EBD">
        <w:rPr>
          <w:sz w:val="22"/>
          <w:szCs w:val="22"/>
        </w:rPr>
        <w:t xml:space="preserve">SCRRA </w:t>
      </w:r>
      <w:r w:rsidRPr="004B2EBD" w:rsidR="00296807">
        <w:rPr>
          <w:sz w:val="22"/>
          <w:szCs w:val="22"/>
        </w:rPr>
        <w:t xml:space="preserve">is currently leasing </w:t>
      </w:r>
      <w:r w:rsidRPr="004B2EBD">
        <w:rPr>
          <w:sz w:val="22"/>
          <w:szCs w:val="22"/>
        </w:rPr>
        <w:t xml:space="preserve">220-222 MHz Band spectrum from </w:t>
      </w:r>
      <w:r w:rsidRPr="004B2EBD" w:rsidR="00566D26">
        <w:rPr>
          <w:sz w:val="22"/>
          <w:szCs w:val="22"/>
        </w:rPr>
        <w:t>PTC-220, LLC (PTC-220), a consortium of the nation’s seven class I freight railroads</w:t>
      </w:r>
      <w:r w:rsidR="00361DEE">
        <w:rPr>
          <w:sz w:val="22"/>
          <w:szCs w:val="22"/>
        </w:rPr>
        <w:t>,</w:t>
      </w:r>
      <w:r w:rsidRPr="004B2EBD" w:rsidR="006F72E2">
        <w:rPr>
          <w:sz w:val="22"/>
          <w:szCs w:val="22"/>
        </w:rPr>
        <w:t xml:space="preserve"> </w:t>
      </w:r>
      <w:r w:rsidR="002F11F7">
        <w:rPr>
          <w:sz w:val="22"/>
          <w:szCs w:val="22"/>
        </w:rPr>
        <w:t xml:space="preserve">for </w:t>
      </w:r>
      <w:r w:rsidR="00F57E58">
        <w:rPr>
          <w:sz w:val="22"/>
          <w:szCs w:val="22"/>
        </w:rPr>
        <w:t xml:space="preserve">Metrolink’s </w:t>
      </w:r>
      <w:r w:rsidR="002F11F7">
        <w:rPr>
          <w:sz w:val="22"/>
          <w:szCs w:val="22"/>
        </w:rPr>
        <w:t xml:space="preserve">PTC </w:t>
      </w:r>
      <w:r w:rsidRPr="004B2EBD" w:rsidR="00204790">
        <w:rPr>
          <w:sz w:val="22"/>
          <w:szCs w:val="22"/>
        </w:rPr>
        <w:t>deploy</w:t>
      </w:r>
      <w:r w:rsidR="002F11F7">
        <w:rPr>
          <w:sz w:val="22"/>
          <w:szCs w:val="22"/>
        </w:rPr>
        <w:t>ments</w:t>
      </w:r>
      <w:r w:rsidRPr="004B2EBD" w:rsidR="00204790">
        <w:rPr>
          <w:sz w:val="22"/>
          <w:szCs w:val="22"/>
        </w:rPr>
        <w:t xml:space="preserve"> in its service territory</w:t>
      </w:r>
      <w:r w:rsidR="00361DEE">
        <w:rPr>
          <w:sz w:val="22"/>
          <w:szCs w:val="22"/>
        </w:rPr>
        <w:t>.</w:t>
      </w:r>
      <w:r>
        <w:rPr>
          <w:rStyle w:val="FootnoteReference"/>
          <w:sz w:val="22"/>
          <w:szCs w:val="22"/>
        </w:rPr>
        <w:footnoteReference w:id="28"/>
      </w:r>
      <w:r w:rsidR="00361DEE">
        <w:rPr>
          <w:sz w:val="22"/>
          <w:szCs w:val="22"/>
        </w:rPr>
        <w:t xml:space="preserve">  </w:t>
      </w:r>
      <w:r w:rsidRPr="004B2EBD" w:rsidR="00A0245A">
        <w:rPr>
          <w:sz w:val="22"/>
          <w:szCs w:val="22"/>
        </w:rPr>
        <w:t>SCRRA</w:t>
      </w:r>
      <w:r w:rsidRPr="004B2EBD" w:rsidR="00BC447B">
        <w:rPr>
          <w:sz w:val="22"/>
          <w:szCs w:val="22"/>
        </w:rPr>
        <w:t xml:space="preserve">, </w:t>
      </w:r>
      <w:r w:rsidRPr="004B2EBD" w:rsidR="00AF47E1">
        <w:rPr>
          <w:sz w:val="22"/>
          <w:szCs w:val="22"/>
        </w:rPr>
        <w:t xml:space="preserve">Amtrak, </w:t>
      </w:r>
      <w:r w:rsidRPr="004B2EBD" w:rsidR="00A0245A">
        <w:rPr>
          <w:sz w:val="22"/>
          <w:szCs w:val="22"/>
        </w:rPr>
        <w:t>BNSF,</w:t>
      </w:r>
      <w:r w:rsidRPr="004B2EBD" w:rsidR="0022640F">
        <w:rPr>
          <w:sz w:val="22"/>
          <w:szCs w:val="22"/>
        </w:rPr>
        <w:t xml:space="preserve"> </w:t>
      </w:r>
      <w:r w:rsidRPr="004B2EBD" w:rsidR="00C00CB2">
        <w:rPr>
          <w:sz w:val="22"/>
          <w:szCs w:val="22"/>
        </w:rPr>
        <w:t xml:space="preserve">and </w:t>
      </w:r>
      <w:r w:rsidRPr="004B2EBD" w:rsidR="00654210">
        <w:rPr>
          <w:sz w:val="22"/>
          <w:szCs w:val="22"/>
        </w:rPr>
        <w:t>UP</w:t>
      </w:r>
      <w:r w:rsidRPr="004B2EBD" w:rsidR="00204790">
        <w:rPr>
          <w:sz w:val="22"/>
          <w:szCs w:val="22"/>
        </w:rPr>
        <w:t xml:space="preserve"> </w:t>
      </w:r>
      <w:r w:rsidRPr="004B2EBD" w:rsidR="00177537">
        <w:rPr>
          <w:sz w:val="22"/>
          <w:szCs w:val="22"/>
        </w:rPr>
        <w:t>ha</w:t>
      </w:r>
      <w:r w:rsidRPr="004B2EBD" w:rsidR="00204790">
        <w:rPr>
          <w:sz w:val="22"/>
          <w:szCs w:val="22"/>
        </w:rPr>
        <w:t>ve</w:t>
      </w:r>
      <w:r w:rsidRPr="004B2EBD" w:rsidR="00177537">
        <w:rPr>
          <w:sz w:val="22"/>
          <w:szCs w:val="22"/>
        </w:rPr>
        <w:t xml:space="preserve"> developed a </w:t>
      </w:r>
      <w:r w:rsidRPr="004B2EBD" w:rsidR="006F1FFE">
        <w:rPr>
          <w:sz w:val="22"/>
          <w:szCs w:val="22"/>
        </w:rPr>
        <w:t xml:space="preserve">joint </w:t>
      </w:r>
      <w:r w:rsidRPr="004B2EBD" w:rsidR="00177537">
        <w:rPr>
          <w:sz w:val="22"/>
          <w:szCs w:val="22"/>
        </w:rPr>
        <w:t xml:space="preserve">plan to deploy </w:t>
      </w:r>
      <w:r w:rsidRPr="004B2EBD" w:rsidR="00204790">
        <w:rPr>
          <w:sz w:val="22"/>
          <w:szCs w:val="22"/>
        </w:rPr>
        <w:t xml:space="preserve">interoperable </w:t>
      </w:r>
      <w:r w:rsidRPr="004B2EBD" w:rsidR="00177537">
        <w:rPr>
          <w:sz w:val="22"/>
          <w:szCs w:val="22"/>
        </w:rPr>
        <w:t xml:space="preserve">PTC </w:t>
      </w:r>
      <w:r w:rsidRPr="004B2EBD" w:rsidR="00204790">
        <w:rPr>
          <w:sz w:val="22"/>
          <w:szCs w:val="22"/>
        </w:rPr>
        <w:t>system</w:t>
      </w:r>
      <w:r w:rsidRPr="004B2EBD" w:rsidR="00864CE1">
        <w:rPr>
          <w:sz w:val="22"/>
          <w:szCs w:val="22"/>
        </w:rPr>
        <w:t>s</w:t>
      </w:r>
      <w:r w:rsidRPr="004B2EBD" w:rsidR="00204790">
        <w:rPr>
          <w:sz w:val="22"/>
          <w:szCs w:val="22"/>
        </w:rPr>
        <w:t xml:space="preserve"> in Southern California </w:t>
      </w:r>
      <w:r w:rsidRPr="004B2EBD" w:rsidR="00F2555D">
        <w:rPr>
          <w:sz w:val="22"/>
          <w:szCs w:val="22"/>
        </w:rPr>
        <w:t>using shared infrastructure,</w:t>
      </w:r>
      <w:r w:rsidRPr="004B2EBD" w:rsidR="00177537">
        <w:rPr>
          <w:sz w:val="22"/>
          <w:szCs w:val="22"/>
        </w:rPr>
        <w:t xml:space="preserve"> </w:t>
      </w:r>
      <w:r w:rsidRPr="004B2EBD" w:rsidR="00864CE1">
        <w:rPr>
          <w:sz w:val="22"/>
          <w:szCs w:val="22"/>
        </w:rPr>
        <w:t>SCRRA</w:t>
      </w:r>
      <w:r w:rsidRPr="004B2EBD" w:rsidR="00296807">
        <w:rPr>
          <w:sz w:val="22"/>
          <w:szCs w:val="22"/>
        </w:rPr>
        <w:t>’s</w:t>
      </w:r>
      <w:r w:rsidRPr="004B2EBD" w:rsidR="00864CE1">
        <w:rPr>
          <w:sz w:val="22"/>
          <w:szCs w:val="22"/>
        </w:rPr>
        <w:t xml:space="preserve"> </w:t>
      </w:r>
      <w:r w:rsidRPr="004B2EBD" w:rsidR="00A0245A">
        <w:rPr>
          <w:sz w:val="22"/>
          <w:szCs w:val="22"/>
        </w:rPr>
        <w:t>AMTS spectrum</w:t>
      </w:r>
      <w:r w:rsidRPr="004B2EBD" w:rsidR="00F2555D">
        <w:rPr>
          <w:sz w:val="22"/>
          <w:szCs w:val="22"/>
        </w:rPr>
        <w:t>,</w:t>
      </w:r>
      <w:r w:rsidRPr="004B2EBD" w:rsidR="00A0245A">
        <w:rPr>
          <w:sz w:val="22"/>
          <w:szCs w:val="22"/>
        </w:rPr>
        <w:t xml:space="preserve"> and </w:t>
      </w:r>
      <w:r w:rsidRPr="004B2EBD">
        <w:rPr>
          <w:sz w:val="22"/>
          <w:szCs w:val="22"/>
        </w:rPr>
        <w:t xml:space="preserve">220-222 MHz Band spectrum </w:t>
      </w:r>
      <w:r w:rsidRPr="004B2EBD" w:rsidR="00177537">
        <w:rPr>
          <w:sz w:val="22"/>
          <w:szCs w:val="22"/>
        </w:rPr>
        <w:t>leased from PTC-220.</w:t>
      </w:r>
      <w:r>
        <w:rPr>
          <w:rStyle w:val="FootnoteReference"/>
          <w:sz w:val="22"/>
          <w:szCs w:val="22"/>
        </w:rPr>
        <w:footnoteReference w:id="29"/>
      </w:r>
    </w:p>
    <w:p w:rsidR="003C6E8B" w:rsidRPr="004B2EBD" w:rsidP="004B2EBD" w14:paraId="69C94A17" w14:textId="77777777">
      <w:pPr>
        <w:ind w:firstLine="720"/>
        <w:rPr>
          <w:sz w:val="22"/>
          <w:szCs w:val="22"/>
        </w:rPr>
      </w:pPr>
    </w:p>
    <w:p w:rsidR="001758CF" w:rsidRPr="004B2EBD" w:rsidP="004B2EBD" w14:paraId="772FEF55" w14:textId="5B9B99FC">
      <w:pPr>
        <w:ind w:firstLine="720"/>
        <w:rPr>
          <w:sz w:val="22"/>
          <w:szCs w:val="22"/>
        </w:rPr>
      </w:pPr>
      <w:r w:rsidRPr="004B2EBD">
        <w:rPr>
          <w:i/>
          <w:iCs/>
          <w:sz w:val="22"/>
          <w:szCs w:val="22"/>
        </w:rPr>
        <w:t>Special Temporary Authorization</w:t>
      </w:r>
      <w:r w:rsidRPr="004B2EBD">
        <w:rPr>
          <w:sz w:val="22"/>
          <w:szCs w:val="22"/>
        </w:rPr>
        <w:t xml:space="preserve">.   </w:t>
      </w:r>
      <w:r w:rsidRPr="004B2EBD" w:rsidR="003C6E8B">
        <w:rPr>
          <w:sz w:val="22"/>
          <w:szCs w:val="22"/>
        </w:rPr>
        <w:t xml:space="preserve">Metrolink is currently deploying PTC </w:t>
      </w:r>
      <w:r w:rsidR="002F11F7">
        <w:rPr>
          <w:sz w:val="22"/>
          <w:szCs w:val="22"/>
        </w:rPr>
        <w:t xml:space="preserve">for testing purposes </w:t>
      </w:r>
      <w:r w:rsidRPr="004B2EBD" w:rsidR="00DE2A3A">
        <w:rPr>
          <w:sz w:val="22"/>
          <w:szCs w:val="22"/>
        </w:rPr>
        <w:t xml:space="preserve">under Special Temporary Authorization (STA) Call Sign </w:t>
      </w:r>
      <w:bookmarkStart w:id="7" w:name="_Hlk54180319"/>
      <w:r w:rsidRPr="004B2EBD" w:rsidR="00DE2A3A">
        <w:rPr>
          <w:sz w:val="22"/>
          <w:szCs w:val="22"/>
        </w:rPr>
        <w:t>WRJD571</w:t>
      </w:r>
      <w:bookmarkEnd w:id="7"/>
      <w:r w:rsidRPr="004B2EBD" w:rsidR="000E053B">
        <w:rPr>
          <w:sz w:val="22"/>
          <w:szCs w:val="22"/>
        </w:rPr>
        <w:t>,</w:t>
      </w:r>
      <w:r w:rsidRPr="004B2EBD" w:rsidR="00DE2A3A">
        <w:rPr>
          <w:sz w:val="22"/>
          <w:szCs w:val="22"/>
        </w:rPr>
        <w:t xml:space="preserve"> </w:t>
      </w:r>
      <w:r w:rsidRPr="004B2EBD" w:rsidR="007617A2">
        <w:rPr>
          <w:sz w:val="22"/>
          <w:szCs w:val="22"/>
        </w:rPr>
        <w:t xml:space="preserve">using </w:t>
      </w:r>
      <w:r w:rsidRPr="004B2EBD" w:rsidR="00FC2609">
        <w:rPr>
          <w:sz w:val="22"/>
          <w:szCs w:val="22"/>
        </w:rPr>
        <w:t xml:space="preserve">the </w:t>
      </w:r>
      <w:r w:rsidRPr="004B2EBD" w:rsidR="006846B5">
        <w:rPr>
          <w:sz w:val="22"/>
          <w:szCs w:val="22"/>
        </w:rPr>
        <w:t xml:space="preserve">same spectrum </w:t>
      </w:r>
      <w:r w:rsidRPr="004B2EBD" w:rsidR="0063016B">
        <w:rPr>
          <w:sz w:val="22"/>
          <w:szCs w:val="22"/>
        </w:rPr>
        <w:t>an</w:t>
      </w:r>
      <w:r w:rsidRPr="004B2EBD" w:rsidR="006846B5">
        <w:rPr>
          <w:sz w:val="22"/>
          <w:szCs w:val="22"/>
        </w:rPr>
        <w:t xml:space="preserve">d in the same </w:t>
      </w:r>
      <w:r w:rsidR="002F11F7">
        <w:rPr>
          <w:sz w:val="22"/>
          <w:szCs w:val="22"/>
        </w:rPr>
        <w:t xml:space="preserve">geographic </w:t>
      </w:r>
      <w:r w:rsidRPr="004B2EBD" w:rsidR="006846B5">
        <w:rPr>
          <w:sz w:val="22"/>
          <w:szCs w:val="22"/>
        </w:rPr>
        <w:t xml:space="preserve">area </w:t>
      </w:r>
      <w:r w:rsidRPr="004B2EBD" w:rsidR="00DE2A3A">
        <w:rPr>
          <w:sz w:val="22"/>
          <w:szCs w:val="22"/>
        </w:rPr>
        <w:t>for whi</w:t>
      </w:r>
      <w:r w:rsidRPr="004B2EBD" w:rsidR="006846B5">
        <w:rPr>
          <w:sz w:val="22"/>
          <w:szCs w:val="22"/>
        </w:rPr>
        <w:t>c</w:t>
      </w:r>
      <w:r w:rsidRPr="004B2EBD" w:rsidR="00DE2A3A">
        <w:rPr>
          <w:sz w:val="22"/>
          <w:szCs w:val="22"/>
        </w:rPr>
        <w:t xml:space="preserve">h </w:t>
      </w:r>
      <w:r w:rsidRPr="004B2EBD" w:rsidR="00183F02">
        <w:rPr>
          <w:sz w:val="22"/>
          <w:szCs w:val="22"/>
        </w:rPr>
        <w:t xml:space="preserve">we grant </w:t>
      </w:r>
      <w:r w:rsidRPr="004B2EBD" w:rsidR="00DE2A3A">
        <w:rPr>
          <w:sz w:val="22"/>
          <w:szCs w:val="22"/>
        </w:rPr>
        <w:t>perm</w:t>
      </w:r>
      <w:r w:rsidRPr="004B2EBD" w:rsidR="00183F02">
        <w:rPr>
          <w:sz w:val="22"/>
          <w:szCs w:val="22"/>
        </w:rPr>
        <w:t>a</w:t>
      </w:r>
      <w:r w:rsidRPr="004B2EBD" w:rsidR="00DE2A3A">
        <w:rPr>
          <w:sz w:val="22"/>
          <w:szCs w:val="22"/>
        </w:rPr>
        <w:t>n</w:t>
      </w:r>
      <w:r w:rsidRPr="004B2EBD" w:rsidR="00183F02">
        <w:rPr>
          <w:sz w:val="22"/>
          <w:szCs w:val="22"/>
        </w:rPr>
        <w:t>e</w:t>
      </w:r>
      <w:r w:rsidRPr="004B2EBD" w:rsidR="00DE2A3A">
        <w:rPr>
          <w:sz w:val="22"/>
          <w:szCs w:val="22"/>
        </w:rPr>
        <w:t xml:space="preserve">nt </w:t>
      </w:r>
      <w:r w:rsidRPr="004B2EBD" w:rsidR="007D7E13">
        <w:rPr>
          <w:sz w:val="22"/>
          <w:szCs w:val="22"/>
        </w:rPr>
        <w:t xml:space="preserve">operating </w:t>
      </w:r>
      <w:r w:rsidRPr="004B2EBD" w:rsidR="00183F02">
        <w:rPr>
          <w:sz w:val="22"/>
          <w:szCs w:val="22"/>
        </w:rPr>
        <w:t>authori</w:t>
      </w:r>
      <w:r w:rsidRPr="004B2EBD" w:rsidR="009B6B20">
        <w:rPr>
          <w:sz w:val="22"/>
          <w:szCs w:val="22"/>
        </w:rPr>
        <w:t xml:space="preserve">ty </w:t>
      </w:r>
      <w:r w:rsidRPr="004B2EBD" w:rsidR="00183F02">
        <w:rPr>
          <w:sz w:val="22"/>
          <w:szCs w:val="22"/>
        </w:rPr>
        <w:t>today.</w:t>
      </w:r>
      <w:r>
        <w:rPr>
          <w:rStyle w:val="FootnoteReference"/>
          <w:sz w:val="22"/>
          <w:szCs w:val="22"/>
        </w:rPr>
        <w:footnoteReference w:id="30"/>
      </w:r>
      <w:r w:rsidRPr="004B2EBD" w:rsidR="003C6E8B">
        <w:rPr>
          <w:sz w:val="22"/>
          <w:szCs w:val="22"/>
        </w:rPr>
        <w:t xml:space="preserve"> </w:t>
      </w:r>
      <w:r w:rsidRPr="004B2EBD" w:rsidR="005422BB">
        <w:rPr>
          <w:sz w:val="22"/>
          <w:szCs w:val="22"/>
        </w:rPr>
        <w:t xml:space="preserve"> </w:t>
      </w:r>
      <w:r w:rsidRPr="004B2EBD" w:rsidR="00C0002C">
        <w:rPr>
          <w:sz w:val="22"/>
          <w:szCs w:val="22"/>
        </w:rPr>
        <w:t xml:space="preserve">SCRRA </w:t>
      </w:r>
      <w:r w:rsidRPr="004B2EBD" w:rsidR="00263B1C">
        <w:rPr>
          <w:sz w:val="22"/>
          <w:szCs w:val="22"/>
        </w:rPr>
        <w:t xml:space="preserve">states </w:t>
      </w:r>
      <w:r w:rsidRPr="004B2EBD" w:rsidR="00C0002C">
        <w:rPr>
          <w:sz w:val="22"/>
          <w:szCs w:val="22"/>
        </w:rPr>
        <w:t xml:space="preserve">that has received no reports of interference </w:t>
      </w:r>
      <w:r w:rsidRPr="004B2EBD" w:rsidR="00EC2239">
        <w:rPr>
          <w:sz w:val="22"/>
          <w:szCs w:val="22"/>
        </w:rPr>
        <w:t>related to these PTC operations</w:t>
      </w:r>
      <w:r w:rsidR="002F11F7">
        <w:rPr>
          <w:sz w:val="22"/>
          <w:szCs w:val="22"/>
        </w:rPr>
        <w:t xml:space="preserve"> under STA</w:t>
      </w:r>
      <w:r w:rsidRPr="004B2EBD" w:rsidR="00EC2239">
        <w:rPr>
          <w:sz w:val="22"/>
          <w:szCs w:val="22"/>
        </w:rPr>
        <w:t>.</w:t>
      </w:r>
      <w:r>
        <w:rPr>
          <w:rStyle w:val="FootnoteReference"/>
          <w:sz w:val="22"/>
          <w:szCs w:val="22"/>
        </w:rPr>
        <w:footnoteReference w:id="31"/>
      </w:r>
      <w:r w:rsidRPr="004B2EBD" w:rsidR="00EC2239">
        <w:rPr>
          <w:sz w:val="22"/>
          <w:szCs w:val="22"/>
        </w:rPr>
        <w:t xml:space="preserve">  </w:t>
      </w:r>
    </w:p>
    <w:p w:rsidR="00813983" w:rsidRPr="004B2EBD" w:rsidP="004B2EBD" w14:paraId="6869A574" w14:textId="77777777">
      <w:pPr>
        <w:ind w:firstLine="720"/>
        <w:rPr>
          <w:sz w:val="22"/>
          <w:szCs w:val="22"/>
        </w:rPr>
      </w:pPr>
    </w:p>
    <w:p w:rsidR="009A0DED" w:rsidRPr="004B2EBD" w:rsidP="0067202E" w14:paraId="683418B3" w14:textId="7804826C">
      <w:pPr>
        <w:ind w:firstLine="720"/>
        <w:rPr>
          <w:sz w:val="22"/>
          <w:szCs w:val="22"/>
        </w:rPr>
      </w:pPr>
      <w:r w:rsidRPr="004B2EBD">
        <w:rPr>
          <w:i/>
          <w:sz w:val="22"/>
          <w:szCs w:val="22"/>
        </w:rPr>
        <w:t>License Modification Application.</w:t>
      </w:r>
      <w:r w:rsidRPr="004B2EBD">
        <w:rPr>
          <w:sz w:val="22"/>
          <w:szCs w:val="22"/>
        </w:rPr>
        <w:t xml:space="preserve">  Although AMTS geographic licensees generally are authorized to </w:t>
      </w:r>
      <w:r w:rsidR="002F11F7">
        <w:rPr>
          <w:sz w:val="22"/>
          <w:szCs w:val="22"/>
        </w:rPr>
        <w:t xml:space="preserve">deploy </w:t>
      </w:r>
      <w:r w:rsidRPr="004B2EBD">
        <w:rPr>
          <w:sz w:val="22"/>
          <w:szCs w:val="22"/>
        </w:rPr>
        <w:t xml:space="preserve">base stations anywhere within their licensed geographic service areas, </w:t>
      </w:r>
      <w:r w:rsidR="005F0FA2">
        <w:rPr>
          <w:sz w:val="22"/>
          <w:szCs w:val="22"/>
        </w:rPr>
        <w:t>s</w:t>
      </w:r>
      <w:r w:rsidRPr="004B2EBD">
        <w:rPr>
          <w:sz w:val="22"/>
          <w:szCs w:val="22"/>
        </w:rPr>
        <w:t xml:space="preserve">ection 80.215(h)(2) </w:t>
      </w:r>
      <w:r w:rsidR="002F11F7">
        <w:rPr>
          <w:sz w:val="22"/>
          <w:szCs w:val="22"/>
        </w:rPr>
        <w:t xml:space="preserve">of the Commission’s rules </w:t>
      </w:r>
      <w:r w:rsidRPr="004B2EBD">
        <w:rPr>
          <w:sz w:val="22"/>
          <w:szCs w:val="22"/>
        </w:rPr>
        <w:t>requires individual licensing of base stations</w:t>
      </w:r>
      <w:r w:rsidRPr="004B2EBD" w:rsidR="005A34F3">
        <w:rPr>
          <w:sz w:val="22"/>
          <w:szCs w:val="22"/>
        </w:rPr>
        <w:t xml:space="preserve"> </w:t>
      </w:r>
      <w:r w:rsidRPr="004B2EBD">
        <w:rPr>
          <w:sz w:val="22"/>
          <w:szCs w:val="22"/>
        </w:rPr>
        <w:t>located less than 169 kilometers (105 miles) from a channel 13 TV station, or less than 129 kilometers (80 miles) from a channel 10 TV station.</w:t>
      </w:r>
      <w:r>
        <w:rPr>
          <w:rStyle w:val="FootnoteReference"/>
          <w:sz w:val="22"/>
          <w:szCs w:val="22"/>
        </w:rPr>
        <w:footnoteReference w:id="32"/>
      </w:r>
      <w:r w:rsidRPr="004B2EBD">
        <w:rPr>
          <w:sz w:val="22"/>
          <w:szCs w:val="22"/>
        </w:rPr>
        <w:t xml:space="preserve"> </w:t>
      </w:r>
      <w:r w:rsidRPr="004B2EBD" w:rsidR="008B1A56">
        <w:rPr>
          <w:sz w:val="22"/>
          <w:szCs w:val="22"/>
        </w:rPr>
        <w:t xml:space="preserve"> </w:t>
      </w:r>
      <w:r w:rsidRPr="004B2EBD" w:rsidR="00941A0D">
        <w:rPr>
          <w:sz w:val="22"/>
          <w:szCs w:val="22"/>
        </w:rPr>
        <w:t xml:space="preserve">SCRRA seeks </w:t>
      </w:r>
      <w:r w:rsidR="00112035">
        <w:rPr>
          <w:sz w:val="22"/>
          <w:szCs w:val="22"/>
        </w:rPr>
        <w:t xml:space="preserve">to modify its geographic area license under </w:t>
      </w:r>
      <w:r w:rsidR="00426318">
        <w:rPr>
          <w:sz w:val="22"/>
          <w:szCs w:val="22"/>
        </w:rPr>
        <w:t>C</w:t>
      </w:r>
      <w:r w:rsidR="00112035">
        <w:rPr>
          <w:sz w:val="22"/>
          <w:szCs w:val="22"/>
        </w:rPr>
        <w:t xml:space="preserve">all </w:t>
      </w:r>
      <w:r w:rsidR="00426318">
        <w:rPr>
          <w:sz w:val="22"/>
          <w:szCs w:val="22"/>
        </w:rPr>
        <w:t>S</w:t>
      </w:r>
      <w:r w:rsidR="00112035">
        <w:rPr>
          <w:sz w:val="22"/>
          <w:szCs w:val="22"/>
        </w:rPr>
        <w:t xml:space="preserve">ign </w:t>
      </w:r>
      <w:r w:rsidRPr="004B2EBD" w:rsidR="00112035">
        <w:rPr>
          <w:sz w:val="22"/>
          <w:szCs w:val="22"/>
        </w:rPr>
        <w:t>WQYR421</w:t>
      </w:r>
      <w:r w:rsidR="00112035">
        <w:rPr>
          <w:sz w:val="22"/>
          <w:szCs w:val="22"/>
        </w:rPr>
        <w:t xml:space="preserve"> to individually authorize, on a </w:t>
      </w:r>
      <w:r w:rsidRPr="004B2EBD">
        <w:rPr>
          <w:sz w:val="22"/>
          <w:szCs w:val="22"/>
        </w:rPr>
        <w:t>permanent</w:t>
      </w:r>
      <w:r w:rsidR="00426318">
        <w:rPr>
          <w:sz w:val="22"/>
          <w:szCs w:val="22"/>
        </w:rPr>
        <w:t xml:space="preserve"> (</w:t>
      </w:r>
      <w:r w:rsidR="00112035">
        <w:rPr>
          <w:sz w:val="22"/>
          <w:szCs w:val="22"/>
        </w:rPr>
        <w:t>non-STA basis</w:t>
      </w:r>
      <w:r w:rsidR="00426318">
        <w:rPr>
          <w:sz w:val="22"/>
          <w:szCs w:val="22"/>
        </w:rPr>
        <w:t xml:space="preserve">) and </w:t>
      </w:r>
      <w:r w:rsidR="00112035">
        <w:rPr>
          <w:sz w:val="22"/>
          <w:szCs w:val="22"/>
        </w:rPr>
        <w:t>subject to its license term,</w:t>
      </w:r>
      <w:r w:rsidRPr="004B2EBD">
        <w:rPr>
          <w:sz w:val="22"/>
          <w:szCs w:val="22"/>
        </w:rPr>
        <w:t xml:space="preserve"> operat</w:t>
      </w:r>
      <w:r w:rsidR="00112035">
        <w:rPr>
          <w:sz w:val="22"/>
          <w:szCs w:val="22"/>
        </w:rPr>
        <w:t>ion</w:t>
      </w:r>
      <w:r w:rsidRPr="004B2EBD">
        <w:rPr>
          <w:sz w:val="22"/>
          <w:szCs w:val="22"/>
        </w:rPr>
        <w:t xml:space="preserve"> </w:t>
      </w:r>
      <w:r w:rsidR="00112035">
        <w:rPr>
          <w:sz w:val="22"/>
          <w:szCs w:val="22"/>
        </w:rPr>
        <w:t xml:space="preserve">of </w:t>
      </w:r>
      <w:r w:rsidRPr="004B2EBD" w:rsidR="004168FA">
        <w:rPr>
          <w:sz w:val="22"/>
          <w:szCs w:val="22"/>
        </w:rPr>
        <w:t>17 base stations and 546 wayside stations</w:t>
      </w:r>
      <w:r w:rsidR="008B3701">
        <w:rPr>
          <w:sz w:val="22"/>
          <w:szCs w:val="22"/>
        </w:rPr>
        <w:t>, stating</w:t>
      </w:r>
      <w:r w:rsidRPr="004B2EBD" w:rsidR="0055670D">
        <w:rPr>
          <w:sz w:val="22"/>
          <w:szCs w:val="22"/>
        </w:rPr>
        <w:t xml:space="preserve"> the</w:t>
      </w:r>
      <w:r w:rsidRPr="004B2EBD" w:rsidR="0012534D">
        <w:rPr>
          <w:sz w:val="22"/>
          <w:szCs w:val="22"/>
        </w:rPr>
        <w:t xml:space="preserve">y </w:t>
      </w:r>
      <w:r w:rsidRPr="004B2EBD" w:rsidR="001D563E">
        <w:rPr>
          <w:sz w:val="22"/>
          <w:szCs w:val="22"/>
        </w:rPr>
        <w:t xml:space="preserve">meet </w:t>
      </w:r>
      <w:r w:rsidR="005F0FA2">
        <w:rPr>
          <w:sz w:val="22"/>
          <w:szCs w:val="22"/>
        </w:rPr>
        <w:t>section</w:t>
      </w:r>
      <w:r w:rsidRPr="004B2EBD" w:rsidR="001D563E">
        <w:rPr>
          <w:sz w:val="22"/>
          <w:szCs w:val="22"/>
        </w:rPr>
        <w:t xml:space="preserve"> 80.215(h)(2)</w:t>
      </w:r>
      <w:r w:rsidRPr="004B2EBD" w:rsidR="00E917EB">
        <w:rPr>
          <w:sz w:val="22"/>
          <w:szCs w:val="22"/>
        </w:rPr>
        <w:t xml:space="preserve">’s individual station </w:t>
      </w:r>
      <w:r w:rsidRPr="004B2EBD" w:rsidR="00AA42CE">
        <w:rPr>
          <w:sz w:val="22"/>
          <w:szCs w:val="22"/>
        </w:rPr>
        <w:t>l</w:t>
      </w:r>
      <w:r w:rsidRPr="004B2EBD" w:rsidR="0012534D">
        <w:rPr>
          <w:sz w:val="22"/>
          <w:szCs w:val="22"/>
        </w:rPr>
        <w:t>icensing criteria.</w:t>
      </w:r>
      <w:r>
        <w:rPr>
          <w:rStyle w:val="FootnoteReference"/>
          <w:sz w:val="22"/>
          <w:szCs w:val="22"/>
        </w:rPr>
        <w:footnoteReference w:id="33"/>
      </w:r>
      <w:r w:rsidRPr="004B2EBD" w:rsidR="00D50290">
        <w:rPr>
          <w:sz w:val="22"/>
          <w:szCs w:val="22"/>
        </w:rPr>
        <w:t xml:space="preserve">  </w:t>
      </w:r>
      <w:r w:rsidRPr="004B2EBD" w:rsidR="005769A1">
        <w:rPr>
          <w:sz w:val="22"/>
          <w:szCs w:val="22"/>
        </w:rPr>
        <w:t xml:space="preserve">  </w:t>
      </w:r>
    </w:p>
    <w:p w:rsidR="00BA77AE" w:rsidRPr="004B2EBD" w:rsidP="004B2EBD" w14:paraId="747F1151" w14:textId="77777777">
      <w:pPr>
        <w:ind w:firstLine="720"/>
        <w:rPr>
          <w:sz w:val="22"/>
          <w:szCs w:val="22"/>
        </w:rPr>
      </w:pPr>
      <w:r w:rsidRPr="004B2EBD">
        <w:rPr>
          <w:sz w:val="22"/>
          <w:szCs w:val="22"/>
        </w:rPr>
        <w:t xml:space="preserve">   </w:t>
      </w:r>
    </w:p>
    <w:p w:rsidR="00E243ED" w:rsidRPr="004B2EBD" w:rsidP="004B2EBD" w14:paraId="197F500A" w14:textId="150523D9">
      <w:pPr>
        <w:ind w:firstLine="720"/>
        <w:rPr>
          <w:sz w:val="22"/>
          <w:szCs w:val="22"/>
        </w:rPr>
      </w:pPr>
      <w:r w:rsidRPr="004B2EBD">
        <w:rPr>
          <w:i/>
          <w:sz w:val="22"/>
          <w:szCs w:val="22"/>
        </w:rPr>
        <w:t xml:space="preserve">SCRRA </w:t>
      </w:r>
      <w:r w:rsidRPr="004B2EBD" w:rsidR="00CE6E37">
        <w:rPr>
          <w:i/>
          <w:sz w:val="22"/>
          <w:szCs w:val="22"/>
        </w:rPr>
        <w:t>Engineering Report</w:t>
      </w:r>
      <w:r w:rsidRPr="004B2EBD" w:rsidR="00CE6E37">
        <w:rPr>
          <w:sz w:val="22"/>
          <w:szCs w:val="22"/>
        </w:rPr>
        <w:t xml:space="preserve">.  </w:t>
      </w:r>
      <w:r w:rsidRPr="004B2EBD" w:rsidR="00652EE7">
        <w:rPr>
          <w:sz w:val="22"/>
          <w:szCs w:val="22"/>
        </w:rPr>
        <w:t>On behalf of SCRRA</w:t>
      </w:r>
      <w:r w:rsidR="00E1776D">
        <w:rPr>
          <w:sz w:val="22"/>
          <w:szCs w:val="22"/>
        </w:rPr>
        <w:t xml:space="preserve"> and </w:t>
      </w:r>
      <w:r w:rsidR="004C53D6">
        <w:rPr>
          <w:sz w:val="22"/>
          <w:szCs w:val="22"/>
        </w:rPr>
        <w:t xml:space="preserve">pursuant to </w:t>
      </w:r>
      <w:r w:rsidR="005F0FA2">
        <w:rPr>
          <w:sz w:val="22"/>
          <w:szCs w:val="22"/>
        </w:rPr>
        <w:t>section</w:t>
      </w:r>
      <w:r w:rsidR="00E1776D">
        <w:rPr>
          <w:sz w:val="22"/>
          <w:szCs w:val="22"/>
        </w:rPr>
        <w:t xml:space="preserve"> 80.215(h)(2) of the Commission’s rules</w:t>
      </w:r>
      <w:r w:rsidRPr="004B2EBD" w:rsidR="00652EE7">
        <w:rPr>
          <w:sz w:val="22"/>
          <w:szCs w:val="22"/>
        </w:rPr>
        <w:t>,</w:t>
      </w:r>
      <w:r>
        <w:rPr>
          <w:rStyle w:val="FootnoteReference"/>
          <w:sz w:val="22"/>
          <w:szCs w:val="22"/>
        </w:rPr>
        <w:footnoteReference w:id="34"/>
      </w:r>
      <w:r w:rsidRPr="004B2EBD" w:rsidR="00652EE7">
        <w:rPr>
          <w:sz w:val="22"/>
          <w:szCs w:val="22"/>
        </w:rPr>
        <w:t xml:space="preserve"> </w:t>
      </w:r>
      <w:r w:rsidRPr="004B2EBD" w:rsidR="009A0DED">
        <w:rPr>
          <w:sz w:val="22"/>
          <w:szCs w:val="22"/>
        </w:rPr>
        <w:t xml:space="preserve">RF Networks Inc. </w:t>
      </w:r>
      <w:r w:rsidRPr="004B2EBD" w:rsidR="00CE6E37">
        <w:rPr>
          <w:sz w:val="22"/>
          <w:szCs w:val="22"/>
        </w:rPr>
        <w:t>(</w:t>
      </w:r>
      <w:r w:rsidRPr="004B2EBD" w:rsidR="009A0DED">
        <w:rPr>
          <w:sz w:val="22"/>
          <w:szCs w:val="22"/>
        </w:rPr>
        <w:t>RF Networks</w:t>
      </w:r>
      <w:r w:rsidRPr="004B2EBD" w:rsidR="00CE6E37">
        <w:rPr>
          <w:sz w:val="22"/>
          <w:szCs w:val="22"/>
        </w:rPr>
        <w:t>), an engineering firm, performed an interference study</w:t>
      </w:r>
      <w:r w:rsidR="00011A88">
        <w:rPr>
          <w:sz w:val="22"/>
          <w:szCs w:val="22"/>
        </w:rPr>
        <w:t>.</w:t>
      </w:r>
      <w:r>
        <w:rPr>
          <w:rStyle w:val="FootnoteReference"/>
          <w:sz w:val="22"/>
          <w:szCs w:val="22"/>
        </w:rPr>
        <w:footnoteReference w:id="35"/>
      </w:r>
      <w:r w:rsidRPr="004B2EBD" w:rsidR="00D63C24">
        <w:rPr>
          <w:sz w:val="22"/>
          <w:szCs w:val="22"/>
        </w:rPr>
        <w:t xml:space="preserve"> </w:t>
      </w:r>
      <w:r w:rsidR="00011A88">
        <w:rPr>
          <w:sz w:val="22"/>
          <w:szCs w:val="22"/>
        </w:rPr>
        <w:t xml:space="preserve"> The study </w:t>
      </w:r>
      <w:r w:rsidRPr="004B2EBD" w:rsidR="00652EE7">
        <w:rPr>
          <w:sz w:val="22"/>
          <w:szCs w:val="22"/>
        </w:rPr>
        <w:t xml:space="preserve">addresses the potential number of channel 10 and </w:t>
      </w:r>
      <w:r w:rsidRPr="004B2EBD" w:rsidR="00263B1C">
        <w:rPr>
          <w:sz w:val="22"/>
          <w:szCs w:val="22"/>
        </w:rPr>
        <w:t xml:space="preserve">channel </w:t>
      </w:r>
      <w:r w:rsidRPr="004B2EBD" w:rsidR="00652EE7">
        <w:rPr>
          <w:sz w:val="22"/>
          <w:szCs w:val="22"/>
        </w:rPr>
        <w:t>13 over-the-air (OTA) TV households</w:t>
      </w:r>
      <w:r>
        <w:rPr>
          <w:rStyle w:val="FootnoteReference"/>
          <w:sz w:val="22"/>
          <w:szCs w:val="22"/>
        </w:rPr>
        <w:footnoteReference w:id="36"/>
      </w:r>
      <w:r w:rsidRPr="004B2EBD" w:rsidR="00652EE7">
        <w:rPr>
          <w:sz w:val="22"/>
          <w:szCs w:val="22"/>
        </w:rPr>
        <w:t xml:space="preserve"> that could be </w:t>
      </w:r>
      <w:r w:rsidRPr="004B2EBD" w:rsidR="00BC5615">
        <w:rPr>
          <w:sz w:val="22"/>
          <w:szCs w:val="22"/>
        </w:rPr>
        <w:t>impacted</w:t>
      </w:r>
      <w:r w:rsidRPr="004B2EBD" w:rsidR="00652EE7">
        <w:rPr>
          <w:sz w:val="22"/>
          <w:szCs w:val="22"/>
        </w:rPr>
        <w:t xml:space="preserve"> by </w:t>
      </w:r>
      <w:r w:rsidRPr="004B2EBD" w:rsidR="00337181">
        <w:rPr>
          <w:sz w:val="22"/>
          <w:szCs w:val="22"/>
        </w:rPr>
        <w:t>Metrolink’s oper</w:t>
      </w:r>
      <w:r w:rsidRPr="004B2EBD" w:rsidR="00652EE7">
        <w:rPr>
          <w:sz w:val="22"/>
          <w:szCs w:val="22"/>
        </w:rPr>
        <w:t xml:space="preserve">ation of </w:t>
      </w:r>
      <w:r w:rsidRPr="004B2EBD" w:rsidR="00337181">
        <w:rPr>
          <w:sz w:val="22"/>
          <w:szCs w:val="22"/>
        </w:rPr>
        <w:t>PTC-equipped</w:t>
      </w:r>
      <w:r w:rsidRPr="004B2EBD" w:rsidR="00652EE7">
        <w:rPr>
          <w:sz w:val="22"/>
          <w:szCs w:val="22"/>
        </w:rPr>
        <w:t xml:space="preserve"> base</w:t>
      </w:r>
      <w:r w:rsidRPr="004B2EBD" w:rsidR="00DC4CC0">
        <w:rPr>
          <w:sz w:val="22"/>
          <w:szCs w:val="22"/>
        </w:rPr>
        <w:t>,</w:t>
      </w:r>
      <w:r w:rsidRPr="004B2EBD" w:rsidR="00652EE7">
        <w:rPr>
          <w:sz w:val="22"/>
          <w:szCs w:val="22"/>
        </w:rPr>
        <w:t xml:space="preserve"> wayside</w:t>
      </w:r>
      <w:r w:rsidRPr="004B2EBD" w:rsidR="00125C57">
        <w:rPr>
          <w:sz w:val="22"/>
          <w:szCs w:val="22"/>
        </w:rPr>
        <w:t>,</w:t>
      </w:r>
      <w:r w:rsidRPr="004B2EBD" w:rsidR="00B73503">
        <w:rPr>
          <w:sz w:val="22"/>
          <w:szCs w:val="22"/>
        </w:rPr>
        <w:t xml:space="preserve"> and</w:t>
      </w:r>
      <w:r w:rsidRPr="004B2EBD" w:rsidR="00BC5615">
        <w:rPr>
          <w:sz w:val="22"/>
          <w:szCs w:val="22"/>
        </w:rPr>
        <w:t xml:space="preserve"> </w:t>
      </w:r>
      <w:r w:rsidRPr="004B2EBD" w:rsidR="00652EE7">
        <w:rPr>
          <w:sz w:val="22"/>
          <w:szCs w:val="22"/>
        </w:rPr>
        <w:t>mobile (locomotive) stations.</w:t>
      </w:r>
      <w:r w:rsidRPr="004B2EBD" w:rsidR="00F40FCD">
        <w:rPr>
          <w:sz w:val="22"/>
          <w:szCs w:val="22"/>
        </w:rPr>
        <w:t xml:space="preserve"> </w:t>
      </w:r>
      <w:r w:rsidRPr="004B2EBD" w:rsidR="00DC4CC0">
        <w:rPr>
          <w:rStyle w:val="FootnoteReference"/>
          <w:sz w:val="22"/>
          <w:szCs w:val="22"/>
        </w:rPr>
        <w:t xml:space="preserve"> </w:t>
      </w:r>
      <w:r w:rsidRPr="004B2EBD" w:rsidR="009B5BB0">
        <w:rPr>
          <w:sz w:val="22"/>
          <w:szCs w:val="22"/>
        </w:rPr>
        <w:t>We discuss the report’s find</w:t>
      </w:r>
      <w:r w:rsidRPr="004B2EBD" w:rsidR="0061793D">
        <w:rPr>
          <w:sz w:val="22"/>
          <w:szCs w:val="22"/>
        </w:rPr>
        <w:t xml:space="preserve">ings </w:t>
      </w:r>
      <w:r w:rsidRPr="004B2EBD" w:rsidR="009B5BB0">
        <w:rPr>
          <w:sz w:val="22"/>
          <w:szCs w:val="22"/>
        </w:rPr>
        <w:t>below.</w:t>
      </w:r>
    </w:p>
    <w:p w:rsidR="00806471" w:rsidP="004B2EBD" w14:paraId="79707CCD" w14:textId="013CF05C">
      <w:pPr>
        <w:ind w:firstLine="720"/>
        <w:rPr>
          <w:sz w:val="22"/>
          <w:szCs w:val="22"/>
        </w:rPr>
      </w:pPr>
      <w:r w:rsidRPr="004B2EBD">
        <w:rPr>
          <w:i/>
          <w:sz w:val="22"/>
          <w:szCs w:val="22"/>
        </w:rPr>
        <w:t>Interference Mitigation Plan</w:t>
      </w:r>
      <w:r w:rsidRPr="004B2EBD">
        <w:rPr>
          <w:sz w:val="22"/>
          <w:szCs w:val="22"/>
        </w:rPr>
        <w:t xml:space="preserve">.  As required by </w:t>
      </w:r>
      <w:r w:rsidR="005F0FA2">
        <w:rPr>
          <w:sz w:val="22"/>
          <w:szCs w:val="22"/>
        </w:rPr>
        <w:t>s</w:t>
      </w:r>
      <w:r w:rsidRPr="004B2EBD">
        <w:rPr>
          <w:sz w:val="22"/>
          <w:szCs w:val="22"/>
        </w:rPr>
        <w:t xml:space="preserve">ection 80.215(h)(2), </w:t>
      </w:r>
      <w:r w:rsidRPr="004B2EBD" w:rsidR="00704AC3">
        <w:rPr>
          <w:sz w:val="22"/>
          <w:szCs w:val="22"/>
        </w:rPr>
        <w:t xml:space="preserve">SCRRA has provided </w:t>
      </w:r>
      <w:r w:rsidRPr="004B2EBD">
        <w:rPr>
          <w:sz w:val="22"/>
          <w:szCs w:val="22"/>
        </w:rPr>
        <w:t xml:space="preserve">a plan to limit potential interference from operation of </w:t>
      </w:r>
      <w:r w:rsidRPr="004B2EBD" w:rsidR="00914A36">
        <w:rPr>
          <w:sz w:val="22"/>
          <w:szCs w:val="22"/>
        </w:rPr>
        <w:t xml:space="preserve">Metrolink’s </w:t>
      </w:r>
      <w:r w:rsidRPr="004B2EBD">
        <w:rPr>
          <w:sz w:val="22"/>
          <w:szCs w:val="22"/>
        </w:rPr>
        <w:t xml:space="preserve">PTC base </w:t>
      </w:r>
      <w:r w:rsidRPr="004B2EBD" w:rsidR="00704AC3">
        <w:rPr>
          <w:sz w:val="22"/>
          <w:szCs w:val="22"/>
        </w:rPr>
        <w:t xml:space="preserve">and wayside </w:t>
      </w:r>
      <w:r w:rsidRPr="004B2EBD">
        <w:rPr>
          <w:sz w:val="22"/>
          <w:szCs w:val="22"/>
        </w:rPr>
        <w:t>stations to OTA television reception</w:t>
      </w:r>
      <w:r w:rsidR="00F91239">
        <w:rPr>
          <w:sz w:val="22"/>
          <w:szCs w:val="22"/>
        </w:rPr>
        <w:t>,</w:t>
      </w:r>
      <w:r>
        <w:rPr>
          <w:rStyle w:val="FootnoteReference"/>
          <w:sz w:val="22"/>
          <w:szCs w:val="22"/>
        </w:rPr>
        <w:footnoteReference w:id="37"/>
      </w:r>
      <w:r w:rsidRPr="004B2EBD" w:rsidR="00F91239">
        <w:rPr>
          <w:sz w:val="22"/>
          <w:szCs w:val="22"/>
        </w:rPr>
        <w:t xml:space="preserve"> </w:t>
      </w:r>
      <w:r w:rsidR="00F91239">
        <w:rPr>
          <w:sz w:val="22"/>
          <w:szCs w:val="22"/>
        </w:rPr>
        <w:t xml:space="preserve">and SCRRA certifies it will adhere to </w:t>
      </w:r>
      <w:r w:rsidRPr="004B2EBD" w:rsidR="00F91239">
        <w:rPr>
          <w:sz w:val="22"/>
          <w:szCs w:val="22"/>
        </w:rPr>
        <w:t>the Interference Mitigation Plan</w:t>
      </w:r>
      <w:r w:rsidRPr="004B2EBD" w:rsidR="00BC5C42">
        <w:rPr>
          <w:sz w:val="22"/>
          <w:szCs w:val="22"/>
        </w:rPr>
        <w:t>.</w:t>
      </w:r>
      <w:r>
        <w:rPr>
          <w:rStyle w:val="FootnoteReference"/>
          <w:sz w:val="22"/>
          <w:szCs w:val="22"/>
        </w:rPr>
        <w:footnoteReference w:id="38"/>
      </w:r>
    </w:p>
    <w:p w:rsidR="009B7617" w:rsidP="004B2EBD" w14:paraId="780857CE" w14:textId="731D7E15">
      <w:pPr>
        <w:ind w:firstLine="720"/>
        <w:rPr>
          <w:sz w:val="22"/>
          <w:szCs w:val="22"/>
        </w:rPr>
      </w:pPr>
    </w:p>
    <w:p w:rsidR="00DA6034" w:rsidP="006B653F" w14:paraId="5B2650CF" w14:textId="7B9EDC34">
      <w:pPr>
        <w:ind w:firstLine="720"/>
        <w:rPr>
          <w:sz w:val="22"/>
          <w:szCs w:val="22"/>
        </w:rPr>
      </w:pPr>
      <w:r w:rsidRPr="009B7617">
        <w:rPr>
          <w:i/>
          <w:iCs/>
          <w:sz w:val="22"/>
          <w:szCs w:val="22"/>
        </w:rPr>
        <w:t>SCRRA Waiver Request</w:t>
      </w:r>
      <w:r>
        <w:rPr>
          <w:sz w:val="22"/>
          <w:szCs w:val="22"/>
        </w:rPr>
        <w:t xml:space="preserve">.  SCRRA requests a waiver of </w:t>
      </w:r>
      <w:r w:rsidR="005F0FA2">
        <w:rPr>
          <w:sz w:val="22"/>
          <w:szCs w:val="22"/>
        </w:rPr>
        <w:t>s</w:t>
      </w:r>
      <w:r w:rsidRPr="007C2677">
        <w:rPr>
          <w:sz w:val="22"/>
          <w:szCs w:val="22"/>
        </w:rPr>
        <w:t>ection 80.215(i) of the Commission’s rules</w:t>
      </w:r>
      <w:r w:rsidR="00627DD6">
        <w:rPr>
          <w:sz w:val="22"/>
          <w:szCs w:val="22"/>
        </w:rPr>
        <w:t xml:space="preserve">, </w:t>
      </w:r>
      <w:r w:rsidRPr="004B2EBD" w:rsidR="00627DD6">
        <w:rPr>
          <w:sz w:val="22"/>
          <w:szCs w:val="22"/>
        </w:rPr>
        <w:t>so that it and its tenant railroad partners</w:t>
      </w:r>
      <w:r w:rsidR="009B03FA">
        <w:rPr>
          <w:sz w:val="22"/>
          <w:szCs w:val="22"/>
        </w:rPr>
        <w:t xml:space="preserve"> </w:t>
      </w:r>
      <w:r w:rsidR="00E11D80">
        <w:rPr>
          <w:sz w:val="22"/>
          <w:szCs w:val="22"/>
        </w:rPr>
        <w:t>(</w:t>
      </w:r>
      <w:r w:rsidR="009B03FA">
        <w:rPr>
          <w:sz w:val="22"/>
          <w:szCs w:val="22"/>
        </w:rPr>
        <w:t xml:space="preserve">pursuant to spectrum leasing </w:t>
      </w:r>
      <w:r w:rsidR="00E11D80">
        <w:rPr>
          <w:sz w:val="22"/>
          <w:szCs w:val="22"/>
        </w:rPr>
        <w:t>arrangements)</w:t>
      </w:r>
      <w:r w:rsidR="009B03FA">
        <w:rPr>
          <w:sz w:val="22"/>
          <w:szCs w:val="22"/>
        </w:rPr>
        <w:t xml:space="preserve"> </w:t>
      </w:r>
      <w:r w:rsidRPr="004B2EBD" w:rsidR="00627DD6">
        <w:rPr>
          <w:sz w:val="22"/>
          <w:szCs w:val="22"/>
        </w:rPr>
        <w:t xml:space="preserve">may operate locomotive radios at up to 50 watts </w:t>
      </w:r>
      <w:r w:rsidRPr="007C2677" w:rsidR="00627DD6">
        <w:rPr>
          <w:sz w:val="22"/>
          <w:szCs w:val="22"/>
        </w:rPr>
        <w:t xml:space="preserve">transmitter power output </w:t>
      </w:r>
      <w:r w:rsidR="00627DD6">
        <w:rPr>
          <w:sz w:val="22"/>
          <w:szCs w:val="22"/>
        </w:rPr>
        <w:t>(</w:t>
      </w:r>
      <w:r w:rsidRPr="004B2EBD" w:rsidR="00627DD6">
        <w:rPr>
          <w:sz w:val="22"/>
          <w:szCs w:val="22"/>
        </w:rPr>
        <w:t>TPO</w:t>
      </w:r>
      <w:r w:rsidR="00627DD6">
        <w:rPr>
          <w:sz w:val="22"/>
          <w:szCs w:val="22"/>
        </w:rPr>
        <w:t>)</w:t>
      </w:r>
      <w:r w:rsidRPr="004B2EBD" w:rsidR="00627DD6">
        <w:rPr>
          <w:sz w:val="22"/>
          <w:szCs w:val="22"/>
        </w:rPr>
        <w:t xml:space="preserve"> with an </w:t>
      </w:r>
      <w:r w:rsidRPr="007C2677" w:rsidR="00627DD6">
        <w:rPr>
          <w:sz w:val="22"/>
          <w:szCs w:val="22"/>
        </w:rPr>
        <w:t>effective radiated power</w:t>
      </w:r>
      <w:r w:rsidRPr="004B2EBD" w:rsidR="00627DD6">
        <w:rPr>
          <w:sz w:val="22"/>
          <w:szCs w:val="22"/>
        </w:rPr>
        <w:t xml:space="preserve"> </w:t>
      </w:r>
      <w:r w:rsidR="00627DD6">
        <w:rPr>
          <w:sz w:val="22"/>
          <w:szCs w:val="22"/>
        </w:rPr>
        <w:t>(</w:t>
      </w:r>
      <w:r w:rsidRPr="004B2EBD" w:rsidR="00627DD6">
        <w:rPr>
          <w:sz w:val="22"/>
          <w:szCs w:val="22"/>
        </w:rPr>
        <w:t>ERP</w:t>
      </w:r>
      <w:r w:rsidR="00627DD6">
        <w:rPr>
          <w:sz w:val="22"/>
          <w:szCs w:val="22"/>
        </w:rPr>
        <w:t>)</w:t>
      </w:r>
      <w:r w:rsidRPr="004B2EBD" w:rsidR="00627DD6">
        <w:rPr>
          <w:sz w:val="22"/>
          <w:szCs w:val="22"/>
        </w:rPr>
        <w:t xml:space="preserve"> up to 39 watts</w:t>
      </w:r>
      <w:r w:rsidR="00627DD6">
        <w:rPr>
          <w:sz w:val="22"/>
          <w:szCs w:val="22"/>
        </w:rPr>
        <w:t>.</w:t>
      </w:r>
      <w:r>
        <w:rPr>
          <w:rStyle w:val="FootnoteReference"/>
          <w:sz w:val="22"/>
          <w:szCs w:val="22"/>
        </w:rPr>
        <w:footnoteReference w:id="39"/>
      </w:r>
      <w:r w:rsidR="00F51829">
        <w:rPr>
          <w:sz w:val="22"/>
          <w:szCs w:val="22"/>
        </w:rPr>
        <w:t xml:space="preserve">  SCRRA also requests a waiver of </w:t>
      </w:r>
      <w:r w:rsidR="005F0FA2">
        <w:rPr>
          <w:sz w:val="22"/>
          <w:szCs w:val="22"/>
        </w:rPr>
        <w:t>s</w:t>
      </w:r>
      <w:r w:rsidRPr="007C2677" w:rsidR="00915ED5">
        <w:rPr>
          <w:sz w:val="22"/>
          <w:szCs w:val="22"/>
        </w:rPr>
        <w:t xml:space="preserve">ection </w:t>
      </w:r>
      <w:r w:rsidR="00D013BD">
        <w:rPr>
          <w:sz w:val="22"/>
          <w:szCs w:val="22"/>
        </w:rPr>
        <w:t>1.913(a)(1)</w:t>
      </w:r>
      <w:r w:rsidRPr="007C2677" w:rsidR="00915ED5">
        <w:rPr>
          <w:sz w:val="22"/>
          <w:szCs w:val="22"/>
        </w:rPr>
        <w:t xml:space="preserve"> of the Commission’s rules</w:t>
      </w:r>
      <w:r w:rsidRPr="00714CD1" w:rsidR="00D013BD">
        <w:rPr>
          <w:sz w:val="22"/>
          <w:szCs w:val="22"/>
        </w:rPr>
        <w:t xml:space="preserve"> to the extent the rule requires SCRRA to file a separate FCC Form 601, Schedule D for authorization of each </w:t>
      </w:r>
      <w:r w:rsidR="00011A88">
        <w:rPr>
          <w:sz w:val="22"/>
          <w:szCs w:val="22"/>
        </w:rPr>
        <w:t xml:space="preserve">of its 546 </w:t>
      </w:r>
      <w:r w:rsidRPr="00714CD1" w:rsidR="00D013BD">
        <w:rPr>
          <w:sz w:val="22"/>
          <w:szCs w:val="22"/>
        </w:rPr>
        <w:t>wayside radio station</w:t>
      </w:r>
      <w:r w:rsidR="00011A88">
        <w:rPr>
          <w:sz w:val="22"/>
          <w:szCs w:val="22"/>
        </w:rPr>
        <w:t>s</w:t>
      </w:r>
      <w:r w:rsidRPr="00714CD1" w:rsidR="00D013BD">
        <w:rPr>
          <w:sz w:val="22"/>
          <w:szCs w:val="22"/>
        </w:rPr>
        <w:t>.</w:t>
      </w:r>
      <w:r>
        <w:rPr>
          <w:rStyle w:val="FootnoteReference"/>
          <w:sz w:val="22"/>
          <w:szCs w:val="22"/>
        </w:rPr>
        <w:footnoteReference w:id="40"/>
      </w:r>
      <w:r w:rsidR="00C417A5">
        <w:rPr>
          <w:sz w:val="22"/>
          <w:szCs w:val="22"/>
        </w:rPr>
        <w:t xml:space="preserve">  For the reasons stated below, we grant the requested rule waivers. </w:t>
      </w:r>
      <w:r w:rsidRPr="00714CD1" w:rsidR="00D013BD">
        <w:rPr>
          <w:sz w:val="22"/>
          <w:szCs w:val="22"/>
        </w:rPr>
        <w:t xml:space="preserve">  </w:t>
      </w:r>
    </w:p>
    <w:p w:rsidR="00DA6034" w:rsidP="004B2EBD" w14:paraId="0A7EBECE" w14:textId="77777777">
      <w:pPr>
        <w:ind w:firstLine="720"/>
        <w:rPr>
          <w:sz w:val="22"/>
          <w:szCs w:val="22"/>
        </w:rPr>
      </w:pPr>
    </w:p>
    <w:p w:rsidR="00962285" w:rsidP="00F269A7" w14:paraId="37C07770" w14:textId="746B80DC">
      <w:pPr>
        <w:ind w:firstLine="720"/>
        <w:rPr>
          <w:sz w:val="22"/>
          <w:szCs w:val="22"/>
        </w:rPr>
      </w:pPr>
      <w:r w:rsidRPr="004B2EBD">
        <w:rPr>
          <w:i/>
          <w:sz w:val="22"/>
          <w:szCs w:val="22"/>
        </w:rPr>
        <w:t>Broadcaster Notification</w:t>
      </w:r>
      <w:r w:rsidRPr="004B2EBD">
        <w:rPr>
          <w:sz w:val="22"/>
          <w:szCs w:val="22"/>
        </w:rPr>
        <w:t xml:space="preserve">.  </w:t>
      </w:r>
      <w:bookmarkStart w:id="8" w:name="_Hlk528053496"/>
      <w:r w:rsidRPr="004B2EBD" w:rsidR="008D408E">
        <w:rPr>
          <w:sz w:val="22"/>
          <w:szCs w:val="22"/>
        </w:rPr>
        <w:t xml:space="preserve">SCRRA </w:t>
      </w:r>
      <w:r w:rsidRPr="004B2EBD" w:rsidR="00E41CA8">
        <w:rPr>
          <w:sz w:val="22"/>
          <w:szCs w:val="22"/>
        </w:rPr>
        <w:t xml:space="preserve">served copies </w:t>
      </w:r>
      <w:r w:rsidRPr="004B2EBD">
        <w:rPr>
          <w:sz w:val="22"/>
          <w:szCs w:val="22"/>
        </w:rPr>
        <w:t xml:space="preserve">of the License Modification Application </w:t>
      </w:r>
      <w:bookmarkEnd w:id="8"/>
      <w:r w:rsidR="00F91239">
        <w:rPr>
          <w:sz w:val="22"/>
          <w:szCs w:val="22"/>
        </w:rPr>
        <w:t>(includ</w:t>
      </w:r>
      <w:r w:rsidR="00757001">
        <w:rPr>
          <w:sz w:val="22"/>
          <w:szCs w:val="22"/>
        </w:rPr>
        <w:t>ing</w:t>
      </w:r>
      <w:r w:rsidR="00F91239">
        <w:rPr>
          <w:sz w:val="22"/>
          <w:szCs w:val="22"/>
        </w:rPr>
        <w:t xml:space="preserve"> the</w:t>
      </w:r>
      <w:r w:rsidR="00011A88">
        <w:rPr>
          <w:sz w:val="22"/>
          <w:szCs w:val="22"/>
        </w:rPr>
        <w:t xml:space="preserve"> </w:t>
      </w:r>
      <w:r w:rsidRPr="004B2EBD" w:rsidR="00011A88">
        <w:rPr>
          <w:sz w:val="22"/>
          <w:szCs w:val="22"/>
        </w:rPr>
        <w:t>Engineering Report</w:t>
      </w:r>
      <w:r w:rsidR="00011A88">
        <w:rPr>
          <w:sz w:val="22"/>
          <w:szCs w:val="22"/>
        </w:rPr>
        <w:t>,</w:t>
      </w:r>
      <w:r w:rsidR="00F91239">
        <w:rPr>
          <w:sz w:val="22"/>
          <w:szCs w:val="22"/>
        </w:rPr>
        <w:t xml:space="preserve"> Interference Mitigation Plan</w:t>
      </w:r>
      <w:r w:rsidR="009B7617">
        <w:rPr>
          <w:sz w:val="22"/>
          <w:szCs w:val="22"/>
        </w:rPr>
        <w:t>,</w:t>
      </w:r>
      <w:r w:rsidR="00F91239">
        <w:rPr>
          <w:sz w:val="22"/>
          <w:szCs w:val="22"/>
        </w:rPr>
        <w:t xml:space="preserve"> </w:t>
      </w:r>
      <w:r w:rsidR="009B7617">
        <w:rPr>
          <w:sz w:val="22"/>
          <w:szCs w:val="22"/>
        </w:rPr>
        <w:t>and Waiver Request</w:t>
      </w:r>
      <w:r w:rsidR="00F91239">
        <w:rPr>
          <w:sz w:val="22"/>
          <w:szCs w:val="22"/>
        </w:rPr>
        <w:t>)</w:t>
      </w:r>
      <w:r w:rsidRPr="004B2EBD" w:rsidR="00E41CA8">
        <w:rPr>
          <w:sz w:val="22"/>
          <w:szCs w:val="22"/>
        </w:rPr>
        <w:t xml:space="preserve"> </w:t>
      </w:r>
      <w:r w:rsidRPr="004B2EBD">
        <w:rPr>
          <w:sz w:val="22"/>
          <w:szCs w:val="22"/>
        </w:rPr>
        <w:t xml:space="preserve">to potentially affected broadcast stations on </w:t>
      </w:r>
      <w:r w:rsidRPr="004B2EBD" w:rsidR="00E41CA8">
        <w:rPr>
          <w:sz w:val="22"/>
          <w:szCs w:val="22"/>
        </w:rPr>
        <w:t>October 27,</w:t>
      </w:r>
      <w:r w:rsidRPr="004B2EBD">
        <w:rPr>
          <w:sz w:val="22"/>
          <w:szCs w:val="22"/>
        </w:rPr>
        <w:t xml:space="preserve"> 201</w:t>
      </w:r>
      <w:r w:rsidRPr="004B2EBD" w:rsidR="00E41CA8">
        <w:rPr>
          <w:sz w:val="22"/>
          <w:szCs w:val="22"/>
        </w:rPr>
        <w:t>7</w:t>
      </w:r>
      <w:r w:rsidRPr="004B2EBD">
        <w:rPr>
          <w:sz w:val="22"/>
          <w:szCs w:val="22"/>
        </w:rPr>
        <w:t xml:space="preserve">, and as subsequently amended, on </w:t>
      </w:r>
      <w:r w:rsidRPr="004B2EBD" w:rsidR="00E41CA8">
        <w:rPr>
          <w:sz w:val="22"/>
          <w:szCs w:val="22"/>
        </w:rPr>
        <w:t>May 28</w:t>
      </w:r>
      <w:r w:rsidRPr="004B2EBD" w:rsidR="00E60F85">
        <w:rPr>
          <w:sz w:val="22"/>
          <w:szCs w:val="22"/>
        </w:rPr>
        <w:t xml:space="preserve"> and </w:t>
      </w:r>
      <w:r w:rsidRPr="004B2EBD" w:rsidR="00E85F05">
        <w:rPr>
          <w:sz w:val="22"/>
          <w:szCs w:val="22"/>
        </w:rPr>
        <w:t>October 11</w:t>
      </w:r>
      <w:r w:rsidRPr="004B2EBD" w:rsidR="00E41CA8">
        <w:rPr>
          <w:sz w:val="22"/>
          <w:szCs w:val="22"/>
        </w:rPr>
        <w:t>, 2019</w:t>
      </w:r>
      <w:r w:rsidRPr="004B2EBD" w:rsidR="00BC5C42">
        <w:rPr>
          <w:sz w:val="22"/>
          <w:szCs w:val="22"/>
        </w:rPr>
        <w:t xml:space="preserve">, and on </w:t>
      </w:r>
      <w:r w:rsidRPr="004B2EBD" w:rsidR="00A40456">
        <w:rPr>
          <w:sz w:val="22"/>
          <w:szCs w:val="22"/>
        </w:rPr>
        <w:t xml:space="preserve">March </w:t>
      </w:r>
      <w:r w:rsidRPr="004B2EBD" w:rsidR="00BD1F54">
        <w:rPr>
          <w:sz w:val="22"/>
          <w:szCs w:val="22"/>
        </w:rPr>
        <w:t>13</w:t>
      </w:r>
      <w:r w:rsidRPr="004B2EBD" w:rsidR="00BC5C42">
        <w:rPr>
          <w:sz w:val="22"/>
          <w:szCs w:val="22"/>
        </w:rPr>
        <w:t>, 2020</w:t>
      </w:r>
      <w:r w:rsidRPr="004B2EBD" w:rsidR="006A5A2B">
        <w:rPr>
          <w:sz w:val="22"/>
          <w:szCs w:val="22"/>
        </w:rPr>
        <w:t>.</w:t>
      </w:r>
      <w:r>
        <w:rPr>
          <w:rStyle w:val="FootnoteReference"/>
          <w:sz w:val="22"/>
          <w:szCs w:val="22"/>
        </w:rPr>
        <w:footnoteReference w:id="41"/>
      </w:r>
      <w:r w:rsidRPr="004B2EBD">
        <w:rPr>
          <w:sz w:val="22"/>
          <w:szCs w:val="22"/>
        </w:rPr>
        <w:t xml:space="preserve">  No broadcast station or other party has filed a comment on, or opposed,</w:t>
      </w:r>
      <w:r w:rsidRPr="004B2EBD" w:rsidR="00CF2AE9">
        <w:rPr>
          <w:sz w:val="22"/>
          <w:szCs w:val="22"/>
        </w:rPr>
        <w:t xml:space="preserve"> </w:t>
      </w:r>
      <w:r w:rsidRPr="004B2EBD" w:rsidR="009D04C9">
        <w:rPr>
          <w:sz w:val="22"/>
          <w:szCs w:val="22"/>
        </w:rPr>
        <w:t xml:space="preserve">the SCRRA </w:t>
      </w:r>
      <w:r w:rsidRPr="004B2EBD">
        <w:rPr>
          <w:sz w:val="22"/>
          <w:szCs w:val="22"/>
        </w:rPr>
        <w:t>License Modification Application.</w:t>
      </w:r>
    </w:p>
    <w:p w:rsidR="00F269A7" w:rsidP="00F269A7" w14:paraId="5B3B5AD3" w14:textId="77777777">
      <w:pPr>
        <w:ind w:firstLine="720"/>
        <w:rPr>
          <w:sz w:val="22"/>
          <w:szCs w:val="22"/>
        </w:rPr>
      </w:pPr>
    </w:p>
    <w:p w:rsidR="00806471" w:rsidRPr="004B2EBD" w:rsidP="00E16E24" w14:paraId="053F8B29" w14:textId="77777777">
      <w:pPr>
        <w:pStyle w:val="ListParagraph"/>
        <w:numPr>
          <w:ilvl w:val="0"/>
          <w:numId w:val="2"/>
        </w:numPr>
        <w:rPr>
          <w:b/>
          <w:sz w:val="22"/>
          <w:szCs w:val="22"/>
        </w:rPr>
      </w:pPr>
      <w:r w:rsidRPr="004B2EBD">
        <w:rPr>
          <w:b/>
          <w:sz w:val="22"/>
          <w:szCs w:val="22"/>
        </w:rPr>
        <w:t>DISCUSSION</w:t>
      </w:r>
    </w:p>
    <w:p w:rsidR="00806471" w:rsidRPr="004B2EBD" w:rsidP="004B2EBD" w14:paraId="71CA483B" w14:textId="77777777">
      <w:pPr>
        <w:ind w:firstLine="720"/>
        <w:rPr>
          <w:b/>
          <w:sz w:val="22"/>
          <w:szCs w:val="22"/>
        </w:rPr>
      </w:pPr>
    </w:p>
    <w:p w:rsidR="004D109C" w:rsidP="004B2EBD" w14:paraId="6EF25965" w14:textId="77777777">
      <w:pPr>
        <w:ind w:firstLine="720"/>
        <w:rPr>
          <w:sz w:val="22"/>
          <w:szCs w:val="22"/>
        </w:rPr>
      </w:pPr>
      <w:r w:rsidRPr="004B2EBD">
        <w:rPr>
          <w:sz w:val="22"/>
          <w:szCs w:val="22"/>
        </w:rPr>
        <w:t xml:space="preserve">We have reviewed </w:t>
      </w:r>
      <w:r w:rsidRPr="004B2EBD" w:rsidR="00D528B9">
        <w:rPr>
          <w:sz w:val="22"/>
          <w:szCs w:val="22"/>
        </w:rPr>
        <w:t xml:space="preserve">the </w:t>
      </w:r>
      <w:r w:rsidRPr="004B2EBD">
        <w:rPr>
          <w:sz w:val="22"/>
          <w:szCs w:val="22"/>
        </w:rPr>
        <w:t>License Modification Application,</w:t>
      </w:r>
      <w:r w:rsidRPr="004B2EBD" w:rsidR="0099225A">
        <w:rPr>
          <w:sz w:val="22"/>
          <w:szCs w:val="22"/>
        </w:rPr>
        <w:t xml:space="preserve"> </w:t>
      </w:r>
      <w:r w:rsidRPr="004B2EBD">
        <w:rPr>
          <w:sz w:val="22"/>
          <w:szCs w:val="22"/>
        </w:rPr>
        <w:t xml:space="preserve">Engineering Report, Interference Mitigation Plan, </w:t>
      </w:r>
      <w:r w:rsidRPr="004B2EBD" w:rsidR="00DF5899">
        <w:rPr>
          <w:sz w:val="22"/>
          <w:szCs w:val="22"/>
        </w:rPr>
        <w:t xml:space="preserve">Waiver Request, </w:t>
      </w:r>
      <w:r w:rsidRPr="004B2EBD">
        <w:rPr>
          <w:sz w:val="22"/>
          <w:szCs w:val="22"/>
        </w:rPr>
        <w:t>and all other filings in the record before us</w:t>
      </w:r>
      <w:r w:rsidR="00770DE2">
        <w:rPr>
          <w:sz w:val="22"/>
          <w:szCs w:val="22"/>
        </w:rPr>
        <w:t>,</w:t>
      </w:r>
      <w:r w:rsidRPr="004B2EBD">
        <w:rPr>
          <w:sz w:val="22"/>
          <w:szCs w:val="22"/>
        </w:rPr>
        <w:t xml:space="preserve"> and </w:t>
      </w:r>
      <w:r w:rsidR="00770DE2">
        <w:rPr>
          <w:sz w:val="22"/>
          <w:szCs w:val="22"/>
        </w:rPr>
        <w:t xml:space="preserve">we </w:t>
      </w:r>
      <w:r w:rsidRPr="004B2EBD">
        <w:rPr>
          <w:sz w:val="22"/>
          <w:szCs w:val="22"/>
        </w:rPr>
        <w:t>find that the</w:t>
      </w:r>
      <w:r w:rsidRPr="004B2EBD" w:rsidR="009D04C9">
        <w:rPr>
          <w:sz w:val="22"/>
          <w:szCs w:val="22"/>
        </w:rPr>
        <w:t xml:space="preserve"> </w:t>
      </w:r>
      <w:r w:rsidRPr="004B2EBD">
        <w:rPr>
          <w:sz w:val="22"/>
          <w:szCs w:val="22"/>
        </w:rPr>
        <w:t xml:space="preserve">public interest in </w:t>
      </w:r>
      <w:r w:rsidR="00F91239">
        <w:rPr>
          <w:sz w:val="22"/>
          <w:szCs w:val="22"/>
        </w:rPr>
        <w:t xml:space="preserve">facilitating </w:t>
      </w:r>
      <w:r w:rsidRPr="004B2EBD">
        <w:rPr>
          <w:sz w:val="22"/>
          <w:szCs w:val="22"/>
        </w:rPr>
        <w:t xml:space="preserve">rail safety will be served by granting </w:t>
      </w:r>
      <w:r w:rsidRPr="004B2EBD" w:rsidR="00C06029">
        <w:rPr>
          <w:sz w:val="22"/>
          <w:szCs w:val="22"/>
        </w:rPr>
        <w:t xml:space="preserve">SCRRA </w:t>
      </w:r>
      <w:r w:rsidRPr="004B2EBD">
        <w:rPr>
          <w:sz w:val="22"/>
          <w:szCs w:val="22"/>
        </w:rPr>
        <w:t>permanent authority to operate</w:t>
      </w:r>
      <w:r w:rsidRPr="004B2EBD" w:rsidR="00FD632F">
        <w:rPr>
          <w:sz w:val="22"/>
          <w:szCs w:val="22"/>
        </w:rPr>
        <w:t xml:space="preserve"> 17</w:t>
      </w:r>
      <w:r w:rsidRPr="004B2EBD">
        <w:rPr>
          <w:sz w:val="22"/>
          <w:szCs w:val="22"/>
        </w:rPr>
        <w:t xml:space="preserve"> </w:t>
      </w:r>
      <w:r w:rsidRPr="004B2EBD" w:rsidR="00C35D16">
        <w:rPr>
          <w:sz w:val="22"/>
          <w:szCs w:val="22"/>
        </w:rPr>
        <w:t xml:space="preserve">PTC </w:t>
      </w:r>
      <w:r w:rsidRPr="004B2EBD" w:rsidR="001C7A8D">
        <w:rPr>
          <w:sz w:val="22"/>
          <w:szCs w:val="22"/>
        </w:rPr>
        <w:t xml:space="preserve">wireless radio </w:t>
      </w:r>
      <w:r w:rsidRPr="004B2EBD">
        <w:rPr>
          <w:sz w:val="22"/>
          <w:szCs w:val="22"/>
        </w:rPr>
        <w:t>base stations</w:t>
      </w:r>
      <w:r w:rsidRPr="004B2EBD" w:rsidR="006A1409">
        <w:rPr>
          <w:sz w:val="22"/>
          <w:szCs w:val="22"/>
        </w:rPr>
        <w:t>,</w:t>
      </w:r>
      <w:r>
        <w:rPr>
          <w:rStyle w:val="FootnoteReference"/>
          <w:sz w:val="22"/>
          <w:szCs w:val="22"/>
        </w:rPr>
        <w:footnoteReference w:id="42"/>
      </w:r>
      <w:r w:rsidRPr="004B2EBD" w:rsidR="00C06029">
        <w:rPr>
          <w:sz w:val="22"/>
          <w:szCs w:val="22"/>
        </w:rPr>
        <w:t xml:space="preserve"> </w:t>
      </w:r>
      <w:r w:rsidRPr="004B2EBD" w:rsidR="004E23DB">
        <w:rPr>
          <w:sz w:val="22"/>
          <w:szCs w:val="22"/>
        </w:rPr>
        <w:t>5</w:t>
      </w:r>
      <w:r w:rsidRPr="004B2EBD" w:rsidR="00505FCC">
        <w:rPr>
          <w:sz w:val="22"/>
          <w:szCs w:val="22"/>
        </w:rPr>
        <w:t>46</w:t>
      </w:r>
      <w:r w:rsidRPr="004B2EBD" w:rsidR="004E23DB">
        <w:rPr>
          <w:sz w:val="22"/>
          <w:szCs w:val="22"/>
        </w:rPr>
        <w:t xml:space="preserve"> </w:t>
      </w:r>
      <w:r w:rsidRPr="004B2EBD" w:rsidR="00C35D16">
        <w:rPr>
          <w:sz w:val="22"/>
          <w:szCs w:val="22"/>
        </w:rPr>
        <w:t xml:space="preserve">PTC </w:t>
      </w:r>
      <w:r w:rsidRPr="004B2EBD" w:rsidR="00C06029">
        <w:rPr>
          <w:sz w:val="22"/>
          <w:szCs w:val="22"/>
        </w:rPr>
        <w:t>w</w:t>
      </w:r>
      <w:r w:rsidRPr="004B2EBD" w:rsidR="001C7A8D">
        <w:rPr>
          <w:sz w:val="22"/>
          <w:szCs w:val="22"/>
        </w:rPr>
        <w:t xml:space="preserve">ireless radio wayside </w:t>
      </w:r>
      <w:r w:rsidRPr="004B2EBD" w:rsidR="00C06029">
        <w:rPr>
          <w:sz w:val="22"/>
          <w:szCs w:val="22"/>
        </w:rPr>
        <w:t>stations</w:t>
      </w:r>
      <w:r w:rsidRPr="004B2EBD" w:rsidR="006A1409">
        <w:rPr>
          <w:sz w:val="22"/>
          <w:szCs w:val="22"/>
        </w:rPr>
        <w:t>,</w:t>
      </w:r>
      <w:r>
        <w:rPr>
          <w:rStyle w:val="FootnoteReference"/>
          <w:sz w:val="22"/>
          <w:szCs w:val="22"/>
        </w:rPr>
        <w:footnoteReference w:id="43"/>
      </w:r>
      <w:r w:rsidRPr="004B2EBD" w:rsidR="006A1409">
        <w:rPr>
          <w:sz w:val="22"/>
          <w:szCs w:val="22"/>
        </w:rPr>
        <w:t xml:space="preserve"> and </w:t>
      </w:r>
      <w:r w:rsidRPr="004B2EBD" w:rsidR="00C35D16">
        <w:rPr>
          <w:sz w:val="22"/>
          <w:szCs w:val="22"/>
        </w:rPr>
        <w:t xml:space="preserve">related PTC </w:t>
      </w:r>
      <w:r w:rsidRPr="004B2EBD" w:rsidR="001C7A8D">
        <w:rPr>
          <w:sz w:val="22"/>
          <w:szCs w:val="22"/>
        </w:rPr>
        <w:t xml:space="preserve">wireless radio mobile </w:t>
      </w:r>
      <w:r w:rsidRPr="004B2EBD" w:rsidR="006A1409">
        <w:rPr>
          <w:sz w:val="22"/>
          <w:szCs w:val="22"/>
        </w:rPr>
        <w:t>(locomotive) stations.</w:t>
      </w:r>
      <w:r>
        <w:rPr>
          <w:rStyle w:val="FootnoteReference"/>
          <w:sz w:val="22"/>
          <w:szCs w:val="22"/>
        </w:rPr>
        <w:footnoteReference w:id="44"/>
      </w:r>
    </w:p>
    <w:p w:rsidR="004D109C" w14:paraId="0D6840DC" w14:textId="77777777">
      <w:pPr>
        <w:rPr>
          <w:sz w:val="22"/>
          <w:szCs w:val="22"/>
        </w:rPr>
      </w:pPr>
      <w:r>
        <w:rPr>
          <w:sz w:val="22"/>
          <w:szCs w:val="22"/>
        </w:rPr>
        <w:br w:type="page"/>
      </w:r>
    </w:p>
    <w:p w:rsidR="006A3711" w:rsidRPr="00E16E24" w:rsidP="00E16E24" w14:paraId="1994473D" w14:textId="17C4F8C8">
      <w:pPr>
        <w:pStyle w:val="ListParagraph"/>
        <w:numPr>
          <w:ilvl w:val="0"/>
          <w:numId w:val="3"/>
        </w:numPr>
        <w:rPr>
          <w:b/>
          <w:sz w:val="22"/>
          <w:szCs w:val="22"/>
        </w:rPr>
      </w:pPr>
      <w:bookmarkStart w:id="9" w:name="_Hlk52791402"/>
      <w:r w:rsidRPr="00E16E24">
        <w:rPr>
          <w:b/>
          <w:sz w:val="22"/>
          <w:szCs w:val="22"/>
        </w:rPr>
        <w:t xml:space="preserve">Authorization of </w:t>
      </w:r>
      <w:r w:rsidRPr="00E16E24" w:rsidR="00D528B9">
        <w:rPr>
          <w:b/>
          <w:sz w:val="22"/>
          <w:szCs w:val="22"/>
        </w:rPr>
        <w:t xml:space="preserve">Wireless </w:t>
      </w:r>
      <w:r w:rsidRPr="00E16E24" w:rsidR="00F026DB">
        <w:rPr>
          <w:b/>
          <w:sz w:val="22"/>
          <w:szCs w:val="22"/>
        </w:rPr>
        <w:t xml:space="preserve">Mobile </w:t>
      </w:r>
      <w:r w:rsidRPr="00E16E24" w:rsidR="00D528B9">
        <w:rPr>
          <w:b/>
          <w:sz w:val="22"/>
          <w:szCs w:val="22"/>
        </w:rPr>
        <w:t xml:space="preserve">(Locomotive) </w:t>
      </w:r>
      <w:r w:rsidRPr="00E16E24" w:rsidR="00EA105A">
        <w:rPr>
          <w:b/>
          <w:sz w:val="22"/>
          <w:szCs w:val="22"/>
        </w:rPr>
        <w:t xml:space="preserve">Radio </w:t>
      </w:r>
      <w:r w:rsidRPr="00E16E24" w:rsidR="00F026DB">
        <w:rPr>
          <w:b/>
          <w:sz w:val="22"/>
          <w:szCs w:val="22"/>
        </w:rPr>
        <w:t>Station</w:t>
      </w:r>
      <w:r w:rsidRPr="00E16E24">
        <w:rPr>
          <w:b/>
          <w:sz w:val="22"/>
          <w:szCs w:val="22"/>
        </w:rPr>
        <w:t>s</w:t>
      </w:r>
    </w:p>
    <w:bookmarkEnd w:id="9"/>
    <w:p w:rsidR="008E0E0C" w:rsidP="004B2EBD" w14:paraId="6EDB7B5D" w14:textId="77777777">
      <w:pPr>
        <w:ind w:firstLine="720"/>
        <w:rPr>
          <w:sz w:val="22"/>
          <w:szCs w:val="22"/>
        </w:rPr>
      </w:pPr>
    </w:p>
    <w:p w:rsidR="00F64056" w:rsidP="004B2EBD" w14:paraId="7B65B5A4" w14:textId="7A88D836">
      <w:pPr>
        <w:ind w:firstLine="720"/>
        <w:rPr>
          <w:sz w:val="22"/>
          <w:szCs w:val="22"/>
        </w:rPr>
      </w:pPr>
      <w:r>
        <w:rPr>
          <w:sz w:val="22"/>
          <w:szCs w:val="22"/>
        </w:rPr>
        <w:t xml:space="preserve">We first address SCRRA’s request for authorization to </w:t>
      </w:r>
      <w:r w:rsidRPr="004B2EBD">
        <w:rPr>
          <w:sz w:val="22"/>
          <w:szCs w:val="22"/>
        </w:rPr>
        <w:t xml:space="preserve">operate locomotive radios at up to 50 watts transmitter </w:t>
      </w:r>
      <w:r w:rsidRPr="004B2EBD">
        <w:rPr>
          <w:rStyle w:val="FootnoteReference"/>
          <w:sz w:val="22"/>
          <w:szCs w:val="22"/>
          <w:vertAlign w:val="baseline"/>
        </w:rPr>
        <w:t xml:space="preserve">power output </w:t>
      </w:r>
      <w:r>
        <w:rPr>
          <w:sz w:val="22"/>
          <w:szCs w:val="22"/>
        </w:rPr>
        <w:t>(</w:t>
      </w:r>
      <w:r w:rsidRPr="004B2EBD">
        <w:rPr>
          <w:sz w:val="22"/>
          <w:szCs w:val="22"/>
        </w:rPr>
        <w:t>TPO</w:t>
      </w:r>
      <w:r>
        <w:rPr>
          <w:sz w:val="22"/>
          <w:szCs w:val="22"/>
        </w:rPr>
        <w:t>)</w:t>
      </w:r>
      <w:r>
        <w:rPr>
          <w:rStyle w:val="FootnoteReference"/>
          <w:sz w:val="22"/>
          <w:szCs w:val="22"/>
        </w:rPr>
        <w:footnoteReference w:id="45"/>
      </w:r>
      <w:r w:rsidRPr="004B2EBD">
        <w:rPr>
          <w:sz w:val="22"/>
          <w:szCs w:val="22"/>
        </w:rPr>
        <w:t xml:space="preserve"> with an ERP up to 39 </w:t>
      </w:r>
      <w:r>
        <w:rPr>
          <w:sz w:val="22"/>
          <w:szCs w:val="22"/>
        </w:rPr>
        <w:t xml:space="preserve">watts </w:t>
      </w:r>
      <w:r w:rsidRPr="004B2EBD">
        <w:rPr>
          <w:sz w:val="22"/>
          <w:szCs w:val="22"/>
        </w:rPr>
        <w:t>under Call Sign WQYR421</w:t>
      </w:r>
      <w:r>
        <w:rPr>
          <w:sz w:val="22"/>
          <w:szCs w:val="22"/>
        </w:rPr>
        <w:t>.</w:t>
      </w:r>
      <w:r>
        <w:rPr>
          <w:rStyle w:val="FootnoteReference"/>
          <w:sz w:val="22"/>
          <w:szCs w:val="22"/>
        </w:rPr>
        <w:footnoteReference w:id="46"/>
      </w:r>
    </w:p>
    <w:p w:rsidR="00F64056" w:rsidP="004B2EBD" w14:paraId="0DF48771" w14:textId="77777777">
      <w:pPr>
        <w:ind w:firstLine="720"/>
        <w:rPr>
          <w:sz w:val="22"/>
          <w:szCs w:val="22"/>
        </w:rPr>
      </w:pPr>
    </w:p>
    <w:p w:rsidR="002A30AE" w:rsidRPr="004B2EBD" w:rsidP="004B2EBD" w14:paraId="61ECDCD8" w14:textId="24A85D2C">
      <w:pPr>
        <w:ind w:firstLine="720"/>
        <w:rPr>
          <w:sz w:val="22"/>
          <w:szCs w:val="22"/>
        </w:rPr>
      </w:pPr>
      <w:r w:rsidRPr="004B2EBD">
        <w:rPr>
          <w:sz w:val="22"/>
          <w:szCs w:val="22"/>
        </w:rPr>
        <w:t>Section 80.215(i) of the Commission’s rules</w:t>
      </w:r>
      <w:r w:rsidRPr="004B2EBD" w:rsidR="006723EC">
        <w:rPr>
          <w:sz w:val="22"/>
          <w:szCs w:val="22"/>
        </w:rPr>
        <w:t xml:space="preserve"> </w:t>
      </w:r>
      <w:r w:rsidRPr="004B2EBD">
        <w:rPr>
          <w:sz w:val="22"/>
          <w:szCs w:val="22"/>
        </w:rPr>
        <w:t xml:space="preserve">provides that </w:t>
      </w:r>
      <w:r w:rsidRPr="004B2EBD" w:rsidR="00015516">
        <w:rPr>
          <w:sz w:val="22"/>
          <w:szCs w:val="22"/>
        </w:rPr>
        <w:t xml:space="preserve">AMTS </w:t>
      </w:r>
      <w:r w:rsidRPr="004B2EBD">
        <w:rPr>
          <w:sz w:val="22"/>
          <w:szCs w:val="22"/>
        </w:rPr>
        <w:t xml:space="preserve">mobile radio stations must have a </w:t>
      </w:r>
      <w:r w:rsidR="00F64056">
        <w:rPr>
          <w:sz w:val="22"/>
          <w:szCs w:val="22"/>
        </w:rPr>
        <w:t>TPO</w:t>
      </w:r>
      <w:r w:rsidRPr="004B2EBD" w:rsidR="0072176E">
        <w:rPr>
          <w:rStyle w:val="FootnoteReference"/>
          <w:sz w:val="22"/>
          <w:szCs w:val="22"/>
          <w:vertAlign w:val="baseline"/>
        </w:rPr>
        <w:t xml:space="preserve"> </w:t>
      </w:r>
      <w:r w:rsidRPr="004B2EBD" w:rsidR="00275DBE">
        <w:rPr>
          <w:sz w:val="22"/>
          <w:szCs w:val="22"/>
        </w:rPr>
        <w:t>“</w:t>
      </w:r>
      <w:r w:rsidRPr="004B2EBD">
        <w:rPr>
          <w:sz w:val="22"/>
          <w:szCs w:val="22"/>
        </w:rPr>
        <w:t>not exceeding 25 watts and an ERP</w:t>
      </w:r>
      <w:r w:rsidR="0099323F">
        <w:rPr>
          <w:sz w:val="22"/>
          <w:szCs w:val="22"/>
        </w:rPr>
        <w:t xml:space="preserve"> </w:t>
      </w:r>
      <w:r w:rsidRPr="004B2EBD">
        <w:rPr>
          <w:sz w:val="22"/>
          <w:szCs w:val="22"/>
        </w:rPr>
        <w:t>not exceeding 18 watts</w:t>
      </w:r>
      <w:r w:rsidRPr="004B2EBD" w:rsidR="006723EC">
        <w:rPr>
          <w:sz w:val="22"/>
          <w:szCs w:val="22"/>
        </w:rPr>
        <w:t>.</w:t>
      </w:r>
      <w:r w:rsidRPr="004B2EBD">
        <w:rPr>
          <w:sz w:val="22"/>
          <w:szCs w:val="22"/>
        </w:rPr>
        <w:t>”</w:t>
      </w:r>
      <w:r w:rsidRPr="004B2EBD" w:rsidR="006723EC">
        <w:rPr>
          <w:rStyle w:val="FootnoteReference"/>
          <w:sz w:val="22"/>
          <w:szCs w:val="22"/>
        </w:rPr>
        <w:t xml:space="preserve"> </w:t>
      </w:r>
      <w:r>
        <w:rPr>
          <w:rStyle w:val="FootnoteReference"/>
          <w:sz w:val="22"/>
          <w:szCs w:val="22"/>
        </w:rPr>
        <w:footnoteReference w:id="47"/>
      </w:r>
      <w:r w:rsidRPr="004B2EBD" w:rsidR="006723EC">
        <w:rPr>
          <w:rStyle w:val="FootnoteReference"/>
          <w:sz w:val="22"/>
          <w:szCs w:val="22"/>
          <w:vertAlign w:val="baseline"/>
        </w:rPr>
        <w:t xml:space="preserve"> </w:t>
      </w:r>
      <w:r w:rsidRPr="004B2EBD" w:rsidR="00835D1A">
        <w:rPr>
          <w:rStyle w:val="FootnoteReference"/>
          <w:sz w:val="22"/>
          <w:szCs w:val="22"/>
          <w:vertAlign w:val="baseline"/>
        </w:rPr>
        <w:t xml:space="preserve"> </w:t>
      </w:r>
      <w:r w:rsidRPr="004B2EBD" w:rsidR="00D528B9">
        <w:rPr>
          <w:rStyle w:val="FootnoteReference"/>
          <w:sz w:val="22"/>
          <w:szCs w:val="22"/>
          <w:vertAlign w:val="baseline"/>
        </w:rPr>
        <w:t xml:space="preserve">The rule </w:t>
      </w:r>
      <w:r w:rsidRPr="004B2EBD" w:rsidR="00D528B9">
        <w:rPr>
          <w:sz w:val="22"/>
          <w:szCs w:val="22"/>
        </w:rPr>
        <w:t>permits</w:t>
      </w:r>
      <w:r w:rsidRPr="004B2EBD" w:rsidR="00F026DB">
        <w:rPr>
          <w:sz w:val="22"/>
          <w:szCs w:val="22"/>
        </w:rPr>
        <w:t xml:space="preserve"> </w:t>
      </w:r>
      <w:r w:rsidRPr="004B2EBD" w:rsidR="00D528B9">
        <w:rPr>
          <w:sz w:val="22"/>
          <w:szCs w:val="22"/>
        </w:rPr>
        <w:t xml:space="preserve">increased power output, up to </w:t>
      </w:r>
      <w:r w:rsidRPr="004B2EBD" w:rsidR="00015516">
        <w:rPr>
          <w:rStyle w:val="FootnoteReference"/>
          <w:sz w:val="22"/>
          <w:szCs w:val="22"/>
          <w:vertAlign w:val="baseline"/>
        </w:rPr>
        <w:t>50 watts</w:t>
      </w:r>
      <w:r w:rsidRPr="004B2EBD" w:rsidR="00D528B9">
        <w:rPr>
          <w:rStyle w:val="FootnoteReference"/>
          <w:sz w:val="22"/>
          <w:szCs w:val="22"/>
          <w:vertAlign w:val="baseline"/>
        </w:rPr>
        <w:t>,</w:t>
      </w:r>
      <w:r w:rsidRPr="004B2EBD" w:rsidR="00015516">
        <w:rPr>
          <w:rStyle w:val="FootnoteReference"/>
          <w:sz w:val="22"/>
          <w:szCs w:val="22"/>
          <w:vertAlign w:val="baseline"/>
        </w:rPr>
        <w:t xml:space="preserve"> </w:t>
      </w:r>
      <w:r w:rsidRPr="004B2EBD" w:rsidR="00C35D16">
        <w:rPr>
          <w:rStyle w:val="FootnoteReference"/>
          <w:sz w:val="22"/>
          <w:szCs w:val="22"/>
          <w:vertAlign w:val="baseline"/>
        </w:rPr>
        <w:t xml:space="preserve">provided </w:t>
      </w:r>
      <w:r w:rsidRPr="004B2EBD" w:rsidR="00015516">
        <w:rPr>
          <w:rStyle w:val="FootnoteReference"/>
          <w:sz w:val="22"/>
          <w:szCs w:val="22"/>
          <w:vertAlign w:val="baseline"/>
        </w:rPr>
        <w:t>two cond</w:t>
      </w:r>
      <w:r w:rsidRPr="004B2EBD" w:rsidR="00015516">
        <w:rPr>
          <w:sz w:val="22"/>
          <w:szCs w:val="22"/>
        </w:rPr>
        <w:t>itions</w:t>
      </w:r>
      <w:r w:rsidRPr="004B2EBD" w:rsidR="003B42F4">
        <w:rPr>
          <w:sz w:val="22"/>
          <w:szCs w:val="22"/>
        </w:rPr>
        <w:t xml:space="preserve"> are met</w:t>
      </w:r>
      <w:r w:rsidRPr="004B2EBD" w:rsidR="00015516">
        <w:rPr>
          <w:sz w:val="22"/>
          <w:szCs w:val="22"/>
        </w:rPr>
        <w:t>: (1) “[i]ncreases exceeding 25 watts are made only by radio command from the controlling [base] stations,”</w:t>
      </w:r>
      <w:r>
        <w:rPr>
          <w:rStyle w:val="FootnoteReference"/>
          <w:sz w:val="22"/>
          <w:szCs w:val="22"/>
        </w:rPr>
        <w:footnoteReference w:id="48"/>
      </w:r>
      <w:r w:rsidRPr="004B2EBD" w:rsidR="00015516">
        <w:rPr>
          <w:sz w:val="22"/>
          <w:szCs w:val="22"/>
        </w:rPr>
        <w:t xml:space="preserve"> and (2) TPO “is 25 watts or less when external radio commands are not present.”</w:t>
      </w:r>
      <w:r>
        <w:rPr>
          <w:rStyle w:val="FootnoteReference"/>
          <w:sz w:val="22"/>
          <w:szCs w:val="22"/>
        </w:rPr>
        <w:footnoteReference w:id="49"/>
      </w:r>
      <w:r w:rsidRPr="004B2EBD" w:rsidR="00015516">
        <w:rPr>
          <w:sz w:val="22"/>
          <w:szCs w:val="22"/>
        </w:rPr>
        <w:t xml:space="preserve">  Section 80.215(j) provides that mobile </w:t>
      </w:r>
      <w:r w:rsidRPr="004B2EBD" w:rsidR="008360FF">
        <w:rPr>
          <w:sz w:val="22"/>
          <w:szCs w:val="22"/>
        </w:rPr>
        <w:t xml:space="preserve">radio </w:t>
      </w:r>
      <w:r w:rsidRPr="004B2EBD" w:rsidR="00015516">
        <w:rPr>
          <w:sz w:val="22"/>
          <w:szCs w:val="22"/>
        </w:rPr>
        <w:t xml:space="preserve">stations </w:t>
      </w:r>
      <w:r w:rsidRPr="004B2EBD" w:rsidR="00F026DB">
        <w:rPr>
          <w:sz w:val="22"/>
          <w:szCs w:val="22"/>
        </w:rPr>
        <w:t xml:space="preserve">that </w:t>
      </w:r>
      <w:r w:rsidRPr="004B2EBD" w:rsidR="009E67B3">
        <w:rPr>
          <w:sz w:val="22"/>
          <w:szCs w:val="22"/>
        </w:rPr>
        <w:t xml:space="preserve">meet </w:t>
      </w:r>
      <w:r w:rsidRPr="004B2EBD" w:rsidR="00610D9A">
        <w:rPr>
          <w:sz w:val="22"/>
          <w:szCs w:val="22"/>
        </w:rPr>
        <w:t>both</w:t>
      </w:r>
      <w:r w:rsidRPr="004B2EBD" w:rsidR="00015516">
        <w:rPr>
          <w:sz w:val="22"/>
          <w:szCs w:val="22"/>
        </w:rPr>
        <w:t xml:space="preserve"> conditions are </w:t>
      </w:r>
      <w:r w:rsidRPr="004B2EBD" w:rsidR="000918C2">
        <w:rPr>
          <w:sz w:val="22"/>
          <w:szCs w:val="22"/>
        </w:rPr>
        <w:t>“</w:t>
      </w:r>
      <w:r w:rsidRPr="004B2EBD" w:rsidR="00015516">
        <w:rPr>
          <w:sz w:val="22"/>
          <w:szCs w:val="22"/>
        </w:rPr>
        <w:t xml:space="preserve">exempted </w:t>
      </w:r>
      <w:r w:rsidRPr="004B2EBD" w:rsidR="005E1352">
        <w:rPr>
          <w:sz w:val="22"/>
          <w:szCs w:val="22"/>
        </w:rPr>
        <w:t>from</w:t>
      </w:r>
      <w:r w:rsidRPr="004B2EBD" w:rsidR="00391A41">
        <w:rPr>
          <w:sz w:val="22"/>
          <w:szCs w:val="22"/>
        </w:rPr>
        <w:t xml:space="preserve"> the </w:t>
      </w:r>
      <w:r w:rsidRPr="004B2EBD" w:rsidR="00DE2E7C">
        <w:rPr>
          <w:sz w:val="22"/>
          <w:szCs w:val="22"/>
        </w:rPr>
        <w:t>limi</w:t>
      </w:r>
      <w:r w:rsidRPr="004B2EBD" w:rsidR="00835D1A">
        <w:rPr>
          <w:sz w:val="22"/>
          <w:szCs w:val="22"/>
        </w:rPr>
        <w:t>tation</w:t>
      </w:r>
      <w:r w:rsidRPr="004B2EBD" w:rsidR="00DE2E7C">
        <w:rPr>
          <w:sz w:val="22"/>
          <w:szCs w:val="22"/>
        </w:rPr>
        <w:t xml:space="preserve"> of 18 </w:t>
      </w:r>
      <w:r w:rsidRPr="004B2EBD" w:rsidR="005E1352">
        <w:rPr>
          <w:sz w:val="22"/>
          <w:szCs w:val="22"/>
        </w:rPr>
        <w:t>watt</w:t>
      </w:r>
      <w:r w:rsidRPr="004B2EBD" w:rsidR="00835D1A">
        <w:rPr>
          <w:sz w:val="22"/>
          <w:szCs w:val="22"/>
        </w:rPr>
        <w:t>s</w:t>
      </w:r>
      <w:r w:rsidRPr="004B2EBD" w:rsidR="005E1352">
        <w:rPr>
          <w:sz w:val="22"/>
          <w:szCs w:val="22"/>
        </w:rPr>
        <w:t xml:space="preserve"> ERP </w:t>
      </w:r>
      <w:r w:rsidRPr="004B2EBD" w:rsidR="00015516">
        <w:rPr>
          <w:sz w:val="22"/>
          <w:szCs w:val="22"/>
        </w:rPr>
        <w:t>when operating in specific geographical areas identified in a plan for the use of higher power.”</w:t>
      </w:r>
      <w:r>
        <w:rPr>
          <w:rStyle w:val="FootnoteReference"/>
          <w:sz w:val="22"/>
          <w:szCs w:val="22"/>
        </w:rPr>
        <w:footnoteReference w:id="50"/>
      </w:r>
      <w:r w:rsidRPr="004B2EBD" w:rsidR="00C35D16">
        <w:rPr>
          <w:sz w:val="22"/>
          <w:szCs w:val="22"/>
        </w:rPr>
        <w:t xml:space="preserve">  </w:t>
      </w:r>
      <w:r w:rsidRPr="004B2EBD" w:rsidR="00F026DB">
        <w:rPr>
          <w:sz w:val="22"/>
          <w:szCs w:val="22"/>
        </w:rPr>
        <w:t xml:space="preserve">SCRRA seeks a waiver of the two conditions </w:t>
      </w:r>
      <w:r w:rsidRPr="004B2EBD" w:rsidR="00A57ABE">
        <w:rPr>
          <w:sz w:val="22"/>
          <w:szCs w:val="22"/>
        </w:rPr>
        <w:t xml:space="preserve">in </w:t>
      </w:r>
      <w:r w:rsidR="005F0FA2">
        <w:rPr>
          <w:sz w:val="22"/>
          <w:szCs w:val="22"/>
        </w:rPr>
        <w:t>s</w:t>
      </w:r>
      <w:r w:rsidRPr="004B2EBD" w:rsidR="00A57ABE">
        <w:rPr>
          <w:sz w:val="22"/>
          <w:szCs w:val="22"/>
        </w:rPr>
        <w:t>ections 80.215(i)(1)</w:t>
      </w:r>
      <w:r w:rsidRPr="004B2EBD" w:rsidR="001E3BAA">
        <w:rPr>
          <w:sz w:val="22"/>
          <w:szCs w:val="22"/>
        </w:rPr>
        <w:t xml:space="preserve"> </w:t>
      </w:r>
      <w:r w:rsidRPr="004B2EBD" w:rsidR="00A57ABE">
        <w:rPr>
          <w:sz w:val="22"/>
          <w:szCs w:val="22"/>
        </w:rPr>
        <w:t>and</w:t>
      </w:r>
      <w:r w:rsidRPr="004B2EBD" w:rsidR="001E3BAA">
        <w:rPr>
          <w:sz w:val="22"/>
          <w:szCs w:val="22"/>
        </w:rPr>
        <w:t xml:space="preserve"> </w:t>
      </w:r>
      <w:r w:rsidRPr="004B2EBD" w:rsidR="00A57ABE">
        <w:rPr>
          <w:sz w:val="22"/>
          <w:szCs w:val="22"/>
        </w:rPr>
        <w:t xml:space="preserve">(2) </w:t>
      </w:r>
      <w:r w:rsidRPr="004B2EBD" w:rsidR="00F026DB">
        <w:rPr>
          <w:sz w:val="22"/>
          <w:szCs w:val="22"/>
        </w:rPr>
        <w:t>(which it cannot meet for technical reasons</w:t>
      </w:r>
      <w:r w:rsidRPr="004B2EBD" w:rsidR="00391A41">
        <w:rPr>
          <w:sz w:val="22"/>
          <w:szCs w:val="22"/>
        </w:rPr>
        <w:t xml:space="preserve"> described below</w:t>
      </w:r>
      <w:r w:rsidRPr="004B2EBD" w:rsidR="00F026DB">
        <w:rPr>
          <w:sz w:val="22"/>
          <w:szCs w:val="22"/>
        </w:rPr>
        <w:t xml:space="preserve">) </w:t>
      </w:r>
      <w:r w:rsidRPr="004B2EBD" w:rsidR="00B62C66">
        <w:rPr>
          <w:sz w:val="22"/>
          <w:szCs w:val="22"/>
        </w:rPr>
        <w:t>so that it and its tenant railroad</w:t>
      </w:r>
      <w:r w:rsidRPr="004B2EBD" w:rsidR="00F36953">
        <w:rPr>
          <w:sz w:val="22"/>
          <w:szCs w:val="22"/>
        </w:rPr>
        <w:t xml:space="preserve"> partners</w:t>
      </w:r>
      <w:r w:rsidRPr="004B2EBD" w:rsidR="00B62C66">
        <w:rPr>
          <w:sz w:val="22"/>
          <w:szCs w:val="22"/>
        </w:rPr>
        <w:t xml:space="preserve"> may </w:t>
      </w:r>
      <w:r w:rsidRPr="004B2EBD">
        <w:rPr>
          <w:sz w:val="22"/>
          <w:szCs w:val="22"/>
        </w:rPr>
        <w:t xml:space="preserve">operate locomotive radios at </w:t>
      </w:r>
      <w:r w:rsidRPr="004B2EBD" w:rsidR="00D528B9">
        <w:rPr>
          <w:sz w:val="22"/>
          <w:szCs w:val="22"/>
        </w:rPr>
        <w:t xml:space="preserve">up to </w:t>
      </w:r>
      <w:r w:rsidRPr="004B2EBD">
        <w:rPr>
          <w:sz w:val="22"/>
          <w:szCs w:val="22"/>
        </w:rPr>
        <w:t>50</w:t>
      </w:r>
      <w:r w:rsidRPr="004B2EBD" w:rsidR="00F026DB">
        <w:rPr>
          <w:sz w:val="22"/>
          <w:szCs w:val="22"/>
        </w:rPr>
        <w:t xml:space="preserve"> </w:t>
      </w:r>
      <w:r w:rsidRPr="004B2EBD">
        <w:rPr>
          <w:sz w:val="22"/>
          <w:szCs w:val="22"/>
        </w:rPr>
        <w:t>watt</w:t>
      </w:r>
      <w:r w:rsidRPr="004B2EBD" w:rsidR="00F026DB">
        <w:rPr>
          <w:sz w:val="22"/>
          <w:szCs w:val="22"/>
        </w:rPr>
        <w:t xml:space="preserve">s </w:t>
      </w:r>
      <w:r w:rsidRPr="004B2EBD" w:rsidR="006723EC">
        <w:rPr>
          <w:sz w:val="22"/>
          <w:szCs w:val="22"/>
        </w:rPr>
        <w:t>TPO</w:t>
      </w:r>
      <w:r w:rsidRPr="004B2EBD">
        <w:rPr>
          <w:sz w:val="22"/>
          <w:szCs w:val="22"/>
        </w:rPr>
        <w:t xml:space="preserve"> with </w:t>
      </w:r>
      <w:r w:rsidRPr="004B2EBD" w:rsidR="00F026DB">
        <w:rPr>
          <w:sz w:val="22"/>
          <w:szCs w:val="22"/>
        </w:rPr>
        <w:t xml:space="preserve">an ERP up to </w:t>
      </w:r>
      <w:r w:rsidRPr="004B2EBD">
        <w:rPr>
          <w:sz w:val="22"/>
          <w:szCs w:val="22"/>
        </w:rPr>
        <w:t>39</w:t>
      </w:r>
      <w:r w:rsidRPr="004B2EBD" w:rsidR="00F026DB">
        <w:rPr>
          <w:sz w:val="22"/>
          <w:szCs w:val="22"/>
        </w:rPr>
        <w:t xml:space="preserve"> </w:t>
      </w:r>
      <w:r w:rsidRPr="004B2EBD">
        <w:rPr>
          <w:sz w:val="22"/>
          <w:szCs w:val="22"/>
        </w:rPr>
        <w:t>watt</w:t>
      </w:r>
      <w:r w:rsidRPr="004B2EBD" w:rsidR="00F026DB">
        <w:rPr>
          <w:sz w:val="22"/>
          <w:szCs w:val="22"/>
        </w:rPr>
        <w:t>s</w:t>
      </w:r>
      <w:r w:rsidRPr="004B2EBD">
        <w:rPr>
          <w:sz w:val="22"/>
          <w:szCs w:val="22"/>
        </w:rPr>
        <w:t>.</w:t>
      </w:r>
      <w:r>
        <w:rPr>
          <w:rStyle w:val="FootnoteReference"/>
          <w:sz w:val="22"/>
          <w:szCs w:val="22"/>
        </w:rPr>
        <w:footnoteReference w:id="51"/>
      </w:r>
      <w:r w:rsidRPr="004B2EBD">
        <w:rPr>
          <w:sz w:val="22"/>
          <w:szCs w:val="22"/>
        </w:rPr>
        <w:t xml:space="preserve">  </w:t>
      </w:r>
      <w:r w:rsidRPr="004B2EBD" w:rsidR="00F026DB">
        <w:rPr>
          <w:sz w:val="22"/>
          <w:szCs w:val="22"/>
        </w:rPr>
        <w:t>We grant SCRRA’s request for the reasons that follow.</w:t>
      </w:r>
      <w:r>
        <w:rPr>
          <w:rStyle w:val="FootnoteReference"/>
          <w:sz w:val="22"/>
          <w:szCs w:val="22"/>
        </w:rPr>
        <w:footnoteReference w:id="52"/>
      </w:r>
      <w:r w:rsidRPr="004B2EBD" w:rsidR="00747290">
        <w:rPr>
          <w:sz w:val="22"/>
          <w:szCs w:val="22"/>
        </w:rPr>
        <w:t xml:space="preserve">  </w:t>
      </w:r>
    </w:p>
    <w:p w:rsidR="002A30AE" w:rsidRPr="004B2EBD" w:rsidP="004B2EBD" w14:paraId="19559417" w14:textId="77777777">
      <w:pPr>
        <w:ind w:firstLine="720"/>
        <w:rPr>
          <w:sz w:val="22"/>
          <w:szCs w:val="22"/>
        </w:rPr>
      </w:pPr>
    </w:p>
    <w:p w:rsidR="00A42DDC" w:rsidRPr="004B2EBD" w:rsidP="004B2EBD" w14:paraId="710E8145" w14:textId="3BA456F6">
      <w:pPr>
        <w:ind w:firstLine="720"/>
        <w:rPr>
          <w:sz w:val="22"/>
          <w:szCs w:val="22"/>
        </w:rPr>
      </w:pPr>
      <w:r w:rsidRPr="004B2EBD">
        <w:rPr>
          <w:i/>
          <w:iCs/>
          <w:sz w:val="22"/>
          <w:szCs w:val="22"/>
        </w:rPr>
        <w:t xml:space="preserve">Mobile Radio </w:t>
      </w:r>
      <w:r w:rsidRPr="004B2EBD" w:rsidR="00D75E0C">
        <w:rPr>
          <w:i/>
          <w:iCs/>
          <w:sz w:val="22"/>
          <w:szCs w:val="22"/>
        </w:rPr>
        <w:t>T</w:t>
      </w:r>
      <w:r w:rsidRPr="004B2EBD">
        <w:rPr>
          <w:i/>
          <w:iCs/>
          <w:sz w:val="22"/>
          <w:szCs w:val="22"/>
        </w:rPr>
        <w:t xml:space="preserve">ransmitter </w:t>
      </w:r>
      <w:r w:rsidRPr="004B2EBD" w:rsidR="00D75E0C">
        <w:rPr>
          <w:rStyle w:val="FootnoteReference"/>
          <w:i/>
          <w:iCs/>
          <w:sz w:val="22"/>
          <w:szCs w:val="22"/>
          <w:vertAlign w:val="baseline"/>
        </w:rPr>
        <w:t>P</w:t>
      </w:r>
      <w:r w:rsidRPr="004B2EBD">
        <w:rPr>
          <w:rStyle w:val="FootnoteReference"/>
          <w:i/>
          <w:iCs/>
          <w:sz w:val="22"/>
          <w:szCs w:val="22"/>
          <w:vertAlign w:val="baseline"/>
        </w:rPr>
        <w:t xml:space="preserve">ower </w:t>
      </w:r>
      <w:r w:rsidRPr="004B2EBD" w:rsidR="00D75E0C">
        <w:rPr>
          <w:rStyle w:val="FootnoteReference"/>
          <w:i/>
          <w:iCs/>
          <w:sz w:val="22"/>
          <w:szCs w:val="22"/>
          <w:vertAlign w:val="baseline"/>
        </w:rPr>
        <w:t>O</w:t>
      </w:r>
      <w:r w:rsidRPr="004B2EBD">
        <w:rPr>
          <w:rStyle w:val="FootnoteReference"/>
          <w:i/>
          <w:iCs/>
          <w:sz w:val="22"/>
          <w:szCs w:val="22"/>
          <w:vertAlign w:val="baseline"/>
        </w:rPr>
        <w:t>utput</w:t>
      </w:r>
      <w:r w:rsidRPr="004B2EBD" w:rsidR="00C20F50">
        <w:rPr>
          <w:i/>
          <w:iCs/>
          <w:sz w:val="22"/>
          <w:szCs w:val="22"/>
        </w:rPr>
        <w:t xml:space="preserve"> Limit</w:t>
      </w:r>
      <w:r w:rsidRPr="004B2EBD">
        <w:rPr>
          <w:i/>
          <w:iCs/>
          <w:sz w:val="22"/>
          <w:szCs w:val="22"/>
        </w:rPr>
        <w:t>.</w:t>
      </w:r>
      <w:r w:rsidRPr="004B2EBD">
        <w:rPr>
          <w:sz w:val="22"/>
          <w:szCs w:val="22"/>
        </w:rPr>
        <w:t xml:space="preserve">  </w:t>
      </w:r>
      <w:r w:rsidRPr="004B2EBD" w:rsidR="00246D8F">
        <w:rPr>
          <w:sz w:val="22"/>
          <w:szCs w:val="22"/>
        </w:rPr>
        <w:t>The Rail Safety Act requires U.S. railroads to deploy interoperable PTC systems</w:t>
      </w:r>
      <w:r w:rsidRPr="004B2EBD" w:rsidR="00604E74">
        <w:rPr>
          <w:sz w:val="22"/>
          <w:szCs w:val="22"/>
        </w:rPr>
        <w:t xml:space="preserve"> so that when a railroad enters another’s territory as a tenant, it </w:t>
      </w:r>
      <w:r w:rsidRPr="004B2EBD" w:rsidR="00957628">
        <w:rPr>
          <w:sz w:val="22"/>
          <w:szCs w:val="22"/>
        </w:rPr>
        <w:t xml:space="preserve">can safely </w:t>
      </w:r>
      <w:r w:rsidRPr="004B2EBD" w:rsidR="003E489A">
        <w:rPr>
          <w:sz w:val="22"/>
          <w:szCs w:val="22"/>
        </w:rPr>
        <w:t xml:space="preserve">use </w:t>
      </w:r>
      <w:r w:rsidRPr="004B2EBD" w:rsidR="00604E74">
        <w:rPr>
          <w:sz w:val="22"/>
          <w:szCs w:val="22"/>
        </w:rPr>
        <w:t xml:space="preserve">the host rail’s PTC system </w:t>
      </w:r>
      <w:r w:rsidRPr="004B2EBD" w:rsidR="00796077">
        <w:rPr>
          <w:sz w:val="22"/>
          <w:szCs w:val="22"/>
        </w:rPr>
        <w:t>where required</w:t>
      </w:r>
      <w:r w:rsidRPr="004B2EBD" w:rsidR="001F3868">
        <w:rPr>
          <w:sz w:val="22"/>
          <w:szCs w:val="22"/>
        </w:rPr>
        <w:t>.</w:t>
      </w:r>
      <w:r>
        <w:rPr>
          <w:rStyle w:val="FootnoteReference"/>
          <w:sz w:val="22"/>
          <w:szCs w:val="22"/>
        </w:rPr>
        <w:footnoteReference w:id="53"/>
      </w:r>
      <w:r w:rsidRPr="004B2EBD" w:rsidR="00246D8F">
        <w:rPr>
          <w:sz w:val="22"/>
          <w:szCs w:val="22"/>
        </w:rPr>
        <w:t xml:space="preserve">  To </w:t>
      </w:r>
      <w:r w:rsidRPr="004B2EBD" w:rsidR="00D528B9">
        <w:rPr>
          <w:sz w:val="22"/>
          <w:szCs w:val="22"/>
        </w:rPr>
        <w:t xml:space="preserve">comply with </w:t>
      </w:r>
      <w:r w:rsidRPr="004B2EBD" w:rsidR="00246D8F">
        <w:rPr>
          <w:sz w:val="22"/>
          <w:szCs w:val="22"/>
        </w:rPr>
        <w:t xml:space="preserve">this </w:t>
      </w:r>
      <w:r w:rsidRPr="004B2EBD" w:rsidR="00CA5229">
        <w:rPr>
          <w:sz w:val="22"/>
          <w:szCs w:val="22"/>
        </w:rPr>
        <w:t xml:space="preserve">statutory </w:t>
      </w:r>
      <w:r w:rsidRPr="004B2EBD" w:rsidR="00220103">
        <w:rPr>
          <w:sz w:val="22"/>
          <w:szCs w:val="22"/>
        </w:rPr>
        <w:t xml:space="preserve">interoperability </w:t>
      </w:r>
      <w:r w:rsidRPr="004B2EBD" w:rsidR="001F3868">
        <w:rPr>
          <w:sz w:val="22"/>
          <w:szCs w:val="22"/>
        </w:rPr>
        <w:t>requirement</w:t>
      </w:r>
      <w:r w:rsidRPr="004B2EBD" w:rsidR="00220103">
        <w:rPr>
          <w:sz w:val="22"/>
          <w:szCs w:val="22"/>
        </w:rPr>
        <w:t>,</w:t>
      </w:r>
      <w:r w:rsidRPr="004B2EBD" w:rsidR="00945F7A">
        <w:rPr>
          <w:sz w:val="22"/>
          <w:szCs w:val="22"/>
        </w:rPr>
        <w:t xml:space="preserve"> </w:t>
      </w:r>
      <w:r w:rsidRPr="004B2EBD" w:rsidR="007F3DA4">
        <w:rPr>
          <w:sz w:val="22"/>
          <w:szCs w:val="22"/>
        </w:rPr>
        <w:t xml:space="preserve">SCRRA </w:t>
      </w:r>
      <w:r w:rsidRPr="004B2EBD" w:rsidR="003056FB">
        <w:rPr>
          <w:sz w:val="22"/>
          <w:szCs w:val="22"/>
        </w:rPr>
        <w:t xml:space="preserve">and its </w:t>
      </w:r>
      <w:r w:rsidRPr="004B2EBD" w:rsidR="007F3DA4">
        <w:rPr>
          <w:sz w:val="22"/>
          <w:szCs w:val="22"/>
        </w:rPr>
        <w:t>tenant railroad</w:t>
      </w:r>
      <w:r w:rsidRPr="004B2EBD" w:rsidR="00D528B9">
        <w:rPr>
          <w:sz w:val="22"/>
          <w:szCs w:val="22"/>
        </w:rPr>
        <w:t xml:space="preserve"> partners</w:t>
      </w:r>
      <w:r w:rsidRPr="004B2EBD" w:rsidR="007F3DA4">
        <w:rPr>
          <w:sz w:val="22"/>
          <w:szCs w:val="22"/>
        </w:rPr>
        <w:t xml:space="preserve"> </w:t>
      </w:r>
      <w:r w:rsidRPr="004B2EBD" w:rsidR="005F03DD">
        <w:rPr>
          <w:sz w:val="22"/>
          <w:szCs w:val="22"/>
        </w:rPr>
        <w:t xml:space="preserve">have </w:t>
      </w:r>
      <w:r w:rsidRPr="004B2EBD" w:rsidR="00B4113C">
        <w:rPr>
          <w:sz w:val="22"/>
          <w:szCs w:val="22"/>
        </w:rPr>
        <w:t>deploy</w:t>
      </w:r>
      <w:r w:rsidRPr="004B2EBD" w:rsidR="00AE10FD">
        <w:rPr>
          <w:sz w:val="22"/>
          <w:szCs w:val="22"/>
        </w:rPr>
        <w:t>ed</w:t>
      </w:r>
      <w:r w:rsidRPr="004B2EBD" w:rsidR="00B4113C">
        <w:rPr>
          <w:sz w:val="22"/>
          <w:szCs w:val="22"/>
        </w:rPr>
        <w:t xml:space="preserve"> </w:t>
      </w:r>
      <w:r w:rsidRPr="004B2EBD" w:rsidR="00AE10FD">
        <w:rPr>
          <w:sz w:val="22"/>
          <w:szCs w:val="22"/>
        </w:rPr>
        <w:t>a</w:t>
      </w:r>
      <w:r w:rsidRPr="004B2EBD" w:rsidR="00F0499C">
        <w:rPr>
          <w:sz w:val="22"/>
          <w:szCs w:val="22"/>
        </w:rPr>
        <w:t>n</w:t>
      </w:r>
      <w:r w:rsidRPr="004B2EBD" w:rsidR="001F6167">
        <w:rPr>
          <w:sz w:val="22"/>
          <w:szCs w:val="22"/>
        </w:rPr>
        <w:t xml:space="preserve"> </w:t>
      </w:r>
      <w:r w:rsidRPr="004B2EBD" w:rsidR="00F0499C">
        <w:rPr>
          <w:sz w:val="22"/>
          <w:szCs w:val="22"/>
        </w:rPr>
        <w:t>integrated</w:t>
      </w:r>
      <w:r w:rsidRPr="004B2EBD" w:rsidR="001F6167">
        <w:rPr>
          <w:sz w:val="22"/>
          <w:szCs w:val="22"/>
        </w:rPr>
        <w:t xml:space="preserve"> </w:t>
      </w:r>
      <w:r w:rsidRPr="004B2EBD" w:rsidR="006334A9">
        <w:rPr>
          <w:sz w:val="22"/>
          <w:szCs w:val="22"/>
        </w:rPr>
        <w:t xml:space="preserve">PTC </w:t>
      </w:r>
      <w:r w:rsidRPr="004B2EBD" w:rsidR="00B4113C">
        <w:rPr>
          <w:sz w:val="22"/>
          <w:szCs w:val="22"/>
        </w:rPr>
        <w:t xml:space="preserve">system </w:t>
      </w:r>
      <w:r w:rsidRPr="004B2EBD" w:rsidR="00B8266B">
        <w:rPr>
          <w:sz w:val="22"/>
          <w:szCs w:val="22"/>
        </w:rPr>
        <w:t>in Southern California</w:t>
      </w:r>
      <w:r w:rsidRPr="004B2EBD" w:rsidR="00B4113C">
        <w:rPr>
          <w:sz w:val="22"/>
          <w:szCs w:val="22"/>
        </w:rPr>
        <w:t xml:space="preserve">, </w:t>
      </w:r>
      <w:r w:rsidRPr="004B2EBD" w:rsidR="00F0499C">
        <w:rPr>
          <w:sz w:val="22"/>
          <w:szCs w:val="22"/>
        </w:rPr>
        <w:t xml:space="preserve">which </w:t>
      </w:r>
      <w:r w:rsidRPr="004B2EBD" w:rsidR="00B8266B">
        <w:rPr>
          <w:sz w:val="22"/>
          <w:szCs w:val="22"/>
        </w:rPr>
        <w:t>us</w:t>
      </w:r>
      <w:r w:rsidRPr="004B2EBD" w:rsidR="00F0499C">
        <w:rPr>
          <w:sz w:val="22"/>
          <w:szCs w:val="22"/>
        </w:rPr>
        <w:t>es</w:t>
      </w:r>
      <w:r w:rsidRPr="004B2EBD" w:rsidR="00B8266B">
        <w:rPr>
          <w:sz w:val="22"/>
          <w:szCs w:val="22"/>
        </w:rPr>
        <w:t xml:space="preserve"> </w:t>
      </w:r>
      <w:r w:rsidRPr="004B2EBD" w:rsidR="00900E01">
        <w:rPr>
          <w:sz w:val="22"/>
          <w:szCs w:val="22"/>
        </w:rPr>
        <w:t xml:space="preserve">a combination of their base and wayside radio stations </w:t>
      </w:r>
      <w:r w:rsidR="0072100C">
        <w:rPr>
          <w:sz w:val="22"/>
          <w:szCs w:val="22"/>
        </w:rPr>
        <w:t>operating on</w:t>
      </w:r>
      <w:r w:rsidRPr="004B2EBD" w:rsidR="0072100C">
        <w:rPr>
          <w:sz w:val="22"/>
          <w:szCs w:val="22"/>
        </w:rPr>
        <w:t xml:space="preserve"> </w:t>
      </w:r>
      <w:r w:rsidRPr="004B2EBD" w:rsidR="00B8266B">
        <w:rPr>
          <w:sz w:val="22"/>
          <w:szCs w:val="22"/>
        </w:rPr>
        <w:t>220-222 MHz band spectrum leased from PTC-220</w:t>
      </w:r>
      <w:r w:rsidRPr="004B2EBD" w:rsidR="00900E01">
        <w:rPr>
          <w:sz w:val="22"/>
          <w:szCs w:val="22"/>
        </w:rPr>
        <w:t>.</w:t>
      </w:r>
      <w:r>
        <w:rPr>
          <w:rStyle w:val="FootnoteReference"/>
          <w:sz w:val="22"/>
          <w:szCs w:val="22"/>
        </w:rPr>
        <w:footnoteReference w:id="54"/>
      </w:r>
      <w:r w:rsidRPr="004B2EBD" w:rsidR="00900E01">
        <w:rPr>
          <w:sz w:val="22"/>
          <w:szCs w:val="22"/>
        </w:rPr>
        <w:t xml:space="preserve">  D</w:t>
      </w:r>
      <w:r w:rsidRPr="004B2EBD" w:rsidR="006334A9">
        <w:rPr>
          <w:sz w:val="22"/>
          <w:szCs w:val="22"/>
        </w:rPr>
        <w:t xml:space="preserve">ue to a shortage of available 220-222 MHz </w:t>
      </w:r>
      <w:r w:rsidRPr="004B2EBD" w:rsidR="00FF078C">
        <w:rPr>
          <w:sz w:val="22"/>
          <w:szCs w:val="22"/>
        </w:rPr>
        <w:t xml:space="preserve">band </w:t>
      </w:r>
      <w:r w:rsidRPr="004B2EBD" w:rsidR="006334A9">
        <w:rPr>
          <w:sz w:val="22"/>
          <w:szCs w:val="22"/>
        </w:rPr>
        <w:t xml:space="preserve">spectrum for PTC deployment in Southern California, </w:t>
      </w:r>
      <w:r w:rsidR="0072100C">
        <w:rPr>
          <w:sz w:val="22"/>
          <w:szCs w:val="22"/>
        </w:rPr>
        <w:t xml:space="preserve">however, </w:t>
      </w:r>
      <w:r w:rsidRPr="004B2EBD">
        <w:rPr>
          <w:sz w:val="22"/>
          <w:szCs w:val="22"/>
        </w:rPr>
        <w:t xml:space="preserve">SCRRA and its tenant railroad partners intend </w:t>
      </w:r>
      <w:r w:rsidRPr="004B2EBD" w:rsidR="00900E01">
        <w:rPr>
          <w:sz w:val="22"/>
          <w:szCs w:val="22"/>
        </w:rPr>
        <w:t xml:space="preserve">to </w:t>
      </w:r>
      <w:r w:rsidRPr="004B2EBD" w:rsidR="00D1509F">
        <w:rPr>
          <w:sz w:val="22"/>
          <w:szCs w:val="22"/>
        </w:rPr>
        <w:t>creat</w:t>
      </w:r>
      <w:r w:rsidRPr="004B2EBD" w:rsidR="00900E01">
        <w:rPr>
          <w:sz w:val="22"/>
          <w:szCs w:val="22"/>
        </w:rPr>
        <w:t>e</w:t>
      </w:r>
      <w:r w:rsidRPr="004B2EBD" w:rsidR="006334A9">
        <w:rPr>
          <w:sz w:val="22"/>
          <w:szCs w:val="22"/>
        </w:rPr>
        <w:t xml:space="preserve"> </w:t>
      </w:r>
      <w:r w:rsidRPr="004B2EBD" w:rsidR="00C452C7">
        <w:rPr>
          <w:sz w:val="22"/>
          <w:szCs w:val="22"/>
        </w:rPr>
        <w:t xml:space="preserve">a </w:t>
      </w:r>
      <w:r w:rsidRPr="004B2EBD">
        <w:rPr>
          <w:sz w:val="22"/>
          <w:szCs w:val="22"/>
        </w:rPr>
        <w:t xml:space="preserve">common </w:t>
      </w:r>
      <w:r w:rsidRPr="004B2EBD" w:rsidR="00C452C7">
        <w:rPr>
          <w:sz w:val="22"/>
          <w:szCs w:val="22"/>
        </w:rPr>
        <w:t xml:space="preserve">pool </w:t>
      </w:r>
      <w:r w:rsidRPr="004B2EBD" w:rsidR="00900E01">
        <w:rPr>
          <w:sz w:val="22"/>
          <w:szCs w:val="22"/>
        </w:rPr>
        <w:t xml:space="preserve">of PTC </w:t>
      </w:r>
      <w:r w:rsidRPr="004B2EBD" w:rsidR="00B31091">
        <w:rPr>
          <w:sz w:val="22"/>
          <w:szCs w:val="22"/>
        </w:rPr>
        <w:t xml:space="preserve">spectrum </w:t>
      </w:r>
      <w:r w:rsidRPr="004B2EBD" w:rsidR="00900E01">
        <w:rPr>
          <w:sz w:val="22"/>
          <w:szCs w:val="22"/>
        </w:rPr>
        <w:t xml:space="preserve">channels </w:t>
      </w:r>
      <w:r w:rsidRPr="004B2EBD" w:rsidR="00FF078C">
        <w:rPr>
          <w:sz w:val="22"/>
          <w:szCs w:val="22"/>
        </w:rPr>
        <w:t xml:space="preserve">drawn </w:t>
      </w:r>
      <w:r w:rsidRPr="004B2EBD" w:rsidR="00900E01">
        <w:rPr>
          <w:sz w:val="22"/>
          <w:szCs w:val="22"/>
        </w:rPr>
        <w:t xml:space="preserve">from </w:t>
      </w:r>
      <w:r w:rsidRPr="004B2EBD" w:rsidR="00B8266B">
        <w:rPr>
          <w:sz w:val="22"/>
          <w:szCs w:val="22"/>
        </w:rPr>
        <w:t xml:space="preserve">220-222 MHz Band </w:t>
      </w:r>
      <w:r w:rsidRPr="004B2EBD" w:rsidR="00900E01">
        <w:rPr>
          <w:sz w:val="22"/>
          <w:szCs w:val="22"/>
        </w:rPr>
        <w:t xml:space="preserve">spectrum </w:t>
      </w:r>
      <w:r w:rsidRPr="004B2EBD" w:rsidR="00B8266B">
        <w:rPr>
          <w:sz w:val="22"/>
          <w:szCs w:val="22"/>
        </w:rPr>
        <w:t>leased from PTC-220</w:t>
      </w:r>
      <w:r w:rsidRPr="004B2EBD" w:rsidR="00C452C7">
        <w:rPr>
          <w:sz w:val="22"/>
          <w:szCs w:val="22"/>
        </w:rPr>
        <w:t xml:space="preserve"> and </w:t>
      </w:r>
      <w:r w:rsidRPr="004B2EBD" w:rsidR="00900E01">
        <w:rPr>
          <w:sz w:val="22"/>
          <w:szCs w:val="22"/>
        </w:rPr>
        <w:t xml:space="preserve">from adjacent band </w:t>
      </w:r>
      <w:r w:rsidRPr="004B2EBD" w:rsidR="006334A9">
        <w:rPr>
          <w:sz w:val="22"/>
          <w:szCs w:val="22"/>
        </w:rPr>
        <w:t xml:space="preserve">AMTS </w:t>
      </w:r>
      <w:r w:rsidRPr="004B2EBD" w:rsidR="00900E01">
        <w:rPr>
          <w:sz w:val="22"/>
          <w:szCs w:val="22"/>
        </w:rPr>
        <w:t xml:space="preserve">spectrum </w:t>
      </w:r>
      <w:r w:rsidRPr="004B2EBD" w:rsidR="00D1509F">
        <w:rPr>
          <w:sz w:val="22"/>
          <w:szCs w:val="22"/>
        </w:rPr>
        <w:t>licensed to SCRRA</w:t>
      </w:r>
      <w:r w:rsidRPr="004B2EBD" w:rsidR="00C452C7">
        <w:rPr>
          <w:sz w:val="22"/>
          <w:szCs w:val="22"/>
        </w:rPr>
        <w:t>.</w:t>
      </w:r>
      <w:r>
        <w:rPr>
          <w:rStyle w:val="FootnoteReference"/>
          <w:sz w:val="22"/>
          <w:szCs w:val="22"/>
        </w:rPr>
        <w:footnoteReference w:id="55"/>
      </w:r>
      <w:r w:rsidRPr="004B2EBD" w:rsidR="00970F2A">
        <w:rPr>
          <w:sz w:val="22"/>
          <w:szCs w:val="22"/>
        </w:rPr>
        <w:t xml:space="preserve">  </w:t>
      </w:r>
      <w:r w:rsidRPr="004B2EBD">
        <w:rPr>
          <w:sz w:val="22"/>
          <w:szCs w:val="22"/>
        </w:rPr>
        <w:t xml:space="preserve">SCRRA explains that to </w:t>
      </w:r>
      <w:r w:rsidRPr="004B2EBD">
        <w:rPr>
          <w:sz w:val="22"/>
          <w:szCs w:val="22"/>
        </w:rPr>
        <w:t>im</w:t>
      </w:r>
      <w:r w:rsidRPr="004B2EBD" w:rsidR="00220103">
        <w:rPr>
          <w:sz w:val="22"/>
          <w:szCs w:val="22"/>
        </w:rPr>
        <w:t>plement</w:t>
      </w:r>
      <w:r w:rsidRPr="004B2EBD">
        <w:rPr>
          <w:sz w:val="22"/>
          <w:szCs w:val="22"/>
        </w:rPr>
        <w:t xml:space="preserve"> </w:t>
      </w:r>
      <w:r w:rsidRPr="004B2EBD" w:rsidR="00970F2A">
        <w:rPr>
          <w:sz w:val="22"/>
          <w:szCs w:val="22"/>
        </w:rPr>
        <w:t xml:space="preserve">interoperable PTC systems </w:t>
      </w:r>
      <w:r w:rsidRPr="004B2EBD">
        <w:rPr>
          <w:sz w:val="22"/>
          <w:szCs w:val="22"/>
        </w:rPr>
        <w:t xml:space="preserve">that can use channels drawn from the common spectrum pool, it requires a limited waiver of </w:t>
      </w:r>
      <w:r w:rsidR="008714B3">
        <w:rPr>
          <w:sz w:val="22"/>
          <w:szCs w:val="22"/>
        </w:rPr>
        <w:t>s</w:t>
      </w:r>
      <w:r w:rsidRPr="004B2EBD">
        <w:rPr>
          <w:sz w:val="22"/>
          <w:szCs w:val="22"/>
        </w:rPr>
        <w:t>ection 80.215’s power limits.</w:t>
      </w:r>
      <w:r>
        <w:rPr>
          <w:rStyle w:val="FootnoteReference"/>
          <w:sz w:val="22"/>
          <w:szCs w:val="22"/>
        </w:rPr>
        <w:footnoteReference w:id="56"/>
      </w:r>
    </w:p>
    <w:p w:rsidR="00A42DDC" w:rsidRPr="004B2EBD" w:rsidP="004B2EBD" w14:paraId="1EFA10D3" w14:textId="77777777">
      <w:pPr>
        <w:ind w:firstLine="720"/>
        <w:rPr>
          <w:sz w:val="22"/>
          <w:szCs w:val="22"/>
        </w:rPr>
      </w:pPr>
    </w:p>
    <w:p w:rsidR="007D1196" w:rsidRPr="004B2EBD" w:rsidP="004B2EBD" w14:paraId="5507E2CB" w14:textId="7798C758">
      <w:pPr>
        <w:ind w:firstLine="720"/>
        <w:rPr>
          <w:sz w:val="22"/>
          <w:szCs w:val="22"/>
        </w:rPr>
      </w:pPr>
      <w:r w:rsidRPr="004B2EBD">
        <w:rPr>
          <w:sz w:val="22"/>
          <w:szCs w:val="22"/>
        </w:rPr>
        <w:t xml:space="preserve">SCRRA </w:t>
      </w:r>
      <w:r w:rsidRPr="004B2EBD" w:rsidR="00D1509F">
        <w:rPr>
          <w:sz w:val="22"/>
          <w:szCs w:val="22"/>
        </w:rPr>
        <w:t>and its tenant railroad</w:t>
      </w:r>
      <w:r w:rsidRPr="004B2EBD" w:rsidR="00A42DDC">
        <w:rPr>
          <w:sz w:val="22"/>
          <w:szCs w:val="22"/>
        </w:rPr>
        <w:t xml:space="preserve"> partners </w:t>
      </w:r>
      <w:r w:rsidRPr="004B2EBD" w:rsidR="009D7AB0">
        <w:rPr>
          <w:sz w:val="22"/>
          <w:szCs w:val="22"/>
        </w:rPr>
        <w:t xml:space="preserve">are </w:t>
      </w:r>
      <w:r w:rsidRPr="004B2EBD" w:rsidR="00C452C7">
        <w:rPr>
          <w:sz w:val="22"/>
          <w:szCs w:val="22"/>
        </w:rPr>
        <w:t>deploy</w:t>
      </w:r>
      <w:r w:rsidRPr="004B2EBD" w:rsidR="00220103">
        <w:rPr>
          <w:sz w:val="22"/>
          <w:szCs w:val="22"/>
        </w:rPr>
        <w:t>ing</w:t>
      </w:r>
      <w:r w:rsidRPr="004B2EBD" w:rsidR="00C452C7">
        <w:rPr>
          <w:sz w:val="22"/>
          <w:szCs w:val="22"/>
        </w:rPr>
        <w:t xml:space="preserve"> Meteorcomm PTC locomotive radios</w:t>
      </w:r>
      <w:r w:rsidRPr="004B2EBD" w:rsidR="00BB0ADF">
        <w:rPr>
          <w:sz w:val="22"/>
          <w:szCs w:val="22"/>
        </w:rPr>
        <w:t>.</w:t>
      </w:r>
      <w:r>
        <w:rPr>
          <w:rStyle w:val="FootnoteReference"/>
          <w:sz w:val="22"/>
          <w:szCs w:val="22"/>
        </w:rPr>
        <w:footnoteReference w:id="57"/>
      </w:r>
      <w:r w:rsidRPr="004B2EBD" w:rsidR="00BB0ADF">
        <w:rPr>
          <w:sz w:val="22"/>
          <w:szCs w:val="22"/>
        </w:rPr>
        <w:t xml:space="preserve"> </w:t>
      </w:r>
      <w:r w:rsidRPr="004B2EBD" w:rsidR="009D7AB0">
        <w:rPr>
          <w:sz w:val="22"/>
          <w:szCs w:val="22"/>
        </w:rPr>
        <w:t xml:space="preserve"> </w:t>
      </w:r>
      <w:r w:rsidRPr="004B2EBD" w:rsidR="001441B0">
        <w:rPr>
          <w:sz w:val="22"/>
          <w:szCs w:val="22"/>
        </w:rPr>
        <w:t xml:space="preserve">Consistent with </w:t>
      </w:r>
      <w:r w:rsidRPr="004B2EBD" w:rsidR="005B7419">
        <w:rPr>
          <w:sz w:val="22"/>
          <w:szCs w:val="22"/>
        </w:rPr>
        <w:t xml:space="preserve">applicable </w:t>
      </w:r>
      <w:r w:rsidRPr="004B2EBD" w:rsidR="001441B0">
        <w:rPr>
          <w:sz w:val="22"/>
          <w:szCs w:val="22"/>
        </w:rPr>
        <w:t>Part 90</w:t>
      </w:r>
      <w:r w:rsidRPr="004B2EBD" w:rsidR="005B7419">
        <w:rPr>
          <w:sz w:val="22"/>
          <w:szCs w:val="22"/>
        </w:rPr>
        <w:t xml:space="preserve"> </w:t>
      </w:r>
      <w:r w:rsidRPr="004B2EBD" w:rsidR="001441B0">
        <w:rPr>
          <w:sz w:val="22"/>
          <w:szCs w:val="22"/>
        </w:rPr>
        <w:t>rules,</w:t>
      </w:r>
      <w:r>
        <w:rPr>
          <w:rStyle w:val="FootnoteReference"/>
          <w:sz w:val="22"/>
          <w:szCs w:val="22"/>
        </w:rPr>
        <w:footnoteReference w:id="58"/>
      </w:r>
      <w:r w:rsidRPr="004B2EBD" w:rsidR="001441B0">
        <w:rPr>
          <w:sz w:val="22"/>
          <w:szCs w:val="22"/>
        </w:rPr>
        <w:t xml:space="preserve"> t</w:t>
      </w:r>
      <w:r w:rsidRPr="004B2EBD" w:rsidR="001C2CC0">
        <w:rPr>
          <w:sz w:val="22"/>
          <w:szCs w:val="22"/>
        </w:rPr>
        <w:t xml:space="preserve">hey have </w:t>
      </w:r>
      <w:r w:rsidRPr="004B2EBD" w:rsidR="00220103">
        <w:rPr>
          <w:sz w:val="22"/>
          <w:szCs w:val="22"/>
        </w:rPr>
        <w:t xml:space="preserve">configured </w:t>
      </w:r>
      <w:r w:rsidRPr="004B2EBD" w:rsidR="009D7AB0">
        <w:rPr>
          <w:sz w:val="22"/>
          <w:szCs w:val="22"/>
        </w:rPr>
        <w:t>the</w:t>
      </w:r>
      <w:r w:rsidRPr="004B2EBD" w:rsidR="00A42DDC">
        <w:rPr>
          <w:sz w:val="22"/>
          <w:szCs w:val="22"/>
        </w:rPr>
        <w:t xml:space="preserve">ir </w:t>
      </w:r>
      <w:r w:rsidRPr="004B2EBD" w:rsidR="005B7419">
        <w:rPr>
          <w:sz w:val="22"/>
          <w:szCs w:val="22"/>
        </w:rPr>
        <w:t xml:space="preserve">mobile </w:t>
      </w:r>
      <w:r w:rsidRPr="004B2EBD" w:rsidR="00220103">
        <w:rPr>
          <w:sz w:val="22"/>
          <w:szCs w:val="22"/>
        </w:rPr>
        <w:t xml:space="preserve">radios to operate at </w:t>
      </w:r>
      <w:r w:rsidRPr="004B2EBD" w:rsidR="00B20533">
        <w:rPr>
          <w:sz w:val="22"/>
          <w:szCs w:val="22"/>
        </w:rPr>
        <w:t>50</w:t>
      </w:r>
      <w:r w:rsidRPr="004B2EBD" w:rsidR="00220103">
        <w:rPr>
          <w:sz w:val="22"/>
          <w:szCs w:val="22"/>
        </w:rPr>
        <w:t xml:space="preserve"> </w:t>
      </w:r>
      <w:r w:rsidRPr="004B2EBD" w:rsidR="00B20533">
        <w:rPr>
          <w:sz w:val="22"/>
          <w:szCs w:val="22"/>
        </w:rPr>
        <w:t>watt</w:t>
      </w:r>
      <w:r w:rsidRPr="004B2EBD" w:rsidR="00220103">
        <w:rPr>
          <w:sz w:val="22"/>
          <w:szCs w:val="22"/>
        </w:rPr>
        <w:t>s</w:t>
      </w:r>
      <w:r w:rsidRPr="004B2EBD" w:rsidR="00B20533">
        <w:rPr>
          <w:sz w:val="22"/>
          <w:szCs w:val="22"/>
        </w:rPr>
        <w:t xml:space="preserve"> TPO</w:t>
      </w:r>
      <w:r w:rsidRPr="004B2EBD" w:rsidR="004F30EF">
        <w:rPr>
          <w:sz w:val="22"/>
          <w:szCs w:val="22"/>
        </w:rPr>
        <w:t xml:space="preserve"> </w:t>
      </w:r>
      <w:r w:rsidRPr="004B2EBD" w:rsidR="00B960BE">
        <w:rPr>
          <w:sz w:val="22"/>
          <w:szCs w:val="22"/>
        </w:rPr>
        <w:t>in the 220-222 MHz band</w:t>
      </w:r>
      <w:r w:rsidRPr="004B2EBD" w:rsidR="006F580A">
        <w:rPr>
          <w:sz w:val="22"/>
          <w:szCs w:val="22"/>
        </w:rPr>
        <w:t>.</w:t>
      </w:r>
      <w:r>
        <w:rPr>
          <w:rStyle w:val="FootnoteReference"/>
          <w:sz w:val="22"/>
          <w:szCs w:val="22"/>
        </w:rPr>
        <w:footnoteReference w:id="59"/>
      </w:r>
      <w:r w:rsidRPr="004B2EBD" w:rsidR="007E52E8">
        <w:rPr>
          <w:sz w:val="22"/>
          <w:szCs w:val="22"/>
        </w:rPr>
        <w:t xml:space="preserve"> </w:t>
      </w:r>
      <w:r w:rsidR="0072100C">
        <w:rPr>
          <w:sz w:val="22"/>
          <w:szCs w:val="22"/>
        </w:rPr>
        <w:t xml:space="preserve"> </w:t>
      </w:r>
      <w:r w:rsidRPr="004B2EBD" w:rsidR="00FF078C">
        <w:rPr>
          <w:sz w:val="22"/>
          <w:szCs w:val="22"/>
        </w:rPr>
        <w:t xml:space="preserve">BNSF and UP </w:t>
      </w:r>
      <w:r w:rsidRPr="004B2EBD" w:rsidR="00C452C7">
        <w:rPr>
          <w:sz w:val="22"/>
          <w:szCs w:val="22"/>
        </w:rPr>
        <w:t xml:space="preserve">locomotives </w:t>
      </w:r>
      <w:r w:rsidRPr="004B2EBD" w:rsidR="00581A95">
        <w:rPr>
          <w:sz w:val="22"/>
          <w:szCs w:val="22"/>
        </w:rPr>
        <w:t>(as well as Amtrak</w:t>
      </w:r>
      <w:r w:rsidRPr="004B2EBD" w:rsidR="00E958DC">
        <w:rPr>
          <w:sz w:val="22"/>
          <w:szCs w:val="22"/>
        </w:rPr>
        <w:t xml:space="preserve"> locomotives</w:t>
      </w:r>
      <w:r w:rsidRPr="004B2EBD" w:rsidR="00581A95">
        <w:rPr>
          <w:sz w:val="22"/>
          <w:szCs w:val="22"/>
        </w:rPr>
        <w:t xml:space="preserve">) </w:t>
      </w:r>
      <w:r w:rsidRPr="004B2EBD" w:rsidR="008160D2">
        <w:rPr>
          <w:sz w:val="22"/>
          <w:szCs w:val="22"/>
        </w:rPr>
        <w:t xml:space="preserve">operate at 50 watts TPO </w:t>
      </w:r>
      <w:r w:rsidRPr="004B2EBD" w:rsidR="00044075">
        <w:rPr>
          <w:sz w:val="22"/>
          <w:szCs w:val="22"/>
        </w:rPr>
        <w:t>outside SCRRA territory</w:t>
      </w:r>
      <w:r w:rsidRPr="004B2EBD" w:rsidR="00EB7969">
        <w:rPr>
          <w:sz w:val="22"/>
          <w:szCs w:val="22"/>
        </w:rPr>
        <w:t>.</w:t>
      </w:r>
      <w:r>
        <w:rPr>
          <w:rStyle w:val="FootnoteReference"/>
          <w:sz w:val="22"/>
          <w:szCs w:val="22"/>
        </w:rPr>
        <w:footnoteReference w:id="60"/>
      </w:r>
      <w:r w:rsidRPr="004B2EBD" w:rsidR="00EB7969">
        <w:rPr>
          <w:sz w:val="22"/>
          <w:szCs w:val="22"/>
        </w:rPr>
        <w:t xml:space="preserve"> </w:t>
      </w:r>
      <w:r w:rsidRPr="004B2EBD" w:rsidR="004B1058">
        <w:rPr>
          <w:sz w:val="22"/>
          <w:szCs w:val="22"/>
        </w:rPr>
        <w:t xml:space="preserve"> </w:t>
      </w:r>
      <w:r w:rsidRPr="004B2EBD" w:rsidR="00EB7969">
        <w:rPr>
          <w:sz w:val="22"/>
          <w:szCs w:val="22"/>
        </w:rPr>
        <w:t>W</w:t>
      </w:r>
      <w:r w:rsidRPr="004B2EBD" w:rsidR="00044075">
        <w:rPr>
          <w:sz w:val="22"/>
          <w:szCs w:val="22"/>
        </w:rPr>
        <w:t xml:space="preserve">hen </w:t>
      </w:r>
      <w:r w:rsidRPr="004B2EBD" w:rsidR="00324B23">
        <w:rPr>
          <w:sz w:val="22"/>
          <w:szCs w:val="22"/>
        </w:rPr>
        <w:t>these</w:t>
      </w:r>
      <w:r w:rsidRPr="004B2EBD" w:rsidR="009B7E19">
        <w:rPr>
          <w:sz w:val="22"/>
          <w:szCs w:val="22"/>
        </w:rPr>
        <w:t xml:space="preserve"> </w:t>
      </w:r>
      <w:r w:rsidRPr="004B2EBD" w:rsidR="00044075">
        <w:rPr>
          <w:sz w:val="22"/>
          <w:szCs w:val="22"/>
        </w:rPr>
        <w:t xml:space="preserve">locomotives enter SCRRA territory, </w:t>
      </w:r>
      <w:r w:rsidRPr="004B2EBD" w:rsidR="00EB13DC">
        <w:rPr>
          <w:sz w:val="22"/>
          <w:szCs w:val="22"/>
        </w:rPr>
        <w:t>“</w:t>
      </w:r>
      <w:r w:rsidRPr="004B2EBD" w:rsidR="00044075">
        <w:rPr>
          <w:sz w:val="22"/>
          <w:szCs w:val="22"/>
        </w:rPr>
        <w:t>their ra</w:t>
      </w:r>
      <w:r w:rsidRPr="004B2EBD" w:rsidR="00B20533">
        <w:rPr>
          <w:sz w:val="22"/>
          <w:szCs w:val="22"/>
        </w:rPr>
        <w:t>d</w:t>
      </w:r>
      <w:r w:rsidRPr="004B2EBD" w:rsidR="00044075">
        <w:rPr>
          <w:sz w:val="22"/>
          <w:szCs w:val="22"/>
        </w:rPr>
        <w:t xml:space="preserve">ios do not have a function through which they can turn their </w:t>
      </w:r>
      <w:r w:rsidRPr="004B2EBD" w:rsidR="00801A1E">
        <w:rPr>
          <w:sz w:val="22"/>
          <w:szCs w:val="22"/>
        </w:rPr>
        <w:t xml:space="preserve">[50-watt TPO] </w:t>
      </w:r>
      <w:r w:rsidRPr="004B2EBD" w:rsidR="00044075">
        <w:rPr>
          <w:sz w:val="22"/>
          <w:szCs w:val="22"/>
        </w:rPr>
        <w:t>down</w:t>
      </w:r>
      <w:r w:rsidRPr="004B2EBD" w:rsidR="00B20533">
        <w:rPr>
          <w:sz w:val="22"/>
          <w:szCs w:val="22"/>
        </w:rPr>
        <w:t>.</w:t>
      </w:r>
      <w:r w:rsidRPr="004B2EBD" w:rsidR="00044075">
        <w:rPr>
          <w:sz w:val="22"/>
          <w:szCs w:val="22"/>
        </w:rPr>
        <w:t>”</w:t>
      </w:r>
      <w:r>
        <w:rPr>
          <w:rStyle w:val="FootnoteReference"/>
          <w:sz w:val="22"/>
          <w:szCs w:val="22"/>
        </w:rPr>
        <w:footnoteReference w:id="61"/>
      </w:r>
      <w:r w:rsidRPr="004B2EBD" w:rsidR="00013201">
        <w:rPr>
          <w:sz w:val="22"/>
          <w:szCs w:val="22"/>
        </w:rPr>
        <w:t xml:space="preserve">  </w:t>
      </w:r>
      <w:r w:rsidRPr="004B2EBD" w:rsidR="00EB13DC">
        <w:rPr>
          <w:sz w:val="22"/>
          <w:szCs w:val="22"/>
        </w:rPr>
        <w:t>T</w:t>
      </w:r>
      <w:r w:rsidRPr="004B2EBD" w:rsidR="003622DA">
        <w:rPr>
          <w:sz w:val="22"/>
          <w:szCs w:val="22"/>
        </w:rPr>
        <w:t xml:space="preserve">he </w:t>
      </w:r>
      <w:r w:rsidRPr="004B2EBD" w:rsidR="00E26DAC">
        <w:rPr>
          <w:sz w:val="22"/>
          <w:szCs w:val="22"/>
        </w:rPr>
        <w:t>radio’s</w:t>
      </w:r>
      <w:r w:rsidRPr="004B2EBD" w:rsidR="00EB13DC">
        <w:rPr>
          <w:sz w:val="22"/>
          <w:szCs w:val="22"/>
        </w:rPr>
        <w:t xml:space="preserve"> </w:t>
      </w:r>
      <w:r w:rsidRPr="004B2EBD" w:rsidR="00B20533">
        <w:rPr>
          <w:sz w:val="22"/>
          <w:szCs w:val="22"/>
        </w:rPr>
        <w:t>TPO “is configurable only when a trained technician connects to the specific radio via computer terminal, successfully authenticates to the radio, issues a series of configuration commands, and reboots the radio.”</w:t>
      </w:r>
      <w:r>
        <w:rPr>
          <w:rStyle w:val="FootnoteReference"/>
          <w:sz w:val="22"/>
          <w:szCs w:val="22"/>
        </w:rPr>
        <w:footnoteReference w:id="62"/>
      </w:r>
      <w:r w:rsidRPr="004B2EBD" w:rsidR="00B20533">
        <w:rPr>
          <w:sz w:val="22"/>
          <w:szCs w:val="22"/>
        </w:rPr>
        <w:t xml:space="preserve"> </w:t>
      </w:r>
      <w:r w:rsidRPr="004B2EBD" w:rsidR="008160D2">
        <w:rPr>
          <w:sz w:val="22"/>
          <w:szCs w:val="22"/>
        </w:rPr>
        <w:t xml:space="preserve">  </w:t>
      </w:r>
    </w:p>
    <w:p w:rsidR="007D1196" w:rsidRPr="004B2EBD" w:rsidP="004B2EBD" w14:paraId="3C226ECD" w14:textId="77777777">
      <w:pPr>
        <w:ind w:firstLine="720"/>
        <w:rPr>
          <w:sz w:val="22"/>
          <w:szCs w:val="22"/>
        </w:rPr>
      </w:pPr>
    </w:p>
    <w:p w:rsidR="0066664A" w:rsidRPr="004B2EBD" w:rsidP="004B2EBD" w14:paraId="1C91EFEF" w14:textId="485E8A8B">
      <w:pPr>
        <w:ind w:firstLine="720"/>
        <w:rPr>
          <w:sz w:val="22"/>
          <w:szCs w:val="22"/>
        </w:rPr>
      </w:pPr>
      <w:r w:rsidRPr="004B2EBD">
        <w:rPr>
          <w:sz w:val="22"/>
          <w:szCs w:val="22"/>
        </w:rPr>
        <w:t>W</w:t>
      </w:r>
      <w:r w:rsidRPr="004B2EBD" w:rsidR="007C535E">
        <w:rPr>
          <w:sz w:val="22"/>
          <w:szCs w:val="22"/>
        </w:rPr>
        <w:t xml:space="preserve">e evaluate SCRRA’s request </w:t>
      </w:r>
      <w:r w:rsidRPr="004B2EBD" w:rsidR="009D7AB0">
        <w:rPr>
          <w:sz w:val="22"/>
          <w:szCs w:val="22"/>
        </w:rPr>
        <w:t xml:space="preserve">for waiver </w:t>
      </w:r>
      <w:r w:rsidRPr="004B2EBD" w:rsidR="007C535E">
        <w:rPr>
          <w:sz w:val="22"/>
          <w:szCs w:val="22"/>
        </w:rPr>
        <w:t xml:space="preserve">under </w:t>
      </w:r>
      <w:r w:rsidR="005F0FA2">
        <w:rPr>
          <w:sz w:val="22"/>
          <w:szCs w:val="22"/>
        </w:rPr>
        <w:t>s</w:t>
      </w:r>
      <w:r w:rsidRPr="004B2EBD" w:rsidR="007C535E">
        <w:rPr>
          <w:sz w:val="22"/>
          <w:szCs w:val="22"/>
        </w:rPr>
        <w:t>ection 1.925(b)(3)</w:t>
      </w:r>
      <w:r w:rsidRPr="004B2EBD">
        <w:rPr>
          <w:sz w:val="22"/>
          <w:szCs w:val="22"/>
        </w:rPr>
        <w:t xml:space="preserve"> of the Commission’s rules</w:t>
      </w:r>
      <w:r w:rsidRPr="004B2EBD" w:rsidR="001B1BB4">
        <w:rPr>
          <w:sz w:val="22"/>
          <w:szCs w:val="22"/>
        </w:rPr>
        <w:t>.</w:t>
      </w:r>
      <w:r w:rsidRPr="004B2EBD" w:rsidR="007C535E">
        <w:rPr>
          <w:sz w:val="22"/>
          <w:szCs w:val="22"/>
        </w:rPr>
        <w:t xml:space="preserve">  Under </w:t>
      </w:r>
      <w:r w:rsidR="005F0FA2">
        <w:rPr>
          <w:sz w:val="22"/>
          <w:szCs w:val="22"/>
        </w:rPr>
        <w:t>s</w:t>
      </w:r>
      <w:r w:rsidRPr="004B2EBD" w:rsidR="009B0831">
        <w:rPr>
          <w:sz w:val="22"/>
          <w:szCs w:val="22"/>
        </w:rPr>
        <w:t>ection 1.925(b)(3)</w:t>
      </w:r>
      <w:r w:rsidRPr="004B2EBD" w:rsidR="007C535E">
        <w:rPr>
          <w:sz w:val="22"/>
          <w:szCs w:val="22"/>
        </w:rPr>
        <w:t xml:space="preserve">, the Commission may grant a request for waiver if it is shown </w:t>
      </w:r>
      <w:r w:rsidRPr="004B2EBD" w:rsidR="00A954F6">
        <w:rPr>
          <w:sz w:val="22"/>
          <w:szCs w:val="22"/>
        </w:rPr>
        <w:t xml:space="preserve">either </w:t>
      </w:r>
      <w:r w:rsidRPr="004B2EBD" w:rsidR="007C535E">
        <w:rPr>
          <w:sz w:val="22"/>
          <w:szCs w:val="22"/>
        </w:rPr>
        <w:t>that (i) the underlying purpose of the rule(s) would not be served or would be frustrated by application to the instant case, and that a grant of the requested waiver would be in the public interest</w:t>
      </w:r>
      <w:r w:rsidRPr="004B2EBD" w:rsidR="0025071D">
        <w:rPr>
          <w:sz w:val="22"/>
          <w:szCs w:val="22"/>
        </w:rPr>
        <w:t>,</w:t>
      </w:r>
      <w:r w:rsidRPr="004B2EBD" w:rsidR="007C535E">
        <w:rPr>
          <w:sz w:val="22"/>
          <w:szCs w:val="22"/>
        </w:rPr>
        <w:t xml:space="preserve"> or (ii) in view of unique or unusual factual circumstances, application of the rule(s) would be inequitable, unduly burdensome or contrary to the public interest, or the applicant has no reasonable alternative.</w:t>
      </w:r>
      <w:r>
        <w:rPr>
          <w:rStyle w:val="FootnoteReference"/>
          <w:sz w:val="22"/>
          <w:szCs w:val="22"/>
        </w:rPr>
        <w:footnoteReference w:id="63"/>
      </w:r>
      <w:r w:rsidRPr="004B2EBD">
        <w:rPr>
          <w:rStyle w:val="FootnoteReference"/>
          <w:sz w:val="22"/>
          <w:szCs w:val="22"/>
        </w:rPr>
        <w:t xml:space="preserve">  </w:t>
      </w:r>
      <w:r w:rsidRPr="004B2EBD" w:rsidR="00BE7D15">
        <w:rPr>
          <w:sz w:val="22"/>
          <w:szCs w:val="22"/>
        </w:rPr>
        <w:t xml:space="preserve">We grant </w:t>
      </w:r>
      <w:r w:rsidRPr="004B2EBD" w:rsidR="007C535E">
        <w:rPr>
          <w:sz w:val="22"/>
          <w:szCs w:val="22"/>
        </w:rPr>
        <w:t xml:space="preserve">SCRRA’s </w:t>
      </w:r>
      <w:r w:rsidRPr="004B2EBD" w:rsidR="00440037">
        <w:rPr>
          <w:sz w:val="22"/>
          <w:szCs w:val="22"/>
        </w:rPr>
        <w:t xml:space="preserve">waiver </w:t>
      </w:r>
      <w:r w:rsidRPr="004B2EBD" w:rsidR="007C535E">
        <w:rPr>
          <w:sz w:val="22"/>
          <w:szCs w:val="22"/>
        </w:rPr>
        <w:t xml:space="preserve">request </w:t>
      </w:r>
      <w:r w:rsidRPr="004B2EBD" w:rsidR="004439D5">
        <w:rPr>
          <w:sz w:val="22"/>
          <w:szCs w:val="22"/>
        </w:rPr>
        <w:t xml:space="preserve">under </w:t>
      </w:r>
      <w:r w:rsidRPr="004B2EBD" w:rsidR="00BE7D15">
        <w:rPr>
          <w:sz w:val="22"/>
          <w:szCs w:val="22"/>
        </w:rPr>
        <w:t xml:space="preserve">the </w:t>
      </w:r>
      <w:r w:rsidRPr="004B2EBD" w:rsidR="004439D5">
        <w:rPr>
          <w:sz w:val="22"/>
          <w:szCs w:val="22"/>
        </w:rPr>
        <w:t xml:space="preserve">second </w:t>
      </w:r>
      <w:r w:rsidRPr="004B2EBD" w:rsidR="006E1B44">
        <w:rPr>
          <w:sz w:val="22"/>
          <w:szCs w:val="22"/>
        </w:rPr>
        <w:t xml:space="preserve">prong of </w:t>
      </w:r>
      <w:r w:rsidRPr="004B2EBD" w:rsidR="00BE7D15">
        <w:rPr>
          <w:sz w:val="22"/>
          <w:szCs w:val="22"/>
        </w:rPr>
        <w:t>the Commission</w:t>
      </w:r>
      <w:r w:rsidRPr="004B2EBD" w:rsidR="008E50DF">
        <w:rPr>
          <w:sz w:val="22"/>
          <w:szCs w:val="22"/>
        </w:rPr>
        <w:t>’s</w:t>
      </w:r>
      <w:r w:rsidRPr="004B2EBD" w:rsidR="00696BFB">
        <w:rPr>
          <w:sz w:val="22"/>
          <w:szCs w:val="22"/>
        </w:rPr>
        <w:t xml:space="preserve"> waiver standard.</w:t>
      </w:r>
      <w:r>
        <w:rPr>
          <w:rStyle w:val="FootnoteReference"/>
          <w:sz w:val="22"/>
          <w:szCs w:val="22"/>
        </w:rPr>
        <w:footnoteReference w:id="64"/>
      </w:r>
    </w:p>
    <w:p w:rsidR="0066664A" w:rsidRPr="004B2EBD" w:rsidP="004B2EBD" w14:paraId="2ED8F9CE" w14:textId="77777777">
      <w:pPr>
        <w:ind w:firstLine="720"/>
        <w:rPr>
          <w:sz w:val="22"/>
          <w:szCs w:val="22"/>
        </w:rPr>
      </w:pPr>
    </w:p>
    <w:p w:rsidR="009D7AB0" w:rsidRPr="004B2EBD" w:rsidP="004B2EBD" w14:paraId="3947F362" w14:textId="5106C73B">
      <w:pPr>
        <w:ind w:firstLine="720"/>
        <w:rPr>
          <w:sz w:val="22"/>
          <w:szCs w:val="22"/>
        </w:rPr>
      </w:pPr>
      <w:r w:rsidRPr="004B2EBD">
        <w:rPr>
          <w:sz w:val="22"/>
          <w:szCs w:val="22"/>
        </w:rPr>
        <w:t>W</w:t>
      </w:r>
      <w:r w:rsidRPr="004B2EBD" w:rsidR="004E056E">
        <w:rPr>
          <w:sz w:val="22"/>
          <w:szCs w:val="22"/>
        </w:rPr>
        <w:t>e find that i</w:t>
      </w:r>
      <w:r w:rsidRPr="004B2EBD" w:rsidR="001822D7">
        <w:rPr>
          <w:sz w:val="22"/>
          <w:szCs w:val="22"/>
        </w:rPr>
        <w:t xml:space="preserve">n view of </w:t>
      </w:r>
      <w:r w:rsidRPr="004B2EBD" w:rsidR="007C535E">
        <w:rPr>
          <w:sz w:val="22"/>
          <w:szCs w:val="22"/>
        </w:rPr>
        <w:t xml:space="preserve">the </w:t>
      </w:r>
      <w:r w:rsidRPr="004B2EBD" w:rsidR="001822D7">
        <w:rPr>
          <w:sz w:val="22"/>
          <w:szCs w:val="22"/>
        </w:rPr>
        <w:t xml:space="preserve">unique </w:t>
      </w:r>
      <w:r w:rsidRPr="004B2EBD" w:rsidR="00696BFB">
        <w:rPr>
          <w:sz w:val="22"/>
          <w:szCs w:val="22"/>
        </w:rPr>
        <w:t xml:space="preserve">and unusual </w:t>
      </w:r>
      <w:r w:rsidRPr="004B2EBD" w:rsidR="001822D7">
        <w:rPr>
          <w:sz w:val="22"/>
          <w:szCs w:val="22"/>
        </w:rPr>
        <w:t xml:space="preserve">circumstances </w:t>
      </w:r>
      <w:r w:rsidRPr="004B2EBD" w:rsidR="007C535E">
        <w:rPr>
          <w:sz w:val="22"/>
          <w:szCs w:val="22"/>
        </w:rPr>
        <w:t>here</w:t>
      </w:r>
      <w:r w:rsidRPr="004B2EBD">
        <w:rPr>
          <w:sz w:val="22"/>
          <w:szCs w:val="22"/>
        </w:rPr>
        <w:t xml:space="preserve">, including Congress’ </w:t>
      </w:r>
      <w:r w:rsidRPr="004B2EBD" w:rsidR="00604964">
        <w:rPr>
          <w:sz w:val="22"/>
          <w:szCs w:val="22"/>
        </w:rPr>
        <w:t xml:space="preserve">mandate </w:t>
      </w:r>
      <w:r w:rsidRPr="004B2EBD">
        <w:rPr>
          <w:sz w:val="22"/>
          <w:szCs w:val="22"/>
        </w:rPr>
        <w:t xml:space="preserve">that PTC </w:t>
      </w:r>
      <w:r w:rsidRPr="004B2EBD" w:rsidR="002806C5">
        <w:rPr>
          <w:sz w:val="22"/>
          <w:szCs w:val="22"/>
        </w:rPr>
        <w:t xml:space="preserve">rail safety </w:t>
      </w:r>
      <w:r w:rsidRPr="004B2EBD">
        <w:rPr>
          <w:sz w:val="22"/>
          <w:szCs w:val="22"/>
        </w:rPr>
        <w:t>systems be interoperable</w:t>
      </w:r>
      <w:r w:rsidRPr="004B2EBD" w:rsidR="001822D7">
        <w:rPr>
          <w:sz w:val="22"/>
          <w:szCs w:val="22"/>
        </w:rPr>
        <w:t>,</w:t>
      </w:r>
      <w:r>
        <w:rPr>
          <w:rStyle w:val="FootnoteReference"/>
          <w:sz w:val="22"/>
          <w:szCs w:val="22"/>
        </w:rPr>
        <w:footnoteReference w:id="65"/>
      </w:r>
      <w:r w:rsidRPr="004B2EBD" w:rsidR="00696BFB">
        <w:rPr>
          <w:sz w:val="22"/>
          <w:szCs w:val="22"/>
        </w:rPr>
        <w:t xml:space="preserve"> </w:t>
      </w:r>
      <w:r w:rsidRPr="004B2EBD" w:rsidR="001822D7">
        <w:rPr>
          <w:sz w:val="22"/>
          <w:szCs w:val="22"/>
        </w:rPr>
        <w:t>application of the</w:t>
      </w:r>
      <w:r w:rsidRPr="004B2EBD" w:rsidR="00696BFB">
        <w:rPr>
          <w:sz w:val="22"/>
          <w:szCs w:val="22"/>
        </w:rPr>
        <w:t xml:space="preserve"> two </w:t>
      </w:r>
      <w:r w:rsidRPr="004B2EBD" w:rsidR="00D06CF6">
        <w:rPr>
          <w:sz w:val="22"/>
          <w:szCs w:val="22"/>
        </w:rPr>
        <w:t xml:space="preserve">conditions </w:t>
      </w:r>
      <w:r w:rsidRPr="004B2EBD" w:rsidR="000F6A2C">
        <w:rPr>
          <w:sz w:val="22"/>
          <w:szCs w:val="22"/>
        </w:rPr>
        <w:t xml:space="preserve">required </w:t>
      </w:r>
      <w:r w:rsidRPr="004B2EBD" w:rsidR="00696BFB">
        <w:rPr>
          <w:sz w:val="22"/>
          <w:szCs w:val="22"/>
        </w:rPr>
        <w:t xml:space="preserve">to operate </w:t>
      </w:r>
      <w:r w:rsidRPr="004B2EBD" w:rsidR="000F6A2C">
        <w:rPr>
          <w:sz w:val="22"/>
          <w:szCs w:val="22"/>
        </w:rPr>
        <w:t xml:space="preserve">mobile radio transmitters </w:t>
      </w:r>
      <w:r w:rsidRPr="004B2EBD" w:rsidR="00696BFB">
        <w:rPr>
          <w:sz w:val="22"/>
          <w:szCs w:val="22"/>
        </w:rPr>
        <w:t>at 50 watts TPO</w:t>
      </w:r>
      <w:r w:rsidRPr="004B2EBD" w:rsidR="002806C5">
        <w:rPr>
          <w:sz w:val="22"/>
          <w:szCs w:val="22"/>
        </w:rPr>
        <w:t xml:space="preserve"> in the AMTS band</w:t>
      </w:r>
      <w:r w:rsidRPr="004B2EBD" w:rsidR="00696BFB">
        <w:rPr>
          <w:sz w:val="22"/>
          <w:szCs w:val="22"/>
        </w:rPr>
        <w:t xml:space="preserve">—(1) that TPO increases exceeding 25 watts </w:t>
      </w:r>
      <w:r w:rsidRPr="004B2EBD">
        <w:rPr>
          <w:sz w:val="22"/>
          <w:szCs w:val="22"/>
        </w:rPr>
        <w:t xml:space="preserve">are </w:t>
      </w:r>
      <w:r w:rsidRPr="004B2EBD" w:rsidR="00696BFB">
        <w:rPr>
          <w:sz w:val="22"/>
          <w:szCs w:val="22"/>
        </w:rPr>
        <w:t>made only by base station radio command</w:t>
      </w:r>
      <w:r w:rsidR="009863B5">
        <w:rPr>
          <w:sz w:val="22"/>
          <w:szCs w:val="22"/>
        </w:rPr>
        <w:t>;</w:t>
      </w:r>
      <w:r>
        <w:rPr>
          <w:rStyle w:val="FootnoteReference"/>
          <w:sz w:val="22"/>
          <w:szCs w:val="22"/>
        </w:rPr>
        <w:footnoteReference w:id="66"/>
      </w:r>
      <w:r w:rsidRPr="004B2EBD" w:rsidR="00696BFB">
        <w:rPr>
          <w:sz w:val="22"/>
          <w:szCs w:val="22"/>
        </w:rPr>
        <w:t>and (2) that TPO must be 25 watts or less when external radio commands are not present</w:t>
      </w:r>
      <w:r>
        <w:rPr>
          <w:rStyle w:val="FootnoteReference"/>
          <w:sz w:val="22"/>
          <w:szCs w:val="22"/>
        </w:rPr>
        <w:footnoteReference w:id="67"/>
      </w:r>
      <w:r w:rsidRPr="004B2EBD" w:rsidR="00696BFB">
        <w:rPr>
          <w:sz w:val="22"/>
          <w:szCs w:val="22"/>
        </w:rPr>
        <w:t xml:space="preserve">— </w:t>
      </w:r>
      <w:r w:rsidRPr="004B2EBD" w:rsidR="001822D7">
        <w:rPr>
          <w:sz w:val="22"/>
          <w:szCs w:val="22"/>
        </w:rPr>
        <w:t>would be contrary to the public interest</w:t>
      </w:r>
      <w:r w:rsidRPr="004B2EBD" w:rsidR="00696BFB">
        <w:rPr>
          <w:sz w:val="22"/>
          <w:szCs w:val="22"/>
        </w:rPr>
        <w:t xml:space="preserve"> </w:t>
      </w:r>
      <w:r w:rsidRPr="004B2EBD">
        <w:rPr>
          <w:sz w:val="22"/>
          <w:szCs w:val="22"/>
        </w:rPr>
        <w:t xml:space="preserve">in </w:t>
      </w:r>
      <w:r w:rsidRPr="004B2EBD" w:rsidR="001E223E">
        <w:rPr>
          <w:sz w:val="22"/>
          <w:szCs w:val="22"/>
        </w:rPr>
        <w:t>the</w:t>
      </w:r>
      <w:r w:rsidRPr="004B2EBD">
        <w:rPr>
          <w:sz w:val="22"/>
          <w:szCs w:val="22"/>
        </w:rPr>
        <w:t xml:space="preserve"> safety</w:t>
      </w:r>
      <w:r w:rsidRPr="004B2EBD" w:rsidR="001E223E">
        <w:rPr>
          <w:sz w:val="22"/>
          <w:szCs w:val="22"/>
        </w:rPr>
        <w:t xml:space="preserve"> of life and property</w:t>
      </w:r>
      <w:r w:rsidRPr="004B2EBD" w:rsidR="00FC31B2">
        <w:rPr>
          <w:sz w:val="22"/>
          <w:szCs w:val="22"/>
        </w:rPr>
        <w:t xml:space="preserve"> and in efficient spectrum use</w:t>
      </w:r>
      <w:r w:rsidRPr="004B2EBD" w:rsidR="00EB13DC">
        <w:rPr>
          <w:sz w:val="22"/>
          <w:szCs w:val="22"/>
        </w:rPr>
        <w:t xml:space="preserve">.  We also find </w:t>
      </w:r>
      <w:r w:rsidRPr="004B2EBD" w:rsidR="00696BFB">
        <w:rPr>
          <w:sz w:val="22"/>
          <w:szCs w:val="22"/>
        </w:rPr>
        <w:t>that SCRRA</w:t>
      </w:r>
      <w:r w:rsidRPr="004B2EBD" w:rsidR="001822D7">
        <w:rPr>
          <w:sz w:val="22"/>
          <w:szCs w:val="22"/>
        </w:rPr>
        <w:t xml:space="preserve"> has no reasonable alternative.</w:t>
      </w:r>
    </w:p>
    <w:p w:rsidR="009D7AB0" w:rsidRPr="004B2EBD" w:rsidP="004B2EBD" w14:paraId="6DD8220D" w14:textId="77777777">
      <w:pPr>
        <w:ind w:firstLine="720"/>
        <w:rPr>
          <w:sz w:val="22"/>
          <w:szCs w:val="22"/>
        </w:rPr>
      </w:pPr>
    </w:p>
    <w:p w:rsidR="0058481B" w:rsidRPr="004B2EBD" w:rsidP="004B2EBD" w14:paraId="7199D01D" w14:textId="7EF0EABE">
      <w:pPr>
        <w:ind w:firstLine="720"/>
        <w:rPr>
          <w:sz w:val="22"/>
          <w:szCs w:val="22"/>
        </w:rPr>
      </w:pPr>
      <w:r w:rsidRPr="004B2EBD">
        <w:rPr>
          <w:sz w:val="22"/>
          <w:szCs w:val="22"/>
        </w:rPr>
        <w:t xml:space="preserve">Amtrak, </w:t>
      </w:r>
      <w:r w:rsidRPr="004B2EBD" w:rsidR="002B4C40">
        <w:rPr>
          <w:sz w:val="22"/>
          <w:szCs w:val="22"/>
        </w:rPr>
        <w:t>BNSF</w:t>
      </w:r>
      <w:r w:rsidRPr="004B2EBD">
        <w:rPr>
          <w:sz w:val="22"/>
          <w:szCs w:val="22"/>
        </w:rPr>
        <w:t>,</w:t>
      </w:r>
      <w:r w:rsidRPr="004B2EBD" w:rsidR="007C535E">
        <w:rPr>
          <w:sz w:val="22"/>
          <w:szCs w:val="22"/>
        </w:rPr>
        <w:t xml:space="preserve"> and </w:t>
      </w:r>
      <w:r w:rsidRPr="004B2EBD" w:rsidR="002B4C40">
        <w:rPr>
          <w:sz w:val="22"/>
          <w:szCs w:val="22"/>
        </w:rPr>
        <w:t xml:space="preserve">UP have programmed thousands of Meteorcomm locomotive radios to operate at 50 watts TPO </w:t>
      </w:r>
      <w:r w:rsidRPr="004B2EBD" w:rsidR="00696BFB">
        <w:rPr>
          <w:sz w:val="22"/>
          <w:szCs w:val="22"/>
        </w:rPr>
        <w:t>in the 220-222 MHz band</w:t>
      </w:r>
      <w:r w:rsidR="00145151">
        <w:rPr>
          <w:sz w:val="22"/>
          <w:szCs w:val="22"/>
        </w:rPr>
        <w:t>,</w:t>
      </w:r>
      <w:r w:rsidRPr="004B2EBD" w:rsidR="00696BFB">
        <w:rPr>
          <w:sz w:val="22"/>
          <w:szCs w:val="22"/>
        </w:rPr>
        <w:t xml:space="preserve"> </w:t>
      </w:r>
      <w:r w:rsidRPr="004B2EBD" w:rsidR="002B4C40">
        <w:rPr>
          <w:sz w:val="22"/>
          <w:szCs w:val="22"/>
        </w:rPr>
        <w:t>and th</w:t>
      </w:r>
      <w:r w:rsidRPr="004B2EBD" w:rsidR="007C535E">
        <w:rPr>
          <w:sz w:val="22"/>
          <w:szCs w:val="22"/>
        </w:rPr>
        <w:t>e</w:t>
      </w:r>
      <w:r w:rsidRPr="004B2EBD" w:rsidR="00FD568A">
        <w:rPr>
          <w:sz w:val="22"/>
          <w:szCs w:val="22"/>
        </w:rPr>
        <w:t xml:space="preserve"> record shows that the</w:t>
      </w:r>
      <w:r w:rsidRPr="004B2EBD" w:rsidR="007C535E">
        <w:rPr>
          <w:sz w:val="22"/>
          <w:szCs w:val="22"/>
        </w:rPr>
        <w:t xml:space="preserve">se </w:t>
      </w:r>
      <w:r w:rsidRPr="004B2EBD" w:rsidR="002B4C40">
        <w:rPr>
          <w:sz w:val="22"/>
          <w:szCs w:val="22"/>
        </w:rPr>
        <w:t>radios cannot be controlled by external radio command</w:t>
      </w:r>
      <w:r w:rsidRPr="004B2EBD" w:rsidR="009D7AB0">
        <w:rPr>
          <w:sz w:val="22"/>
          <w:szCs w:val="22"/>
        </w:rPr>
        <w:t>s</w:t>
      </w:r>
      <w:r w:rsidRPr="004B2EBD" w:rsidR="002B4C40">
        <w:rPr>
          <w:sz w:val="22"/>
          <w:szCs w:val="22"/>
        </w:rPr>
        <w:t xml:space="preserve"> to use a lower </w:t>
      </w:r>
      <w:r w:rsidRPr="004B2EBD" w:rsidR="001822D7">
        <w:rPr>
          <w:sz w:val="22"/>
          <w:szCs w:val="22"/>
        </w:rPr>
        <w:t xml:space="preserve">TPO </w:t>
      </w:r>
      <w:r w:rsidRPr="004B2EBD" w:rsidR="002B4C40">
        <w:rPr>
          <w:sz w:val="22"/>
          <w:szCs w:val="22"/>
        </w:rPr>
        <w:t>when they enter SCRRA territory</w:t>
      </w:r>
      <w:r w:rsidRPr="004B2EBD" w:rsidR="00696BFB">
        <w:rPr>
          <w:sz w:val="22"/>
          <w:szCs w:val="22"/>
        </w:rPr>
        <w:t xml:space="preserve"> and </w:t>
      </w:r>
      <w:r w:rsidRPr="004B2EBD" w:rsidR="00FD568A">
        <w:rPr>
          <w:sz w:val="22"/>
          <w:szCs w:val="22"/>
        </w:rPr>
        <w:t xml:space="preserve">use </w:t>
      </w:r>
      <w:r w:rsidRPr="004B2EBD" w:rsidR="009D7AB0">
        <w:rPr>
          <w:sz w:val="22"/>
          <w:szCs w:val="22"/>
        </w:rPr>
        <w:t xml:space="preserve">SCRRA’s </w:t>
      </w:r>
      <w:r w:rsidRPr="004B2EBD" w:rsidR="00696BFB">
        <w:rPr>
          <w:sz w:val="22"/>
          <w:szCs w:val="22"/>
        </w:rPr>
        <w:t>AMTS spectrum</w:t>
      </w:r>
      <w:r w:rsidRPr="004B2EBD" w:rsidR="002B4C40">
        <w:rPr>
          <w:sz w:val="22"/>
          <w:szCs w:val="22"/>
        </w:rPr>
        <w:t>.</w:t>
      </w:r>
      <w:r w:rsidRPr="004B2EBD" w:rsidR="0036206A">
        <w:rPr>
          <w:sz w:val="22"/>
          <w:szCs w:val="22"/>
        </w:rPr>
        <w:t xml:space="preserve"> </w:t>
      </w:r>
      <w:r w:rsidRPr="004B2EBD" w:rsidR="00FD53E3">
        <w:rPr>
          <w:sz w:val="22"/>
          <w:szCs w:val="22"/>
        </w:rPr>
        <w:t xml:space="preserve"> </w:t>
      </w:r>
      <w:r w:rsidRPr="004B2EBD" w:rsidR="00692682">
        <w:rPr>
          <w:sz w:val="22"/>
          <w:szCs w:val="22"/>
        </w:rPr>
        <w:t>Like its railroad partners, SCRRA</w:t>
      </w:r>
      <w:r w:rsidRPr="004B2EBD" w:rsidR="00FD53E3">
        <w:rPr>
          <w:sz w:val="22"/>
          <w:szCs w:val="22"/>
        </w:rPr>
        <w:t xml:space="preserve"> has configured its </w:t>
      </w:r>
      <w:r w:rsidRPr="004B2EBD" w:rsidR="00692682">
        <w:rPr>
          <w:sz w:val="22"/>
          <w:szCs w:val="22"/>
        </w:rPr>
        <w:t>mobile radios to operate at 50 watts TPO and they too cannot be controlled by external radio commands to use a lower TPO.</w:t>
      </w:r>
      <w:r>
        <w:rPr>
          <w:rStyle w:val="FootnoteReference"/>
          <w:sz w:val="22"/>
          <w:szCs w:val="22"/>
        </w:rPr>
        <w:footnoteReference w:id="68"/>
      </w:r>
      <w:r w:rsidRPr="004B2EBD" w:rsidR="00692682">
        <w:rPr>
          <w:sz w:val="22"/>
          <w:szCs w:val="22"/>
        </w:rPr>
        <w:t xml:space="preserve">  </w:t>
      </w:r>
      <w:r w:rsidRPr="004B2EBD" w:rsidR="00562F93">
        <w:rPr>
          <w:sz w:val="22"/>
          <w:szCs w:val="22"/>
        </w:rPr>
        <w:t xml:space="preserve">Further, </w:t>
      </w:r>
      <w:r w:rsidRPr="004B2EBD" w:rsidR="0036206A">
        <w:rPr>
          <w:sz w:val="22"/>
          <w:szCs w:val="22"/>
        </w:rPr>
        <w:t xml:space="preserve">it is not possible to program the radios to operate at 50 watts TPO and satisfy the condition that TPO be </w:t>
      </w:r>
      <w:r w:rsidRPr="004B2EBD" w:rsidR="001C2746">
        <w:rPr>
          <w:sz w:val="22"/>
          <w:szCs w:val="22"/>
        </w:rPr>
        <w:t>25 watts or less when external radio commands are not present.</w:t>
      </w:r>
      <w:r>
        <w:rPr>
          <w:rStyle w:val="FootnoteReference"/>
          <w:sz w:val="22"/>
          <w:szCs w:val="22"/>
        </w:rPr>
        <w:footnoteReference w:id="69"/>
      </w:r>
      <w:r w:rsidRPr="004B2EBD">
        <w:rPr>
          <w:sz w:val="22"/>
          <w:szCs w:val="22"/>
        </w:rPr>
        <w:t xml:space="preserve"> </w:t>
      </w:r>
      <w:r w:rsidRPr="004B2EBD" w:rsidR="001C2746">
        <w:rPr>
          <w:sz w:val="22"/>
          <w:szCs w:val="22"/>
        </w:rPr>
        <w:t xml:space="preserve"> </w:t>
      </w:r>
      <w:r w:rsidRPr="004B2EBD" w:rsidR="0036206A">
        <w:rPr>
          <w:sz w:val="22"/>
          <w:szCs w:val="22"/>
        </w:rPr>
        <w:t xml:space="preserve">In sum, </w:t>
      </w:r>
      <w:r w:rsidRPr="004B2EBD" w:rsidR="007C535E">
        <w:rPr>
          <w:sz w:val="22"/>
          <w:szCs w:val="22"/>
        </w:rPr>
        <w:t xml:space="preserve">SCRRA </w:t>
      </w:r>
      <w:r w:rsidRPr="004B2EBD" w:rsidR="009D7AB0">
        <w:rPr>
          <w:sz w:val="22"/>
          <w:szCs w:val="22"/>
        </w:rPr>
        <w:t>and its tenant railroads are</w:t>
      </w:r>
      <w:r w:rsidRPr="004B2EBD" w:rsidR="007C535E">
        <w:rPr>
          <w:sz w:val="22"/>
          <w:szCs w:val="22"/>
        </w:rPr>
        <w:t xml:space="preserve"> required by statute to deplo</w:t>
      </w:r>
      <w:r w:rsidRPr="004B2EBD" w:rsidR="00696BFB">
        <w:rPr>
          <w:sz w:val="22"/>
          <w:szCs w:val="22"/>
        </w:rPr>
        <w:t>y</w:t>
      </w:r>
      <w:r w:rsidRPr="004B2EBD" w:rsidR="007C535E">
        <w:rPr>
          <w:sz w:val="22"/>
          <w:szCs w:val="22"/>
        </w:rPr>
        <w:t xml:space="preserve"> interoperable PTC system</w:t>
      </w:r>
      <w:r w:rsidRPr="004B2EBD" w:rsidR="009D7AB0">
        <w:rPr>
          <w:sz w:val="22"/>
          <w:szCs w:val="22"/>
        </w:rPr>
        <w:t>s</w:t>
      </w:r>
      <w:r w:rsidRPr="004B2EBD" w:rsidR="007C535E">
        <w:rPr>
          <w:sz w:val="22"/>
          <w:szCs w:val="22"/>
        </w:rPr>
        <w:t xml:space="preserve"> </w:t>
      </w:r>
      <w:r w:rsidRPr="004B2EBD" w:rsidR="009D7AB0">
        <w:rPr>
          <w:sz w:val="22"/>
          <w:szCs w:val="22"/>
        </w:rPr>
        <w:t xml:space="preserve">and </w:t>
      </w:r>
      <w:r w:rsidRPr="004B2EBD" w:rsidR="001822D7">
        <w:rPr>
          <w:sz w:val="22"/>
          <w:szCs w:val="22"/>
        </w:rPr>
        <w:t>ha</w:t>
      </w:r>
      <w:r w:rsidRPr="004B2EBD" w:rsidR="009D7AB0">
        <w:rPr>
          <w:sz w:val="22"/>
          <w:szCs w:val="22"/>
        </w:rPr>
        <w:t>ve</w:t>
      </w:r>
      <w:r w:rsidRPr="004B2EBD" w:rsidR="001822D7">
        <w:rPr>
          <w:sz w:val="22"/>
          <w:szCs w:val="22"/>
        </w:rPr>
        <w:t xml:space="preserve"> no reasonable alternative to the requested rule waiver</w:t>
      </w:r>
      <w:r w:rsidRPr="004B2EBD" w:rsidR="007C535E">
        <w:rPr>
          <w:sz w:val="22"/>
          <w:szCs w:val="22"/>
        </w:rPr>
        <w:t>s</w:t>
      </w:r>
      <w:r w:rsidRPr="004B2EBD" w:rsidR="001822D7">
        <w:rPr>
          <w:sz w:val="22"/>
          <w:szCs w:val="22"/>
        </w:rPr>
        <w:t xml:space="preserve"> because the </w:t>
      </w:r>
      <w:r w:rsidRPr="004B2EBD" w:rsidR="009D7AB0">
        <w:rPr>
          <w:sz w:val="22"/>
          <w:szCs w:val="22"/>
        </w:rPr>
        <w:t xml:space="preserve">mobile </w:t>
      </w:r>
      <w:r w:rsidRPr="004B2EBD" w:rsidR="001822D7">
        <w:rPr>
          <w:sz w:val="22"/>
          <w:szCs w:val="22"/>
        </w:rPr>
        <w:t>radio power levels are preset</w:t>
      </w:r>
      <w:r w:rsidRPr="004B2EBD" w:rsidR="006A10E3">
        <w:rPr>
          <w:sz w:val="22"/>
          <w:szCs w:val="22"/>
        </w:rPr>
        <w:t xml:space="preserve"> at 50 watts TPO </w:t>
      </w:r>
      <w:r w:rsidRPr="004B2EBD" w:rsidR="001822D7">
        <w:rPr>
          <w:sz w:val="22"/>
          <w:szCs w:val="22"/>
        </w:rPr>
        <w:t>and cannot be controlled by base station radio commands.</w:t>
      </w:r>
      <w:r w:rsidRPr="004B2EBD" w:rsidR="00D4366E">
        <w:rPr>
          <w:sz w:val="22"/>
          <w:szCs w:val="22"/>
        </w:rPr>
        <w:t xml:space="preserve">  </w:t>
      </w:r>
      <w:r w:rsidRPr="004B2EBD" w:rsidR="0003662F">
        <w:rPr>
          <w:sz w:val="22"/>
          <w:szCs w:val="22"/>
        </w:rPr>
        <w:t>We also find that not permit</w:t>
      </w:r>
      <w:r w:rsidRPr="004B2EBD">
        <w:rPr>
          <w:sz w:val="22"/>
          <w:szCs w:val="22"/>
        </w:rPr>
        <w:t>ting SCRRA to ope</w:t>
      </w:r>
      <w:r w:rsidRPr="004B2EBD" w:rsidR="00523D1B">
        <w:rPr>
          <w:sz w:val="22"/>
          <w:szCs w:val="22"/>
        </w:rPr>
        <w:t>rate mobile r</w:t>
      </w:r>
      <w:r w:rsidRPr="004B2EBD">
        <w:rPr>
          <w:sz w:val="22"/>
          <w:szCs w:val="22"/>
        </w:rPr>
        <w:t xml:space="preserve">adios at 50 watts TPO </w:t>
      </w:r>
      <w:r w:rsidRPr="004B2EBD" w:rsidR="0003662F">
        <w:rPr>
          <w:sz w:val="22"/>
          <w:szCs w:val="22"/>
        </w:rPr>
        <w:t xml:space="preserve">would be </w:t>
      </w:r>
      <w:r w:rsidRPr="004B2EBD">
        <w:rPr>
          <w:sz w:val="22"/>
          <w:szCs w:val="22"/>
        </w:rPr>
        <w:t xml:space="preserve">contrary </w:t>
      </w:r>
      <w:r w:rsidRPr="004B2EBD" w:rsidR="004D2563">
        <w:rPr>
          <w:sz w:val="22"/>
          <w:szCs w:val="22"/>
        </w:rPr>
        <w:t xml:space="preserve">to the </w:t>
      </w:r>
      <w:r w:rsidRPr="004B2EBD" w:rsidR="009C7273">
        <w:rPr>
          <w:sz w:val="22"/>
          <w:szCs w:val="22"/>
        </w:rPr>
        <w:t xml:space="preserve">public interest because it would preclude </w:t>
      </w:r>
      <w:r w:rsidRPr="004B2EBD" w:rsidR="00550063">
        <w:rPr>
          <w:sz w:val="22"/>
          <w:szCs w:val="22"/>
        </w:rPr>
        <w:t>sharing of scar</w:t>
      </w:r>
      <w:r w:rsidRPr="004B2EBD" w:rsidR="004D2563">
        <w:rPr>
          <w:sz w:val="22"/>
          <w:szCs w:val="22"/>
        </w:rPr>
        <w:t>c</w:t>
      </w:r>
      <w:r w:rsidRPr="004B2EBD" w:rsidR="00550063">
        <w:rPr>
          <w:sz w:val="22"/>
          <w:szCs w:val="22"/>
        </w:rPr>
        <w:t>e spectrum resources, whi</w:t>
      </w:r>
      <w:r w:rsidRPr="004B2EBD" w:rsidR="004D2563">
        <w:rPr>
          <w:sz w:val="22"/>
          <w:szCs w:val="22"/>
        </w:rPr>
        <w:t>c</w:t>
      </w:r>
      <w:r w:rsidRPr="004B2EBD" w:rsidR="00550063">
        <w:rPr>
          <w:sz w:val="22"/>
          <w:szCs w:val="22"/>
        </w:rPr>
        <w:t>h are needed for</w:t>
      </w:r>
      <w:r w:rsidRPr="004B2EBD" w:rsidR="004D2563">
        <w:rPr>
          <w:sz w:val="22"/>
          <w:szCs w:val="22"/>
        </w:rPr>
        <w:t xml:space="preserve"> robust </w:t>
      </w:r>
      <w:r w:rsidRPr="004B2EBD" w:rsidR="006A10E3">
        <w:rPr>
          <w:sz w:val="22"/>
          <w:szCs w:val="22"/>
        </w:rPr>
        <w:t>interoperable</w:t>
      </w:r>
      <w:r w:rsidRPr="004B2EBD" w:rsidR="00A24579">
        <w:rPr>
          <w:sz w:val="22"/>
          <w:szCs w:val="22"/>
        </w:rPr>
        <w:t xml:space="preserve"> </w:t>
      </w:r>
      <w:r w:rsidRPr="004B2EBD" w:rsidR="004D2563">
        <w:rPr>
          <w:sz w:val="22"/>
          <w:szCs w:val="22"/>
        </w:rPr>
        <w:t>d</w:t>
      </w:r>
      <w:r w:rsidRPr="004B2EBD" w:rsidR="00A24579">
        <w:rPr>
          <w:sz w:val="22"/>
          <w:szCs w:val="22"/>
        </w:rPr>
        <w:t>e</w:t>
      </w:r>
      <w:r w:rsidRPr="004B2EBD" w:rsidR="004D2563">
        <w:rPr>
          <w:sz w:val="22"/>
          <w:szCs w:val="22"/>
        </w:rPr>
        <w:t>ploym</w:t>
      </w:r>
      <w:r w:rsidRPr="004B2EBD" w:rsidR="00A24579">
        <w:rPr>
          <w:sz w:val="22"/>
          <w:szCs w:val="22"/>
        </w:rPr>
        <w:t>e</w:t>
      </w:r>
      <w:r w:rsidRPr="004B2EBD" w:rsidR="004D2563">
        <w:rPr>
          <w:sz w:val="22"/>
          <w:szCs w:val="22"/>
        </w:rPr>
        <w:t>n</w:t>
      </w:r>
      <w:r w:rsidRPr="004B2EBD" w:rsidR="00A24579">
        <w:rPr>
          <w:sz w:val="22"/>
          <w:szCs w:val="22"/>
        </w:rPr>
        <w:t>t</w:t>
      </w:r>
      <w:r w:rsidRPr="004B2EBD" w:rsidR="004D2563">
        <w:rPr>
          <w:sz w:val="22"/>
          <w:szCs w:val="22"/>
        </w:rPr>
        <w:t xml:space="preserve"> of PTC in Southern California. </w:t>
      </w:r>
    </w:p>
    <w:p w:rsidR="00523D1B" w:rsidRPr="004B2EBD" w:rsidP="004B2EBD" w14:paraId="14CF6FB2" w14:textId="77777777">
      <w:pPr>
        <w:ind w:firstLine="720"/>
        <w:rPr>
          <w:sz w:val="22"/>
          <w:szCs w:val="22"/>
        </w:rPr>
      </w:pPr>
    </w:p>
    <w:p w:rsidR="008D3D27" w:rsidRPr="004B2EBD" w:rsidP="004B2EBD" w14:paraId="6A7F47C0" w14:textId="2AA8F79B">
      <w:pPr>
        <w:ind w:firstLine="720"/>
        <w:rPr>
          <w:sz w:val="22"/>
          <w:szCs w:val="22"/>
        </w:rPr>
      </w:pPr>
      <w:r w:rsidRPr="004B2EBD">
        <w:rPr>
          <w:sz w:val="22"/>
          <w:szCs w:val="22"/>
        </w:rPr>
        <w:t xml:space="preserve"> </w:t>
      </w:r>
      <w:r w:rsidRPr="004B2EBD" w:rsidR="00D4366E">
        <w:rPr>
          <w:sz w:val="22"/>
          <w:szCs w:val="22"/>
        </w:rPr>
        <w:t xml:space="preserve">Given </w:t>
      </w:r>
      <w:r w:rsidRPr="004B2EBD" w:rsidR="007C535E">
        <w:rPr>
          <w:sz w:val="22"/>
          <w:szCs w:val="22"/>
        </w:rPr>
        <w:t>the totality of the circumstances</w:t>
      </w:r>
      <w:r w:rsidRPr="004B2EBD" w:rsidR="001C2746">
        <w:rPr>
          <w:sz w:val="22"/>
          <w:szCs w:val="22"/>
        </w:rPr>
        <w:t xml:space="preserve"> in the record before us and for the reasons stated above</w:t>
      </w:r>
      <w:r w:rsidRPr="004B2EBD" w:rsidR="007C535E">
        <w:rPr>
          <w:sz w:val="22"/>
          <w:szCs w:val="22"/>
        </w:rPr>
        <w:t xml:space="preserve">, </w:t>
      </w:r>
      <w:r w:rsidRPr="004B2EBD" w:rsidR="004248FA">
        <w:rPr>
          <w:sz w:val="22"/>
          <w:szCs w:val="22"/>
        </w:rPr>
        <w:t xml:space="preserve">we </w:t>
      </w:r>
      <w:r w:rsidRPr="004B2EBD" w:rsidR="00CB11B4">
        <w:rPr>
          <w:sz w:val="22"/>
          <w:szCs w:val="22"/>
        </w:rPr>
        <w:t xml:space="preserve">hereby </w:t>
      </w:r>
      <w:r w:rsidRPr="004B2EBD" w:rsidR="004248FA">
        <w:rPr>
          <w:sz w:val="22"/>
          <w:szCs w:val="22"/>
        </w:rPr>
        <w:t xml:space="preserve">waive </w:t>
      </w:r>
      <w:r w:rsidR="008714B3">
        <w:rPr>
          <w:sz w:val="22"/>
          <w:szCs w:val="22"/>
        </w:rPr>
        <w:t>s</w:t>
      </w:r>
      <w:r w:rsidRPr="004B2EBD" w:rsidR="004248FA">
        <w:rPr>
          <w:sz w:val="22"/>
          <w:szCs w:val="22"/>
        </w:rPr>
        <w:t xml:space="preserve">ection 80.215(i)(1) and (2) of the Commission’s rules </w:t>
      </w:r>
      <w:r w:rsidRPr="004B2EBD" w:rsidR="0053083F">
        <w:rPr>
          <w:sz w:val="22"/>
          <w:szCs w:val="22"/>
        </w:rPr>
        <w:t>to the extent necessary, and aut</w:t>
      </w:r>
      <w:r w:rsidRPr="004B2EBD" w:rsidR="00CB11B4">
        <w:rPr>
          <w:sz w:val="22"/>
          <w:szCs w:val="22"/>
        </w:rPr>
        <w:t xml:space="preserve">horize </w:t>
      </w:r>
      <w:r w:rsidRPr="004B2EBD" w:rsidR="0053083F">
        <w:rPr>
          <w:sz w:val="22"/>
          <w:szCs w:val="22"/>
        </w:rPr>
        <w:t xml:space="preserve">SCRRA </w:t>
      </w:r>
      <w:r w:rsidRPr="004B2EBD" w:rsidR="001C2746">
        <w:rPr>
          <w:sz w:val="22"/>
          <w:szCs w:val="22"/>
        </w:rPr>
        <w:t xml:space="preserve">and its tenant railroads </w:t>
      </w:r>
      <w:r w:rsidRPr="004B2EBD" w:rsidR="00912B7C">
        <w:rPr>
          <w:sz w:val="22"/>
          <w:szCs w:val="22"/>
        </w:rPr>
        <w:t xml:space="preserve">to operate </w:t>
      </w:r>
      <w:r w:rsidRPr="004B2EBD" w:rsidR="001C2746">
        <w:rPr>
          <w:sz w:val="22"/>
          <w:szCs w:val="22"/>
        </w:rPr>
        <w:t xml:space="preserve">PTC </w:t>
      </w:r>
      <w:r w:rsidRPr="004B2EBD" w:rsidR="004248FA">
        <w:rPr>
          <w:sz w:val="22"/>
          <w:szCs w:val="22"/>
        </w:rPr>
        <w:t>locomotive</w:t>
      </w:r>
      <w:r w:rsidRPr="004B2EBD" w:rsidR="00912B7C">
        <w:rPr>
          <w:sz w:val="22"/>
          <w:szCs w:val="22"/>
        </w:rPr>
        <w:t xml:space="preserve"> radios at</w:t>
      </w:r>
      <w:r w:rsidRPr="004B2EBD" w:rsidR="004248FA">
        <w:rPr>
          <w:sz w:val="22"/>
          <w:szCs w:val="22"/>
        </w:rPr>
        <w:t xml:space="preserve"> 50 watts transmitter power output</w:t>
      </w:r>
      <w:r w:rsidRPr="004B2EBD" w:rsidR="001C2746">
        <w:rPr>
          <w:sz w:val="22"/>
          <w:szCs w:val="22"/>
        </w:rPr>
        <w:t xml:space="preserve"> under Call Sign WQYR421</w:t>
      </w:r>
      <w:r w:rsidRPr="004B2EBD" w:rsidR="00912B7C">
        <w:rPr>
          <w:sz w:val="22"/>
          <w:szCs w:val="22"/>
        </w:rPr>
        <w:t>.</w:t>
      </w:r>
    </w:p>
    <w:p w:rsidR="002966BF" w:rsidRPr="004B2EBD" w:rsidP="004B2EBD" w14:paraId="3F97BC21" w14:textId="77777777">
      <w:pPr>
        <w:ind w:firstLine="720"/>
        <w:rPr>
          <w:sz w:val="22"/>
          <w:szCs w:val="22"/>
        </w:rPr>
      </w:pPr>
    </w:p>
    <w:p w:rsidR="00D13D6F" w:rsidRPr="004B2EBD" w:rsidP="004B2EBD" w14:paraId="3688BAAB" w14:textId="5C485039">
      <w:pPr>
        <w:ind w:firstLine="720"/>
        <w:rPr>
          <w:sz w:val="22"/>
          <w:szCs w:val="22"/>
        </w:rPr>
      </w:pPr>
      <w:r w:rsidRPr="004B2EBD">
        <w:rPr>
          <w:i/>
          <w:iCs/>
          <w:sz w:val="22"/>
          <w:szCs w:val="22"/>
        </w:rPr>
        <w:t>Mobile Radio Effective Radiated Power Limit</w:t>
      </w:r>
      <w:r w:rsidRPr="004B2EBD" w:rsidR="00EE0C4B">
        <w:rPr>
          <w:i/>
          <w:iCs/>
          <w:sz w:val="22"/>
          <w:szCs w:val="22"/>
        </w:rPr>
        <w:t>s</w:t>
      </w:r>
      <w:r w:rsidRPr="004B2EBD">
        <w:rPr>
          <w:i/>
          <w:iCs/>
          <w:sz w:val="22"/>
          <w:szCs w:val="22"/>
        </w:rPr>
        <w:t>.</w:t>
      </w:r>
      <w:r w:rsidRPr="004B2EBD">
        <w:rPr>
          <w:sz w:val="22"/>
          <w:szCs w:val="22"/>
        </w:rPr>
        <w:t xml:space="preserve">  </w:t>
      </w:r>
      <w:r w:rsidRPr="004B2EBD" w:rsidR="00C76675">
        <w:rPr>
          <w:sz w:val="22"/>
          <w:szCs w:val="22"/>
        </w:rPr>
        <w:t xml:space="preserve">SCRRA </w:t>
      </w:r>
      <w:r w:rsidRPr="004B2EBD" w:rsidR="00747290">
        <w:rPr>
          <w:sz w:val="22"/>
          <w:szCs w:val="22"/>
        </w:rPr>
        <w:t xml:space="preserve">also requests </w:t>
      </w:r>
      <w:r w:rsidRPr="004B2EBD" w:rsidR="00C76675">
        <w:rPr>
          <w:sz w:val="22"/>
          <w:szCs w:val="22"/>
        </w:rPr>
        <w:t>waive</w:t>
      </w:r>
      <w:r w:rsidRPr="004B2EBD" w:rsidR="001C2746">
        <w:rPr>
          <w:sz w:val="22"/>
          <w:szCs w:val="22"/>
        </w:rPr>
        <w:t>r</w:t>
      </w:r>
      <w:r w:rsidRPr="004B2EBD" w:rsidR="00C76675">
        <w:rPr>
          <w:sz w:val="22"/>
          <w:szCs w:val="22"/>
        </w:rPr>
        <w:t xml:space="preserve"> </w:t>
      </w:r>
      <w:r w:rsidRPr="004B2EBD" w:rsidR="001C2AB4">
        <w:rPr>
          <w:sz w:val="22"/>
          <w:szCs w:val="22"/>
        </w:rPr>
        <w:t xml:space="preserve">of </w:t>
      </w:r>
      <w:r w:rsidR="005F0FA2">
        <w:rPr>
          <w:sz w:val="22"/>
          <w:szCs w:val="22"/>
        </w:rPr>
        <w:t>s</w:t>
      </w:r>
      <w:r w:rsidRPr="004B2EBD" w:rsidR="001C2AB4">
        <w:rPr>
          <w:sz w:val="22"/>
          <w:szCs w:val="22"/>
        </w:rPr>
        <w:t xml:space="preserve">ection 80.215(i)’s 18-watt </w:t>
      </w:r>
      <w:r w:rsidRPr="004B2EBD" w:rsidR="00846ABE">
        <w:rPr>
          <w:sz w:val="22"/>
          <w:szCs w:val="22"/>
        </w:rPr>
        <w:t xml:space="preserve">mobile radio </w:t>
      </w:r>
      <w:r w:rsidRPr="004B2EBD" w:rsidR="001C2AB4">
        <w:rPr>
          <w:sz w:val="22"/>
          <w:szCs w:val="22"/>
        </w:rPr>
        <w:t xml:space="preserve">ERP limit, to the extent necessary, </w:t>
      </w:r>
      <w:r w:rsidRPr="004B2EBD" w:rsidR="00C76675">
        <w:rPr>
          <w:sz w:val="22"/>
          <w:szCs w:val="22"/>
        </w:rPr>
        <w:t xml:space="preserve">so that it </w:t>
      </w:r>
      <w:r w:rsidRPr="004B2EBD" w:rsidR="0021624F">
        <w:rPr>
          <w:sz w:val="22"/>
          <w:szCs w:val="22"/>
        </w:rPr>
        <w:t>(</w:t>
      </w:r>
      <w:r w:rsidRPr="004B2EBD" w:rsidR="001C2AB4">
        <w:rPr>
          <w:sz w:val="22"/>
          <w:szCs w:val="22"/>
        </w:rPr>
        <w:t>and its tenant railroad</w:t>
      </w:r>
      <w:r w:rsidR="007457CF">
        <w:rPr>
          <w:sz w:val="22"/>
          <w:szCs w:val="22"/>
        </w:rPr>
        <w:t xml:space="preserve"> partners operating </w:t>
      </w:r>
      <w:r w:rsidR="00403F6B">
        <w:rPr>
          <w:sz w:val="22"/>
          <w:szCs w:val="22"/>
        </w:rPr>
        <w:t xml:space="preserve">pursuant to </w:t>
      </w:r>
      <w:r w:rsidR="007457CF">
        <w:rPr>
          <w:sz w:val="22"/>
          <w:szCs w:val="22"/>
        </w:rPr>
        <w:t>spectrum leasing arrangements</w:t>
      </w:r>
      <w:r w:rsidRPr="004B2EBD" w:rsidR="0021624F">
        <w:rPr>
          <w:sz w:val="22"/>
          <w:szCs w:val="22"/>
        </w:rPr>
        <w:t>)</w:t>
      </w:r>
      <w:r>
        <w:rPr>
          <w:rStyle w:val="FootnoteReference"/>
          <w:sz w:val="22"/>
          <w:szCs w:val="22"/>
        </w:rPr>
        <w:footnoteReference w:id="70"/>
      </w:r>
      <w:r w:rsidRPr="004B2EBD" w:rsidR="001C2AB4">
        <w:rPr>
          <w:sz w:val="22"/>
          <w:szCs w:val="22"/>
        </w:rPr>
        <w:t xml:space="preserve"> </w:t>
      </w:r>
      <w:r w:rsidRPr="004B2EBD" w:rsidR="0036206A">
        <w:rPr>
          <w:sz w:val="22"/>
          <w:szCs w:val="22"/>
        </w:rPr>
        <w:t>can</w:t>
      </w:r>
      <w:r w:rsidRPr="004B2EBD" w:rsidR="00C76675">
        <w:rPr>
          <w:sz w:val="22"/>
          <w:szCs w:val="22"/>
        </w:rPr>
        <w:t xml:space="preserve"> operate </w:t>
      </w:r>
      <w:r w:rsidRPr="004B2EBD" w:rsidR="0021624F">
        <w:rPr>
          <w:sz w:val="22"/>
          <w:szCs w:val="22"/>
        </w:rPr>
        <w:t xml:space="preserve">PTC </w:t>
      </w:r>
      <w:r w:rsidRPr="004B2EBD" w:rsidR="00E30B3B">
        <w:rPr>
          <w:sz w:val="22"/>
          <w:szCs w:val="22"/>
        </w:rPr>
        <w:t xml:space="preserve">locomotive </w:t>
      </w:r>
      <w:r w:rsidRPr="004B2EBD" w:rsidR="00C76675">
        <w:rPr>
          <w:sz w:val="22"/>
          <w:szCs w:val="22"/>
        </w:rPr>
        <w:t xml:space="preserve">radios </w:t>
      </w:r>
      <w:r w:rsidRPr="004B2EBD" w:rsidR="00865E79">
        <w:rPr>
          <w:sz w:val="22"/>
          <w:szCs w:val="22"/>
        </w:rPr>
        <w:t xml:space="preserve">at up to </w:t>
      </w:r>
      <w:r w:rsidRPr="004B2EBD" w:rsidR="006C2A3F">
        <w:rPr>
          <w:sz w:val="22"/>
          <w:szCs w:val="22"/>
        </w:rPr>
        <w:t>39</w:t>
      </w:r>
      <w:r w:rsidRPr="004B2EBD" w:rsidR="00865E79">
        <w:rPr>
          <w:sz w:val="22"/>
          <w:szCs w:val="22"/>
        </w:rPr>
        <w:t xml:space="preserve"> watts ERP</w:t>
      </w:r>
      <w:r w:rsidRPr="004B2EBD" w:rsidR="00E95896">
        <w:rPr>
          <w:sz w:val="22"/>
          <w:szCs w:val="22"/>
        </w:rPr>
        <w:t>.</w:t>
      </w:r>
      <w:r>
        <w:rPr>
          <w:rStyle w:val="FootnoteReference"/>
          <w:sz w:val="22"/>
          <w:szCs w:val="22"/>
        </w:rPr>
        <w:footnoteReference w:id="71"/>
      </w:r>
      <w:r w:rsidRPr="004B2EBD" w:rsidR="001C2AB4">
        <w:rPr>
          <w:sz w:val="22"/>
          <w:szCs w:val="22"/>
        </w:rPr>
        <w:t xml:space="preserve">  </w:t>
      </w:r>
      <w:r w:rsidRPr="004B2EBD" w:rsidR="00F67084">
        <w:rPr>
          <w:sz w:val="22"/>
          <w:szCs w:val="22"/>
        </w:rPr>
        <w:t>As explained above, a</w:t>
      </w:r>
      <w:r w:rsidRPr="004B2EBD" w:rsidR="001C2AB4">
        <w:rPr>
          <w:sz w:val="22"/>
          <w:szCs w:val="22"/>
        </w:rPr>
        <w:t xml:space="preserve">lthough </w:t>
      </w:r>
      <w:r w:rsidR="005F0FA2">
        <w:rPr>
          <w:sz w:val="22"/>
          <w:szCs w:val="22"/>
        </w:rPr>
        <w:t>s</w:t>
      </w:r>
      <w:r w:rsidRPr="004B2EBD" w:rsidR="00AD173B">
        <w:rPr>
          <w:sz w:val="22"/>
          <w:szCs w:val="22"/>
        </w:rPr>
        <w:t xml:space="preserve">ection 80.215(i) </w:t>
      </w:r>
      <w:r w:rsidRPr="004B2EBD" w:rsidR="003F4CC0">
        <w:rPr>
          <w:sz w:val="22"/>
          <w:szCs w:val="22"/>
        </w:rPr>
        <w:t xml:space="preserve">generally </w:t>
      </w:r>
      <w:r w:rsidRPr="004B2EBD" w:rsidR="005624E6">
        <w:rPr>
          <w:sz w:val="22"/>
          <w:szCs w:val="22"/>
        </w:rPr>
        <w:t xml:space="preserve">limits </w:t>
      </w:r>
      <w:r w:rsidRPr="004B2EBD" w:rsidR="00AD173B">
        <w:rPr>
          <w:sz w:val="22"/>
          <w:szCs w:val="22"/>
        </w:rPr>
        <w:t xml:space="preserve">mobile radio ERP </w:t>
      </w:r>
      <w:r w:rsidRPr="004B2EBD" w:rsidR="005624E6">
        <w:rPr>
          <w:sz w:val="22"/>
          <w:szCs w:val="22"/>
        </w:rPr>
        <w:t xml:space="preserve">to </w:t>
      </w:r>
      <w:r w:rsidRPr="004B2EBD" w:rsidR="00AD173B">
        <w:rPr>
          <w:sz w:val="22"/>
          <w:szCs w:val="22"/>
        </w:rPr>
        <w:t>18 watts</w:t>
      </w:r>
      <w:r w:rsidRPr="004B2EBD" w:rsidR="001C2AB4">
        <w:rPr>
          <w:sz w:val="22"/>
          <w:szCs w:val="22"/>
        </w:rPr>
        <w:t>,</w:t>
      </w:r>
      <w:r>
        <w:rPr>
          <w:rStyle w:val="FootnoteReference"/>
          <w:sz w:val="22"/>
          <w:szCs w:val="22"/>
        </w:rPr>
        <w:footnoteReference w:id="72"/>
      </w:r>
      <w:r w:rsidRPr="004B2EBD" w:rsidR="006172B0">
        <w:rPr>
          <w:sz w:val="22"/>
          <w:szCs w:val="22"/>
        </w:rPr>
        <w:t xml:space="preserve"> </w:t>
      </w:r>
      <w:r w:rsidR="005F0FA2">
        <w:rPr>
          <w:sz w:val="22"/>
          <w:szCs w:val="22"/>
        </w:rPr>
        <w:t>s</w:t>
      </w:r>
      <w:r w:rsidRPr="004B2EBD" w:rsidR="00C76675">
        <w:rPr>
          <w:sz w:val="22"/>
          <w:szCs w:val="22"/>
        </w:rPr>
        <w:t xml:space="preserve">ection 80.215(j) </w:t>
      </w:r>
      <w:r w:rsidRPr="004B2EBD" w:rsidR="0033084A">
        <w:rPr>
          <w:sz w:val="22"/>
          <w:szCs w:val="22"/>
        </w:rPr>
        <w:t xml:space="preserve">exempts mobile </w:t>
      </w:r>
      <w:r w:rsidRPr="004B2EBD" w:rsidR="00731571">
        <w:rPr>
          <w:sz w:val="22"/>
          <w:szCs w:val="22"/>
        </w:rPr>
        <w:t xml:space="preserve">radio operations </w:t>
      </w:r>
      <w:r w:rsidRPr="004B2EBD" w:rsidR="0033084A">
        <w:rPr>
          <w:sz w:val="22"/>
          <w:szCs w:val="22"/>
        </w:rPr>
        <w:t xml:space="preserve">from this </w:t>
      </w:r>
      <w:r w:rsidRPr="004B2EBD" w:rsidR="00E064E8">
        <w:rPr>
          <w:sz w:val="22"/>
          <w:szCs w:val="22"/>
        </w:rPr>
        <w:t xml:space="preserve">ERP </w:t>
      </w:r>
      <w:r w:rsidRPr="004B2EBD" w:rsidR="0033084A">
        <w:rPr>
          <w:sz w:val="22"/>
          <w:szCs w:val="22"/>
        </w:rPr>
        <w:t>l</w:t>
      </w:r>
      <w:r w:rsidRPr="004B2EBD" w:rsidR="00731571">
        <w:rPr>
          <w:sz w:val="22"/>
          <w:szCs w:val="22"/>
        </w:rPr>
        <w:t>i</w:t>
      </w:r>
      <w:r w:rsidRPr="004B2EBD" w:rsidR="0033084A">
        <w:rPr>
          <w:sz w:val="22"/>
          <w:szCs w:val="22"/>
        </w:rPr>
        <w:t>mit</w:t>
      </w:r>
      <w:r w:rsidRPr="004B2EBD" w:rsidR="00E064E8">
        <w:rPr>
          <w:sz w:val="22"/>
          <w:szCs w:val="22"/>
        </w:rPr>
        <w:t xml:space="preserve"> </w:t>
      </w:r>
      <w:r w:rsidRPr="004B2EBD" w:rsidR="00F67084">
        <w:rPr>
          <w:sz w:val="22"/>
          <w:szCs w:val="22"/>
        </w:rPr>
        <w:t xml:space="preserve">provided </w:t>
      </w:r>
      <w:r w:rsidRPr="004B2EBD" w:rsidR="00823221">
        <w:rPr>
          <w:sz w:val="22"/>
          <w:szCs w:val="22"/>
        </w:rPr>
        <w:t xml:space="preserve">the two </w:t>
      </w:r>
      <w:r w:rsidRPr="004B2EBD" w:rsidR="007D7576">
        <w:rPr>
          <w:sz w:val="22"/>
          <w:szCs w:val="22"/>
        </w:rPr>
        <w:t>conditions</w:t>
      </w:r>
      <w:r w:rsidRPr="004B2EBD" w:rsidR="00823221">
        <w:rPr>
          <w:sz w:val="22"/>
          <w:szCs w:val="22"/>
        </w:rPr>
        <w:t xml:space="preserve"> for excee</w:t>
      </w:r>
      <w:r w:rsidRPr="004B2EBD" w:rsidR="007D7576">
        <w:rPr>
          <w:sz w:val="22"/>
          <w:szCs w:val="22"/>
        </w:rPr>
        <w:t>d</w:t>
      </w:r>
      <w:r w:rsidRPr="004B2EBD" w:rsidR="00823221">
        <w:rPr>
          <w:sz w:val="22"/>
          <w:szCs w:val="22"/>
        </w:rPr>
        <w:t xml:space="preserve">ing </w:t>
      </w:r>
      <w:r w:rsidR="005F0FA2">
        <w:rPr>
          <w:sz w:val="22"/>
          <w:szCs w:val="22"/>
        </w:rPr>
        <w:t>s</w:t>
      </w:r>
      <w:r w:rsidRPr="004B2EBD" w:rsidR="007B647D">
        <w:rPr>
          <w:sz w:val="22"/>
          <w:szCs w:val="22"/>
        </w:rPr>
        <w:t>ection 80.215(</w:t>
      </w:r>
      <w:r w:rsidRPr="004B2EBD" w:rsidR="009A43C8">
        <w:rPr>
          <w:sz w:val="22"/>
          <w:szCs w:val="22"/>
        </w:rPr>
        <w:t>i</w:t>
      </w:r>
      <w:r w:rsidRPr="004B2EBD" w:rsidR="007B647D">
        <w:rPr>
          <w:sz w:val="22"/>
          <w:szCs w:val="22"/>
        </w:rPr>
        <w:t>)</w:t>
      </w:r>
      <w:r w:rsidRPr="004B2EBD" w:rsidR="00D75D41">
        <w:rPr>
          <w:sz w:val="22"/>
          <w:szCs w:val="22"/>
        </w:rPr>
        <w:t>’</w:t>
      </w:r>
      <w:r w:rsidRPr="004B2EBD" w:rsidR="007D7576">
        <w:rPr>
          <w:sz w:val="22"/>
          <w:szCs w:val="22"/>
        </w:rPr>
        <w:t xml:space="preserve">s 25-watt TPO limit are met </w:t>
      </w:r>
      <w:bookmarkStart w:id="11" w:name="_Hlk52878344"/>
      <w:r w:rsidRPr="004B2EBD" w:rsidR="00BB0AF6">
        <w:rPr>
          <w:sz w:val="22"/>
          <w:szCs w:val="22"/>
        </w:rPr>
        <w:t>“when operating in sp</w:t>
      </w:r>
      <w:r w:rsidRPr="004B2EBD" w:rsidR="005F1B8E">
        <w:rPr>
          <w:sz w:val="22"/>
          <w:szCs w:val="22"/>
        </w:rPr>
        <w:t>e</w:t>
      </w:r>
      <w:r w:rsidRPr="004B2EBD" w:rsidR="00BB0AF6">
        <w:rPr>
          <w:sz w:val="22"/>
          <w:szCs w:val="22"/>
        </w:rPr>
        <w:t>cif</w:t>
      </w:r>
      <w:r w:rsidRPr="004B2EBD" w:rsidR="005F1B8E">
        <w:rPr>
          <w:sz w:val="22"/>
          <w:szCs w:val="22"/>
        </w:rPr>
        <w:t>ic</w:t>
      </w:r>
      <w:r w:rsidRPr="004B2EBD" w:rsidR="00BB0AF6">
        <w:rPr>
          <w:sz w:val="22"/>
          <w:szCs w:val="22"/>
        </w:rPr>
        <w:t xml:space="preserve"> geo</w:t>
      </w:r>
      <w:r w:rsidRPr="004B2EBD" w:rsidR="005F1B8E">
        <w:rPr>
          <w:sz w:val="22"/>
          <w:szCs w:val="22"/>
        </w:rPr>
        <w:t xml:space="preserve">graphical </w:t>
      </w:r>
      <w:r w:rsidRPr="004B2EBD" w:rsidR="00BB0AF6">
        <w:rPr>
          <w:sz w:val="22"/>
          <w:szCs w:val="22"/>
        </w:rPr>
        <w:t xml:space="preserve">areas </w:t>
      </w:r>
      <w:r w:rsidRPr="004B2EBD" w:rsidR="00991F1C">
        <w:rPr>
          <w:sz w:val="22"/>
          <w:szCs w:val="22"/>
        </w:rPr>
        <w:t>identified</w:t>
      </w:r>
      <w:r w:rsidRPr="004B2EBD" w:rsidR="005F1B8E">
        <w:rPr>
          <w:sz w:val="22"/>
          <w:szCs w:val="22"/>
        </w:rPr>
        <w:t xml:space="preserve"> </w:t>
      </w:r>
      <w:r w:rsidRPr="004B2EBD" w:rsidR="00BB0AF6">
        <w:rPr>
          <w:sz w:val="22"/>
          <w:szCs w:val="22"/>
        </w:rPr>
        <w:t>in a pl</w:t>
      </w:r>
      <w:r w:rsidRPr="004B2EBD" w:rsidR="00A27FF2">
        <w:rPr>
          <w:sz w:val="22"/>
          <w:szCs w:val="22"/>
        </w:rPr>
        <w:t>a</w:t>
      </w:r>
      <w:r w:rsidRPr="004B2EBD" w:rsidR="00BB0AF6">
        <w:rPr>
          <w:sz w:val="22"/>
          <w:szCs w:val="22"/>
        </w:rPr>
        <w:t>n fo</w:t>
      </w:r>
      <w:r w:rsidRPr="004B2EBD" w:rsidR="00A27FF2">
        <w:rPr>
          <w:sz w:val="22"/>
          <w:szCs w:val="22"/>
        </w:rPr>
        <w:t>r</w:t>
      </w:r>
      <w:r w:rsidRPr="004B2EBD" w:rsidR="00BB0AF6">
        <w:rPr>
          <w:sz w:val="22"/>
          <w:szCs w:val="22"/>
        </w:rPr>
        <w:t xml:space="preserve"> th</w:t>
      </w:r>
      <w:r w:rsidRPr="004B2EBD" w:rsidR="00A27FF2">
        <w:rPr>
          <w:sz w:val="22"/>
          <w:szCs w:val="22"/>
        </w:rPr>
        <w:t>e</w:t>
      </w:r>
      <w:r w:rsidRPr="004B2EBD" w:rsidR="00BB0AF6">
        <w:rPr>
          <w:sz w:val="22"/>
          <w:szCs w:val="22"/>
        </w:rPr>
        <w:t xml:space="preserve"> u</w:t>
      </w:r>
      <w:r w:rsidRPr="004B2EBD" w:rsidR="00A27FF2">
        <w:rPr>
          <w:sz w:val="22"/>
          <w:szCs w:val="22"/>
        </w:rPr>
        <w:t>s</w:t>
      </w:r>
      <w:r w:rsidRPr="004B2EBD" w:rsidR="00BB0AF6">
        <w:rPr>
          <w:sz w:val="22"/>
          <w:szCs w:val="22"/>
        </w:rPr>
        <w:t>e of higher power.”</w:t>
      </w:r>
      <w:r>
        <w:rPr>
          <w:rStyle w:val="FootnoteReference"/>
          <w:sz w:val="22"/>
          <w:szCs w:val="22"/>
        </w:rPr>
        <w:footnoteReference w:id="73"/>
      </w:r>
    </w:p>
    <w:p w:rsidR="00D13D6F" w:rsidRPr="004B2EBD" w:rsidP="004B2EBD" w14:paraId="35D3994B" w14:textId="77777777">
      <w:pPr>
        <w:ind w:firstLine="720"/>
        <w:rPr>
          <w:sz w:val="22"/>
          <w:szCs w:val="22"/>
        </w:rPr>
      </w:pPr>
    </w:p>
    <w:p w:rsidR="000212F8" w:rsidRPr="004B2EBD" w:rsidP="004B2EBD" w14:paraId="127D8829" w14:textId="426730B5">
      <w:pPr>
        <w:ind w:firstLine="720"/>
        <w:rPr>
          <w:sz w:val="22"/>
          <w:szCs w:val="22"/>
        </w:rPr>
      </w:pPr>
      <w:r w:rsidRPr="004B2EBD">
        <w:rPr>
          <w:sz w:val="22"/>
          <w:szCs w:val="22"/>
        </w:rPr>
        <w:t xml:space="preserve">Pursuant to </w:t>
      </w:r>
      <w:r w:rsidR="005F0FA2">
        <w:rPr>
          <w:sz w:val="22"/>
          <w:szCs w:val="22"/>
        </w:rPr>
        <w:t>s</w:t>
      </w:r>
      <w:r w:rsidRPr="004B2EBD">
        <w:rPr>
          <w:sz w:val="22"/>
          <w:szCs w:val="22"/>
        </w:rPr>
        <w:t xml:space="preserve">ection 80.215(j), </w:t>
      </w:r>
      <w:r w:rsidRPr="004B2EBD" w:rsidR="001C2746">
        <w:rPr>
          <w:sz w:val="22"/>
          <w:szCs w:val="22"/>
        </w:rPr>
        <w:t xml:space="preserve">SCRRA </w:t>
      </w:r>
      <w:bookmarkEnd w:id="11"/>
      <w:r w:rsidRPr="004B2EBD" w:rsidR="00900730">
        <w:rPr>
          <w:sz w:val="22"/>
          <w:szCs w:val="22"/>
        </w:rPr>
        <w:t xml:space="preserve">has submitted a plan </w:t>
      </w:r>
      <w:r w:rsidRPr="004B2EBD" w:rsidR="00955118">
        <w:rPr>
          <w:sz w:val="22"/>
          <w:szCs w:val="22"/>
        </w:rPr>
        <w:t xml:space="preserve">to deploy </w:t>
      </w:r>
      <w:r w:rsidRPr="004B2EBD">
        <w:rPr>
          <w:sz w:val="22"/>
          <w:szCs w:val="22"/>
        </w:rPr>
        <w:t>mobile radio</w:t>
      </w:r>
      <w:r w:rsidRPr="004B2EBD" w:rsidR="00955118">
        <w:rPr>
          <w:sz w:val="22"/>
          <w:szCs w:val="22"/>
        </w:rPr>
        <w:t xml:space="preserve">s with an </w:t>
      </w:r>
      <w:r w:rsidRPr="004B2EBD">
        <w:rPr>
          <w:sz w:val="22"/>
          <w:szCs w:val="22"/>
        </w:rPr>
        <w:t xml:space="preserve">ERP </w:t>
      </w:r>
      <w:r w:rsidRPr="004B2EBD" w:rsidR="008E50AA">
        <w:rPr>
          <w:sz w:val="22"/>
          <w:szCs w:val="22"/>
        </w:rPr>
        <w:t xml:space="preserve">of </w:t>
      </w:r>
      <w:r w:rsidRPr="004B2EBD">
        <w:rPr>
          <w:sz w:val="22"/>
          <w:szCs w:val="22"/>
        </w:rPr>
        <w:t xml:space="preserve">up to 39 watts in </w:t>
      </w:r>
      <w:r w:rsidRPr="004B2EBD" w:rsidR="00204D5D">
        <w:rPr>
          <w:sz w:val="22"/>
          <w:szCs w:val="22"/>
        </w:rPr>
        <w:t>specific geographical areas</w:t>
      </w:r>
      <w:r w:rsidRPr="004B2EBD" w:rsidR="00BC760E">
        <w:rPr>
          <w:sz w:val="22"/>
          <w:szCs w:val="22"/>
        </w:rPr>
        <w:t>.</w:t>
      </w:r>
      <w:r>
        <w:rPr>
          <w:rStyle w:val="FootnoteReference"/>
          <w:sz w:val="22"/>
          <w:szCs w:val="22"/>
        </w:rPr>
        <w:footnoteReference w:id="74"/>
      </w:r>
      <w:r w:rsidRPr="004B2EBD" w:rsidR="00CB6655">
        <w:rPr>
          <w:rStyle w:val="FootnoteReference"/>
          <w:sz w:val="22"/>
          <w:szCs w:val="22"/>
        </w:rPr>
        <w:t xml:space="preserve"> </w:t>
      </w:r>
      <w:r w:rsidRPr="004B2EBD" w:rsidR="00BC760E">
        <w:rPr>
          <w:sz w:val="22"/>
          <w:szCs w:val="22"/>
        </w:rPr>
        <w:t xml:space="preserve"> </w:t>
      </w:r>
      <w:bookmarkStart w:id="12" w:name="_Hlk34135347"/>
      <w:r w:rsidRPr="004B2EBD">
        <w:rPr>
          <w:sz w:val="22"/>
          <w:szCs w:val="22"/>
        </w:rPr>
        <w:t>The plan</w:t>
      </w:r>
      <w:r w:rsidRPr="004B2EBD" w:rsidR="008E50AA">
        <w:rPr>
          <w:sz w:val="22"/>
          <w:szCs w:val="22"/>
        </w:rPr>
        <w:t xml:space="preserve"> </w:t>
      </w:r>
      <w:r w:rsidRPr="004B2EBD" w:rsidR="00130A6B">
        <w:rPr>
          <w:sz w:val="22"/>
          <w:szCs w:val="22"/>
        </w:rPr>
        <w:t>include</w:t>
      </w:r>
      <w:r w:rsidRPr="004B2EBD" w:rsidR="008E50AA">
        <w:rPr>
          <w:sz w:val="22"/>
          <w:szCs w:val="22"/>
        </w:rPr>
        <w:t>s</w:t>
      </w:r>
      <w:r w:rsidR="009863B5">
        <w:rPr>
          <w:sz w:val="22"/>
          <w:szCs w:val="22"/>
        </w:rPr>
        <w:t>:</w:t>
      </w:r>
      <w:r w:rsidRPr="004B2EBD" w:rsidR="004B7377">
        <w:rPr>
          <w:sz w:val="22"/>
          <w:szCs w:val="22"/>
        </w:rPr>
        <w:t xml:space="preserve"> (1)</w:t>
      </w:r>
      <w:r w:rsidRPr="004B2EBD" w:rsidR="00130A6B">
        <w:rPr>
          <w:sz w:val="22"/>
          <w:szCs w:val="22"/>
        </w:rPr>
        <w:t xml:space="preserve"> a map of the </w:t>
      </w:r>
      <w:r w:rsidRPr="004B2EBD" w:rsidR="00840B92">
        <w:rPr>
          <w:sz w:val="22"/>
          <w:szCs w:val="22"/>
        </w:rPr>
        <w:t xml:space="preserve">specific </w:t>
      </w:r>
      <w:r w:rsidRPr="004B2EBD" w:rsidR="00130A6B">
        <w:rPr>
          <w:sz w:val="22"/>
          <w:szCs w:val="22"/>
        </w:rPr>
        <w:t>r</w:t>
      </w:r>
      <w:r w:rsidRPr="004B2EBD" w:rsidR="00C175AD">
        <w:rPr>
          <w:sz w:val="22"/>
          <w:szCs w:val="22"/>
        </w:rPr>
        <w:t>a</w:t>
      </w:r>
      <w:r w:rsidRPr="004B2EBD" w:rsidR="00130A6B">
        <w:rPr>
          <w:sz w:val="22"/>
          <w:szCs w:val="22"/>
        </w:rPr>
        <w:t>il line</w:t>
      </w:r>
      <w:r w:rsidRPr="004B2EBD" w:rsidR="00C175AD">
        <w:rPr>
          <w:sz w:val="22"/>
          <w:szCs w:val="22"/>
        </w:rPr>
        <w:t>s</w:t>
      </w:r>
      <w:r w:rsidRPr="004B2EBD" w:rsidR="00130A6B">
        <w:rPr>
          <w:sz w:val="22"/>
          <w:szCs w:val="22"/>
        </w:rPr>
        <w:t xml:space="preserve"> and st</w:t>
      </w:r>
      <w:r w:rsidRPr="004B2EBD" w:rsidR="00C175AD">
        <w:rPr>
          <w:sz w:val="22"/>
          <w:szCs w:val="22"/>
        </w:rPr>
        <w:t>at</w:t>
      </w:r>
      <w:r w:rsidRPr="004B2EBD" w:rsidR="00130A6B">
        <w:rPr>
          <w:sz w:val="22"/>
          <w:szCs w:val="22"/>
        </w:rPr>
        <w:t>ion</w:t>
      </w:r>
      <w:r w:rsidRPr="004B2EBD" w:rsidR="00C175AD">
        <w:rPr>
          <w:sz w:val="22"/>
          <w:szCs w:val="22"/>
        </w:rPr>
        <w:t>s</w:t>
      </w:r>
      <w:r w:rsidRPr="004B2EBD" w:rsidR="00130A6B">
        <w:rPr>
          <w:sz w:val="22"/>
          <w:szCs w:val="22"/>
        </w:rPr>
        <w:t xml:space="preserve"> where PTC mo</w:t>
      </w:r>
      <w:r w:rsidRPr="004B2EBD" w:rsidR="00C175AD">
        <w:rPr>
          <w:sz w:val="22"/>
          <w:szCs w:val="22"/>
        </w:rPr>
        <w:t xml:space="preserve">bile </w:t>
      </w:r>
      <w:r w:rsidRPr="004B2EBD" w:rsidR="00130A6B">
        <w:rPr>
          <w:sz w:val="22"/>
          <w:szCs w:val="22"/>
        </w:rPr>
        <w:t>ra</w:t>
      </w:r>
      <w:r w:rsidRPr="004B2EBD" w:rsidR="00C175AD">
        <w:rPr>
          <w:sz w:val="22"/>
          <w:szCs w:val="22"/>
        </w:rPr>
        <w:t>d</w:t>
      </w:r>
      <w:r w:rsidRPr="004B2EBD" w:rsidR="00130A6B">
        <w:rPr>
          <w:sz w:val="22"/>
          <w:szCs w:val="22"/>
        </w:rPr>
        <w:t>ios will op</w:t>
      </w:r>
      <w:r w:rsidRPr="004B2EBD" w:rsidR="00C175AD">
        <w:rPr>
          <w:sz w:val="22"/>
          <w:szCs w:val="22"/>
        </w:rPr>
        <w:t>era</w:t>
      </w:r>
      <w:r w:rsidRPr="004B2EBD" w:rsidR="00130A6B">
        <w:rPr>
          <w:sz w:val="22"/>
          <w:szCs w:val="22"/>
        </w:rPr>
        <w:t>te</w:t>
      </w:r>
      <w:bookmarkEnd w:id="12"/>
      <w:r w:rsidR="009863B5">
        <w:rPr>
          <w:sz w:val="22"/>
          <w:szCs w:val="22"/>
        </w:rPr>
        <w:t>;</w:t>
      </w:r>
      <w:r>
        <w:rPr>
          <w:rStyle w:val="FootnoteReference"/>
          <w:sz w:val="22"/>
          <w:szCs w:val="22"/>
        </w:rPr>
        <w:footnoteReference w:id="75"/>
      </w:r>
      <w:r w:rsidRPr="004B2EBD" w:rsidR="00CB752D">
        <w:rPr>
          <w:sz w:val="22"/>
          <w:szCs w:val="22"/>
        </w:rPr>
        <w:t xml:space="preserve"> and</w:t>
      </w:r>
      <w:r w:rsidRPr="004B2EBD" w:rsidR="004B7377">
        <w:rPr>
          <w:sz w:val="22"/>
          <w:szCs w:val="22"/>
        </w:rPr>
        <w:t xml:space="preserve"> (2) </w:t>
      </w:r>
      <w:r w:rsidRPr="004B2EBD" w:rsidR="001E0AEF">
        <w:rPr>
          <w:sz w:val="22"/>
          <w:szCs w:val="22"/>
        </w:rPr>
        <w:t xml:space="preserve">showings regarding </w:t>
      </w:r>
      <w:r w:rsidRPr="004B2EBD" w:rsidR="000B6398">
        <w:rPr>
          <w:sz w:val="22"/>
          <w:szCs w:val="22"/>
        </w:rPr>
        <w:t xml:space="preserve">the </w:t>
      </w:r>
      <w:r w:rsidRPr="004B2EBD" w:rsidR="001E0AEF">
        <w:rPr>
          <w:sz w:val="22"/>
          <w:szCs w:val="22"/>
        </w:rPr>
        <w:t>number o</w:t>
      </w:r>
      <w:r w:rsidRPr="004B2EBD" w:rsidR="000B6398">
        <w:rPr>
          <w:sz w:val="22"/>
          <w:szCs w:val="22"/>
        </w:rPr>
        <w:t xml:space="preserve">f mobile radios </w:t>
      </w:r>
      <w:r w:rsidRPr="004B2EBD" w:rsidR="00445A27">
        <w:rPr>
          <w:sz w:val="22"/>
          <w:szCs w:val="22"/>
        </w:rPr>
        <w:t xml:space="preserve">expected to operate in </w:t>
      </w:r>
      <w:r w:rsidRPr="004B2EBD" w:rsidR="004C2B54">
        <w:rPr>
          <w:sz w:val="22"/>
          <w:szCs w:val="22"/>
        </w:rPr>
        <w:t xml:space="preserve">SCRRA territory and </w:t>
      </w:r>
      <w:r w:rsidRPr="004B2EBD" w:rsidR="00544F56">
        <w:rPr>
          <w:sz w:val="22"/>
          <w:szCs w:val="22"/>
        </w:rPr>
        <w:t xml:space="preserve">their </w:t>
      </w:r>
      <w:r w:rsidRPr="004B2EBD" w:rsidR="00445A27">
        <w:rPr>
          <w:sz w:val="22"/>
          <w:szCs w:val="22"/>
        </w:rPr>
        <w:t>peak ERP levels</w:t>
      </w:r>
      <w:r w:rsidRPr="004B2EBD" w:rsidR="00CB752D">
        <w:rPr>
          <w:sz w:val="22"/>
          <w:szCs w:val="22"/>
        </w:rPr>
        <w:t>.</w:t>
      </w:r>
      <w:r>
        <w:rPr>
          <w:rStyle w:val="FootnoteReference"/>
          <w:sz w:val="22"/>
          <w:szCs w:val="22"/>
        </w:rPr>
        <w:footnoteReference w:id="76"/>
      </w:r>
      <w:r w:rsidRPr="004B2EBD" w:rsidR="00CB752D">
        <w:rPr>
          <w:sz w:val="22"/>
          <w:szCs w:val="22"/>
        </w:rPr>
        <w:t xml:space="preserve">  SCRRA </w:t>
      </w:r>
      <w:r w:rsidRPr="004B2EBD" w:rsidR="008F2E5C">
        <w:rPr>
          <w:sz w:val="22"/>
          <w:szCs w:val="22"/>
        </w:rPr>
        <w:t xml:space="preserve">explains </w:t>
      </w:r>
      <w:r w:rsidRPr="004B2EBD" w:rsidR="00247FE2">
        <w:rPr>
          <w:sz w:val="22"/>
          <w:szCs w:val="22"/>
        </w:rPr>
        <w:t xml:space="preserve">that mobile </w:t>
      </w:r>
      <w:r w:rsidRPr="004B2EBD" w:rsidR="008F2E5C">
        <w:rPr>
          <w:sz w:val="22"/>
          <w:szCs w:val="22"/>
        </w:rPr>
        <w:t xml:space="preserve">radio </w:t>
      </w:r>
      <w:r w:rsidRPr="004B2EBD" w:rsidR="006A072A">
        <w:rPr>
          <w:sz w:val="22"/>
          <w:szCs w:val="22"/>
        </w:rPr>
        <w:t xml:space="preserve">transmissions are </w:t>
      </w:r>
      <w:r w:rsidRPr="004B2EBD" w:rsidR="00247FE2">
        <w:rPr>
          <w:sz w:val="22"/>
          <w:szCs w:val="22"/>
        </w:rPr>
        <w:t xml:space="preserve">itinerant </w:t>
      </w:r>
      <w:r w:rsidRPr="004B2EBD" w:rsidR="00B94EEE">
        <w:rPr>
          <w:sz w:val="22"/>
          <w:szCs w:val="22"/>
        </w:rPr>
        <w:t>(</w:t>
      </w:r>
      <w:r w:rsidRPr="004B2EBD" w:rsidR="00B66625">
        <w:rPr>
          <w:sz w:val="22"/>
          <w:szCs w:val="22"/>
        </w:rPr>
        <w:t xml:space="preserve">unless </w:t>
      </w:r>
      <w:r w:rsidRPr="004B2EBD" w:rsidR="003C5CB9">
        <w:rPr>
          <w:sz w:val="22"/>
          <w:szCs w:val="22"/>
        </w:rPr>
        <w:t xml:space="preserve">stopping </w:t>
      </w:r>
      <w:r w:rsidRPr="004B2EBD" w:rsidR="00B66625">
        <w:rPr>
          <w:sz w:val="22"/>
          <w:szCs w:val="22"/>
        </w:rPr>
        <w:t>a</w:t>
      </w:r>
      <w:r w:rsidRPr="004B2EBD" w:rsidR="003C5CB9">
        <w:rPr>
          <w:sz w:val="22"/>
          <w:szCs w:val="22"/>
        </w:rPr>
        <w:t>t</w:t>
      </w:r>
      <w:r w:rsidRPr="004B2EBD" w:rsidR="00B66625">
        <w:rPr>
          <w:sz w:val="22"/>
          <w:szCs w:val="22"/>
        </w:rPr>
        <w:t xml:space="preserve"> </w:t>
      </w:r>
      <w:r w:rsidRPr="004B2EBD" w:rsidR="003C5CB9">
        <w:rPr>
          <w:sz w:val="22"/>
          <w:szCs w:val="22"/>
        </w:rPr>
        <w:t xml:space="preserve">a </w:t>
      </w:r>
      <w:r w:rsidRPr="004B2EBD" w:rsidR="00B66625">
        <w:rPr>
          <w:sz w:val="22"/>
          <w:szCs w:val="22"/>
        </w:rPr>
        <w:t xml:space="preserve">station, locomotive radios </w:t>
      </w:r>
      <w:r w:rsidRPr="004B2EBD" w:rsidR="005B657A">
        <w:rPr>
          <w:sz w:val="22"/>
          <w:szCs w:val="22"/>
        </w:rPr>
        <w:t xml:space="preserve">generally </w:t>
      </w:r>
      <w:r w:rsidRPr="004B2EBD" w:rsidR="003C5CB9">
        <w:rPr>
          <w:sz w:val="22"/>
          <w:szCs w:val="22"/>
        </w:rPr>
        <w:t xml:space="preserve">are </w:t>
      </w:r>
      <w:r w:rsidRPr="004B2EBD" w:rsidR="00B66625">
        <w:rPr>
          <w:sz w:val="22"/>
          <w:szCs w:val="22"/>
        </w:rPr>
        <w:t>in constant motion</w:t>
      </w:r>
      <w:r w:rsidRPr="004B2EBD" w:rsidR="00384CC7">
        <w:rPr>
          <w:sz w:val="22"/>
          <w:szCs w:val="22"/>
        </w:rPr>
        <w:t xml:space="preserve">) and </w:t>
      </w:r>
      <w:r w:rsidRPr="004B2EBD" w:rsidR="00247FE2">
        <w:rPr>
          <w:sz w:val="22"/>
          <w:szCs w:val="22"/>
        </w:rPr>
        <w:t>operate at much lower power</w:t>
      </w:r>
      <w:r w:rsidRPr="004B2EBD" w:rsidR="00FD1ACC">
        <w:rPr>
          <w:sz w:val="22"/>
          <w:szCs w:val="22"/>
        </w:rPr>
        <w:t xml:space="preserve"> and </w:t>
      </w:r>
      <w:r w:rsidR="009863B5">
        <w:rPr>
          <w:sz w:val="22"/>
          <w:szCs w:val="22"/>
        </w:rPr>
        <w:t xml:space="preserve">antenna </w:t>
      </w:r>
      <w:r w:rsidRPr="004B2EBD" w:rsidR="00247FE2">
        <w:rPr>
          <w:sz w:val="22"/>
          <w:szCs w:val="22"/>
        </w:rPr>
        <w:t>height</w:t>
      </w:r>
      <w:r w:rsidRPr="004B2EBD" w:rsidR="00DF6D2C">
        <w:rPr>
          <w:sz w:val="22"/>
          <w:szCs w:val="22"/>
        </w:rPr>
        <w:t xml:space="preserve"> </w:t>
      </w:r>
      <w:r w:rsidRPr="002E0097" w:rsidR="00DF6D2C">
        <w:rPr>
          <w:sz w:val="22"/>
          <w:szCs w:val="22"/>
        </w:rPr>
        <w:t>(a</w:t>
      </w:r>
      <w:r w:rsidRPr="002E0097" w:rsidR="00C32F2D">
        <w:rPr>
          <w:sz w:val="22"/>
          <w:szCs w:val="22"/>
        </w:rPr>
        <w:t>pproximately</w:t>
      </w:r>
      <w:r w:rsidR="00C32F2D">
        <w:rPr>
          <w:sz w:val="22"/>
          <w:szCs w:val="22"/>
        </w:rPr>
        <w:t xml:space="preserve"> </w:t>
      </w:r>
      <w:r w:rsidRPr="004B2EBD" w:rsidR="00522991">
        <w:rPr>
          <w:sz w:val="22"/>
          <w:szCs w:val="22"/>
        </w:rPr>
        <w:t>19</w:t>
      </w:r>
      <w:r w:rsidRPr="004B2EBD" w:rsidR="00DF6D2C">
        <w:rPr>
          <w:sz w:val="22"/>
          <w:szCs w:val="22"/>
        </w:rPr>
        <w:t xml:space="preserve"> feet)</w:t>
      </w:r>
      <w:r w:rsidRPr="004B2EBD" w:rsidR="00247FE2">
        <w:rPr>
          <w:sz w:val="22"/>
          <w:szCs w:val="22"/>
        </w:rPr>
        <w:t xml:space="preserve"> than base </w:t>
      </w:r>
      <w:r w:rsidRPr="004B2EBD" w:rsidR="00384CC7">
        <w:rPr>
          <w:sz w:val="22"/>
          <w:szCs w:val="22"/>
        </w:rPr>
        <w:t xml:space="preserve">stations </w:t>
      </w:r>
      <w:r w:rsidRPr="004B2EBD" w:rsidR="00E71CDE">
        <w:rPr>
          <w:sz w:val="22"/>
          <w:szCs w:val="22"/>
        </w:rPr>
        <w:t xml:space="preserve">(up to 150 feet) </w:t>
      </w:r>
      <w:r w:rsidRPr="004B2EBD" w:rsidR="00247FE2">
        <w:rPr>
          <w:sz w:val="22"/>
          <w:szCs w:val="22"/>
        </w:rPr>
        <w:t xml:space="preserve">and wayside </w:t>
      </w:r>
      <w:r w:rsidRPr="004B2EBD" w:rsidR="00384CC7">
        <w:rPr>
          <w:sz w:val="22"/>
          <w:szCs w:val="22"/>
        </w:rPr>
        <w:t xml:space="preserve">stations </w:t>
      </w:r>
      <w:r w:rsidRPr="004B2EBD" w:rsidR="00E71CDE">
        <w:rPr>
          <w:sz w:val="22"/>
          <w:szCs w:val="22"/>
        </w:rPr>
        <w:t xml:space="preserve">(up to 60 feet) </w:t>
      </w:r>
      <w:r w:rsidRPr="004B2EBD" w:rsidR="009A1B7A">
        <w:rPr>
          <w:sz w:val="22"/>
          <w:szCs w:val="22"/>
        </w:rPr>
        <w:t xml:space="preserve">in the SCRRA </w:t>
      </w:r>
      <w:r w:rsidRPr="004B2EBD" w:rsidR="00B41358">
        <w:rPr>
          <w:sz w:val="22"/>
          <w:szCs w:val="22"/>
        </w:rPr>
        <w:t xml:space="preserve">radio </w:t>
      </w:r>
      <w:r w:rsidRPr="004B2EBD" w:rsidR="009A1B7A">
        <w:rPr>
          <w:sz w:val="22"/>
          <w:szCs w:val="22"/>
        </w:rPr>
        <w:t>network.</w:t>
      </w:r>
      <w:r>
        <w:rPr>
          <w:rStyle w:val="FootnoteReference"/>
          <w:sz w:val="22"/>
          <w:szCs w:val="22"/>
        </w:rPr>
        <w:footnoteReference w:id="77"/>
      </w:r>
      <w:r w:rsidRPr="004B2EBD" w:rsidR="00E01CB0">
        <w:rPr>
          <w:sz w:val="22"/>
          <w:szCs w:val="22"/>
        </w:rPr>
        <w:t xml:space="preserve"> </w:t>
      </w:r>
      <w:r w:rsidRPr="004B2EBD" w:rsidR="009A1B7A">
        <w:rPr>
          <w:sz w:val="22"/>
          <w:szCs w:val="22"/>
        </w:rPr>
        <w:t xml:space="preserve">  </w:t>
      </w:r>
      <w:r w:rsidRPr="004B2EBD" w:rsidR="003A2D4D">
        <w:rPr>
          <w:sz w:val="22"/>
          <w:szCs w:val="22"/>
        </w:rPr>
        <w:t xml:space="preserve">Mobile radios </w:t>
      </w:r>
      <w:r w:rsidRPr="004B2EBD" w:rsidR="004C0797">
        <w:rPr>
          <w:sz w:val="22"/>
          <w:szCs w:val="22"/>
        </w:rPr>
        <w:t xml:space="preserve">use </w:t>
      </w:r>
      <w:r w:rsidRPr="004B2EBD" w:rsidR="003A2D4D">
        <w:rPr>
          <w:sz w:val="22"/>
          <w:szCs w:val="22"/>
        </w:rPr>
        <w:t>a 30% duty cycle while base st</w:t>
      </w:r>
      <w:r w:rsidRPr="004B2EBD" w:rsidR="004C0797">
        <w:rPr>
          <w:sz w:val="22"/>
          <w:szCs w:val="22"/>
        </w:rPr>
        <w:t>at</w:t>
      </w:r>
      <w:r w:rsidRPr="004B2EBD" w:rsidR="003A2D4D">
        <w:rPr>
          <w:sz w:val="22"/>
          <w:szCs w:val="22"/>
        </w:rPr>
        <w:t xml:space="preserve">ion radios </w:t>
      </w:r>
      <w:r w:rsidRPr="004B2EBD" w:rsidR="004C0797">
        <w:rPr>
          <w:sz w:val="22"/>
          <w:szCs w:val="22"/>
        </w:rPr>
        <w:t>use a 50% duty cycle.</w:t>
      </w:r>
      <w:r>
        <w:rPr>
          <w:rStyle w:val="FootnoteReference"/>
          <w:sz w:val="22"/>
          <w:szCs w:val="22"/>
        </w:rPr>
        <w:footnoteReference w:id="78"/>
      </w:r>
      <w:r w:rsidRPr="004B2EBD" w:rsidR="004C0797">
        <w:rPr>
          <w:sz w:val="22"/>
          <w:szCs w:val="22"/>
        </w:rPr>
        <w:t xml:space="preserve"> </w:t>
      </w:r>
      <w:r w:rsidRPr="004B2EBD" w:rsidR="003A2D4D">
        <w:rPr>
          <w:sz w:val="22"/>
          <w:szCs w:val="22"/>
        </w:rPr>
        <w:t xml:space="preserve"> </w:t>
      </w:r>
      <w:r w:rsidRPr="004B2EBD" w:rsidR="009A1B7A">
        <w:rPr>
          <w:sz w:val="22"/>
          <w:szCs w:val="22"/>
        </w:rPr>
        <w:t xml:space="preserve">SCRRA </w:t>
      </w:r>
      <w:r w:rsidRPr="004B2EBD" w:rsidR="0088741D">
        <w:rPr>
          <w:sz w:val="22"/>
          <w:szCs w:val="22"/>
        </w:rPr>
        <w:t xml:space="preserve">explains </w:t>
      </w:r>
      <w:r w:rsidRPr="004B2EBD" w:rsidR="00247FE2">
        <w:rPr>
          <w:sz w:val="22"/>
          <w:szCs w:val="22"/>
        </w:rPr>
        <w:t xml:space="preserve">that no </w:t>
      </w:r>
      <w:r w:rsidRPr="004B2EBD" w:rsidR="009E3216">
        <w:rPr>
          <w:sz w:val="22"/>
          <w:szCs w:val="22"/>
        </w:rPr>
        <w:t xml:space="preserve">appreciable </w:t>
      </w:r>
      <w:r w:rsidRPr="004B2EBD" w:rsidR="00247FE2">
        <w:rPr>
          <w:sz w:val="22"/>
          <w:szCs w:val="22"/>
        </w:rPr>
        <w:t xml:space="preserve">additional interference would result from </w:t>
      </w:r>
      <w:r w:rsidRPr="004B2EBD" w:rsidR="009E3216">
        <w:rPr>
          <w:sz w:val="22"/>
          <w:szCs w:val="22"/>
        </w:rPr>
        <w:t xml:space="preserve">operation of </w:t>
      </w:r>
      <w:r w:rsidRPr="004B2EBD" w:rsidR="00247FE2">
        <w:rPr>
          <w:sz w:val="22"/>
          <w:szCs w:val="22"/>
        </w:rPr>
        <w:t xml:space="preserve">the mobile radios </w:t>
      </w:r>
      <w:r w:rsidRPr="004B2EBD" w:rsidR="008B1F1E">
        <w:rPr>
          <w:sz w:val="22"/>
          <w:szCs w:val="22"/>
        </w:rPr>
        <w:t xml:space="preserve">at up to 39 watts ERP, </w:t>
      </w:r>
      <w:r w:rsidRPr="004B2EBD" w:rsidR="00247FE2">
        <w:rPr>
          <w:sz w:val="22"/>
          <w:szCs w:val="22"/>
        </w:rPr>
        <w:t xml:space="preserve">as </w:t>
      </w:r>
      <w:r w:rsidR="00E10E57">
        <w:rPr>
          <w:sz w:val="22"/>
          <w:szCs w:val="22"/>
        </w:rPr>
        <w:t xml:space="preserve">such </w:t>
      </w:r>
      <w:r w:rsidRPr="004B2EBD" w:rsidR="005A636F">
        <w:rPr>
          <w:sz w:val="22"/>
          <w:szCs w:val="22"/>
        </w:rPr>
        <w:t xml:space="preserve">operations are at </w:t>
      </w:r>
      <w:r w:rsidRPr="004B2EBD" w:rsidR="00B41358">
        <w:rPr>
          <w:sz w:val="22"/>
          <w:szCs w:val="22"/>
        </w:rPr>
        <w:t>substantially</w:t>
      </w:r>
      <w:r w:rsidRPr="004B2EBD" w:rsidR="005A636F">
        <w:rPr>
          <w:sz w:val="22"/>
          <w:szCs w:val="22"/>
        </w:rPr>
        <w:t xml:space="preserve"> lower </w:t>
      </w:r>
      <w:r w:rsidRPr="004B2EBD" w:rsidR="00247FE2">
        <w:rPr>
          <w:sz w:val="22"/>
          <w:szCs w:val="22"/>
        </w:rPr>
        <w:t>power</w:t>
      </w:r>
      <w:r w:rsidRPr="004B2EBD" w:rsidR="005A636F">
        <w:rPr>
          <w:sz w:val="22"/>
          <w:szCs w:val="22"/>
        </w:rPr>
        <w:t xml:space="preserve"> levels than </w:t>
      </w:r>
      <w:r w:rsidRPr="004B2EBD" w:rsidR="00247FE2">
        <w:rPr>
          <w:sz w:val="22"/>
          <w:szCs w:val="22"/>
        </w:rPr>
        <w:t xml:space="preserve">base </w:t>
      </w:r>
      <w:r w:rsidRPr="004B2EBD">
        <w:rPr>
          <w:sz w:val="22"/>
          <w:szCs w:val="22"/>
        </w:rPr>
        <w:t xml:space="preserve">stations </w:t>
      </w:r>
      <w:r w:rsidRPr="004B2EBD" w:rsidR="005A636F">
        <w:rPr>
          <w:sz w:val="22"/>
          <w:szCs w:val="22"/>
        </w:rPr>
        <w:t>(</w:t>
      </w:r>
      <w:r w:rsidRPr="004B2EBD">
        <w:rPr>
          <w:sz w:val="22"/>
          <w:szCs w:val="22"/>
        </w:rPr>
        <w:t xml:space="preserve">up to </w:t>
      </w:r>
      <w:r w:rsidRPr="004B2EBD" w:rsidR="00DA3682">
        <w:rPr>
          <w:sz w:val="22"/>
          <w:szCs w:val="22"/>
        </w:rPr>
        <w:t>762 watts ERP</w:t>
      </w:r>
      <w:r w:rsidRPr="004B2EBD" w:rsidR="00D33BFB">
        <w:rPr>
          <w:sz w:val="22"/>
          <w:szCs w:val="22"/>
        </w:rPr>
        <w:t>)</w:t>
      </w:r>
      <w:r>
        <w:rPr>
          <w:rStyle w:val="FootnoteReference"/>
          <w:sz w:val="22"/>
          <w:szCs w:val="22"/>
        </w:rPr>
        <w:footnoteReference w:id="79"/>
      </w:r>
      <w:r w:rsidRPr="004B2EBD">
        <w:rPr>
          <w:sz w:val="22"/>
          <w:szCs w:val="22"/>
        </w:rPr>
        <w:t xml:space="preserve"> </w:t>
      </w:r>
      <w:r w:rsidRPr="004B2EBD" w:rsidR="00247FE2">
        <w:rPr>
          <w:sz w:val="22"/>
          <w:szCs w:val="22"/>
        </w:rPr>
        <w:t xml:space="preserve">and wayside </w:t>
      </w:r>
      <w:r w:rsidRPr="004B2EBD">
        <w:rPr>
          <w:sz w:val="22"/>
          <w:szCs w:val="22"/>
        </w:rPr>
        <w:t>stations</w:t>
      </w:r>
      <w:r w:rsidRPr="004B2EBD" w:rsidR="005A636F">
        <w:rPr>
          <w:sz w:val="22"/>
          <w:szCs w:val="22"/>
        </w:rPr>
        <w:t xml:space="preserve"> (up to </w:t>
      </w:r>
      <w:r w:rsidRPr="004B2EBD" w:rsidR="007F4A6E">
        <w:rPr>
          <w:sz w:val="22"/>
          <w:szCs w:val="22"/>
        </w:rPr>
        <w:t>285.5 watts ERP).</w:t>
      </w:r>
      <w:r>
        <w:rPr>
          <w:rStyle w:val="FootnoteReference"/>
          <w:sz w:val="22"/>
          <w:szCs w:val="22"/>
        </w:rPr>
        <w:footnoteReference w:id="80"/>
      </w:r>
      <w:r w:rsidRPr="004B2EBD">
        <w:rPr>
          <w:sz w:val="22"/>
          <w:szCs w:val="22"/>
        </w:rPr>
        <w:t xml:space="preserve"> </w:t>
      </w:r>
    </w:p>
    <w:p w:rsidR="00964BD8" w:rsidRPr="004B2EBD" w:rsidP="004B2EBD" w14:paraId="12C32315" w14:textId="6325A95B">
      <w:pPr>
        <w:ind w:firstLine="720"/>
        <w:rPr>
          <w:sz w:val="22"/>
          <w:szCs w:val="22"/>
        </w:rPr>
      </w:pPr>
    </w:p>
    <w:p w:rsidR="00477A8C" w:rsidP="00343BFD" w14:paraId="4CD7A2FF" w14:textId="7C27BDC6">
      <w:pPr>
        <w:ind w:firstLine="720"/>
        <w:rPr>
          <w:sz w:val="22"/>
          <w:szCs w:val="22"/>
        </w:rPr>
      </w:pPr>
      <w:r w:rsidRPr="004B2EBD">
        <w:rPr>
          <w:sz w:val="22"/>
          <w:szCs w:val="22"/>
        </w:rPr>
        <w:t xml:space="preserve">Above </w:t>
      </w:r>
      <w:r w:rsidRPr="004B2EBD" w:rsidR="00014D99">
        <w:rPr>
          <w:sz w:val="22"/>
          <w:szCs w:val="22"/>
        </w:rPr>
        <w:t xml:space="preserve">we waive the two conditions </w:t>
      </w:r>
      <w:r w:rsidRPr="004B2EBD" w:rsidR="008628C5">
        <w:rPr>
          <w:sz w:val="22"/>
          <w:szCs w:val="22"/>
        </w:rPr>
        <w:t xml:space="preserve">of </w:t>
      </w:r>
      <w:r w:rsidR="008714B3">
        <w:rPr>
          <w:sz w:val="22"/>
          <w:szCs w:val="22"/>
        </w:rPr>
        <w:t>s</w:t>
      </w:r>
      <w:r w:rsidRPr="004B2EBD" w:rsidR="008628C5">
        <w:rPr>
          <w:sz w:val="22"/>
          <w:szCs w:val="22"/>
        </w:rPr>
        <w:t xml:space="preserve">ection 80.215(i) </w:t>
      </w:r>
      <w:r w:rsidRPr="004B2EBD" w:rsidR="00014D99">
        <w:rPr>
          <w:sz w:val="22"/>
          <w:szCs w:val="22"/>
        </w:rPr>
        <w:t>required to use mobile radios with TPO exceeding 25 watts</w:t>
      </w:r>
      <w:r w:rsidRPr="004B2EBD" w:rsidR="008F0641">
        <w:rPr>
          <w:sz w:val="22"/>
          <w:szCs w:val="22"/>
        </w:rPr>
        <w:t xml:space="preserve"> ERP.  </w:t>
      </w:r>
      <w:r w:rsidRPr="004B2EBD" w:rsidR="00E013D5">
        <w:rPr>
          <w:sz w:val="22"/>
          <w:szCs w:val="22"/>
        </w:rPr>
        <w:t>Once these two conditions are met (or waived</w:t>
      </w:r>
      <w:r w:rsidRPr="004B2EBD" w:rsidR="008628C5">
        <w:rPr>
          <w:sz w:val="22"/>
          <w:szCs w:val="22"/>
        </w:rPr>
        <w:t>,</w:t>
      </w:r>
      <w:r w:rsidRPr="004B2EBD" w:rsidR="00E013D5">
        <w:rPr>
          <w:sz w:val="22"/>
          <w:szCs w:val="22"/>
        </w:rPr>
        <w:t xml:space="preserve"> as here), </w:t>
      </w:r>
      <w:r w:rsidRPr="004B2EBD" w:rsidR="008628C5">
        <w:rPr>
          <w:sz w:val="22"/>
          <w:szCs w:val="22"/>
        </w:rPr>
        <w:t xml:space="preserve">a licensee is exempt from </w:t>
      </w:r>
      <w:r w:rsidRPr="004B2EBD" w:rsidR="00220891">
        <w:rPr>
          <w:sz w:val="22"/>
          <w:szCs w:val="22"/>
        </w:rPr>
        <w:t>the rule’s 18-watt ERP limit, provided it has submitted a</w:t>
      </w:r>
      <w:r w:rsidRPr="004B2EBD" w:rsidR="009E1968">
        <w:rPr>
          <w:sz w:val="22"/>
          <w:szCs w:val="22"/>
        </w:rPr>
        <w:t xml:space="preserve">n appropriate </w:t>
      </w:r>
      <w:r w:rsidRPr="004B2EBD" w:rsidR="00220891">
        <w:rPr>
          <w:sz w:val="22"/>
          <w:szCs w:val="22"/>
        </w:rPr>
        <w:t xml:space="preserve">plan for use of higher mobile power under </w:t>
      </w:r>
      <w:r w:rsidR="008714B3">
        <w:rPr>
          <w:sz w:val="22"/>
          <w:szCs w:val="22"/>
        </w:rPr>
        <w:t>s</w:t>
      </w:r>
      <w:r w:rsidRPr="004B2EBD" w:rsidR="00522DB6">
        <w:rPr>
          <w:sz w:val="22"/>
          <w:szCs w:val="22"/>
        </w:rPr>
        <w:t xml:space="preserve">ection </w:t>
      </w:r>
      <w:r w:rsidRPr="004B2EBD" w:rsidR="00455DD3">
        <w:rPr>
          <w:sz w:val="22"/>
          <w:szCs w:val="22"/>
        </w:rPr>
        <w:t>80.215(j)</w:t>
      </w:r>
      <w:r w:rsidRPr="004B2EBD" w:rsidR="00220891">
        <w:rPr>
          <w:sz w:val="22"/>
          <w:szCs w:val="22"/>
        </w:rPr>
        <w:t>.</w:t>
      </w:r>
      <w:r w:rsidRPr="004B2EBD" w:rsidR="009E1D3F">
        <w:rPr>
          <w:sz w:val="22"/>
          <w:szCs w:val="22"/>
        </w:rPr>
        <w:t xml:space="preserve">  </w:t>
      </w:r>
      <w:r w:rsidRPr="004B2EBD" w:rsidR="00964BD8">
        <w:rPr>
          <w:sz w:val="22"/>
          <w:szCs w:val="22"/>
        </w:rPr>
        <w:t xml:space="preserve">We have </w:t>
      </w:r>
      <w:r w:rsidRPr="004B2EBD" w:rsidR="009E1D3F">
        <w:rPr>
          <w:sz w:val="22"/>
          <w:szCs w:val="22"/>
        </w:rPr>
        <w:t xml:space="preserve">closely </w:t>
      </w:r>
      <w:r w:rsidRPr="004B2EBD" w:rsidR="00964BD8">
        <w:rPr>
          <w:sz w:val="22"/>
          <w:szCs w:val="22"/>
        </w:rPr>
        <w:t>reviewed each element of SCRRA</w:t>
      </w:r>
      <w:r w:rsidRPr="004B2EBD" w:rsidR="009E1968">
        <w:rPr>
          <w:sz w:val="22"/>
          <w:szCs w:val="22"/>
        </w:rPr>
        <w:t>’s</w:t>
      </w:r>
      <w:r w:rsidRPr="004B2EBD" w:rsidR="00964BD8">
        <w:rPr>
          <w:sz w:val="22"/>
          <w:szCs w:val="22"/>
        </w:rPr>
        <w:t xml:space="preserve"> </w:t>
      </w:r>
      <w:r w:rsidR="008714B3">
        <w:rPr>
          <w:sz w:val="22"/>
          <w:szCs w:val="22"/>
        </w:rPr>
        <w:t>s</w:t>
      </w:r>
      <w:r w:rsidRPr="004B2EBD" w:rsidR="00964BD8">
        <w:rPr>
          <w:sz w:val="22"/>
          <w:szCs w:val="22"/>
        </w:rPr>
        <w:t>ecti</w:t>
      </w:r>
      <w:r w:rsidRPr="004B2EBD" w:rsidR="00CB2416">
        <w:rPr>
          <w:sz w:val="22"/>
          <w:szCs w:val="22"/>
        </w:rPr>
        <w:t>o</w:t>
      </w:r>
      <w:r w:rsidRPr="004B2EBD" w:rsidR="00964BD8">
        <w:rPr>
          <w:sz w:val="22"/>
          <w:szCs w:val="22"/>
        </w:rPr>
        <w:t>n 80.215(j) plan</w:t>
      </w:r>
      <w:r w:rsidRPr="004B2EBD" w:rsidR="00CB2416">
        <w:rPr>
          <w:sz w:val="22"/>
          <w:szCs w:val="22"/>
        </w:rPr>
        <w:t xml:space="preserve"> and find that the plan </w:t>
      </w:r>
      <w:r w:rsidRPr="004B2EBD" w:rsidR="001F39F2">
        <w:rPr>
          <w:sz w:val="22"/>
          <w:szCs w:val="22"/>
        </w:rPr>
        <w:t>meets the requirement</w:t>
      </w:r>
      <w:r w:rsidRPr="004B2EBD" w:rsidR="00F06799">
        <w:rPr>
          <w:sz w:val="22"/>
          <w:szCs w:val="22"/>
        </w:rPr>
        <w:t>s</w:t>
      </w:r>
      <w:r w:rsidRPr="004B2EBD" w:rsidR="001F39F2">
        <w:rPr>
          <w:sz w:val="22"/>
          <w:szCs w:val="22"/>
        </w:rPr>
        <w:t xml:space="preserve"> for </w:t>
      </w:r>
      <w:r w:rsidRPr="004B2EBD" w:rsidR="00F06799">
        <w:rPr>
          <w:sz w:val="22"/>
          <w:szCs w:val="22"/>
        </w:rPr>
        <w:t xml:space="preserve">exemption of mobile radio operations from </w:t>
      </w:r>
      <w:r w:rsidR="008714B3">
        <w:rPr>
          <w:sz w:val="22"/>
          <w:szCs w:val="22"/>
        </w:rPr>
        <w:t>s</w:t>
      </w:r>
      <w:r w:rsidRPr="004B2EBD" w:rsidR="00F06799">
        <w:rPr>
          <w:sz w:val="22"/>
          <w:szCs w:val="22"/>
        </w:rPr>
        <w:t>ection 80.215(i)’s 18-watt ERP limit.</w:t>
      </w:r>
      <w:r w:rsidRPr="004B2EBD" w:rsidR="00964BD8">
        <w:rPr>
          <w:sz w:val="22"/>
          <w:szCs w:val="22"/>
        </w:rPr>
        <w:t xml:space="preserve"> </w:t>
      </w:r>
      <w:r w:rsidRPr="004B2EBD" w:rsidR="009328D9">
        <w:rPr>
          <w:sz w:val="22"/>
          <w:szCs w:val="22"/>
        </w:rPr>
        <w:t xml:space="preserve"> </w:t>
      </w:r>
      <w:r w:rsidRPr="004B2EBD" w:rsidR="00D026DD">
        <w:rPr>
          <w:sz w:val="22"/>
          <w:szCs w:val="22"/>
        </w:rPr>
        <w:t xml:space="preserve">Accordingly, we hereby authorize SCRRA and its </w:t>
      </w:r>
      <w:r w:rsidRPr="004B2EBD" w:rsidR="00CC08EF">
        <w:rPr>
          <w:sz w:val="22"/>
          <w:szCs w:val="22"/>
        </w:rPr>
        <w:t>tenant railroad partners to operate mobile radios at up to 39 watts ERP.</w:t>
      </w:r>
      <w:bookmarkEnd w:id="0"/>
    </w:p>
    <w:p w:rsidR="00343BFD" w:rsidP="00343BFD" w14:paraId="0A7C3755" w14:textId="77777777">
      <w:pPr>
        <w:ind w:firstLine="720"/>
        <w:rPr>
          <w:sz w:val="22"/>
          <w:szCs w:val="22"/>
        </w:rPr>
      </w:pPr>
    </w:p>
    <w:p w:rsidR="00477A8C" w:rsidRPr="00DF7E15" w:rsidP="00DF7E15" w14:paraId="347DF2BE" w14:textId="7038B3F5">
      <w:pPr>
        <w:pStyle w:val="ListParagraph"/>
        <w:numPr>
          <w:ilvl w:val="0"/>
          <w:numId w:val="3"/>
        </w:numPr>
        <w:rPr>
          <w:b/>
          <w:bCs/>
          <w:sz w:val="22"/>
          <w:szCs w:val="22"/>
        </w:rPr>
      </w:pPr>
      <w:r w:rsidRPr="00DF7E15">
        <w:rPr>
          <w:b/>
          <w:bCs/>
          <w:sz w:val="22"/>
          <w:szCs w:val="22"/>
        </w:rPr>
        <w:t xml:space="preserve">Authorization of </w:t>
      </w:r>
      <w:bookmarkStart w:id="13" w:name="_Hlk53044879"/>
      <w:r w:rsidRPr="00DF7E15">
        <w:rPr>
          <w:b/>
          <w:bCs/>
          <w:sz w:val="22"/>
          <w:szCs w:val="22"/>
        </w:rPr>
        <w:t xml:space="preserve">Wireless Radio Base and Wayside Radio Stations </w:t>
      </w:r>
      <w:bookmarkEnd w:id="13"/>
    </w:p>
    <w:p w:rsidR="00477A8C" w:rsidRPr="00714CD1" w:rsidP="004B2EBD" w14:paraId="5ED64062" w14:textId="77777777">
      <w:pPr>
        <w:ind w:firstLine="720"/>
        <w:rPr>
          <w:sz w:val="22"/>
          <w:szCs w:val="22"/>
        </w:rPr>
      </w:pPr>
    </w:p>
    <w:p w:rsidR="00D73BAF" w:rsidRPr="00D73BAF" w:rsidP="00020AFA" w14:paraId="69297045" w14:textId="1D3856A7">
      <w:pPr>
        <w:ind w:firstLine="720"/>
        <w:rPr>
          <w:bCs/>
          <w:sz w:val="22"/>
          <w:szCs w:val="22"/>
        </w:rPr>
      </w:pPr>
      <w:r>
        <w:rPr>
          <w:sz w:val="22"/>
          <w:szCs w:val="22"/>
        </w:rPr>
        <w:t xml:space="preserve">We now address SCRRA’s request for authorization to </w:t>
      </w:r>
      <w:r w:rsidRPr="004B2EBD">
        <w:rPr>
          <w:sz w:val="22"/>
          <w:szCs w:val="22"/>
        </w:rPr>
        <w:t xml:space="preserve">operate </w:t>
      </w:r>
      <w:r w:rsidRPr="00714CD1" w:rsidR="004B4ADE">
        <w:rPr>
          <w:sz w:val="22"/>
          <w:szCs w:val="22"/>
        </w:rPr>
        <w:t xml:space="preserve">17 PTC </w:t>
      </w:r>
      <w:r w:rsidR="004B4ADE">
        <w:rPr>
          <w:sz w:val="22"/>
          <w:szCs w:val="22"/>
        </w:rPr>
        <w:t xml:space="preserve">wireless </w:t>
      </w:r>
      <w:r w:rsidRPr="00714CD1" w:rsidR="004B4ADE">
        <w:rPr>
          <w:sz w:val="22"/>
          <w:szCs w:val="22"/>
        </w:rPr>
        <w:t>base stations</w:t>
      </w:r>
      <w:r w:rsidR="004B4ADE">
        <w:rPr>
          <w:sz w:val="22"/>
          <w:szCs w:val="22"/>
        </w:rPr>
        <w:t xml:space="preserve"> with ERP levels</w:t>
      </w:r>
      <w:r w:rsidRPr="00714CD1" w:rsidR="004B4ADE">
        <w:rPr>
          <w:sz w:val="22"/>
          <w:szCs w:val="22"/>
        </w:rPr>
        <w:t xml:space="preserve"> </w:t>
      </w:r>
      <w:r w:rsidRPr="004B2EBD" w:rsidR="004B4ADE">
        <w:rPr>
          <w:sz w:val="22"/>
          <w:szCs w:val="22"/>
        </w:rPr>
        <w:t>from 20 to 762 watts,</w:t>
      </w:r>
      <w:r>
        <w:rPr>
          <w:rStyle w:val="FootnoteReference"/>
          <w:sz w:val="22"/>
          <w:szCs w:val="22"/>
        </w:rPr>
        <w:footnoteReference w:id="81"/>
      </w:r>
      <w:r w:rsidRPr="004B2EBD" w:rsidR="004B4ADE">
        <w:rPr>
          <w:sz w:val="22"/>
          <w:szCs w:val="22"/>
        </w:rPr>
        <w:t xml:space="preserve"> </w:t>
      </w:r>
      <w:r w:rsidR="004B4ADE">
        <w:rPr>
          <w:sz w:val="22"/>
          <w:szCs w:val="22"/>
        </w:rPr>
        <w:t xml:space="preserve">and </w:t>
      </w:r>
      <w:r w:rsidRPr="004B2EBD" w:rsidR="004B4ADE">
        <w:rPr>
          <w:sz w:val="22"/>
          <w:szCs w:val="22"/>
        </w:rPr>
        <w:t>546 PTC wireless radio wayside stations at ERP levels from 15.6 to 285.5 watts</w:t>
      </w:r>
      <w:r w:rsidR="004B4ADE">
        <w:rPr>
          <w:sz w:val="22"/>
          <w:szCs w:val="22"/>
        </w:rPr>
        <w:t>.</w:t>
      </w:r>
      <w:r>
        <w:rPr>
          <w:rStyle w:val="FootnoteReference"/>
          <w:sz w:val="22"/>
          <w:szCs w:val="22"/>
        </w:rPr>
        <w:footnoteReference w:id="82"/>
      </w:r>
    </w:p>
    <w:p w:rsidR="00D73BAF" w:rsidP="00020AFA" w14:paraId="2022715B" w14:textId="77777777">
      <w:pPr>
        <w:ind w:firstLine="720"/>
        <w:rPr>
          <w:bCs/>
          <w:i/>
          <w:iCs/>
          <w:sz w:val="22"/>
          <w:szCs w:val="22"/>
        </w:rPr>
      </w:pPr>
    </w:p>
    <w:p w:rsidR="00477A8C" w:rsidRPr="00714CD1" w:rsidP="00020AFA" w14:paraId="5C70D5E1" w14:textId="793930C1">
      <w:pPr>
        <w:ind w:firstLine="720"/>
        <w:rPr>
          <w:sz w:val="22"/>
          <w:szCs w:val="22"/>
        </w:rPr>
      </w:pPr>
      <w:r w:rsidRPr="00714CD1">
        <w:rPr>
          <w:bCs/>
          <w:i/>
          <w:iCs/>
          <w:sz w:val="22"/>
          <w:szCs w:val="22"/>
        </w:rPr>
        <w:t>Request for Waiver of 47 CFR § 1.913(a)(1)</w:t>
      </w:r>
      <w:r w:rsidRPr="00714CD1">
        <w:rPr>
          <w:b/>
          <w:sz w:val="22"/>
          <w:szCs w:val="22"/>
        </w:rPr>
        <w:t xml:space="preserve">.  </w:t>
      </w:r>
      <w:r w:rsidRPr="00714CD1">
        <w:rPr>
          <w:iCs/>
          <w:sz w:val="22"/>
          <w:szCs w:val="22"/>
        </w:rPr>
        <w:t xml:space="preserve">We first address SCRRA’s request to provide relevant </w:t>
      </w:r>
      <w:r>
        <w:rPr>
          <w:iCs/>
          <w:sz w:val="22"/>
          <w:szCs w:val="22"/>
        </w:rPr>
        <w:t xml:space="preserve">PTC </w:t>
      </w:r>
      <w:r w:rsidRPr="00714CD1">
        <w:rPr>
          <w:iCs/>
          <w:sz w:val="22"/>
          <w:szCs w:val="22"/>
        </w:rPr>
        <w:t>wayside radio station data in a</w:t>
      </w:r>
      <w:r>
        <w:rPr>
          <w:iCs/>
          <w:sz w:val="22"/>
          <w:szCs w:val="22"/>
        </w:rPr>
        <w:t xml:space="preserve"> consolidated </w:t>
      </w:r>
      <w:r w:rsidRPr="00714CD1">
        <w:rPr>
          <w:iCs/>
          <w:sz w:val="22"/>
          <w:szCs w:val="22"/>
        </w:rPr>
        <w:t xml:space="preserve">format.  </w:t>
      </w:r>
      <w:r w:rsidRPr="00714CD1">
        <w:rPr>
          <w:sz w:val="22"/>
          <w:szCs w:val="22"/>
        </w:rPr>
        <w:t xml:space="preserve">Pursuant to </w:t>
      </w:r>
      <w:r w:rsidR="005F0FA2">
        <w:rPr>
          <w:sz w:val="22"/>
          <w:szCs w:val="22"/>
        </w:rPr>
        <w:t>s</w:t>
      </w:r>
      <w:r w:rsidRPr="00714CD1">
        <w:rPr>
          <w:sz w:val="22"/>
          <w:szCs w:val="22"/>
        </w:rPr>
        <w:t>ection 1.3 and 1.925(b)(3)(ii) of the Commission’s rule,</w:t>
      </w:r>
      <w:r>
        <w:rPr>
          <w:rStyle w:val="FootnoteReference"/>
          <w:sz w:val="22"/>
          <w:szCs w:val="22"/>
        </w:rPr>
        <w:footnoteReference w:id="83"/>
      </w:r>
      <w:r w:rsidRPr="00714CD1">
        <w:rPr>
          <w:sz w:val="22"/>
          <w:szCs w:val="22"/>
        </w:rPr>
        <w:t xml:space="preserve"> SCRRA requests that we waive </w:t>
      </w:r>
      <w:r w:rsidR="005F0FA2">
        <w:rPr>
          <w:sz w:val="22"/>
          <w:szCs w:val="22"/>
        </w:rPr>
        <w:t>s</w:t>
      </w:r>
      <w:r w:rsidRPr="00714CD1">
        <w:rPr>
          <w:sz w:val="22"/>
          <w:szCs w:val="22"/>
        </w:rPr>
        <w:t>ection 1.913(a)(1) to the extent the rule requires SCRRA to file a separate FCC Form 601, Schedule D for authorization of each wayside radio station.</w:t>
      </w:r>
      <w:r>
        <w:rPr>
          <w:rStyle w:val="FootnoteReference"/>
          <w:sz w:val="22"/>
          <w:szCs w:val="22"/>
        </w:rPr>
        <w:footnoteReference w:id="84"/>
      </w:r>
      <w:r w:rsidRPr="00714CD1">
        <w:rPr>
          <w:sz w:val="22"/>
          <w:szCs w:val="22"/>
        </w:rPr>
        <w:t xml:space="preserve">  SCRRA states that the </w:t>
      </w:r>
      <w:r w:rsidR="00CD717A">
        <w:rPr>
          <w:sz w:val="22"/>
          <w:szCs w:val="22"/>
        </w:rPr>
        <w:t xml:space="preserve">PTC mandate and the </w:t>
      </w:r>
      <w:r w:rsidRPr="00714CD1">
        <w:rPr>
          <w:sz w:val="22"/>
          <w:szCs w:val="22"/>
        </w:rPr>
        <w:t xml:space="preserve">sheer number of </w:t>
      </w:r>
      <w:r>
        <w:rPr>
          <w:sz w:val="22"/>
          <w:szCs w:val="22"/>
        </w:rPr>
        <w:t xml:space="preserve">required PTC </w:t>
      </w:r>
      <w:r w:rsidRPr="00714CD1">
        <w:rPr>
          <w:sz w:val="22"/>
          <w:szCs w:val="22"/>
        </w:rPr>
        <w:t xml:space="preserve">wayside radio stations included in its License Modification Application present unique factual </w:t>
      </w:r>
      <w:r w:rsidRPr="00714CD1">
        <w:rPr>
          <w:sz w:val="22"/>
          <w:szCs w:val="22"/>
        </w:rPr>
        <w:t xml:space="preserve">circumstances that would render the requirement to complete a Schedule D for each wayside </w:t>
      </w:r>
      <w:r w:rsidR="00CD717A">
        <w:rPr>
          <w:sz w:val="22"/>
          <w:szCs w:val="22"/>
        </w:rPr>
        <w:t xml:space="preserve">radio </w:t>
      </w:r>
      <w:r w:rsidRPr="00714CD1">
        <w:rPr>
          <w:sz w:val="22"/>
          <w:szCs w:val="22"/>
        </w:rPr>
        <w:t xml:space="preserve">station unduly burdensome and contrary to the public interest within the meaning of </w:t>
      </w:r>
      <w:r w:rsidR="005F0FA2">
        <w:rPr>
          <w:sz w:val="22"/>
          <w:szCs w:val="22"/>
        </w:rPr>
        <w:t>s</w:t>
      </w:r>
      <w:r w:rsidRPr="00714CD1">
        <w:rPr>
          <w:sz w:val="22"/>
          <w:szCs w:val="22"/>
        </w:rPr>
        <w:t>ection 1.925(b)(3)(ii).</w:t>
      </w:r>
      <w:r>
        <w:rPr>
          <w:rStyle w:val="FootnoteReference"/>
          <w:sz w:val="22"/>
          <w:szCs w:val="22"/>
        </w:rPr>
        <w:footnoteReference w:id="85"/>
      </w:r>
    </w:p>
    <w:p w:rsidR="00477A8C" w:rsidRPr="00714CD1" w:rsidP="00020AFA" w14:paraId="6FC9F040" w14:textId="77777777">
      <w:pPr>
        <w:rPr>
          <w:sz w:val="22"/>
          <w:szCs w:val="22"/>
        </w:rPr>
      </w:pPr>
      <w:r w:rsidRPr="00714CD1">
        <w:rPr>
          <w:sz w:val="22"/>
          <w:szCs w:val="22"/>
        </w:rPr>
        <w:t xml:space="preserve">  </w:t>
      </w:r>
    </w:p>
    <w:p w:rsidR="00477A8C" w:rsidRPr="00714CD1" w:rsidP="004B2EBD" w14:paraId="3112CD73" w14:textId="221053A0">
      <w:pPr>
        <w:ind w:firstLine="720"/>
        <w:rPr>
          <w:iCs/>
          <w:sz w:val="22"/>
          <w:szCs w:val="22"/>
        </w:rPr>
      </w:pPr>
      <w:r w:rsidRPr="00714CD1">
        <w:rPr>
          <w:sz w:val="22"/>
          <w:szCs w:val="22"/>
        </w:rPr>
        <w:t>SCRRA requests permission to present the information required by Schedule D for each wayside radio station in a spreadsheet (attached as Exhibit 2 to its Waiver Request).</w:t>
      </w:r>
      <w:r>
        <w:rPr>
          <w:rStyle w:val="FootnoteReference"/>
          <w:sz w:val="22"/>
          <w:szCs w:val="22"/>
        </w:rPr>
        <w:footnoteReference w:id="86"/>
      </w:r>
      <w:r w:rsidRPr="00714CD1">
        <w:rPr>
          <w:sz w:val="22"/>
          <w:szCs w:val="22"/>
        </w:rPr>
        <w:t xml:space="preserve">  The 14-page spreadsheet provides the location and technical parameters required by Schedule D for each wayside radio station in a </w:t>
      </w:r>
      <w:r w:rsidR="00327E95">
        <w:rPr>
          <w:sz w:val="22"/>
          <w:szCs w:val="22"/>
        </w:rPr>
        <w:t>user-friendly format</w:t>
      </w:r>
      <w:r w:rsidRPr="00714CD1" w:rsidR="00327E95">
        <w:rPr>
          <w:sz w:val="22"/>
          <w:szCs w:val="22"/>
        </w:rPr>
        <w:t xml:space="preserve"> </w:t>
      </w:r>
      <w:r w:rsidRPr="00714CD1">
        <w:rPr>
          <w:sz w:val="22"/>
          <w:szCs w:val="22"/>
        </w:rPr>
        <w:t>that can be analyzed by interested parties and FCC staff</w:t>
      </w:r>
      <w:r w:rsidR="00020AFA">
        <w:rPr>
          <w:sz w:val="22"/>
          <w:szCs w:val="22"/>
        </w:rPr>
        <w:t>,</w:t>
      </w:r>
      <w:r w:rsidRPr="00714CD1">
        <w:rPr>
          <w:sz w:val="22"/>
          <w:szCs w:val="22"/>
        </w:rPr>
        <w:t xml:space="preserve"> rather than having to parse 546 separate Schedule D filings.</w:t>
      </w:r>
      <w:r>
        <w:rPr>
          <w:sz w:val="22"/>
          <w:szCs w:val="22"/>
        </w:rPr>
        <w:t xml:space="preserve">  </w:t>
      </w:r>
      <w:r w:rsidR="00327E95">
        <w:rPr>
          <w:sz w:val="22"/>
          <w:szCs w:val="22"/>
        </w:rPr>
        <w:t>W</w:t>
      </w:r>
      <w:r w:rsidRPr="00714CD1">
        <w:rPr>
          <w:sz w:val="22"/>
          <w:szCs w:val="22"/>
        </w:rPr>
        <w:t xml:space="preserve">e find that </w:t>
      </w:r>
      <w:r w:rsidRPr="001E5213" w:rsidR="00605531">
        <w:rPr>
          <w:sz w:val="22"/>
          <w:szCs w:val="22"/>
        </w:rPr>
        <w:t>Congress</w:t>
      </w:r>
      <w:r w:rsidR="00521182">
        <w:rPr>
          <w:sz w:val="22"/>
          <w:szCs w:val="22"/>
        </w:rPr>
        <w:t>’</w:t>
      </w:r>
      <w:r w:rsidRPr="001E5213" w:rsidR="00605531">
        <w:rPr>
          <w:sz w:val="22"/>
          <w:szCs w:val="22"/>
        </w:rPr>
        <w:t xml:space="preserve"> PTC mandate</w:t>
      </w:r>
      <w:r w:rsidR="00605531">
        <w:rPr>
          <w:sz w:val="22"/>
          <w:szCs w:val="22"/>
        </w:rPr>
        <w:t xml:space="preserve"> and the </w:t>
      </w:r>
      <w:r w:rsidRPr="00714CD1">
        <w:rPr>
          <w:sz w:val="22"/>
          <w:szCs w:val="22"/>
        </w:rPr>
        <w:t xml:space="preserve">application of </w:t>
      </w:r>
      <w:r w:rsidR="005F0FA2">
        <w:rPr>
          <w:sz w:val="22"/>
          <w:szCs w:val="22"/>
        </w:rPr>
        <w:t>s</w:t>
      </w:r>
      <w:r w:rsidRPr="00714CD1">
        <w:rPr>
          <w:sz w:val="22"/>
          <w:szCs w:val="22"/>
        </w:rPr>
        <w:t>ection 1.913(a)(1)</w:t>
      </w:r>
      <w:r w:rsidRPr="001E5213" w:rsidR="00327E95">
        <w:rPr>
          <w:sz w:val="22"/>
          <w:szCs w:val="22"/>
        </w:rPr>
        <w:t>—</w:t>
      </w:r>
      <w:r w:rsidRPr="00714CD1">
        <w:rPr>
          <w:sz w:val="22"/>
          <w:szCs w:val="22"/>
        </w:rPr>
        <w:t>to the extent it would require</w:t>
      </w:r>
      <w:r w:rsidR="00327E95">
        <w:rPr>
          <w:sz w:val="22"/>
          <w:szCs w:val="22"/>
        </w:rPr>
        <w:t xml:space="preserve"> SCRRA to file 546 </w:t>
      </w:r>
      <w:r w:rsidRPr="00714CD1">
        <w:rPr>
          <w:sz w:val="22"/>
          <w:szCs w:val="22"/>
        </w:rPr>
        <w:t>individual Schedule Ds</w:t>
      </w:r>
      <w:r w:rsidR="00605531">
        <w:rPr>
          <w:sz w:val="22"/>
          <w:szCs w:val="22"/>
        </w:rPr>
        <w:t xml:space="preserve"> to comply with that statutory mandate</w:t>
      </w:r>
      <w:r w:rsidRPr="001E5213" w:rsidR="00327E95">
        <w:rPr>
          <w:sz w:val="22"/>
          <w:szCs w:val="22"/>
        </w:rPr>
        <w:t>—</w:t>
      </w:r>
      <w:r w:rsidRPr="00327E95">
        <w:rPr>
          <w:sz w:val="22"/>
          <w:szCs w:val="22"/>
        </w:rPr>
        <w:t>present unique factual circumstances</w:t>
      </w:r>
      <w:r>
        <w:rPr>
          <w:rStyle w:val="FootnoteReference"/>
          <w:sz w:val="22"/>
          <w:szCs w:val="22"/>
        </w:rPr>
        <w:footnoteReference w:id="87"/>
      </w:r>
      <w:r w:rsidRPr="00327E95" w:rsidR="00327E95">
        <w:rPr>
          <w:sz w:val="22"/>
          <w:szCs w:val="22"/>
        </w:rPr>
        <w:t xml:space="preserve"> and </w:t>
      </w:r>
      <w:r w:rsidRPr="00327E95">
        <w:rPr>
          <w:sz w:val="22"/>
          <w:szCs w:val="22"/>
        </w:rPr>
        <w:t>that it would be contrary to the public interest to require</w:t>
      </w:r>
      <w:r w:rsidR="00605531">
        <w:rPr>
          <w:sz w:val="22"/>
          <w:szCs w:val="22"/>
        </w:rPr>
        <w:t xml:space="preserve"> strict </w:t>
      </w:r>
      <w:r w:rsidRPr="00327E95">
        <w:rPr>
          <w:sz w:val="22"/>
          <w:szCs w:val="22"/>
        </w:rPr>
        <w:t>adherence to the rule.</w:t>
      </w:r>
      <w:r>
        <w:rPr>
          <w:rStyle w:val="FootnoteReference"/>
          <w:sz w:val="22"/>
          <w:szCs w:val="22"/>
        </w:rPr>
        <w:footnoteReference w:id="88"/>
      </w:r>
      <w:r w:rsidRPr="00714CD1">
        <w:rPr>
          <w:sz w:val="22"/>
          <w:szCs w:val="22"/>
        </w:rPr>
        <w:t xml:space="preserve">  For these reasons, we grant SCRRA’s waiver request.  </w:t>
      </w:r>
    </w:p>
    <w:p w:rsidR="00477A8C" w:rsidRPr="00714CD1" w:rsidP="004B2EBD" w14:paraId="3960748B" w14:textId="77777777">
      <w:pPr>
        <w:ind w:firstLine="720"/>
        <w:rPr>
          <w:i/>
          <w:sz w:val="22"/>
          <w:szCs w:val="22"/>
        </w:rPr>
      </w:pPr>
    </w:p>
    <w:p w:rsidR="00477A8C" w:rsidRPr="00714CD1" w:rsidP="004B2EBD" w14:paraId="4463C213" w14:textId="6764F02C">
      <w:pPr>
        <w:ind w:firstLine="720"/>
        <w:rPr>
          <w:sz w:val="22"/>
          <w:szCs w:val="22"/>
        </w:rPr>
      </w:pPr>
      <w:r w:rsidRPr="00714CD1">
        <w:rPr>
          <w:i/>
          <w:sz w:val="22"/>
          <w:szCs w:val="22"/>
        </w:rPr>
        <w:t>Interference Analysis</w:t>
      </w:r>
      <w:r w:rsidRPr="00714CD1">
        <w:rPr>
          <w:sz w:val="22"/>
          <w:szCs w:val="22"/>
        </w:rPr>
        <w:t xml:space="preserve">.  </w:t>
      </w:r>
      <w:r w:rsidR="00F4104E">
        <w:rPr>
          <w:sz w:val="22"/>
          <w:szCs w:val="22"/>
        </w:rPr>
        <w:t>A</w:t>
      </w:r>
      <w:r w:rsidRPr="00714CD1" w:rsidR="00F4104E">
        <w:rPr>
          <w:sz w:val="22"/>
          <w:szCs w:val="22"/>
        </w:rPr>
        <w:t xml:space="preserve">s required by </w:t>
      </w:r>
      <w:r w:rsidR="005F0FA2">
        <w:rPr>
          <w:sz w:val="22"/>
          <w:szCs w:val="22"/>
        </w:rPr>
        <w:t>s</w:t>
      </w:r>
      <w:r w:rsidRPr="00714CD1" w:rsidR="00F4104E">
        <w:rPr>
          <w:sz w:val="22"/>
          <w:szCs w:val="22"/>
        </w:rPr>
        <w:t>ection 80.215(h)(2)</w:t>
      </w:r>
      <w:r w:rsidR="00F4104E">
        <w:rPr>
          <w:sz w:val="22"/>
          <w:szCs w:val="22"/>
        </w:rPr>
        <w:t>,</w:t>
      </w:r>
      <w:r>
        <w:rPr>
          <w:rStyle w:val="FootnoteReference"/>
          <w:sz w:val="22"/>
          <w:szCs w:val="22"/>
        </w:rPr>
        <w:footnoteReference w:id="89"/>
      </w:r>
      <w:r w:rsidRPr="00714CD1" w:rsidR="00F4104E">
        <w:rPr>
          <w:sz w:val="22"/>
          <w:szCs w:val="22"/>
        </w:rPr>
        <w:t xml:space="preserve"> </w:t>
      </w:r>
      <w:r w:rsidRPr="00714CD1">
        <w:rPr>
          <w:sz w:val="22"/>
          <w:szCs w:val="22"/>
        </w:rPr>
        <w:t xml:space="preserve">SCRRA’s Engineering Report addresses the potential for interference from the proposed operation of PTC base and wayside </w:t>
      </w:r>
      <w:r w:rsidR="00605531">
        <w:rPr>
          <w:sz w:val="22"/>
          <w:szCs w:val="22"/>
        </w:rPr>
        <w:t xml:space="preserve">radio </w:t>
      </w:r>
      <w:r w:rsidRPr="00714CD1">
        <w:rPr>
          <w:sz w:val="22"/>
          <w:szCs w:val="22"/>
        </w:rPr>
        <w:t>stations to over-the-air (OTA) channel 10 and 13 receivers.</w:t>
      </w:r>
      <w:r>
        <w:rPr>
          <w:rStyle w:val="FootnoteReference"/>
          <w:sz w:val="22"/>
          <w:szCs w:val="22"/>
        </w:rPr>
        <w:footnoteReference w:id="90"/>
      </w:r>
      <w:r w:rsidRPr="00714CD1">
        <w:rPr>
          <w:sz w:val="22"/>
          <w:szCs w:val="22"/>
        </w:rPr>
        <w:t xml:space="preserve">  The report identifies six channel 10 TV stations</w:t>
      </w:r>
      <w:r w:rsidR="00E14804">
        <w:rPr>
          <w:sz w:val="22"/>
          <w:szCs w:val="22"/>
        </w:rPr>
        <w:t>, which are</w:t>
      </w:r>
      <w:r w:rsidRPr="00714CD1">
        <w:rPr>
          <w:sz w:val="22"/>
          <w:szCs w:val="22"/>
        </w:rPr>
        <w:t xml:space="preserve"> located less than 129 kilometers (80 miles) from one or more base or wayside </w:t>
      </w:r>
      <w:r w:rsidR="00E14804">
        <w:rPr>
          <w:sz w:val="22"/>
          <w:szCs w:val="22"/>
        </w:rPr>
        <w:t xml:space="preserve">radio </w:t>
      </w:r>
      <w:r w:rsidRPr="00714CD1">
        <w:rPr>
          <w:sz w:val="22"/>
          <w:szCs w:val="22"/>
        </w:rPr>
        <w:t>station:  KERO-TV, Bakersfield; KGTV, San Diego; DKTAV-LD, Altadena; KIIO-LD, Los Angeles; KZSW-LD, Riverside; and K10PV-D, Santa Barbara.</w:t>
      </w:r>
      <w:r>
        <w:rPr>
          <w:rStyle w:val="FootnoteReference"/>
          <w:sz w:val="22"/>
          <w:szCs w:val="22"/>
        </w:rPr>
        <w:footnoteReference w:id="91"/>
      </w:r>
      <w:r w:rsidRPr="00714CD1">
        <w:rPr>
          <w:sz w:val="22"/>
          <w:szCs w:val="22"/>
        </w:rPr>
        <w:t xml:space="preserve">  It also identifies one channel 13 TV station, KCOP-TV, Los Angeles, which is located less than 169 kilometers (105 miles) from the identified base and wayside radio stations.</w:t>
      </w:r>
      <w:r>
        <w:rPr>
          <w:rStyle w:val="FootnoteReference"/>
          <w:sz w:val="22"/>
          <w:szCs w:val="22"/>
        </w:rPr>
        <w:footnoteReference w:id="92"/>
      </w:r>
      <w:r w:rsidRPr="00714CD1">
        <w:rPr>
          <w:sz w:val="22"/>
          <w:szCs w:val="22"/>
        </w:rPr>
        <w:t xml:space="preserve">  </w:t>
      </w:r>
    </w:p>
    <w:p w:rsidR="00477A8C" w:rsidRPr="00714CD1" w:rsidP="004B2EBD" w14:paraId="42193AFA" w14:textId="77777777">
      <w:pPr>
        <w:rPr>
          <w:sz w:val="22"/>
          <w:szCs w:val="22"/>
        </w:rPr>
      </w:pPr>
    </w:p>
    <w:p w:rsidR="00477A8C" w:rsidP="004B2EBD" w14:paraId="5CF86E1F" w14:textId="265EBA07">
      <w:pPr>
        <w:ind w:firstLine="720"/>
        <w:rPr>
          <w:sz w:val="22"/>
          <w:szCs w:val="22"/>
        </w:rPr>
      </w:pPr>
      <w:r w:rsidRPr="00714CD1">
        <w:rPr>
          <w:i/>
          <w:sz w:val="22"/>
          <w:szCs w:val="22"/>
        </w:rPr>
        <w:t>Channel 10 Broadcast Stations</w:t>
      </w:r>
      <w:r w:rsidRPr="00714CD1">
        <w:rPr>
          <w:sz w:val="22"/>
          <w:szCs w:val="22"/>
        </w:rPr>
        <w:t xml:space="preserve">.  </w:t>
      </w:r>
      <w:r w:rsidR="00F4104E">
        <w:rPr>
          <w:sz w:val="22"/>
          <w:szCs w:val="22"/>
        </w:rPr>
        <w:t>As noted above, t</w:t>
      </w:r>
      <w:r w:rsidRPr="00714CD1" w:rsidR="00F4104E">
        <w:rPr>
          <w:sz w:val="22"/>
          <w:szCs w:val="22"/>
        </w:rPr>
        <w:t xml:space="preserve">here are six channel 10 stations located less than 129 kilometers </w:t>
      </w:r>
      <w:r w:rsidR="00F4104E">
        <w:rPr>
          <w:sz w:val="22"/>
          <w:szCs w:val="22"/>
        </w:rPr>
        <w:t xml:space="preserve">(80 miles) </w:t>
      </w:r>
      <w:r w:rsidRPr="00714CD1" w:rsidR="00F4104E">
        <w:rPr>
          <w:sz w:val="22"/>
          <w:szCs w:val="22"/>
        </w:rPr>
        <w:t>from one or more SCRRA PTC base or wayside radio station site</w:t>
      </w:r>
      <w:r w:rsidR="00F4104E">
        <w:rPr>
          <w:sz w:val="22"/>
          <w:szCs w:val="22"/>
        </w:rPr>
        <w:t>s</w:t>
      </w:r>
      <w:r w:rsidRPr="00714CD1" w:rsidR="00F4104E">
        <w:rPr>
          <w:sz w:val="22"/>
          <w:szCs w:val="22"/>
        </w:rPr>
        <w:t>.</w:t>
      </w:r>
      <w:r>
        <w:rPr>
          <w:rStyle w:val="FootnoteReference"/>
          <w:sz w:val="22"/>
          <w:szCs w:val="22"/>
        </w:rPr>
        <w:footnoteReference w:id="93"/>
      </w:r>
      <w:r w:rsidRPr="00714CD1" w:rsidR="00F4104E">
        <w:rPr>
          <w:sz w:val="22"/>
          <w:szCs w:val="22"/>
        </w:rPr>
        <w:t xml:space="preserve">  </w:t>
      </w:r>
      <w:r w:rsidRPr="0068040E">
        <w:rPr>
          <w:sz w:val="22"/>
          <w:szCs w:val="22"/>
        </w:rPr>
        <w:t xml:space="preserve">OET-74 Supplement A states that “to assert compliance with the protection and mitigation requirements in </w:t>
      </w:r>
      <w:r w:rsidR="00F4104E">
        <w:rPr>
          <w:sz w:val="22"/>
          <w:szCs w:val="22"/>
        </w:rPr>
        <w:t>[</w:t>
      </w:r>
      <w:r w:rsidR="005F0FA2">
        <w:rPr>
          <w:sz w:val="22"/>
          <w:szCs w:val="22"/>
        </w:rPr>
        <w:t>s</w:t>
      </w:r>
      <w:r w:rsidR="00F4104E">
        <w:rPr>
          <w:sz w:val="22"/>
          <w:szCs w:val="22"/>
        </w:rPr>
        <w:t>ection 80.215(h)]</w:t>
      </w:r>
      <w:r w:rsidRPr="0068040E">
        <w:rPr>
          <w:sz w:val="22"/>
          <w:szCs w:val="22"/>
        </w:rPr>
        <w:t xml:space="preserve"> regarding potential interference to channel 10, PTC applicants intending to operate in the AMTS band should briefly explain </w:t>
      </w:r>
      <w:r w:rsidR="00F4104E">
        <w:rPr>
          <w:sz w:val="22"/>
          <w:szCs w:val="22"/>
        </w:rPr>
        <w:t xml:space="preserve">[1] </w:t>
      </w:r>
      <w:r w:rsidRPr="0068040E">
        <w:rPr>
          <w:sz w:val="22"/>
          <w:szCs w:val="22"/>
        </w:rPr>
        <w:t xml:space="preserve">that the transition to digital TV results in a lack of criteria to assess potential interference to channel 10, </w:t>
      </w:r>
      <w:r w:rsidR="00F4104E">
        <w:rPr>
          <w:sz w:val="22"/>
          <w:szCs w:val="22"/>
        </w:rPr>
        <w:t xml:space="preserve">[2] </w:t>
      </w:r>
      <w:r w:rsidRPr="0068040E">
        <w:rPr>
          <w:sz w:val="22"/>
          <w:szCs w:val="22"/>
        </w:rPr>
        <w:t xml:space="preserve">that harmful interference to TV Channel 10 is unlikely, and </w:t>
      </w:r>
      <w:r w:rsidR="00F4104E">
        <w:rPr>
          <w:sz w:val="22"/>
          <w:szCs w:val="22"/>
        </w:rPr>
        <w:t xml:space="preserve">[3] </w:t>
      </w:r>
      <w:r w:rsidRPr="0068040E">
        <w:rPr>
          <w:sz w:val="22"/>
          <w:szCs w:val="22"/>
        </w:rPr>
        <w:t>that if such interference is caused by PTC operations, it will be cured at the applicant’s expense.”</w:t>
      </w:r>
      <w:r>
        <w:rPr>
          <w:rStyle w:val="FootnoteReference"/>
          <w:sz w:val="22"/>
          <w:szCs w:val="22"/>
        </w:rPr>
        <w:footnoteReference w:id="94"/>
      </w:r>
    </w:p>
    <w:p w:rsidR="00477A8C" w:rsidP="004B2EBD" w14:paraId="41A58B48" w14:textId="77777777">
      <w:pPr>
        <w:ind w:firstLine="720"/>
        <w:rPr>
          <w:sz w:val="22"/>
          <w:szCs w:val="22"/>
        </w:rPr>
      </w:pPr>
    </w:p>
    <w:p w:rsidR="00477A8C" w:rsidRPr="00714CD1" w:rsidP="004B2EBD" w14:paraId="6E8F9120" w14:textId="1BA84014">
      <w:pPr>
        <w:ind w:firstLine="720"/>
        <w:rPr>
          <w:sz w:val="22"/>
          <w:szCs w:val="22"/>
        </w:rPr>
      </w:pPr>
      <w:r>
        <w:rPr>
          <w:sz w:val="22"/>
          <w:szCs w:val="22"/>
        </w:rPr>
        <w:t>C</w:t>
      </w:r>
      <w:r w:rsidRPr="00714CD1">
        <w:rPr>
          <w:sz w:val="22"/>
          <w:szCs w:val="22"/>
        </w:rPr>
        <w:t xml:space="preserve">onsistent with </w:t>
      </w:r>
      <w:r>
        <w:rPr>
          <w:sz w:val="22"/>
          <w:szCs w:val="22"/>
        </w:rPr>
        <w:t xml:space="preserve">the requirements of </w:t>
      </w:r>
      <w:r w:rsidRPr="00714CD1">
        <w:rPr>
          <w:sz w:val="22"/>
          <w:szCs w:val="22"/>
        </w:rPr>
        <w:t xml:space="preserve">OET-74 Supplement A, </w:t>
      </w:r>
      <w:r>
        <w:rPr>
          <w:sz w:val="22"/>
          <w:szCs w:val="22"/>
        </w:rPr>
        <w:t xml:space="preserve">RF Networks states that </w:t>
      </w:r>
      <w:r w:rsidRPr="00714CD1">
        <w:rPr>
          <w:sz w:val="22"/>
          <w:szCs w:val="22"/>
        </w:rPr>
        <w:t>“[t]he transition from analog to digital TV resulted in a lack of criteria to assess potential interference to channel 10</w:t>
      </w:r>
      <w:r>
        <w:rPr>
          <w:sz w:val="22"/>
          <w:szCs w:val="22"/>
        </w:rPr>
        <w:t>,</w:t>
      </w:r>
      <w:r w:rsidRPr="00714CD1">
        <w:rPr>
          <w:sz w:val="22"/>
          <w:szCs w:val="22"/>
        </w:rPr>
        <w:t>”</w:t>
      </w:r>
      <w:bookmarkStart w:id="14" w:name="_Hlk526258032"/>
      <w:r>
        <w:rPr>
          <w:rStyle w:val="FootnoteReference"/>
          <w:sz w:val="22"/>
          <w:szCs w:val="22"/>
        </w:rPr>
        <w:footnoteReference w:id="95"/>
      </w:r>
      <w:bookmarkEnd w:id="14"/>
      <w:r>
        <w:rPr>
          <w:sz w:val="22"/>
          <w:szCs w:val="22"/>
        </w:rPr>
        <w:t xml:space="preserve"> and that</w:t>
      </w:r>
      <w:r w:rsidRPr="00714CD1">
        <w:rPr>
          <w:sz w:val="22"/>
          <w:szCs w:val="22"/>
        </w:rPr>
        <w:t xml:space="preserve"> </w:t>
      </w:r>
      <w:r w:rsidR="00020AFA">
        <w:rPr>
          <w:sz w:val="22"/>
          <w:szCs w:val="22"/>
        </w:rPr>
        <w:t xml:space="preserve">in any event </w:t>
      </w:r>
      <w:r w:rsidRPr="00714CD1">
        <w:rPr>
          <w:sz w:val="22"/>
          <w:szCs w:val="22"/>
        </w:rPr>
        <w:t xml:space="preserve">harmful interference to TV Channel 10 is </w:t>
      </w:r>
      <w:r w:rsidRPr="00714CD1">
        <w:rPr>
          <w:sz w:val="22"/>
          <w:szCs w:val="22"/>
        </w:rPr>
        <w:t>not likely</w:t>
      </w:r>
      <w:r w:rsidRPr="00714CD1">
        <w:rPr>
          <w:sz w:val="22"/>
          <w:szCs w:val="22"/>
        </w:rPr>
        <w:t>.</w:t>
      </w:r>
      <w:r>
        <w:rPr>
          <w:rStyle w:val="FootnoteReference"/>
          <w:sz w:val="22"/>
          <w:szCs w:val="22"/>
        </w:rPr>
        <w:footnoteReference w:id="96"/>
      </w:r>
      <w:r w:rsidRPr="00714CD1">
        <w:rPr>
          <w:sz w:val="22"/>
          <w:szCs w:val="22"/>
        </w:rPr>
        <w:t xml:space="preserve">  </w:t>
      </w:r>
      <w:r w:rsidR="00020AFA">
        <w:rPr>
          <w:sz w:val="22"/>
          <w:szCs w:val="22"/>
        </w:rPr>
        <w:t xml:space="preserve">Further, </w:t>
      </w:r>
      <w:r w:rsidRPr="00714CD1">
        <w:rPr>
          <w:sz w:val="22"/>
          <w:szCs w:val="22"/>
        </w:rPr>
        <w:t xml:space="preserve">SCRRA </w:t>
      </w:r>
      <w:r>
        <w:rPr>
          <w:sz w:val="22"/>
          <w:szCs w:val="22"/>
        </w:rPr>
        <w:t xml:space="preserve">acknowledges that it </w:t>
      </w:r>
      <w:r w:rsidRPr="00714CD1">
        <w:rPr>
          <w:sz w:val="22"/>
          <w:szCs w:val="22"/>
        </w:rPr>
        <w:t xml:space="preserve">is responsible for avoiding interference to viewers of </w:t>
      </w:r>
      <w:r>
        <w:rPr>
          <w:sz w:val="22"/>
          <w:szCs w:val="22"/>
        </w:rPr>
        <w:t xml:space="preserve">OTA television </w:t>
      </w:r>
      <w:r w:rsidRPr="00714CD1">
        <w:rPr>
          <w:sz w:val="22"/>
          <w:szCs w:val="22"/>
        </w:rPr>
        <w:t>stations</w:t>
      </w:r>
      <w:r>
        <w:rPr>
          <w:sz w:val="22"/>
          <w:szCs w:val="22"/>
        </w:rPr>
        <w:t xml:space="preserve"> at its own expense</w:t>
      </w:r>
      <w:r w:rsidRPr="00714CD1">
        <w:rPr>
          <w:sz w:val="22"/>
          <w:szCs w:val="22"/>
        </w:rPr>
        <w:t>.</w:t>
      </w:r>
      <w:r>
        <w:rPr>
          <w:rStyle w:val="FootnoteReference"/>
          <w:sz w:val="22"/>
          <w:szCs w:val="22"/>
        </w:rPr>
        <w:footnoteReference w:id="97"/>
      </w:r>
      <w:r w:rsidRPr="00714CD1">
        <w:rPr>
          <w:sz w:val="22"/>
          <w:szCs w:val="22"/>
        </w:rPr>
        <w:t xml:space="preserve">  We</w:t>
      </w:r>
      <w:r w:rsidR="00E14804">
        <w:rPr>
          <w:sz w:val="22"/>
          <w:szCs w:val="22"/>
        </w:rPr>
        <w:t xml:space="preserve"> </w:t>
      </w:r>
      <w:r w:rsidR="00020AFA">
        <w:rPr>
          <w:sz w:val="22"/>
          <w:szCs w:val="22"/>
        </w:rPr>
        <w:t>agree</w:t>
      </w:r>
      <w:r w:rsidR="00E14804">
        <w:rPr>
          <w:sz w:val="22"/>
          <w:szCs w:val="22"/>
        </w:rPr>
        <w:t xml:space="preserve"> </w:t>
      </w:r>
      <w:r w:rsidRPr="00714CD1">
        <w:rPr>
          <w:sz w:val="22"/>
          <w:szCs w:val="22"/>
        </w:rPr>
        <w:t>that RF Networks properly excluded channel 10 stations from the interference analysis.</w:t>
      </w:r>
      <w:r>
        <w:rPr>
          <w:sz w:val="22"/>
          <w:szCs w:val="22"/>
        </w:rPr>
        <w:t xml:space="preserve">  </w:t>
      </w:r>
      <w:r w:rsidRPr="00714CD1">
        <w:rPr>
          <w:sz w:val="22"/>
          <w:szCs w:val="22"/>
        </w:rPr>
        <w:t>We emphasize</w:t>
      </w:r>
      <w:r w:rsidR="00020AFA">
        <w:rPr>
          <w:sz w:val="22"/>
          <w:szCs w:val="22"/>
        </w:rPr>
        <w:t>, however,</w:t>
      </w:r>
      <w:r w:rsidRPr="00714CD1">
        <w:rPr>
          <w:sz w:val="22"/>
          <w:szCs w:val="22"/>
        </w:rPr>
        <w:t xml:space="preserve"> that if </w:t>
      </w:r>
      <w:r>
        <w:rPr>
          <w:sz w:val="22"/>
          <w:szCs w:val="22"/>
        </w:rPr>
        <w:t xml:space="preserve">SCRRA’s </w:t>
      </w:r>
      <w:r w:rsidRPr="00714CD1">
        <w:rPr>
          <w:sz w:val="22"/>
          <w:szCs w:val="22"/>
        </w:rPr>
        <w:t>PTC operations were to interfere with OTA reception of a</w:t>
      </w:r>
      <w:r>
        <w:rPr>
          <w:sz w:val="22"/>
          <w:szCs w:val="22"/>
        </w:rPr>
        <w:t>ny</w:t>
      </w:r>
      <w:r w:rsidRPr="00714CD1">
        <w:rPr>
          <w:sz w:val="22"/>
          <w:szCs w:val="22"/>
        </w:rPr>
        <w:t xml:space="preserve"> channel 10 station, SCRRA must remediate such interference at its own expense as required by </w:t>
      </w:r>
      <w:r w:rsidR="008714B3">
        <w:rPr>
          <w:sz w:val="22"/>
          <w:szCs w:val="22"/>
        </w:rPr>
        <w:t>s</w:t>
      </w:r>
      <w:r w:rsidRPr="00714CD1">
        <w:rPr>
          <w:sz w:val="22"/>
          <w:szCs w:val="22"/>
        </w:rPr>
        <w:t>ection 80.215(h)(4)</w:t>
      </w:r>
      <w:r w:rsidRPr="005A7BDE" w:rsidR="005A7BDE">
        <w:rPr>
          <w:rStyle w:val="FootnoteReference"/>
          <w:sz w:val="22"/>
          <w:szCs w:val="22"/>
        </w:rPr>
        <w:t xml:space="preserve"> </w:t>
      </w:r>
      <w:r>
        <w:rPr>
          <w:rStyle w:val="FootnoteReference"/>
          <w:sz w:val="22"/>
          <w:szCs w:val="22"/>
        </w:rPr>
        <w:footnoteReference w:id="98"/>
      </w:r>
      <w:r w:rsidRPr="00714CD1">
        <w:rPr>
          <w:sz w:val="22"/>
          <w:szCs w:val="22"/>
        </w:rPr>
        <w:t xml:space="preserve"> and the interference mitigation conditions we adopt below.</w:t>
      </w:r>
    </w:p>
    <w:p w:rsidR="00477A8C" w:rsidRPr="00714CD1" w:rsidP="004B2EBD" w14:paraId="14BF6426" w14:textId="77777777">
      <w:pPr>
        <w:ind w:firstLine="720"/>
        <w:rPr>
          <w:sz w:val="22"/>
          <w:szCs w:val="22"/>
        </w:rPr>
      </w:pPr>
    </w:p>
    <w:p w:rsidR="00477A8C" w:rsidRPr="00714CD1" w:rsidP="004B2EBD" w14:paraId="0D71D276" w14:textId="77777777">
      <w:pPr>
        <w:ind w:firstLine="720"/>
        <w:rPr>
          <w:sz w:val="22"/>
          <w:szCs w:val="22"/>
        </w:rPr>
      </w:pPr>
      <w:r w:rsidRPr="00714CD1">
        <w:rPr>
          <w:i/>
          <w:sz w:val="22"/>
          <w:szCs w:val="22"/>
        </w:rPr>
        <w:t>Channel 13 Broadcast Stations</w:t>
      </w:r>
      <w:r w:rsidRPr="00714CD1">
        <w:rPr>
          <w:sz w:val="22"/>
          <w:szCs w:val="22"/>
        </w:rPr>
        <w:t>.  RF Networks applied the Longley-Rice radio propagation model</w:t>
      </w:r>
      <w:r>
        <w:rPr>
          <w:rStyle w:val="FootnoteReference"/>
          <w:sz w:val="22"/>
          <w:szCs w:val="22"/>
        </w:rPr>
        <w:footnoteReference w:id="99"/>
      </w:r>
      <w:r w:rsidRPr="00714CD1">
        <w:rPr>
          <w:sz w:val="22"/>
          <w:szCs w:val="22"/>
        </w:rPr>
        <w:t xml:space="preserve"> to predict the number of television households that potentially could be affected by </w:t>
      </w:r>
      <w:r>
        <w:rPr>
          <w:sz w:val="22"/>
          <w:szCs w:val="22"/>
        </w:rPr>
        <w:t xml:space="preserve">the proposed </w:t>
      </w:r>
      <w:r w:rsidRPr="00714CD1">
        <w:rPr>
          <w:sz w:val="22"/>
          <w:szCs w:val="22"/>
        </w:rPr>
        <w:t>operation of PTC base and wayside radio stations.</w:t>
      </w:r>
      <w:r>
        <w:rPr>
          <w:rStyle w:val="FootnoteReference"/>
          <w:sz w:val="22"/>
          <w:szCs w:val="22"/>
        </w:rPr>
        <w:footnoteReference w:id="100"/>
      </w:r>
      <w:r w:rsidRPr="00714CD1">
        <w:rPr>
          <w:sz w:val="22"/>
          <w:szCs w:val="22"/>
        </w:rPr>
        <w:t xml:space="preserve">  RF Networks </w:t>
      </w:r>
      <w:r>
        <w:rPr>
          <w:sz w:val="22"/>
          <w:szCs w:val="22"/>
        </w:rPr>
        <w:t>states that, c</w:t>
      </w:r>
      <w:r w:rsidRPr="00714CD1">
        <w:rPr>
          <w:sz w:val="22"/>
          <w:szCs w:val="22"/>
        </w:rPr>
        <w:t xml:space="preserve">onsistent with OET-74 and OET-74 Supplement A, </w:t>
      </w:r>
      <w:r>
        <w:rPr>
          <w:sz w:val="22"/>
          <w:szCs w:val="22"/>
        </w:rPr>
        <w:t xml:space="preserve">it </w:t>
      </w:r>
      <w:r w:rsidRPr="00714CD1">
        <w:rPr>
          <w:sz w:val="22"/>
          <w:szCs w:val="22"/>
        </w:rPr>
        <w:t>calculated the number of potentially affected channel 13 households using a threshold d</w:t>
      </w:r>
      <w:r w:rsidRPr="00714CD1">
        <w:rPr>
          <w:iCs/>
          <w:sz w:val="22"/>
          <w:szCs w:val="22"/>
        </w:rPr>
        <w:t xml:space="preserve">esired/undesired (D/U) signal </w:t>
      </w:r>
      <w:r w:rsidRPr="00714CD1">
        <w:rPr>
          <w:sz w:val="22"/>
          <w:szCs w:val="22"/>
        </w:rPr>
        <w:t>ratio of -33 dB.</w:t>
      </w:r>
      <w:r>
        <w:rPr>
          <w:rStyle w:val="FootnoteReference"/>
          <w:sz w:val="22"/>
          <w:szCs w:val="22"/>
        </w:rPr>
        <w:footnoteReference w:id="101"/>
      </w:r>
    </w:p>
    <w:p w:rsidR="00477A8C" w:rsidRPr="00714CD1" w:rsidP="004B2EBD" w14:paraId="62A3A55F" w14:textId="77777777">
      <w:pPr>
        <w:ind w:firstLine="720"/>
        <w:rPr>
          <w:sz w:val="22"/>
          <w:szCs w:val="22"/>
        </w:rPr>
      </w:pPr>
    </w:p>
    <w:p w:rsidR="00477A8C" w:rsidRPr="00714CD1" w:rsidP="004B2EBD" w14:paraId="3B0C29AB" w14:textId="77777777">
      <w:pPr>
        <w:ind w:firstLine="720"/>
        <w:rPr>
          <w:b/>
          <w:bCs/>
          <w:sz w:val="22"/>
          <w:szCs w:val="22"/>
        </w:rPr>
      </w:pPr>
      <w:r>
        <w:rPr>
          <w:sz w:val="22"/>
          <w:szCs w:val="22"/>
        </w:rPr>
        <w:t>RF Networks</w:t>
      </w:r>
      <w:r w:rsidRPr="00714CD1">
        <w:rPr>
          <w:sz w:val="22"/>
          <w:szCs w:val="22"/>
        </w:rPr>
        <w:t xml:space="preserve"> use</w:t>
      </w:r>
      <w:r>
        <w:rPr>
          <w:sz w:val="22"/>
          <w:szCs w:val="22"/>
        </w:rPr>
        <w:t>d</w:t>
      </w:r>
      <w:r w:rsidRPr="00714CD1">
        <w:rPr>
          <w:sz w:val="22"/>
          <w:szCs w:val="22"/>
        </w:rPr>
        <w:t xml:space="preserve"> a matrix of square tiles (two kilometers per side) for full power channel 13 station KCOP-TV, Los Angeles, California, to identify the tiles with insufficient </w:t>
      </w:r>
      <w:r w:rsidRPr="00714CD1">
        <w:rPr>
          <w:iCs/>
          <w:sz w:val="22"/>
          <w:szCs w:val="22"/>
        </w:rPr>
        <w:t>D/U ratio</w:t>
      </w:r>
      <w:r w:rsidRPr="00714CD1">
        <w:rPr>
          <w:sz w:val="22"/>
          <w:szCs w:val="22"/>
        </w:rPr>
        <w:t xml:space="preserve"> inside the television station’s service area and the number of potential households within those tiles that potentially could be affected by the proposed PTC operations.</w:t>
      </w:r>
      <w:r>
        <w:rPr>
          <w:rStyle w:val="FootnoteReference"/>
          <w:sz w:val="22"/>
          <w:szCs w:val="22"/>
        </w:rPr>
        <w:footnoteReference w:id="102"/>
      </w:r>
      <w:r w:rsidRPr="00714CD1">
        <w:rPr>
          <w:sz w:val="22"/>
          <w:szCs w:val="22"/>
        </w:rPr>
        <w:t xml:space="preserve"> </w:t>
      </w:r>
      <w:bookmarkStart w:id="15" w:name="_Hlk528050977"/>
      <w:r w:rsidRPr="00714CD1">
        <w:rPr>
          <w:sz w:val="22"/>
          <w:szCs w:val="22"/>
        </w:rPr>
        <w:t xml:space="preserve"> RF Networks </w:t>
      </w:r>
      <w:bookmarkEnd w:id="15"/>
      <w:r w:rsidRPr="00714CD1">
        <w:rPr>
          <w:sz w:val="22"/>
          <w:szCs w:val="22"/>
        </w:rPr>
        <w:t xml:space="preserve">predicts that of the approximately 5,813,939 households in the study area, the proposed operation of 17 base and 546 wayside radio stations would, in the aggregate, have the potential to impact up to 101,038 households (1.73 percent of all households), before </w:t>
      </w:r>
      <w:r>
        <w:rPr>
          <w:sz w:val="22"/>
          <w:szCs w:val="22"/>
        </w:rPr>
        <w:t xml:space="preserve">undertaking </w:t>
      </w:r>
      <w:r w:rsidRPr="00714CD1">
        <w:rPr>
          <w:sz w:val="22"/>
          <w:szCs w:val="22"/>
        </w:rPr>
        <w:t>interference mitigation measures.</w:t>
      </w:r>
      <w:r>
        <w:rPr>
          <w:rStyle w:val="FootnoteReference"/>
          <w:sz w:val="22"/>
          <w:szCs w:val="22"/>
        </w:rPr>
        <w:footnoteReference w:id="103"/>
      </w:r>
      <w:r w:rsidRPr="00714CD1">
        <w:rPr>
          <w:sz w:val="22"/>
          <w:szCs w:val="22"/>
        </w:rPr>
        <w:t xml:space="preserve"> </w:t>
      </w:r>
      <w:r w:rsidRPr="00714CD1">
        <w:rPr>
          <w:sz w:val="22"/>
          <w:szCs w:val="22"/>
          <w:highlight w:val="yellow"/>
        </w:rPr>
        <w:t xml:space="preserve">  </w:t>
      </w:r>
    </w:p>
    <w:p w:rsidR="00477A8C" w:rsidRPr="00714CD1" w:rsidP="004B2EBD" w14:paraId="5CA75E22" w14:textId="77777777">
      <w:pPr>
        <w:ind w:firstLine="720"/>
        <w:rPr>
          <w:sz w:val="22"/>
          <w:szCs w:val="22"/>
        </w:rPr>
      </w:pPr>
    </w:p>
    <w:p w:rsidR="00477A8C" w:rsidRPr="00714CD1" w:rsidP="004B2EBD" w14:paraId="1BD33677" w14:textId="00CCE1CA">
      <w:pPr>
        <w:ind w:firstLine="720"/>
        <w:rPr>
          <w:sz w:val="22"/>
          <w:szCs w:val="22"/>
        </w:rPr>
      </w:pPr>
      <w:r w:rsidRPr="00714CD1">
        <w:rPr>
          <w:sz w:val="22"/>
          <w:szCs w:val="22"/>
        </w:rPr>
        <w:t xml:space="preserve">Section 80.215(h)(3) provides </w:t>
      </w:r>
      <w:r w:rsidRPr="009264D3" w:rsidR="009264D3">
        <w:rPr>
          <w:sz w:val="22"/>
          <w:szCs w:val="22"/>
        </w:rPr>
        <w:t xml:space="preserve">for authorization of an AMTS station where </w:t>
      </w:r>
      <w:r w:rsidR="00AC684F">
        <w:rPr>
          <w:sz w:val="22"/>
          <w:szCs w:val="22"/>
        </w:rPr>
        <w:t xml:space="preserve">a licensee </w:t>
      </w:r>
      <w:r w:rsidRPr="009264D3" w:rsidR="009264D3">
        <w:rPr>
          <w:sz w:val="22"/>
          <w:szCs w:val="22"/>
        </w:rPr>
        <w:t>show</w:t>
      </w:r>
      <w:r w:rsidR="00AC684F">
        <w:rPr>
          <w:sz w:val="22"/>
          <w:szCs w:val="22"/>
        </w:rPr>
        <w:t>s</w:t>
      </w:r>
      <w:r w:rsidRPr="009264D3" w:rsidR="009264D3">
        <w:rPr>
          <w:sz w:val="22"/>
          <w:szCs w:val="22"/>
        </w:rPr>
        <w:t xml:space="preserve"> that fewer than 100 households </w:t>
      </w:r>
      <w:r w:rsidR="009264D3">
        <w:rPr>
          <w:sz w:val="22"/>
          <w:szCs w:val="22"/>
        </w:rPr>
        <w:t>would be impacted by its operation.</w:t>
      </w:r>
      <w:r>
        <w:rPr>
          <w:rStyle w:val="FootnoteReference"/>
          <w:sz w:val="22"/>
          <w:szCs w:val="22"/>
        </w:rPr>
        <w:footnoteReference w:id="104"/>
      </w:r>
      <w:r w:rsidR="009264D3">
        <w:rPr>
          <w:sz w:val="22"/>
          <w:szCs w:val="22"/>
        </w:rPr>
        <w:t xml:space="preserve">  </w:t>
      </w:r>
      <w:r w:rsidR="00AC684F">
        <w:rPr>
          <w:sz w:val="22"/>
          <w:szCs w:val="22"/>
        </w:rPr>
        <w:t>As explained below, a license must satisfy three requirements to obtain a</w:t>
      </w:r>
      <w:r w:rsidR="009264D3">
        <w:rPr>
          <w:sz w:val="22"/>
          <w:szCs w:val="22"/>
        </w:rPr>
        <w:t xml:space="preserve">uthorization of </w:t>
      </w:r>
      <w:r w:rsidR="005520E7">
        <w:rPr>
          <w:sz w:val="22"/>
          <w:szCs w:val="22"/>
        </w:rPr>
        <w:t xml:space="preserve">a </w:t>
      </w:r>
      <w:r w:rsidR="009264D3">
        <w:rPr>
          <w:sz w:val="22"/>
          <w:szCs w:val="22"/>
        </w:rPr>
        <w:t xml:space="preserve">station that </w:t>
      </w:r>
      <w:r w:rsidRPr="00714CD1">
        <w:rPr>
          <w:sz w:val="22"/>
          <w:szCs w:val="22"/>
        </w:rPr>
        <w:t xml:space="preserve">potentially </w:t>
      </w:r>
      <w:r w:rsidR="005520E7">
        <w:rPr>
          <w:sz w:val="22"/>
          <w:szCs w:val="22"/>
        </w:rPr>
        <w:t xml:space="preserve">would impact </w:t>
      </w:r>
      <w:r w:rsidR="003A106F">
        <w:rPr>
          <w:sz w:val="22"/>
          <w:szCs w:val="22"/>
        </w:rPr>
        <w:t xml:space="preserve">more than 100 </w:t>
      </w:r>
      <w:r w:rsidR="003A106F">
        <w:rPr>
          <w:sz w:val="22"/>
          <w:szCs w:val="22"/>
        </w:rPr>
        <w:t>households</w:t>
      </w:r>
      <w:r w:rsidR="009264D3">
        <w:rPr>
          <w:sz w:val="22"/>
          <w:szCs w:val="22"/>
        </w:rPr>
        <w:t>.</w:t>
      </w:r>
      <w:r>
        <w:rPr>
          <w:rStyle w:val="FootnoteReference"/>
          <w:sz w:val="22"/>
          <w:szCs w:val="22"/>
        </w:rPr>
        <w:footnoteReference w:id="105"/>
      </w:r>
      <w:r w:rsidRPr="00714CD1">
        <w:rPr>
          <w:sz w:val="22"/>
          <w:szCs w:val="22"/>
        </w:rPr>
        <w:t xml:space="preserve"> </w:t>
      </w:r>
      <w:r w:rsidR="00AC684F">
        <w:rPr>
          <w:sz w:val="22"/>
          <w:szCs w:val="22"/>
        </w:rPr>
        <w:t xml:space="preserve"> </w:t>
      </w:r>
      <w:r w:rsidR="005A7BDE">
        <w:rPr>
          <w:sz w:val="22"/>
          <w:szCs w:val="22"/>
        </w:rPr>
        <w:t xml:space="preserve">Rather than </w:t>
      </w:r>
      <w:r w:rsidRPr="00714CD1">
        <w:rPr>
          <w:sz w:val="22"/>
          <w:szCs w:val="22"/>
        </w:rPr>
        <w:t>provid</w:t>
      </w:r>
      <w:r w:rsidR="005A7BDE">
        <w:rPr>
          <w:sz w:val="22"/>
          <w:szCs w:val="22"/>
        </w:rPr>
        <w:t xml:space="preserve">ing </w:t>
      </w:r>
      <w:r w:rsidRPr="00714CD1">
        <w:rPr>
          <w:sz w:val="22"/>
          <w:szCs w:val="22"/>
        </w:rPr>
        <w:t xml:space="preserve">data </w:t>
      </w:r>
      <w:r w:rsidR="005A7BDE">
        <w:rPr>
          <w:sz w:val="22"/>
          <w:szCs w:val="22"/>
        </w:rPr>
        <w:t>for each station, SCR</w:t>
      </w:r>
      <w:r w:rsidRPr="005A7BDE" w:rsidR="005A7BDE">
        <w:rPr>
          <w:sz w:val="22"/>
          <w:szCs w:val="22"/>
        </w:rPr>
        <w:t>RA</w:t>
      </w:r>
      <w:r w:rsidRPr="005A7BDE">
        <w:rPr>
          <w:sz w:val="22"/>
          <w:szCs w:val="22"/>
        </w:rPr>
        <w:t xml:space="preserve"> has chosen to aggregate the data</w:t>
      </w:r>
      <w:r w:rsidRPr="005A7BDE" w:rsidR="005A7BDE">
        <w:rPr>
          <w:sz w:val="22"/>
          <w:szCs w:val="22"/>
        </w:rPr>
        <w:t xml:space="preserve"> for</w:t>
      </w:r>
      <w:r w:rsidR="005A7BDE">
        <w:rPr>
          <w:sz w:val="22"/>
          <w:szCs w:val="22"/>
        </w:rPr>
        <w:t xml:space="preserve"> all stations</w:t>
      </w:r>
      <w:r w:rsidRPr="00714CD1">
        <w:rPr>
          <w:sz w:val="22"/>
          <w:szCs w:val="22"/>
        </w:rPr>
        <w:t>.</w:t>
      </w:r>
      <w:r>
        <w:rPr>
          <w:rStyle w:val="FootnoteReference"/>
          <w:sz w:val="22"/>
          <w:szCs w:val="22"/>
        </w:rPr>
        <w:footnoteReference w:id="106"/>
      </w:r>
      <w:r w:rsidRPr="00714CD1">
        <w:rPr>
          <w:sz w:val="22"/>
          <w:szCs w:val="22"/>
        </w:rPr>
        <w:t xml:space="preserve">  </w:t>
      </w:r>
      <w:r>
        <w:rPr>
          <w:sz w:val="22"/>
          <w:szCs w:val="22"/>
        </w:rPr>
        <w:t>Given this aggregation, t</w:t>
      </w:r>
      <w:r w:rsidRPr="00714CD1">
        <w:rPr>
          <w:sz w:val="22"/>
          <w:szCs w:val="22"/>
        </w:rPr>
        <w:t>o analyze the potential impact on KCOP-TV households, we will assume for th</w:t>
      </w:r>
      <w:r>
        <w:rPr>
          <w:sz w:val="22"/>
          <w:szCs w:val="22"/>
        </w:rPr>
        <w:t>is</w:t>
      </w:r>
      <w:r w:rsidRPr="00714CD1">
        <w:rPr>
          <w:sz w:val="22"/>
          <w:szCs w:val="22"/>
        </w:rPr>
        <w:t xml:space="preserve"> s</w:t>
      </w:r>
      <w:r>
        <w:rPr>
          <w:sz w:val="22"/>
          <w:szCs w:val="22"/>
        </w:rPr>
        <w:t>pecific</w:t>
      </w:r>
      <w:r w:rsidRPr="00714CD1">
        <w:rPr>
          <w:sz w:val="22"/>
          <w:szCs w:val="22"/>
        </w:rPr>
        <w:t xml:space="preserve"> analysis that each station has the potential to impact more than 100 TV households.</w:t>
      </w:r>
    </w:p>
    <w:p w:rsidR="00477A8C" w:rsidRPr="00714CD1" w:rsidP="004B2EBD" w14:paraId="10DD2D3A" w14:textId="77777777">
      <w:pPr>
        <w:ind w:firstLine="720"/>
        <w:rPr>
          <w:sz w:val="22"/>
          <w:szCs w:val="22"/>
        </w:rPr>
      </w:pPr>
      <w:bookmarkStart w:id="16" w:name="_Hlk524695859"/>
    </w:p>
    <w:p w:rsidR="00477A8C" w:rsidRPr="00714CD1" w:rsidP="004B2EBD" w14:paraId="101CD42D" w14:textId="51DEFD3A">
      <w:pPr>
        <w:ind w:firstLine="720"/>
        <w:rPr>
          <w:sz w:val="22"/>
          <w:szCs w:val="22"/>
        </w:rPr>
      </w:pPr>
      <w:r w:rsidRPr="00714CD1">
        <w:rPr>
          <w:sz w:val="22"/>
          <w:szCs w:val="22"/>
        </w:rPr>
        <w:t xml:space="preserve">RF Networks predicts that the aggregate transmissions of 17 base and 546 wayside radio stations have the potential to affect 101,038 </w:t>
      </w:r>
      <w:bookmarkStart w:id="17" w:name="_Hlk53650946"/>
      <w:r w:rsidRPr="00714CD1">
        <w:rPr>
          <w:sz w:val="22"/>
          <w:szCs w:val="22"/>
        </w:rPr>
        <w:t xml:space="preserve">KCOP-TV </w:t>
      </w:r>
      <w:bookmarkEnd w:id="17"/>
      <w:r w:rsidRPr="00714CD1">
        <w:rPr>
          <w:sz w:val="22"/>
          <w:szCs w:val="22"/>
        </w:rPr>
        <w:t>households.</w:t>
      </w:r>
      <w:r>
        <w:rPr>
          <w:rStyle w:val="FootnoteReference"/>
          <w:sz w:val="22"/>
          <w:szCs w:val="22"/>
        </w:rPr>
        <w:footnoteReference w:id="107"/>
      </w:r>
      <w:r w:rsidRPr="00714CD1">
        <w:rPr>
          <w:sz w:val="22"/>
          <w:szCs w:val="22"/>
        </w:rPr>
        <w:t xml:space="preserve">  Under </w:t>
      </w:r>
      <w:r w:rsidR="005F0FA2">
        <w:rPr>
          <w:sz w:val="22"/>
          <w:szCs w:val="22"/>
        </w:rPr>
        <w:t>s</w:t>
      </w:r>
      <w:r w:rsidRPr="00714CD1">
        <w:rPr>
          <w:sz w:val="22"/>
          <w:szCs w:val="22"/>
        </w:rPr>
        <w:t xml:space="preserve">ection 80.215(h)(3)(i)-(iii), </w:t>
      </w:r>
      <w:bookmarkEnd w:id="16"/>
      <w:r>
        <w:rPr>
          <w:sz w:val="22"/>
          <w:szCs w:val="22"/>
        </w:rPr>
        <w:t>the Commission</w:t>
      </w:r>
      <w:r w:rsidRPr="00714CD1">
        <w:rPr>
          <w:sz w:val="22"/>
          <w:szCs w:val="22"/>
        </w:rPr>
        <w:t xml:space="preserve"> may approve an AMTS base station where 100 or more households are within the interference contour of that station and a television station’s analog Grade B contour (here, RF Networks used station KCOP-TV’s noise-limited service contour),</w:t>
      </w:r>
      <w:r>
        <w:rPr>
          <w:rStyle w:val="FootnoteReference"/>
          <w:sz w:val="22"/>
          <w:szCs w:val="22"/>
        </w:rPr>
        <w:footnoteReference w:id="108"/>
      </w:r>
      <w:r w:rsidRPr="00714CD1">
        <w:rPr>
          <w:sz w:val="22"/>
          <w:szCs w:val="22"/>
        </w:rPr>
        <w:t xml:space="preserve"> provided the applicant: (1) shows that the proposed site is the only suitable location (at the application stage, it is sufficient to establish that the site is especially well-suited to provide the proposed service); (2) develops a plan to control any interference caused to TV reception from its operations; and (3) agrees to make adjustments to TV receivers to eliminate interference caused by its operations.</w:t>
      </w:r>
      <w:r>
        <w:rPr>
          <w:sz w:val="22"/>
          <w:szCs w:val="22"/>
          <w:vertAlign w:val="superscript"/>
        </w:rPr>
        <w:footnoteReference w:id="109"/>
      </w:r>
      <w:r w:rsidRPr="00714CD1">
        <w:rPr>
          <w:sz w:val="22"/>
          <w:szCs w:val="22"/>
        </w:rPr>
        <w:t xml:space="preserve">  </w:t>
      </w:r>
      <w:bookmarkStart w:id="19" w:name="_Hlk503368587"/>
      <w:r w:rsidRPr="00714CD1">
        <w:rPr>
          <w:sz w:val="22"/>
          <w:szCs w:val="22"/>
        </w:rPr>
        <w:t xml:space="preserve">We find that SCRRA has satisfied the three requirements of </w:t>
      </w:r>
      <w:r w:rsidR="005F0FA2">
        <w:rPr>
          <w:sz w:val="22"/>
          <w:szCs w:val="22"/>
        </w:rPr>
        <w:t>s</w:t>
      </w:r>
      <w:r w:rsidRPr="00714CD1">
        <w:rPr>
          <w:sz w:val="22"/>
          <w:szCs w:val="22"/>
        </w:rPr>
        <w:t xml:space="preserve">ection 80.215(h)(3)(i)-(iii) for licensing of the </w:t>
      </w:r>
      <w:r w:rsidR="003D1B4A">
        <w:rPr>
          <w:sz w:val="22"/>
          <w:szCs w:val="22"/>
        </w:rPr>
        <w:t xml:space="preserve">referenced </w:t>
      </w:r>
      <w:r w:rsidRPr="00714CD1">
        <w:rPr>
          <w:sz w:val="22"/>
          <w:szCs w:val="22"/>
        </w:rPr>
        <w:t>base and wayside radio stations.</w:t>
      </w:r>
    </w:p>
    <w:p w:rsidR="00477A8C" w:rsidRPr="00714CD1" w:rsidP="004B2EBD" w14:paraId="3D048E7A" w14:textId="77777777">
      <w:pPr>
        <w:ind w:firstLine="720"/>
        <w:rPr>
          <w:sz w:val="22"/>
          <w:szCs w:val="22"/>
        </w:rPr>
      </w:pPr>
    </w:p>
    <w:p w:rsidR="00477A8C" w:rsidRPr="00714CD1" w:rsidP="004B2EBD" w14:paraId="72DAA6C6" w14:textId="77777777">
      <w:pPr>
        <w:ind w:firstLine="720"/>
        <w:rPr>
          <w:sz w:val="22"/>
          <w:szCs w:val="22"/>
        </w:rPr>
      </w:pPr>
      <w:r w:rsidRPr="00714CD1">
        <w:rPr>
          <w:sz w:val="22"/>
          <w:szCs w:val="22"/>
        </w:rPr>
        <w:t xml:space="preserve"> First, SCRRA certifies that each of its “proposed base and wayside station locations . . . is especially well-suited to provide the proposed PTC service.</w:t>
      </w:r>
      <w:r>
        <w:rPr>
          <w:sz w:val="22"/>
          <w:szCs w:val="22"/>
        </w:rPr>
        <w:t>”</w:t>
      </w:r>
      <w:r>
        <w:rPr>
          <w:sz w:val="22"/>
          <w:szCs w:val="22"/>
          <w:vertAlign w:val="superscript"/>
        </w:rPr>
        <w:footnoteReference w:id="110"/>
      </w:r>
      <w:r w:rsidRPr="00714CD1">
        <w:rPr>
          <w:sz w:val="22"/>
          <w:szCs w:val="22"/>
        </w:rPr>
        <w:t xml:space="preserve">  SCRRA explains that “to provide continuous and reliable coverage, PTC wayside stations must be located at regular intervals along the rail line, and the base stations must be in locations that provide constant and reliable coverage of the wayside stations.”</w:t>
      </w:r>
      <w:r>
        <w:rPr>
          <w:sz w:val="22"/>
          <w:szCs w:val="22"/>
          <w:vertAlign w:val="superscript"/>
        </w:rPr>
        <w:footnoteReference w:id="111"/>
      </w:r>
      <w:r w:rsidRPr="00714CD1">
        <w:rPr>
          <w:sz w:val="22"/>
          <w:szCs w:val="22"/>
        </w:rPr>
        <w:t xml:space="preserve">  SCRRA states that its “ability to relocate PTC base and wayside stations to reduce potential interference is thus limited by necessary system design requirements, as well as by the challenging topography of Southern California and the proximate location of residences.”</w:t>
      </w:r>
      <w:r>
        <w:rPr>
          <w:sz w:val="22"/>
          <w:szCs w:val="22"/>
          <w:vertAlign w:val="superscript"/>
        </w:rPr>
        <w:footnoteReference w:id="112"/>
      </w:r>
    </w:p>
    <w:p w:rsidR="00477A8C" w:rsidRPr="00714CD1" w:rsidP="004B2EBD" w14:paraId="493CEC92" w14:textId="77777777">
      <w:pPr>
        <w:ind w:firstLine="720"/>
        <w:rPr>
          <w:sz w:val="22"/>
          <w:szCs w:val="22"/>
        </w:rPr>
      </w:pPr>
    </w:p>
    <w:p w:rsidR="00477A8C" w:rsidRPr="00714CD1" w:rsidP="004B2EBD" w14:paraId="414C7395" w14:textId="76F30308">
      <w:pPr>
        <w:ind w:firstLine="720"/>
        <w:rPr>
          <w:sz w:val="22"/>
          <w:szCs w:val="22"/>
        </w:rPr>
      </w:pPr>
      <w:r w:rsidRPr="00714CD1">
        <w:rPr>
          <w:sz w:val="22"/>
          <w:szCs w:val="22"/>
        </w:rPr>
        <w:t xml:space="preserve">Regarding the second and third requirements under </w:t>
      </w:r>
      <w:r w:rsidR="008714B3">
        <w:rPr>
          <w:sz w:val="22"/>
          <w:szCs w:val="22"/>
        </w:rPr>
        <w:t>s</w:t>
      </w:r>
      <w:r w:rsidRPr="00714CD1">
        <w:rPr>
          <w:sz w:val="22"/>
          <w:szCs w:val="22"/>
        </w:rPr>
        <w:t>ection 80.215(h)(3), SCRRA has developed a plan to mitigate potential interference (including free installation of notch filters if necessary)</w:t>
      </w:r>
      <w:r>
        <w:rPr>
          <w:rStyle w:val="FootnoteReference"/>
          <w:sz w:val="22"/>
          <w:szCs w:val="22"/>
        </w:rPr>
        <w:footnoteReference w:id="113"/>
      </w:r>
      <w:r w:rsidRPr="00714CD1">
        <w:rPr>
          <w:sz w:val="22"/>
          <w:szCs w:val="22"/>
        </w:rPr>
        <w:t xml:space="preserve"> for any </w:t>
      </w:r>
      <w:r w:rsidRPr="00714CD1">
        <w:rPr>
          <w:sz w:val="22"/>
          <w:szCs w:val="22"/>
        </w:rPr>
        <w:t>household experiencing interference to their OTA reception of a channel 10 or 13 station, which RF Networks predicts would eliminate potential interference to all households.</w:t>
      </w:r>
      <w:r>
        <w:rPr>
          <w:rStyle w:val="FootnoteReference"/>
          <w:sz w:val="22"/>
          <w:szCs w:val="22"/>
        </w:rPr>
        <w:footnoteReference w:id="114"/>
      </w:r>
      <w:r w:rsidRPr="00714CD1">
        <w:rPr>
          <w:sz w:val="22"/>
          <w:szCs w:val="22"/>
        </w:rPr>
        <w:t xml:space="preserve">  Accordingly, we find that SCRRA has satisfied the three requirements of </w:t>
      </w:r>
      <w:r w:rsidR="008714B3">
        <w:rPr>
          <w:sz w:val="22"/>
          <w:szCs w:val="22"/>
        </w:rPr>
        <w:t>s</w:t>
      </w:r>
      <w:r w:rsidRPr="00714CD1">
        <w:rPr>
          <w:sz w:val="22"/>
          <w:szCs w:val="22"/>
        </w:rPr>
        <w:t>ection 80.215(h)(3)(i)-(iii) and hereby grant it</w:t>
      </w:r>
      <w:r>
        <w:rPr>
          <w:sz w:val="22"/>
          <w:szCs w:val="22"/>
        </w:rPr>
        <w:t>s</w:t>
      </w:r>
      <w:r w:rsidRPr="00714CD1">
        <w:rPr>
          <w:sz w:val="22"/>
          <w:szCs w:val="22"/>
        </w:rPr>
        <w:t xml:space="preserve"> </w:t>
      </w:r>
      <w:r>
        <w:rPr>
          <w:sz w:val="22"/>
          <w:szCs w:val="22"/>
        </w:rPr>
        <w:t xml:space="preserve">Modification Application seeking permanent </w:t>
      </w:r>
      <w:r w:rsidRPr="00714CD1">
        <w:rPr>
          <w:sz w:val="22"/>
          <w:szCs w:val="22"/>
        </w:rPr>
        <w:t xml:space="preserve">authority to operate the 17 base stations identified in </w:t>
      </w:r>
      <w:r w:rsidRPr="00F51AC3">
        <w:rPr>
          <w:sz w:val="22"/>
          <w:szCs w:val="22"/>
        </w:rPr>
        <w:t>the Engineering Study</w:t>
      </w:r>
      <w:r w:rsidRPr="00714CD1">
        <w:rPr>
          <w:sz w:val="22"/>
          <w:szCs w:val="22"/>
        </w:rPr>
        <w:t xml:space="preserve"> and the 546 wayside stations </w:t>
      </w:r>
      <w:r w:rsidRPr="00F51AC3">
        <w:rPr>
          <w:sz w:val="22"/>
          <w:szCs w:val="22"/>
        </w:rPr>
        <w:t>identified in Exhibit 2 to its Waiver Request,</w:t>
      </w:r>
      <w:r>
        <w:rPr>
          <w:sz w:val="22"/>
          <w:szCs w:val="22"/>
          <w:vertAlign w:val="superscript"/>
        </w:rPr>
        <w:footnoteReference w:id="115"/>
      </w:r>
      <w:r w:rsidRPr="00714CD1">
        <w:rPr>
          <w:sz w:val="22"/>
          <w:szCs w:val="22"/>
        </w:rPr>
        <w:t xml:space="preserve"> subject to the interference mitigation conditions we adopt below.  </w:t>
      </w:r>
    </w:p>
    <w:p w:rsidR="00477A8C" w:rsidRPr="00714CD1" w:rsidP="004B2EBD" w14:paraId="2CFAED1A" w14:textId="77777777">
      <w:pPr>
        <w:ind w:firstLine="720"/>
        <w:rPr>
          <w:sz w:val="22"/>
          <w:szCs w:val="22"/>
        </w:rPr>
      </w:pPr>
    </w:p>
    <w:p w:rsidR="00477A8C" w:rsidRPr="00714CD1" w:rsidP="004B2EBD" w14:paraId="3166CD59" w14:textId="5B57354B">
      <w:pPr>
        <w:ind w:firstLine="720"/>
        <w:rPr>
          <w:sz w:val="22"/>
          <w:szCs w:val="22"/>
        </w:rPr>
      </w:pPr>
      <w:r w:rsidRPr="00714CD1">
        <w:rPr>
          <w:i/>
          <w:sz w:val="22"/>
          <w:szCs w:val="22"/>
        </w:rPr>
        <w:t>Interference Mitigation Plan and Conditions</w:t>
      </w:r>
      <w:r w:rsidRPr="00714CD1">
        <w:rPr>
          <w:sz w:val="22"/>
          <w:szCs w:val="22"/>
        </w:rPr>
        <w:t>.  Section 80.215(h)(4) requires AMTS licensees to eliminate interference from their base station operations to viewers’ OTA reception of channels 10 and 13.</w:t>
      </w:r>
      <w:r>
        <w:rPr>
          <w:rStyle w:val="FootnoteReference"/>
          <w:sz w:val="22"/>
          <w:szCs w:val="22"/>
        </w:rPr>
        <w:footnoteReference w:id="116"/>
      </w:r>
      <w:r w:rsidRPr="00714CD1">
        <w:rPr>
          <w:sz w:val="22"/>
          <w:szCs w:val="22"/>
        </w:rPr>
        <w:t xml:space="preserve">  SCRRA’s Interference Mitigation Plan describes and establishes a process for SCRRA to comply with </w:t>
      </w:r>
      <w:r w:rsidR="008714B3">
        <w:rPr>
          <w:sz w:val="22"/>
          <w:szCs w:val="22"/>
        </w:rPr>
        <w:t>s</w:t>
      </w:r>
      <w:r w:rsidRPr="00714CD1">
        <w:rPr>
          <w:sz w:val="22"/>
          <w:szCs w:val="22"/>
        </w:rPr>
        <w:t>ection 80.215(h)(4), including a 24-hour hotline to receive reports of interference from affected TV stations.</w:t>
      </w:r>
      <w:r>
        <w:rPr>
          <w:rStyle w:val="FootnoteReference"/>
          <w:sz w:val="22"/>
          <w:szCs w:val="22"/>
        </w:rPr>
        <w:footnoteReference w:id="117"/>
      </w:r>
    </w:p>
    <w:p w:rsidR="00477A8C" w:rsidRPr="00714CD1" w:rsidP="004B2EBD" w14:paraId="4FE08D13" w14:textId="77777777">
      <w:pPr>
        <w:ind w:firstLine="720"/>
        <w:rPr>
          <w:sz w:val="22"/>
          <w:szCs w:val="22"/>
        </w:rPr>
      </w:pPr>
    </w:p>
    <w:p w:rsidR="00477A8C" w:rsidRPr="00714CD1" w:rsidP="004B2EBD" w14:paraId="7490DF27" w14:textId="3E7A8124">
      <w:pPr>
        <w:ind w:firstLine="720"/>
        <w:rPr>
          <w:sz w:val="22"/>
          <w:szCs w:val="22"/>
        </w:rPr>
      </w:pPr>
      <w:r w:rsidRPr="00714CD1">
        <w:rPr>
          <w:sz w:val="22"/>
          <w:szCs w:val="22"/>
        </w:rPr>
        <w:t>SCCRA personnel will investigate whether a transmitter owned or controlled by SCRRA is the source of any reported interference.</w:t>
      </w:r>
      <w:r>
        <w:rPr>
          <w:rStyle w:val="FootnoteReference"/>
          <w:sz w:val="22"/>
          <w:szCs w:val="22"/>
        </w:rPr>
        <w:footnoteReference w:id="118"/>
      </w:r>
      <w:r w:rsidRPr="00714CD1">
        <w:rPr>
          <w:rStyle w:val="FootnoteReference"/>
          <w:sz w:val="22"/>
          <w:szCs w:val="22"/>
        </w:rPr>
        <w:t xml:space="preserve"> </w:t>
      </w:r>
      <w:r w:rsidRPr="00714CD1">
        <w:rPr>
          <w:sz w:val="22"/>
          <w:szCs w:val="22"/>
        </w:rPr>
        <w:t xml:space="preserve"> If interference mitigation is required, SCRRA has committed to resolve the interference by one of three possible measures.</w:t>
      </w:r>
      <w:r>
        <w:rPr>
          <w:rStyle w:val="FootnoteReference"/>
          <w:sz w:val="22"/>
          <w:szCs w:val="22"/>
        </w:rPr>
        <w:footnoteReference w:id="119"/>
      </w:r>
      <w:r w:rsidRPr="00714CD1">
        <w:rPr>
          <w:rStyle w:val="FootnoteReference"/>
          <w:sz w:val="22"/>
          <w:szCs w:val="22"/>
        </w:rPr>
        <w:t xml:space="preserve"> </w:t>
      </w:r>
      <w:r w:rsidRPr="00714CD1">
        <w:rPr>
          <w:sz w:val="22"/>
          <w:szCs w:val="22"/>
        </w:rPr>
        <w:t xml:space="preserve"> First, SCRRA could reduce the ERP of the interfering transmitter, provided link performance would be unaffected at the reduced ERP.</w:t>
      </w:r>
      <w:r>
        <w:rPr>
          <w:rStyle w:val="FootnoteReference"/>
          <w:sz w:val="22"/>
          <w:szCs w:val="22"/>
        </w:rPr>
        <w:footnoteReference w:id="120"/>
      </w:r>
    </w:p>
    <w:p w:rsidR="00477A8C" w:rsidRPr="00714CD1" w:rsidP="004B2EBD" w14:paraId="74CDBF6B" w14:textId="77777777">
      <w:pPr>
        <w:ind w:firstLine="720"/>
        <w:rPr>
          <w:sz w:val="22"/>
          <w:szCs w:val="22"/>
        </w:rPr>
      </w:pPr>
    </w:p>
    <w:p w:rsidR="00477A8C" w:rsidRPr="00714CD1" w:rsidP="004B2EBD" w14:paraId="14356D93" w14:textId="48C6B9D8">
      <w:pPr>
        <w:ind w:firstLine="720"/>
        <w:rPr>
          <w:sz w:val="22"/>
          <w:szCs w:val="22"/>
        </w:rPr>
      </w:pPr>
      <w:r w:rsidRPr="00714CD1">
        <w:rPr>
          <w:sz w:val="22"/>
          <w:szCs w:val="22"/>
        </w:rPr>
        <w:t>Second, if an ERP reduction is not feasible, SCRRA could change the frequency of the interfering transmitter either to another licensed AMTS frequency or to a frequency in the 220-222 MHz band on spectrum leased from PTC-220.</w:t>
      </w:r>
      <w:r>
        <w:rPr>
          <w:rStyle w:val="FootnoteReference"/>
          <w:sz w:val="22"/>
          <w:szCs w:val="22"/>
        </w:rPr>
        <w:footnoteReference w:id="121"/>
      </w:r>
      <w:r w:rsidRPr="00714CD1">
        <w:rPr>
          <w:sz w:val="22"/>
          <w:szCs w:val="22"/>
        </w:rPr>
        <w:t xml:space="preserve">  SCRRA states that it has received no reports of interference to OTA television from its systemwide PTC deployment on leased 220-222 MHz band spectrum.</w:t>
      </w:r>
      <w:r>
        <w:rPr>
          <w:rStyle w:val="FootnoteReference"/>
          <w:sz w:val="22"/>
          <w:szCs w:val="22"/>
        </w:rPr>
        <w:footnoteReference w:id="122"/>
      </w:r>
      <w:r w:rsidRPr="00714CD1">
        <w:rPr>
          <w:sz w:val="22"/>
          <w:szCs w:val="22"/>
        </w:rPr>
        <w:t xml:space="preserve"> </w:t>
      </w:r>
      <w:r>
        <w:rPr>
          <w:sz w:val="22"/>
          <w:szCs w:val="22"/>
        </w:rPr>
        <w:t xml:space="preserve"> </w:t>
      </w:r>
      <w:r w:rsidRPr="00714CD1">
        <w:rPr>
          <w:sz w:val="22"/>
          <w:szCs w:val="22"/>
        </w:rPr>
        <w:t xml:space="preserve">We expect that a frequency change to the 220-222 MHz band would remediate any interference.  </w:t>
      </w:r>
      <w:r w:rsidR="003D1B4A">
        <w:rPr>
          <w:sz w:val="22"/>
          <w:szCs w:val="22"/>
        </w:rPr>
        <w:t>W</w:t>
      </w:r>
      <w:r w:rsidRPr="00714CD1">
        <w:rPr>
          <w:sz w:val="22"/>
          <w:szCs w:val="22"/>
        </w:rPr>
        <w:t xml:space="preserve">e </w:t>
      </w:r>
      <w:r w:rsidR="003D1B4A">
        <w:rPr>
          <w:sz w:val="22"/>
          <w:szCs w:val="22"/>
        </w:rPr>
        <w:t xml:space="preserve">also </w:t>
      </w:r>
      <w:r w:rsidRPr="00714CD1">
        <w:rPr>
          <w:sz w:val="22"/>
          <w:szCs w:val="22"/>
        </w:rPr>
        <w:t>note that since commencing PTC operations under special temporary authority using the same AMTS spectrum and in the same area for which it seeks permanent authorization here, SCRRA states it has received no reports of interference to OTA television.</w:t>
      </w:r>
      <w:r>
        <w:rPr>
          <w:rStyle w:val="FootnoteReference"/>
          <w:sz w:val="22"/>
          <w:szCs w:val="22"/>
        </w:rPr>
        <w:footnoteReference w:id="123"/>
      </w:r>
      <w:r w:rsidRPr="00714CD1">
        <w:rPr>
          <w:sz w:val="22"/>
          <w:szCs w:val="22"/>
        </w:rPr>
        <w:t xml:space="preserve">     </w:t>
      </w:r>
    </w:p>
    <w:p w:rsidR="00477A8C" w:rsidRPr="00714CD1" w:rsidP="004B2EBD" w14:paraId="60B96410" w14:textId="77777777">
      <w:pPr>
        <w:ind w:firstLine="720"/>
        <w:rPr>
          <w:sz w:val="22"/>
          <w:szCs w:val="22"/>
        </w:rPr>
      </w:pPr>
    </w:p>
    <w:p w:rsidR="00477A8C" w:rsidRPr="00714CD1" w:rsidP="004B2EBD" w14:paraId="4340947A" w14:textId="77777777">
      <w:pPr>
        <w:ind w:firstLine="720"/>
        <w:rPr>
          <w:sz w:val="22"/>
          <w:szCs w:val="22"/>
        </w:rPr>
      </w:pPr>
      <w:r>
        <w:rPr>
          <w:sz w:val="22"/>
          <w:szCs w:val="22"/>
        </w:rPr>
        <w:t>Third, i</w:t>
      </w:r>
      <w:r w:rsidRPr="00714CD1">
        <w:rPr>
          <w:sz w:val="22"/>
          <w:szCs w:val="22"/>
        </w:rPr>
        <w:t xml:space="preserve">f interference were to persist despite the foregoing measures, then SCRRA would provide free of charge, TV notch filters to affected viewers, which </w:t>
      </w:r>
      <w:r>
        <w:rPr>
          <w:sz w:val="22"/>
          <w:szCs w:val="22"/>
        </w:rPr>
        <w:t>we anticipate would</w:t>
      </w:r>
      <w:r w:rsidRPr="00714CD1">
        <w:rPr>
          <w:sz w:val="22"/>
          <w:szCs w:val="22"/>
        </w:rPr>
        <w:t xml:space="preserve"> eliminate interference caused to any affected TV receiver.</w:t>
      </w:r>
      <w:r>
        <w:rPr>
          <w:rStyle w:val="FootnoteReference"/>
          <w:sz w:val="22"/>
          <w:szCs w:val="22"/>
        </w:rPr>
        <w:footnoteReference w:id="124"/>
      </w:r>
      <w:r w:rsidRPr="00714CD1">
        <w:rPr>
          <w:sz w:val="22"/>
          <w:szCs w:val="22"/>
        </w:rPr>
        <w:t xml:space="preserve">  The filters have a minimum notch depth of 40 (+/-1) dB.</w:t>
      </w:r>
      <w:r>
        <w:rPr>
          <w:rStyle w:val="FootnoteReference"/>
          <w:sz w:val="22"/>
          <w:szCs w:val="22"/>
        </w:rPr>
        <w:footnoteReference w:id="125"/>
      </w:r>
      <w:r w:rsidRPr="00714CD1">
        <w:rPr>
          <w:sz w:val="22"/>
          <w:szCs w:val="22"/>
        </w:rPr>
        <w:t xml:space="preserve">  After application of a notch filter, the interference-free signal margin will be increased by 40 dB “reducing the net population of OTA receivers for which interference to channels 10 or 13 is possible, to zero” according to the SCRRA Engineering Report.</w:t>
      </w:r>
      <w:r>
        <w:rPr>
          <w:rStyle w:val="FootnoteReference"/>
          <w:sz w:val="22"/>
          <w:szCs w:val="22"/>
        </w:rPr>
        <w:footnoteReference w:id="126"/>
      </w:r>
      <w:r w:rsidRPr="00714CD1">
        <w:rPr>
          <w:sz w:val="22"/>
          <w:szCs w:val="22"/>
        </w:rPr>
        <w:t xml:space="preserve">   </w:t>
      </w:r>
    </w:p>
    <w:p w:rsidR="00477A8C" w:rsidRPr="00714CD1" w:rsidP="004B2EBD" w14:paraId="1F8CDDEB" w14:textId="77777777">
      <w:pPr>
        <w:ind w:firstLine="720"/>
        <w:rPr>
          <w:sz w:val="22"/>
          <w:szCs w:val="22"/>
        </w:rPr>
      </w:pPr>
    </w:p>
    <w:p w:rsidR="00477A8C" w:rsidRPr="00714CD1" w:rsidP="004B2EBD" w14:paraId="7A2A52CA" w14:textId="3EBE5624">
      <w:pPr>
        <w:ind w:firstLine="720"/>
        <w:rPr>
          <w:sz w:val="22"/>
          <w:szCs w:val="22"/>
        </w:rPr>
      </w:pPr>
      <w:r w:rsidRPr="00714CD1">
        <w:rPr>
          <w:sz w:val="22"/>
          <w:szCs w:val="22"/>
        </w:rPr>
        <w:t xml:space="preserve">  Although </w:t>
      </w:r>
      <w:r w:rsidR="008714B3">
        <w:rPr>
          <w:sz w:val="22"/>
          <w:szCs w:val="22"/>
        </w:rPr>
        <w:t>s</w:t>
      </w:r>
      <w:r w:rsidRPr="00714CD1">
        <w:rPr>
          <w:sz w:val="22"/>
          <w:szCs w:val="22"/>
        </w:rPr>
        <w:t>ection 80.214(h)(4) provides AMTS licensees up to 90 days to resolve interference issues,</w:t>
      </w:r>
      <w:r>
        <w:rPr>
          <w:rStyle w:val="FootnoteReference"/>
          <w:sz w:val="22"/>
          <w:szCs w:val="22"/>
        </w:rPr>
        <w:footnoteReference w:id="127"/>
      </w:r>
      <w:r w:rsidRPr="00714CD1">
        <w:rPr>
          <w:sz w:val="22"/>
          <w:szCs w:val="22"/>
        </w:rPr>
        <w:t xml:space="preserve"> SCRRA has committed to being more responsive and resolve reports of interference within 60 days of receiving an interference report.</w:t>
      </w:r>
      <w:r>
        <w:rPr>
          <w:rStyle w:val="FootnoteReference"/>
          <w:sz w:val="22"/>
          <w:szCs w:val="22"/>
        </w:rPr>
        <w:footnoteReference w:id="128"/>
      </w:r>
      <w:r w:rsidRPr="00714CD1">
        <w:rPr>
          <w:rStyle w:val="FootnoteReference"/>
          <w:sz w:val="22"/>
          <w:szCs w:val="22"/>
        </w:rPr>
        <w:t xml:space="preserve"> </w:t>
      </w:r>
      <w:r w:rsidRPr="00714CD1">
        <w:rPr>
          <w:sz w:val="22"/>
          <w:szCs w:val="22"/>
        </w:rPr>
        <w:t xml:space="preserve"> Consistent with the foregoing, as a condition of today’s grant of permanent authority to operate the 17 PTC base and 546 wayside radio stations, we require SCRRA to:</w:t>
      </w:r>
    </w:p>
    <w:bookmarkEnd w:id="19"/>
    <w:p w:rsidR="00477A8C" w:rsidRPr="00714CD1" w:rsidP="004B2EBD" w14:paraId="44B70818" w14:textId="77777777">
      <w:pPr>
        <w:ind w:firstLine="720"/>
        <w:rPr>
          <w:sz w:val="22"/>
          <w:szCs w:val="22"/>
        </w:rPr>
      </w:pPr>
    </w:p>
    <w:p w:rsidR="00477A8C" w:rsidRPr="00714CD1" w:rsidP="004B2EBD" w14:paraId="3CBE4C2C" w14:textId="77777777">
      <w:pPr>
        <w:numPr>
          <w:ilvl w:val="0"/>
          <w:numId w:val="1"/>
        </w:numPr>
        <w:ind w:left="720"/>
        <w:rPr>
          <w:sz w:val="22"/>
          <w:szCs w:val="22"/>
        </w:rPr>
      </w:pPr>
      <w:r w:rsidRPr="00714CD1">
        <w:rPr>
          <w:sz w:val="22"/>
          <w:szCs w:val="22"/>
        </w:rPr>
        <w:t>Establish and maintain a 24-hour helpdesk to receive reports of potential interference.</w:t>
      </w:r>
    </w:p>
    <w:p w:rsidR="00477A8C" w:rsidRPr="00714CD1" w:rsidP="004B2EBD" w14:paraId="6B7D0A73" w14:textId="77777777">
      <w:pPr>
        <w:ind w:left="720"/>
        <w:rPr>
          <w:sz w:val="22"/>
          <w:szCs w:val="22"/>
        </w:rPr>
      </w:pPr>
      <w:r w:rsidRPr="00714CD1">
        <w:rPr>
          <w:sz w:val="22"/>
          <w:szCs w:val="22"/>
        </w:rPr>
        <w:t xml:space="preserve"> </w:t>
      </w:r>
    </w:p>
    <w:p w:rsidR="00477A8C" w:rsidRPr="00714CD1" w:rsidP="004B2EBD" w14:paraId="3706CF25" w14:textId="77777777">
      <w:pPr>
        <w:numPr>
          <w:ilvl w:val="0"/>
          <w:numId w:val="1"/>
        </w:numPr>
        <w:ind w:left="720"/>
        <w:rPr>
          <w:sz w:val="22"/>
          <w:szCs w:val="22"/>
        </w:rPr>
      </w:pPr>
      <w:r w:rsidRPr="00714CD1">
        <w:rPr>
          <w:sz w:val="22"/>
          <w:szCs w:val="22"/>
        </w:rPr>
        <w:t>Provide each potentially affected broadcaster contact information to report possible interference to the helpdesk;</w:t>
      </w:r>
      <w:r>
        <w:rPr>
          <w:rStyle w:val="FootnoteReference"/>
          <w:sz w:val="22"/>
          <w:szCs w:val="22"/>
        </w:rPr>
        <w:footnoteReference w:id="129"/>
      </w:r>
    </w:p>
    <w:p w:rsidR="00477A8C" w:rsidRPr="00714CD1" w:rsidP="004B2EBD" w14:paraId="1B45918A" w14:textId="77777777">
      <w:pPr>
        <w:ind w:left="720"/>
        <w:rPr>
          <w:sz w:val="22"/>
          <w:szCs w:val="22"/>
        </w:rPr>
      </w:pPr>
    </w:p>
    <w:p w:rsidR="00477A8C" w:rsidRPr="00714CD1" w:rsidP="004B2EBD" w14:paraId="56ED1F77" w14:textId="77777777">
      <w:pPr>
        <w:numPr>
          <w:ilvl w:val="0"/>
          <w:numId w:val="1"/>
        </w:numPr>
        <w:ind w:left="720"/>
        <w:rPr>
          <w:sz w:val="22"/>
          <w:szCs w:val="22"/>
        </w:rPr>
      </w:pPr>
      <w:r w:rsidRPr="00714CD1">
        <w:rPr>
          <w:sz w:val="22"/>
          <w:szCs w:val="22"/>
        </w:rPr>
        <w:t xml:space="preserve">Provide a party reporting interference a unique tracking number for each interference report; </w:t>
      </w:r>
    </w:p>
    <w:p w:rsidR="00477A8C" w:rsidRPr="00714CD1" w:rsidP="004B2EBD" w14:paraId="61DD0B3E" w14:textId="77777777">
      <w:pPr>
        <w:ind w:left="720"/>
        <w:rPr>
          <w:sz w:val="22"/>
          <w:szCs w:val="22"/>
        </w:rPr>
      </w:pPr>
    </w:p>
    <w:p w:rsidR="00477A8C" w:rsidRPr="00714CD1" w:rsidP="004B2EBD" w14:paraId="780542C1" w14:textId="77777777">
      <w:pPr>
        <w:numPr>
          <w:ilvl w:val="0"/>
          <w:numId w:val="1"/>
        </w:numPr>
        <w:ind w:left="720"/>
        <w:rPr>
          <w:b/>
          <w:sz w:val="22"/>
          <w:szCs w:val="22"/>
        </w:rPr>
      </w:pPr>
      <w:r w:rsidRPr="00714CD1">
        <w:rPr>
          <w:sz w:val="22"/>
          <w:szCs w:val="22"/>
        </w:rPr>
        <w:t>Investigate any reported interference within 30 calendar days of receiving a report; and</w:t>
      </w:r>
    </w:p>
    <w:p w:rsidR="00477A8C" w:rsidRPr="00714CD1" w:rsidP="004B2EBD" w14:paraId="7CDEE244" w14:textId="77777777">
      <w:pPr>
        <w:pStyle w:val="ListParagraph"/>
        <w:rPr>
          <w:sz w:val="22"/>
          <w:szCs w:val="22"/>
        </w:rPr>
      </w:pPr>
    </w:p>
    <w:p w:rsidR="00CF6A88" w:rsidP="004B2EBD" w14:paraId="5752E9CA" w14:textId="77777777">
      <w:pPr>
        <w:numPr>
          <w:ilvl w:val="0"/>
          <w:numId w:val="1"/>
        </w:numPr>
        <w:ind w:left="720"/>
        <w:rPr>
          <w:sz w:val="22"/>
          <w:szCs w:val="22"/>
        </w:rPr>
      </w:pPr>
      <w:r w:rsidRPr="00714CD1">
        <w:rPr>
          <w:sz w:val="22"/>
          <w:szCs w:val="22"/>
        </w:rPr>
        <w:t>Resolve any interference caused by its operations at its own expense within 60 calendar days of receiving an interference report.</w:t>
      </w:r>
      <w:r>
        <w:rPr>
          <w:rStyle w:val="FootnoteReference"/>
          <w:sz w:val="22"/>
          <w:szCs w:val="22"/>
        </w:rPr>
        <w:footnoteReference w:id="130"/>
      </w:r>
    </w:p>
    <w:p w:rsidR="00CF6A88" w14:paraId="7CF35653" w14:textId="77777777">
      <w:pPr>
        <w:rPr>
          <w:sz w:val="22"/>
          <w:szCs w:val="22"/>
        </w:rPr>
      </w:pPr>
      <w:r>
        <w:rPr>
          <w:sz w:val="22"/>
          <w:szCs w:val="22"/>
        </w:rPr>
        <w:br w:type="page"/>
      </w:r>
    </w:p>
    <w:p w:rsidR="00477A8C" w:rsidRPr="00714CD1" w:rsidP="006C650D" w14:paraId="0D9B4A29" w14:textId="22DFC0C7">
      <w:pPr>
        <w:ind w:left="720"/>
        <w:rPr>
          <w:b/>
          <w:sz w:val="22"/>
          <w:szCs w:val="22"/>
        </w:rPr>
      </w:pPr>
      <w:r w:rsidRPr="00714CD1">
        <w:rPr>
          <w:sz w:val="22"/>
          <w:szCs w:val="22"/>
        </w:rPr>
        <w:t xml:space="preserve"> </w:t>
      </w:r>
    </w:p>
    <w:p w:rsidR="00477A8C" w:rsidRPr="00714CD1" w:rsidP="004B2EBD" w14:paraId="1978B953" w14:textId="77777777">
      <w:pPr>
        <w:rPr>
          <w:sz w:val="22"/>
          <w:szCs w:val="22"/>
        </w:rPr>
      </w:pPr>
    </w:p>
    <w:p w:rsidR="00477A8C" w:rsidRPr="00DF7E15" w:rsidP="00DF7E15" w14:paraId="476A61FE" w14:textId="258FCF75">
      <w:pPr>
        <w:pStyle w:val="ListParagraph"/>
        <w:numPr>
          <w:ilvl w:val="0"/>
          <w:numId w:val="2"/>
        </w:numPr>
        <w:rPr>
          <w:b/>
          <w:bCs/>
          <w:sz w:val="22"/>
          <w:szCs w:val="22"/>
        </w:rPr>
      </w:pPr>
      <w:r w:rsidRPr="00DF7E15">
        <w:rPr>
          <w:b/>
          <w:bCs/>
          <w:sz w:val="22"/>
          <w:szCs w:val="22"/>
        </w:rPr>
        <w:t>CONCLUSION</w:t>
      </w:r>
    </w:p>
    <w:p w:rsidR="00477A8C" w:rsidRPr="00714CD1" w:rsidP="004B2EBD" w14:paraId="573E39FE" w14:textId="77777777">
      <w:pPr>
        <w:ind w:firstLine="720"/>
        <w:rPr>
          <w:sz w:val="22"/>
          <w:szCs w:val="22"/>
        </w:rPr>
      </w:pPr>
    </w:p>
    <w:p w:rsidR="00477A8C" w:rsidRPr="00714CD1" w:rsidP="004B2EBD" w14:paraId="0943B49F" w14:textId="2053AE8B">
      <w:pPr>
        <w:ind w:firstLine="720"/>
        <w:rPr>
          <w:sz w:val="22"/>
          <w:szCs w:val="22"/>
        </w:rPr>
      </w:pPr>
      <w:r w:rsidRPr="00714CD1">
        <w:rPr>
          <w:sz w:val="22"/>
          <w:szCs w:val="22"/>
        </w:rPr>
        <w:t>For the reasons stated above, we hereby conditionally grant the License Modification Application and SCRRA’s Waiver Request, ULS File No. 000</w:t>
      </w:r>
      <w:r w:rsidRPr="005E6A17" w:rsidR="005E6A17">
        <w:rPr>
          <w:sz w:val="22"/>
          <w:szCs w:val="22"/>
        </w:rPr>
        <w:t xml:space="preserve">7974978 </w:t>
      </w:r>
      <w:r w:rsidRPr="00714CD1">
        <w:rPr>
          <w:sz w:val="22"/>
          <w:szCs w:val="22"/>
        </w:rPr>
        <w:t>(W</w:t>
      </w:r>
      <w:r w:rsidR="005E6A17">
        <w:rPr>
          <w:sz w:val="22"/>
          <w:szCs w:val="22"/>
        </w:rPr>
        <w:t>QYR421</w:t>
      </w:r>
      <w:r w:rsidRPr="00714CD1">
        <w:rPr>
          <w:sz w:val="22"/>
          <w:szCs w:val="22"/>
        </w:rPr>
        <w:t xml:space="preserve">).    </w:t>
      </w:r>
    </w:p>
    <w:p w:rsidR="00477A8C" w:rsidRPr="00714CD1" w:rsidP="004B2EBD" w14:paraId="0574E818" w14:textId="77777777">
      <w:pPr>
        <w:ind w:firstLine="720"/>
        <w:rPr>
          <w:sz w:val="22"/>
          <w:szCs w:val="22"/>
        </w:rPr>
      </w:pPr>
    </w:p>
    <w:p w:rsidR="00477A8C" w:rsidRPr="00714CD1" w:rsidP="004B2EBD" w14:paraId="70F89A43" w14:textId="4B3F2446">
      <w:pPr>
        <w:ind w:firstLine="720"/>
        <w:rPr>
          <w:sz w:val="22"/>
          <w:szCs w:val="22"/>
        </w:rPr>
      </w:pPr>
      <w:r w:rsidRPr="00714CD1">
        <w:rPr>
          <w:sz w:val="22"/>
          <w:szCs w:val="22"/>
        </w:rPr>
        <w:t xml:space="preserve">Action taken pursuant to </w:t>
      </w:r>
      <w:r w:rsidR="008714B3">
        <w:rPr>
          <w:sz w:val="22"/>
          <w:szCs w:val="22"/>
        </w:rPr>
        <w:t>s</w:t>
      </w:r>
      <w:r w:rsidRPr="00714CD1">
        <w:rPr>
          <w:sz w:val="22"/>
          <w:szCs w:val="22"/>
        </w:rPr>
        <w:t xml:space="preserve">ections 1, 4(i), and 303(r) of the Communications Act of 1934, as amended, 47 U.S.C. §§ 151, 154(i), and 303(r), and </w:t>
      </w:r>
      <w:r w:rsidR="008714B3">
        <w:rPr>
          <w:sz w:val="22"/>
          <w:szCs w:val="22"/>
        </w:rPr>
        <w:t>s</w:t>
      </w:r>
      <w:r w:rsidRPr="00714CD1">
        <w:rPr>
          <w:sz w:val="22"/>
          <w:szCs w:val="22"/>
        </w:rPr>
        <w:t>ections 0.331, 1.913(a)(1), 1.925(b)(3), and 80.215(h)-(j) of the Commission’s rules, 47 CFR §§ 0.331, 1.913(a)(1), 1.925(b)(3), and 80.215(h)-(j).</w:t>
      </w:r>
    </w:p>
    <w:p w:rsidR="00477A8C" w:rsidRPr="00714CD1" w:rsidP="004B2EBD" w14:paraId="0C42E95D" w14:textId="77777777">
      <w:pPr>
        <w:autoSpaceDE w:val="0"/>
        <w:autoSpaceDN w:val="0"/>
        <w:adjustRightInd w:val="0"/>
        <w:ind w:firstLine="720"/>
        <w:rPr>
          <w:sz w:val="22"/>
          <w:szCs w:val="22"/>
        </w:rPr>
      </w:pPr>
    </w:p>
    <w:p w:rsidR="00477A8C" w:rsidRPr="00714CD1" w:rsidP="004B2EBD" w14:paraId="7DFF5359" w14:textId="77777777">
      <w:pPr>
        <w:autoSpaceDE w:val="0"/>
        <w:autoSpaceDN w:val="0"/>
        <w:adjustRightInd w:val="0"/>
        <w:ind w:left="3600" w:firstLine="720"/>
        <w:rPr>
          <w:sz w:val="22"/>
          <w:szCs w:val="22"/>
        </w:rPr>
      </w:pPr>
      <w:r w:rsidRPr="00714CD1">
        <w:rPr>
          <w:sz w:val="22"/>
          <w:szCs w:val="22"/>
        </w:rPr>
        <w:t>Sincerely,</w:t>
      </w:r>
    </w:p>
    <w:p w:rsidR="00477A8C" w:rsidRPr="00714CD1" w:rsidP="004B2EBD" w14:paraId="472D70DF" w14:textId="77777777">
      <w:pPr>
        <w:autoSpaceDE w:val="0"/>
        <w:autoSpaceDN w:val="0"/>
        <w:adjustRightInd w:val="0"/>
        <w:ind w:left="5040"/>
        <w:rPr>
          <w:sz w:val="22"/>
          <w:szCs w:val="22"/>
        </w:rPr>
      </w:pPr>
    </w:p>
    <w:p w:rsidR="00477A8C" w:rsidRPr="00714CD1" w:rsidP="004B2EBD" w14:paraId="354FF873" w14:textId="77777777">
      <w:pPr>
        <w:autoSpaceDE w:val="0"/>
        <w:autoSpaceDN w:val="0"/>
        <w:adjustRightInd w:val="0"/>
        <w:ind w:left="5040"/>
        <w:rPr>
          <w:sz w:val="22"/>
          <w:szCs w:val="22"/>
        </w:rPr>
      </w:pPr>
    </w:p>
    <w:p w:rsidR="00477A8C" w:rsidRPr="00714CD1" w:rsidP="004B2EBD" w14:paraId="57FB1AA9" w14:textId="77777777">
      <w:pPr>
        <w:autoSpaceDE w:val="0"/>
        <w:autoSpaceDN w:val="0"/>
        <w:adjustRightInd w:val="0"/>
        <w:ind w:left="5040"/>
        <w:rPr>
          <w:sz w:val="22"/>
          <w:szCs w:val="22"/>
        </w:rPr>
      </w:pPr>
    </w:p>
    <w:p w:rsidR="00477A8C" w:rsidRPr="00714CD1" w:rsidP="004B2EBD" w14:paraId="573A98CA" w14:textId="77777777">
      <w:pPr>
        <w:autoSpaceDE w:val="0"/>
        <w:autoSpaceDN w:val="0"/>
        <w:adjustRightInd w:val="0"/>
        <w:ind w:left="4320"/>
        <w:rPr>
          <w:sz w:val="22"/>
          <w:szCs w:val="22"/>
        </w:rPr>
      </w:pPr>
      <w:r w:rsidRPr="00714CD1">
        <w:rPr>
          <w:sz w:val="22"/>
          <w:szCs w:val="22"/>
        </w:rPr>
        <w:t>Roger S. Noel</w:t>
      </w:r>
    </w:p>
    <w:p w:rsidR="00477A8C" w:rsidRPr="00714CD1" w:rsidP="004B2EBD" w14:paraId="7E045D96" w14:textId="77777777">
      <w:pPr>
        <w:autoSpaceDE w:val="0"/>
        <w:autoSpaceDN w:val="0"/>
        <w:adjustRightInd w:val="0"/>
        <w:ind w:left="3600" w:firstLine="720"/>
        <w:rPr>
          <w:sz w:val="22"/>
          <w:szCs w:val="22"/>
        </w:rPr>
      </w:pPr>
      <w:r w:rsidRPr="00714CD1">
        <w:rPr>
          <w:sz w:val="22"/>
          <w:szCs w:val="22"/>
        </w:rPr>
        <w:t>Chief, Mobility Division</w:t>
      </w:r>
    </w:p>
    <w:p w:rsidR="00477A8C" w:rsidRPr="00714CD1" w:rsidP="004B2EBD" w14:paraId="08874C64" w14:textId="77777777">
      <w:pPr>
        <w:autoSpaceDE w:val="0"/>
        <w:autoSpaceDN w:val="0"/>
        <w:adjustRightInd w:val="0"/>
        <w:ind w:left="3600" w:firstLine="720"/>
        <w:rPr>
          <w:sz w:val="22"/>
          <w:szCs w:val="22"/>
        </w:rPr>
      </w:pPr>
      <w:r w:rsidRPr="00714CD1">
        <w:rPr>
          <w:sz w:val="22"/>
          <w:szCs w:val="22"/>
        </w:rPr>
        <w:t>Wireless Telecommunications Bureau</w:t>
      </w:r>
    </w:p>
    <w:p w:rsidR="00477A8C" w:rsidRPr="00714CD1" w:rsidP="004B2EBD" w14:paraId="498A4669" w14:textId="77777777">
      <w:pPr>
        <w:rPr>
          <w:sz w:val="22"/>
          <w:szCs w:val="22"/>
        </w:rPr>
      </w:pPr>
    </w:p>
    <w:p w:rsidR="00477A8C" w:rsidRPr="00714CD1" w:rsidP="004B2EBD" w14:paraId="58BBF8D1" w14:textId="77777777">
      <w:pPr>
        <w:rPr>
          <w:sz w:val="22"/>
          <w:szCs w:val="22"/>
        </w:rPr>
      </w:pPr>
    </w:p>
    <w:p w:rsidR="00477A8C" w:rsidRPr="004B2EBD" w:rsidP="004B2EBD" w14:paraId="75420F84" w14:textId="77777777">
      <w:pPr>
        <w:rPr>
          <w:sz w:val="22"/>
          <w:szCs w:val="22"/>
        </w:rPr>
      </w:pPr>
    </w:p>
    <w:sectPr>
      <w:headerReference w:type="default" r:id="rId5"/>
      <w:footerReference w:type="default" r:id="rId6"/>
      <w:head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0AFA" w:rsidP="00BD249F" w14:paraId="4435BDFA" w14:textId="20680F5F">
    <w:pPr>
      <w:pStyle w:val="Footer"/>
    </w:pPr>
  </w:p>
  <w:p w:rsidR="00020AFA" w14:paraId="5CC6042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058F" w14:paraId="5DA9D688" w14:textId="77777777">
      <w:r>
        <w:separator/>
      </w:r>
    </w:p>
  </w:footnote>
  <w:footnote w:type="continuationSeparator" w:id="1">
    <w:p w:rsidR="0017058F" w14:paraId="7E91DCEA" w14:textId="77777777">
      <w:r>
        <w:continuationSeparator/>
      </w:r>
    </w:p>
  </w:footnote>
  <w:footnote w:id="2">
    <w:p w:rsidR="00020AFA" w:rsidRPr="003E6B51" w:rsidP="008D4A05" w14:paraId="1C9258B0" w14:textId="69C5DE9D">
      <w:pPr>
        <w:pStyle w:val="FootnoteText"/>
        <w:spacing w:after="120"/>
        <w:rPr>
          <w:b/>
        </w:rPr>
      </w:pPr>
      <w:r w:rsidRPr="003E6B51">
        <w:rPr>
          <w:rStyle w:val="FootnoteReference"/>
        </w:rPr>
        <w:footnoteRef/>
      </w:r>
      <w:r w:rsidRPr="003E6B51">
        <w:t xml:space="preserve"> ULS File No. 0007974978 (filed Oct. 27, 2017, amended Nov. 9 and 21, 2017, Nov. 19, 2018,</w:t>
      </w:r>
      <w:r>
        <w:t xml:space="preserve"> </w:t>
      </w:r>
      <w:r w:rsidRPr="003E6B51">
        <w:t>May 28</w:t>
      </w:r>
      <w:r>
        <w:t xml:space="preserve"> and </w:t>
      </w:r>
      <w:r w:rsidRPr="00C026FB">
        <w:t>Oct. 15, 2019</w:t>
      </w:r>
      <w:r>
        <w:t>, and Mar</w:t>
      </w:r>
      <w:r w:rsidR="005352F8">
        <w:t>.</w:t>
      </w:r>
      <w:r>
        <w:t xml:space="preserve"> 13, 2020</w:t>
      </w:r>
      <w:r w:rsidRPr="003E6B51">
        <w:t>) (License Modification Application).</w:t>
      </w:r>
      <w:bookmarkStart w:id="2" w:name="_Hlk34297956"/>
    </w:p>
    <w:bookmarkEnd w:id="2"/>
  </w:footnote>
  <w:footnote w:id="3">
    <w:p w:rsidR="00020AFA" w:rsidRPr="00146AD7" w:rsidP="00146AD7" w14:paraId="470111B2" w14:textId="42A52996">
      <w:pPr>
        <w:pStyle w:val="FootnoteText"/>
        <w:spacing w:after="120"/>
        <w:rPr>
          <w:b/>
        </w:rPr>
      </w:pPr>
      <w:r w:rsidRPr="00A36B29">
        <w:rPr>
          <w:rStyle w:val="FootnoteReference"/>
        </w:rPr>
        <w:footnoteRef/>
      </w:r>
      <w:r w:rsidRPr="00A36B29">
        <w:t xml:space="preserve"> </w:t>
      </w:r>
      <w:r w:rsidRPr="00146AD7">
        <w:t xml:space="preserve">The AMTS rules define two station classes: coast stations and ship stations.  47 CFR § 80.5 (defining a coast station as a “land station in the maritime mobile service” and a ship </w:t>
      </w:r>
      <w:r w:rsidRPr="00E45626">
        <w:t xml:space="preserve">station as a “mobile station in the maritime mobile service located on-board a vessel which is not permanently moored”). </w:t>
      </w:r>
      <w:r w:rsidR="00E45626">
        <w:t xml:space="preserve"> T</w:t>
      </w:r>
      <w:r w:rsidRPr="00E45626" w:rsidR="00E45626">
        <w:t xml:space="preserve">he </w:t>
      </w:r>
      <w:r w:rsidR="00E45626">
        <w:t xml:space="preserve">Commission amended the AMTS rules in 1997 </w:t>
      </w:r>
      <w:r w:rsidRPr="00E45626" w:rsidR="00E45626">
        <w:t>to permit AMTS stations to serve fixed</w:t>
      </w:r>
      <w:r w:rsidR="001350F1">
        <w:t>,</w:t>
      </w:r>
      <w:r w:rsidRPr="00E45626" w:rsidR="00E45626">
        <w:t xml:space="preserve"> mobile</w:t>
      </w:r>
      <w:r w:rsidR="001350F1">
        <w:t xml:space="preserve">, and handheld </w:t>
      </w:r>
      <w:r w:rsidRPr="00E45626" w:rsidR="00E45626">
        <w:t>units on land, in addition to marine vessels</w:t>
      </w:r>
      <w:r w:rsidR="00E45626">
        <w:t xml:space="preserve">. </w:t>
      </w:r>
      <w:r w:rsidRPr="00E45626">
        <w:t xml:space="preserve"> </w:t>
      </w:r>
      <w:r w:rsidRPr="00E45626" w:rsidR="00E45626">
        <w:rPr>
          <w:i/>
          <w:iCs/>
        </w:rPr>
        <w:t>See</w:t>
      </w:r>
      <w:r w:rsidRPr="00E45626" w:rsidR="00E45626">
        <w:t xml:space="preserve"> </w:t>
      </w:r>
      <w:r w:rsidRPr="00E45626" w:rsidR="00E45626">
        <w:rPr>
          <w:i/>
          <w:iCs/>
          <w:color w:val="3D3D3D"/>
          <w:shd w:val="clear" w:color="auto" w:fill="FFFFFF"/>
        </w:rPr>
        <w:t>Amendment of the Commission's Rules Concerning Maritime Communications</w:t>
      </w:r>
      <w:r w:rsidRPr="00E45626" w:rsidR="00E45626">
        <w:rPr>
          <w:color w:val="3D3D3D"/>
          <w:shd w:val="clear" w:color="auto" w:fill="FFFFFF"/>
        </w:rPr>
        <w:t>, </w:t>
      </w:r>
      <w:r w:rsidR="0002477F">
        <w:rPr>
          <w:color w:val="3D3D3D"/>
          <w:shd w:val="clear" w:color="auto" w:fill="FFFFFF"/>
        </w:rPr>
        <w:t xml:space="preserve">PR Docket </w:t>
      </w:r>
      <w:r w:rsidR="00C22F1A">
        <w:rPr>
          <w:color w:val="3D3D3D"/>
          <w:shd w:val="clear" w:color="auto" w:fill="FFFFFF"/>
        </w:rPr>
        <w:t xml:space="preserve">No. </w:t>
      </w:r>
      <w:r w:rsidR="000C3E5C">
        <w:rPr>
          <w:color w:val="3D3D3D"/>
          <w:shd w:val="clear" w:color="auto" w:fill="FFFFFF"/>
        </w:rPr>
        <w:t>92-</w:t>
      </w:r>
      <w:r w:rsidR="00391C66">
        <w:rPr>
          <w:color w:val="3D3D3D"/>
          <w:shd w:val="clear" w:color="auto" w:fill="FFFFFF"/>
        </w:rPr>
        <w:t xml:space="preserve">257, </w:t>
      </w:r>
      <w:r w:rsidRPr="00E45626" w:rsidR="00E45626">
        <w:rPr>
          <w:rStyle w:val="Emphasis"/>
          <w:i w:val="0"/>
          <w:iCs w:val="0"/>
          <w:color w:val="3D3D3D"/>
          <w:bdr w:val="none" w:sz="0" w:space="0" w:color="auto" w:frame="1"/>
          <w:shd w:val="clear" w:color="auto" w:fill="FFFFFF"/>
        </w:rPr>
        <w:t>Second Report and Order and Second Further Notice of Proposed Rule Making</w:t>
      </w:r>
      <w:r w:rsidRPr="00E45626" w:rsidR="00E45626">
        <w:rPr>
          <w:color w:val="3D3D3D"/>
          <w:shd w:val="clear" w:color="auto" w:fill="FFFFFF"/>
        </w:rPr>
        <w:t xml:space="preserve">, </w:t>
      </w:r>
      <w:r w:rsidRPr="00E45626" w:rsidR="00E45626">
        <w:rPr>
          <w:bdr w:val="none" w:sz="0" w:space="0" w:color="auto" w:frame="1"/>
          <w:shd w:val="clear" w:color="auto" w:fill="FFFFFF"/>
        </w:rPr>
        <w:t>12 FCC Rcd 16949, 169</w:t>
      </w:r>
      <w:r w:rsidR="001350F1">
        <w:rPr>
          <w:bdr w:val="none" w:sz="0" w:space="0" w:color="auto" w:frame="1"/>
          <w:shd w:val="clear" w:color="auto" w:fill="FFFFFF"/>
        </w:rPr>
        <w:t>64</w:t>
      </w:r>
      <w:r w:rsidRPr="00E45626" w:rsidR="00E45626">
        <w:rPr>
          <w:bdr w:val="none" w:sz="0" w:space="0" w:color="auto" w:frame="1"/>
          <w:shd w:val="clear" w:color="auto" w:fill="FFFFFF"/>
        </w:rPr>
        <w:t>-</w:t>
      </w:r>
      <w:r w:rsidR="001350F1">
        <w:rPr>
          <w:bdr w:val="none" w:sz="0" w:space="0" w:color="auto" w:frame="1"/>
          <w:shd w:val="clear" w:color="auto" w:fill="FFFFFF"/>
        </w:rPr>
        <w:t>6</w:t>
      </w:r>
      <w:r w:rsidRPr="00E45626" w:rsidR="00E45626">
        <w:rPr>
          <w:bdr w:val="none" w:sz="0" w:space="0" w:color="auto" w:frame="1"/>
          <w:shd w:val="clear" w:color="auto" w:fill="FFFFFF"/>
        </w:rPr>
        <w:t xml:space="preserve">5 </w:t>
      </w:r>
      <w:r w:rsidR="00E3039B">
        <w:rPr>
          <w:bdr w:val="none" w:sz="0" w:space="0" w:color="auto" w:frame="1"/>
          <w:shd w:val="clear" w:color="auto" w:fill="FFFFFF"/>
        </w:rPr>
        <w:t>paras.</w:t>
      </w:r>
      <w:r w:rsidRPr="00E45626" w:rsidR="00E45626">
        <w:rPr>
          <w:bdr w:val="none" w:sz="0" w:space="0" w:color="auto" w:frame="1"/>
          <w:shd w:val="clear" w:color="auto" w:fill="FFFFFF"/>
        </w:rPr>
        <w:t xml:space="preserve"> </w:t>
      </w:r>
      <w:r w:rsidR="001350F1">
        <w:rPr>
          <w:bdr w:val="none" w:sz="0" w:space="0" w:color="auto" w:frame="1"/>
          <w:shd w:val="clear" w:color="auto" w:fill="FFFFFF"/>
        </w:rPr>
        <w:t>24</w:t>
      </w:r>
      <w:r w:rsidRPr="00E45626" w:rsidR="00E45626">
        <w:rPr>
          <w:bdr w:val="none" w:sz="0" w:space="0" w:color="auto" w:frame="1"/>
          <w:shd w:val="clear" w:color="auto" w:fill="FFFFFF"/>
        </w:rPr>
        <w:t>-</w:t>
      </w:r>
      <w:r w:rsidR="001350F1">
        <w:rPr>
          <w:bdr w:val="none" w:sz="0" w:space="0" w:color="auto" w:frame="1"/>
          <w:shd w:val="clear" w:color="auto" w:fill="FFFFFF"/>
        </w:rPr>
        <w:t>25</w:t>
      </w:r>
      <w:r w:rsidRPr="00E45626" w:rsidR="00E45626">
        <w:rPr>
          <w:bdr w:val="none" w:sz="0" w:space="0" w:color="auto" w:frame="1"/>
          <w:shd w:val="clear" w:color="auto" w:fill="FFFFFF"/>
        </w:rPr>
        <w:t xml:space="preserve"> (1997)</w:t>
      </w:r>
      <w:r w:rsidRPr="00E45626" w:rsidR="00146AD7">
        <w:t xml:space="preserve">. </w:t>
      </w:r>
      <w:r w:rsidR="00E45626">
        <w:t xml:space="preserve"> </w:t>
      </w:r>
      <w:r w:rsidRPr="00E45626">
        <w:t>Because they are both fixed stations,</w:t>
      </w:r>
      <w:r w:rsidRPr="00146AD7">
        <w:t xml:space="preserve"> we regulate PTC base and wayside stations as AMTS coast stations for licensing purposes.  And because they are mobile, we regulate locomotive stations as AMTS ship stations for licensing purposes.   </w:t>
      </w:r>
    </w:p>
  </w:footnote>
  <w:footnote w:id="4">
    <w:p w:rsidR="00020AFA" w:rsidRPr="003E6B51" w:rsidP="00EF50FE" w14:paraId="28544067" w14:textId="430D63B5">
      <w:pPr>
        <w:pStyle w:val="FootnoteText"/>
        <w:spacing w:after="120"/>
      </w:pPr>
      <w:r w:rsidRPr="003E6B51">
        <w:rPr>
          <w:rStyle w:val="FootnoteReference"/>
        </w:rPr>
        <w:footnoteRef/>
      </w:r>
      <w:r>
        <w:t xml:space="preserve"> </w:t>
      </w:r>
      <w:r w:rsidRPr="00600A82">
        <w:t>ULS File No. 0007974978, Further Amended Request for Waivers (filed Mar</w:t>
      </w:r>
      <w:r w:rsidR="005352F8">
        <w:t>.</w:t>
      </w:r>
      <w:r w:rsidRPr="00600A82">
        <w:t xml:space="preserve"> </w:t>
      </w:r>
      <w:r>
        <w:t>13</w:t>
      </w:r>
      <w:r w:rsidRPr="00600A82">
        <w:t>, 2020) (SCRRA Waiver Request).</w:t>
      </w:r>
    </w:p>
  </w:footnote>
  <w:footnote w:id="5">
    <w:p w:rsidR="00020AFA" w:rsidRPr="003E6B51" w:rsidP="00743278" w14:paraId="5B72620B" w14:textId="0881E711">
      <w:pPr>
        <w:pStyle w:val="FootnoteText"/>
        <w:spacing w:after="120"/>
      </w:pPr>
      <w:r w:rsidRPr="003E6B51">
        <w:rPr>
          <w:rStyle w:val="FootnoteReference"/>
        </w:rPr>
        <w:footnoteRef/>
      </w:r>
      <w:r w:rsidRPr="003E6B51">
        <w:t xml:space="preserve"> </w:t>
      </w:r>
      <w:r>
        <w:t xml:space="preserve">Metrolink System Map, </w:t>
      </w:r>
      <w:hyperlink r:id="rId1" w:history="1">
        <w:r>
          <w:rPr>
            <w:rStyle w:val="Hyperlink"/>
          </w:rPr>
          <w:t>https://www.metrolinktrains.com/train-status/train_tracker/wheres-my-train-map-view/</w:t>
        </w:r>
      </w:hyperlink>
      <w:r>
        <w:t xml:space="preserve"> </w:t>
      </w:r>
      <w:r w:rsidRPr="003E6B51">
        <w:t xml:space="preserve">(last visited </w:t>
      </w:r>
      <w:r>
        <w:t>Oct. 13, 2020</w:t>
      </w:r>
      <w:r w:rsidRPr="003E6B51">
        <w:t>)</w:t>
      </w:r>
      <w:r>
        <w:t>.</w:t>
      </w:r>
    </w:p>
  </w:footnote>
  <w:footnote w:id="6">
    <w:p w:rsidR="00020AFA" w:rsidRPr="003E6B51" w:rsidP="005A6BDB" w14:paraId="56D73403" w14:textId="52698371">
      <w:pPr>
        <w:pStyle w:val="FootnoteText"/>
        <w:spacing w:after="120"/>
      </w:pPr>
      <w:r w:rsidRPr="003E6B51">
        <w:rPr>
          <w:rStyle w:val="FootnoteReference"/>
        </w:rPr>
        <w:footnoteRef/>
      </w:r>
      <w:r w:rsidRPr="003E6B51">
        <w:t xml:space="preserve"> </w:t>
      </w:r>
      <w:r>
        <w:t>SCRRA Waiver Request at 4.</w:t>
      </w:r>
    </w:p>
  </w:footnote>
  <w:footnote w:id="7">
    <w:p w:rsidR="00020AFA" w:rsidRPr="008A352C" w:rsidP="00832E8C" w14:paraId="04165143" w14:textId="67DE3416">
      <w:pPr>
        <w:pStyle w:val="FootnoteText"/>
        <w:spacing w:after="120"/>
      </w:pPr>
      <w:r w:rsidRPr="008A352C">
        <w:rPr>
          <w:rStyle w:val="FootnoteReference"/>
        </w:rPr>
        <w:footnoteRef/>
      </w:r>
      <w:r w:rsidRPr="008A352C">
        <w:t xml:space="preserve"> </w:t>
      </w:r>
      <w:r w:rsidRPr="008A352C">
        <w:rPr>
          <w:i/>
        </w:rPr>
        <w:t>See</w:t>
      </w:r>
      <w:r w:rsidRPr="008A352C">
        <w:t xml:space="preserve"> Pub. L. No. 110-432, § 104, 122 Stat. 4848, 4857 (2008).  </w:t>
      </w:r>
    </w:p>
  </w:footnote>
  <w:footnote w:id="8">
    <w:p w:rsidR="00020AFA" w:rsidRPr="008A352C" w:rsidP="00832E8C" w14:paraId="67382AF7" w14:textId="41CEBC82">
      <w:pPr>
        <w:pStyle w:val="FootnoteText"/>
        <w:spacing w:after="120"/>
      </w:pPr>
      <w:r w:rsidRPr="008A352C">
        <w:rPr>
          <w:rStyle w:val="FootnoteReference"/>
        </w:rPr>
        <w:footnoteRef/>
      </w:r>
      <w:r>
        <w:t xml:space="preserve"> </w:t>
      </w:r>
      <w:r w:rsidRPr="008A352C">
        <w:t xml:space="preserve">NTSB, Collision of Metrolink Train 111 with Union Pacific Train LOF65-12 Chatsworth, California, Accident Report No. RAR-10/01 at vii (2010), </w:t>
      </w:r>
      <w:hyperlink r:id="rId2" w:history="1">
        <w:r w:rsidRPr="00C75B29">
          <w:rPr>
            <w:rStyle w:val="Hyperlink"/>
          </w:rPr>
          <w:t>http://www.ntsb.gov/investigations/AccidentReports/Reports/RAR1001.pdf</w:t>
        </w:r>
      </w:hyperlink>
      <w:r>
        <w:t xml:space="preserve"> (last visited Oct. 13, 2020).</w:t>
      </w:r>
    </w:p>
  </w:footnote>
  <w:footnote w:id="9">
    <w:p w:rsidR="00020AFA" w:rsidRPr="008A352C" w:rsidP="00832E8C" w14:paraId="3C064BC1" w14:textId="734E5768">
      <w:pPr>
        <w:pStyle w:val="FootnoteText"/>
        <w:spacing w:after="120"/>
      </w:pPr>
      <w:r w:rsidRPr="008A352C">
        <w:rPr>
          <w:rStyle w:val="FootnoteReference"/>
        </w:rPr>
        <w:footnoteRef/>
      </w:r>
      <w:r w:rsidRPr="008A352C">
        <w:t xml:space="preserve"> </w:t>
      </w:r>
      <w:r w:rsidRPr="00F033E0" w:rsidR="00F033E0">
        <w:rPr>
          <w:i/>
          <w:iCs/>
        </w:rPr>
        <w:t>Id.</w:t>
      </w:r>
    </w:p>
  </w:footnote>
  <w:footnote w:id="10">
    <w:p w:rsidR="00020AFA" w:rsidRPr="003E6B51" w:rsidP="00806471" w14:paraId="3A57226C" w14:textId="77777777">
      <w:pPr>
        <w:pStyle w:val="FootnoteText"/>
        <w:spacing w:after="120"/>
      </w:pPr>
      <w:r w:rsidRPr="003E6B51">
        <w:rPr>
          <w:rStyle w:val="FootnoteReference"/>
        </w:rPr>
        <w:footnoteRef/>
      </w:r>
      <w:r w:rsidRPr="003E6B51">
        <w:t xml:space="preserve"> Rail Safety Improvement Act of 2008, </w:t>
      </w:r>
      <w:r w:rsidRPr="003E6B51">
        <w:rPr>
          <w:rFonts w:eastAsia="Arial"/>
        </w:rPr>
        <w:t>Pub. L. No. 110-432, § 104, 122 Stat. 4848, 4857 (2008), amended by the Positive Train Control Enforcement and Implementation Act of 2015, Pub. L. No. 114-73, § 1302, 129 Stat. 568, 576 (2015).</w:t>
      </w:r>
    </w:p>
  </w:footnote>
  <w:footnote w:id="11">
    <w:p w:rsidR="00020AFA" w:rsidRPr="003E6B51" w:rsidP="0022381C" w14:paraId="3E8CBFC8" w14:textId="0BB56277">
      <w:pPr>
        <w:pStyle w:val="FootnoteText"/>
        <w:spacing w:after="120"/>
      </w:pPr>
      <w:r w:rsidRPr="003E6B51">
        <w:rPr>
          <w:rStyle w:val="FootnoteReference"/>
        </w:rPr>
        <w:footnoteRef/>
      </w:r>
      <w:r w:rsidRPr="003E6B51">
        <w:t xml:space="preserve"> The FRA is responsible for approving each railroad’s PTC system, including design, testing, and implementation and for ensuring compliance with the Rail Safety Act and FRA regulations implementing that statute.  </w:t>
      </w:r>
      <w:r w:rsidRPr="003E6B51">
        <w:rPr>
          <w:i/>
        </w:rPr>
        <w:t xml:space="preserve">See </w:t>
      </w:r>
      <w:r w:rsidRPr="003E6B51">
        <w:t>Positive Train Control (PTC) Information (R&amp;D), Federal</w:t>
      </w:r>
      <w:r w:rsidRPr="003E6B51">
        <w:rPr>
          <w:i/>
        </w:rPr>
        <w:t xml:space="preserve"> </w:t>
      </w:r>
      <w:r w:rsidRPr="003E6B51">
        <w:t>Railroad Administration</w:t>
      </w:r>
      <w:r>
        <w:t xml:space="preserve"> (last updated Nov. 13, 2019)</w:t>
      </w:r>
      <w:r w:rsidRPr="003E6B51">
        <w:t xml:space="preserve">, </w:t>
      </w:r>
      <w:r>
        <w:t xml:space="preserve"> </w:t>
      </w:r>
      <w:hyperlink r:id="rId3" w:history="1">
        <w:r w:rsidRPr="002D2F19">
          <w:rPr>
            <w:rStyle w:val="Hyperlink"/>
          </w:rPr>
          <w:t>https://www.fra.dot.gov/Page/P0152</w:t>
        </w:r>
      </w:hyperlink>
      <w:r w:rsidRPr="003E6B51">
        <w:t xml:space="preserve"> (last visited</w:t>
      </w:r>
      <w:r>
        <w:t xml:space="preserve"> Oct. 13, 2020</w:t>
      </w:r>
      <w:r w:rsidRPr="003E6B51">
        <w:t>).</w:t>
      </w:r>
    </w:p>
  </w:footnote>
  <w:footnote w:id="12">
    <w:p w:rsidR="00020AFA" w:rsidRPr="003E6B51" w:rsidP="00AC2929" w14:paraId="1D8B809F" w14:textId="3807D659">
      <w:pPr>
        <w:pStyle w:val="FootnoteText"/>
        <w:spacing w:after="120"/>
      </w:pPr>
      <w:r w:rsidRPr="003E6B51">
        <w:rPr>
          <w:rStyle w:val="FootnoteReference"/>
        </w:rPr>
        <w:footnoteRef/>
      </w:r>
      <w:r w:rsidRPr="003E6B51">
        <w:t xml:space="preserve"> </w:t>
      </w:r>
      <w:r>
        <w:t xml:space="preserve">SCRRA is among the four railroads that met the December 31, 2018, PTC implementation deadline.  </w:t>
      </w:r>
      <w:r w:rsidRPr="003E6B51">
        <w:rPr>
          <w:i/>
        </w:rPr>
        <w:t>See</w:t>
      </w:r>
      <w:r w:rsidRPr="003E6B51">
        <w:t xml:space="preserve"> Statement on Positive Train Control Implementation, U.S. Department of Transportation (</w:t>
      </w:r>
      <w:r>
        <w:t xml:space="preserve">last updated </w:t>
      </w:r>
      <w:r w:rsidRPr="003E6B51">
        <w:t xml:space="preserve">Dec. 31, 2018), </w:t>
      </w:r>
      <w:hyperlink r:id="rId4" w:history="1">
        <w:r w:rsidRPr="003E6B51">
          <w:rPr>
            <w:rStyle w:val="Hyperlink"/>
          </w:rPr>
          <w:t>https://www.transportation.gov/briefing-room/statement-positive-train-control-implementation</w:t>
        </w:r>
      </w:hyperlink>
      <w:r w:rsidRPr="003E6B51">
        <w:t xml:space="preserve"> (last visited </w:t>
      </w:r>
      <w:r>
        <w:t>Oct. 13, 2020</w:t>
      </w:r>
      <w:r w:rsidRPr="003E6B51">
        <w:t>)</w:t>
      </w:r>
      <w:r>
        <w:t xml:space="preserve"> (DOT PTC Implementation Statement)</w:t>
      </w:r>
      <w:r w:rsidRPr="003E6B51">
        <w:t xml:space="preserve">.  </w:t>
      </w:r>
      <w:r>
        <w:t xml:space="preserve">SCRRA seeks authorization to use additional spectrum to implement PTC in this proceeding.  </w:t>
      </w:r>
    </w:p>
  </w:footnote>
  <w:footnote w:id="13">
    <w:p w:rsidR="00020AFA" w:rsidRPr="003E6B51" w:rsidP="00806471" w14:paraId="455017BF" w14:textId="67E01F43">
      <w:pPr>
        <w:pStyle w:val="FootnoteText"/>
        <w:spacing w:after="120"/>
      </w:pPr>
      <w:r w:rsidRPr="003E6B51">
        <w:rPr>
          <w:rStyle w:val="FootnoteReference"/>
        </w:rPr>
        <w:footnoteRef/>
      </w:r>
      <w:r w:rsidRPr="003E6B51">
        <w:t xml:space="preserve"> </w:t>
      </w:r>
      <w:r>
        <w:t>DOT PTC Implementation Statement</w:t>
      </w:r>
      <w:r w:rsidRPr="003E6B51">
        <w:t>.</w:t>
      </w:r>
    </w:p>
  </w:footnote>
  <w:footnote w:id="14">
    <w:p w:rsidR="00020AFA" w14:paraId="41F14661" w14:textId="44DC6230">
      <w:pPr>
        <w:pStyle w:val="FootnoteText"/>
      </w:pPr>
      <w:r>
        <w:rPr>
          <w:rStyle w:val="FootnoteReference"/>
        </w:rPr>
        <w:footnoteRef/>
      </w:r>
      <w:r>
        <w:t xml:space="preserve"> </w:t>
      </w:r>
      <w:r w:rsidRPr="001E1257">
        <w:t>Positive Train Control (PTC)</w:t>
      </w:r>
      <w:r>
        <w:t xml:space="preserve">, </w:t>
      </w:r>
      <w:r w:rsidRPr="003E6B51">
        <w:t>U.S. Department of Transportation</w:t>
      </w:r>
      <w:r>
        <w:t xml:space="preserve"> (last updated July 26, 2020),   </w:t>
      </w:r>
      <w:hyperlink r:id="rId5" w:history="1">
        <w:r w:rsidRPr="00C75B29">
          <w:rPr>
            <w:rStyle w:val="Hyperlink"/>
          </w:rPr>
          <w:t>https://railroads.dot.gov/train-control/ptc/positive-train-control-ptc</w:t>
        </w:r>
      </w:hyperlink>
      <w:r>
        <w:t xml:space="preserve"> (last visited Oct. 13, 2020) </w:t>
      </w:r>
    </w:p>
    <w:p w:rsidR="00020AFA" w14:paraId="6A305D4C" w14:textId="77777777">
      <w:pPr>
        <w:pStyle w:val="FootnoteText"/>
      </w:pPr>
    </w:p>
  </w:footnote>
  <w:footnote w:id="15">
    <w:p w:rsidR="00020AFA" w:rsidRPr="003E6B51" w:rsidP="00806471" w14:paraId="78F1C640" w14:textId="77777777">
      <w:pPr>
        <w:pStyle w:val="FootnoteText"/>
        <w:spacing w:after="120"/>
      </w:pPr>
      <w:r w:rsidRPr="003E6B51">
        <w:rPr>
          <w:rStyle w:val="FootnoteReference"/>
        </w:rPr>
        <w:footnoteRef/>
      </w:r>
      <w:r w:rsidRPr="003E6B51">
        <w:t xml:space="preserve"> 49 U.S.C. § 20157(i)(5).</w:t>
      </w:r>
    </w:p>
  </w:footnote>
  <w:footnote w:id="16">
    <w:p w:rsidR="00020AFA" w:rsidRPr="003E6B51" w:rsidP="000164B4" w14:paraId="3C6D0B80" w14:textId="7A6BEC36">
      <w:pPr>
        <w:pStyle w:val="FootnoteText"/>
        <w:spacing w:after="120"/>
      </w:pPr>
      <w:r w:rsidRPr="003E6B51">
        <w:rPr>
          <w:rStyle w:val="FootnoteReference"/>
        </w:rPr>
        <w:footnoteRef/>
      </w:r>
      <w:r w:rsidRPr="003E6B51">
        <w:t xml:space="preserve"> Metrolink, </w:t>
      </w:r>
      <w:hyperlink r:id="rId6" w:history="1">
        <w:r>
          <w:rPr>
            <w:rStyle w:val="Hyperlink"/>
          </w:rPr>
          <w:t>https://www.metrolinktrains.com/about/agency/member-agencies/</w:t>
        </w:r>
      </w:hyperlink>
      <w:r w:rsidRPr="006B499F">
        <w:rPr>
          <w:rStyle w:val="Hyperlink"/>
          <w:u w:val="none"/>
        </w:rPr>
        <w:t xml:space="preserve"> </w:t>
      </w:r>
      <w:r w:rsidRPr="003E6B51">
        <w:t xml:space="preserve">(last visited </w:t>
      </w:r>
      <w:r>
        <w:t>Oct. 13</w:t>
      </w:r>
      <w:r w:rsidRPr="003E6B51">
        <w:t>, 20</w:t>
      </w:r>
      <w:r>
        <w:t>20</w:t>
      </w:r>
      <w:r w:rsidRPr="003E6B51">
        <w:t>)</w:t>
      </w:r>
      <w:r>
        <w:t>.</w:t>
      </w:r>
    </w:p>
  </w:footnote>
  <w:footnote w:id="17">
    <w:p w:rsidR="00020AFA" w:rsidRPr="003E6B51" w:rsidP="00070796" w14:paraId="0E0D4CBF" w14:textId="5501278B">
      <w:pPr>
        <w:pStyle w:val="FootnoteText"/>
        <w:spacing w:after="120"/>
      </w:pPr>
      <w:r w:rsidRPr="003E6B51">
        <w:rPr>
          <w:rStyle w:val="FootnoteReference"/>
        </w:rPr>
        <w:footnoteRef/>
      </w:r>
      <w:r w:rsidRPr="003E6B51">
        <w:t xml:space="preserve"> Metrolink, </w:t>
      </w:r>
      <w:r>
        <w:t>History</w:t>
      </w:r>
      <w:r w:rsidRPr="003E6B51">
        <w:t xml:space="preserve">, </w:t>
      </w:r>
      <w:bookmarkStart w:id="6" w:name="_Hlk53575978"/>
      <w:hyperlink r:id="rId7" w:history="1">
        <w:r w:rsidRPr="004C3E68" w:rsidR="00B3328F">
          <w:rPr>
            <w:rStyle w:val="Hyperlink"/>
          </w:rPr>
          <w:t>https://metrolinktrains.com/about/agency/history-of-metrolink</w:t>
        </w:r>
        <w:bookmarkEnd w:id="6"/>
        <w:r w:rsidRPr="004C3E68" w:rsidR="00B3328F">
          <w:rPr>
            <w:rStyle w:val="Hyperlink"/>
          </w:rPr>
          <w:t>/</w:t>
        </w:r>
      </w:hyperlink>
      <w:r w:rsidR="000C7B5A">
        <w:t xml:space="preserve"> </w:t>
      </w:r>
      <w:r w:rsidRPr="003E6B51">
        <w:t xml:space="preserve">(last visited </w:t>
      </w:r>
      <w:r>
        <w:t>Oct. 13, 2020</w:t>
      </w:r>
      <w:r w:rsidRPr="003E6B51">
        <w:t>).</w:t>
      </w:r>
    </w:p>
  </w:footnote>
  <w:footnote w:id="18">
    <w:p w:rsidR="00020AFA" w:rsidRPr="003E6B51" w:rsidP="00114700" w14:paraId="6A6010BF" w14:textId="5AD73F64">
      <w:pPr>
        <w:pStyle w:val="FootnoteText"/>
        <w:spacing w:after="120"/>
      </w:pPr>
      <w:r w:rsidRPr="003E6B51">
        <w:rPr>
          <w:rStyle w:val="FootnoteReference"/>
        </w:rPr>
        <w:footnoteRef/>
      </w:r>
      <w:r w:rsidRPr="003E6B51">
        <w:t xml:space="preserve"> SCRRA Waiver Request at 2.</w:t>
      </w:r>
    </w:p>
  </w:footnote>
  <w:footnote w:id="19">
    <w:p w:rsidR="00020AFA" w:rsidRPr="003E6B51" w:rsidP="00114700" w14:paraId="026F6DF2" w14:textId="7B309CB3">
      <w:pPr>
        <w:pStyle w:val="FootnoteText"/>
        <w:spacing w:after="120"/>
      </w:pPr>
      <w:r w:rsidRPr="003E6B51">
        <w:rPr>
          <w:rStyle w:val="FootnoteReference"/>
        </w:rPr>
        <w:footnoteRef/>
      </w:r>
      <w:r w:rsidRPr="003E6B51">
        <w:t xml:space="preserve"> </w:t>
      </w:r>
      <w:r w:rsidRPr="00F033E0" w:rsidR="00F033E0">
        <w:rPr>
          <w:i/>
          <w:iCs/>
        </w:rPr>
        <w:t>Id.</w:t>
      </w:r>
    </w:p>
  </w:footnote>
  <w:footnote w:id="20">
    <w:p w:rsidR="00020AFA" w:rsidRPr="003E6B51" w:rsidP="00F10B64" w14:paraId="6F7171B2" w14:textId="6318E209">
      <w:pPr>
        <w:pStyle w:val="FootnoteText"/>
        <w:spacing w:after="120"/>
      </w:pPr>
      <w:r w:rsidRPr="003E6B51">
        <w:rPr>
          <w:rStyle w:val="FootnoteReference"/>
        </w:rPr>
        <w:footnoteRef/>
      </w:r>
      <w:r w:rsidRPr="003E6B51">
        <w:t xml:space="preserve"> </w:t>
      </w:r>
      <w:r w:rsidRPr="00F033E0" w:rsidR="00F033E0">
        <w:rPr>
          <w:i/>
          <w:iCs/>
        </w:rPr>
        <w:t>Id.</w:t>
      </w:r>
      <w:r>
        <w:t xml:space="preserve"> at 4.</w:t>
      </w:r>
    </w:p>
  </w:footnote>
  <w:footnote w:id="21">
    <w:p w:rsidR="00020AFA" w:rsidRPr="003E6B51" w:rsidP="00F10B64" w14:paraId="014DA792" w14:textId="4AE65237">
      <w:pPr>
        <w:pStyle w:val="FootnoteText"/>
        <w:spacing w:after="120"/>
      </w:pPr>
      <w:r w:rsidRPr="003E6B51">
        <w:rPr>
          <w:rStyle w:val="FootnoteReference"/>
        </w:rPr>
        <w:footnoteRef/>
      </w:r>
      <w:r w:rsidRPr="003E6B51">
        <w:t xml:space="preserve"> </w:t>
      </w:r>
      <w:r w:rsidRPr="00F033E0" w:rsidR="00F033E0">
        <w:rPr>
          <w:i/>
          <w:iCs/>
        </w:rPr>
        <w:t>Id.</w:t>
      </w:r>
    </w:p>
  </w:footnote>
  <w:footnote w:id="22">
    <w:p w:rsidR="00020AFA" w:rsidRPr="003E6B51" w:rsidP="005A018D" w14:paraId="1C9C82A9" w14:textId="44C366F9">
      <w:pPr>
        <w:pStyle w:val="FootnoteText"/>
        <w:spacing w:after="120"/>
      </w:pPr>
      <w:r w:rsidRPr="003E6B51">
        <w:rPr>
          <w:rStyle w:val="FootnoteReference"/>
        </w:rPr>
        <w:footnoteRef/>
      </w:r>
      <w:r w:rsidRPr="003E6B51">
        <w:t xml:space="preserve"> </w:t>
      </w:r>
      <w:r w:rsidRPr="00F033E0" w:rsidR="00F033E0">
        <w:rPr>
          <w:i/>
          <w:iCs/>
        </w:rPr>
        <w:t>Id.</w:t>
      </w:r>
      <w:r w:rsidRPr="003E6B51">
        <w:t xml:space="preserve"> at </w:t>
      </w:r>
      <w:r>
        <w:t>3</w:t>
      </w:r>
      <w:r w:rsidRPr="003E6B51">
        <w:t>.</w:t>
      </w:r>
    </w:p>
  </w:footnote>
  <w:footnote w:id="23">
    <w:p w:rsidR="00020AFA" w:rsidRPr="003E6B51" w:rsidP="00554C5F" w14:paraId="7D516F51" w14:textId="534B2DA7">
      <w:pPr>
        <w:pStyle w:val="FootnoteText"/>
        <w:spacing w:after="120"/>
      </w:pPr>
      <w:r w:rsidRPr="003E6B51">
        <w:rPr>
          <w:rStyle w:val="FootnoteReference"/>
        </w:rPr>
        <w:footnoteRef/>
      </w:r>
      <w:r w:rsidRPr="003E6B51">
        <w:t xml:space="preserve"> The AMTS spectrum band includes two spectrum blocks in 10 geographic license areas: Block A (217.5-218/219.5-220 MHz) and Block B (217-217.5/219-219.5 MHz).  47 CFR § 80.385(a)(2) and (3).  Station WQGF318 is the Southern Pacific (AMT006) A Block license.</w:t>
      </w:r>
    </w:p>
  </w:footnote>
  <w:footnote w:id="24">
    <w:p w:rsidR="00020AFA" w:rsidRPr="003E6B51" w:rsidP="00554C5F" w14:paraId="0F0D980C" w14:textId="617F421D">
      <w:pPr>
        <w:pStyle w:val="FootnoteText"/>
        <w:spacing w:after="120"/>
      </w:pPr>
      <w:r w:rsidRPr="003E6B51">
        <w:rPr>
          <w:rStyle w:val="FootnoteReference"/>
        </w:rPr>
        <w:footnoteRef/>
      </w:r>
      <w:r w:rsidRPr="003E6B51">
        <w:t xml:space="preserve"> </w:t>
      </w:r>
      <w:r>
        <w:t xml:space="preserve">ULS </w:t>
      </w:r>
      <w:r w:rsidRPr="003E6B51">
        <w:t>File No. 0004144435 (filed Mar. 8, 2010) (Assignment Application).</w:t>
      </w:r>
      <w:r>
        <w:t xml:space="preserve">  </w:t>
      </w:r>
      <w:r w:rsidRPr="003D7D95">
        <w:t>On August 1, 2011, MCLM filed a voluntary petition for relief under Chapter 11 of the Bankruptcy Code.</w:t>
      </w:r>
      <w:r>
        <w:t xml:space="preserve"> </w:t>
      </w:r>
      <w:r w:rsidRPr="003D7D95">
        <w:t xml:space="preserve"> </w:t>
      </w:r>
      <w:r w:rsidRPr="003D7D95">
        <w:rPr>
          <w:i/>
        </w:rPr>
        <w:t>In re Maritime Communications/Land Mobile, LLC</w:t>
      </w:r>
      <w:r w:rsidRPr="003D7D95">
        <w:t xml:space="preserve">, No. 11-13463-DWH (Bankr. N.D. Miss.).  FCC File No. 0004851459 (filed Aug. 26, 2011).  In April 2012, the Bureau accepted MCLM’s application for the involuntary assignment of its licenses to MCLM as a debtor-in-possession.  </w:t>
      </w:r>
      <w:r w:rsidRPr="003D7D95">
        <w:rPr>
          <w:i/>
        </w:rPr>
        <w:t xml:space="preserve">Wireless Telecommunications Bureau Assignment of License Authorization Applications, Transfer of Control of Licensee Applications, De Facto Transfer Lease Applications and Spectrum Manager Lease Notifications, Designated Entity Reportable Eligibility Event Applications, and Designated Entity Annual Reports Action, </w:t>
      </w:r>
      <w:r w:rsidRPr="003D7D95">
        <w:t>Public Notice (WTB April 25, 2012), 2012 WL 1435969; ULS File No. 0004851459 (filed Aug. 26, 2011).</w:t>
      </w:r>
    </w:p>
  </w:footnote>
  <w:footnote w:id="25">
    <w:p w:rsidR="00020AFA" w:rsidRPr="003E6B51" w:rsidP="00554C5F" w14:paraId="7766F595" w14:textId="0275F1E2">
      <w:pPr>
        <w:pStyle w:val="FootnoteText"/>
        <w:spacing w:after="120"/>
      </w:pPr>
      <w:r w:rsidRPr="003E6B51">
        <w:rPr>
          <w:rStyle w:val="FootnoteReference"/>
        </w:rPr>
        <w:footnoteRef/>
      </w:r>
      <w:r w:rsidRPr="00E72383">
        <w:t xml:space="preserve"> </w:t>
      </w:r>
      <w:r>
        <w:t xml:space="preserve">ULS </w:t>
      </w:r>
      <w:r w:rsidRPr="00E72383">
        <w:t>File No. 0004144435</w:t>
      </w:r>
      <w:r>
        <w:t xml:space="preserve">, </w:t>
      </w:r>
      <w:r w:rsidRPr="00E72383">
        <w:t>Minor Amendment (filed Oct. 20, 2015)</w:t>
      </w:r>
      <w:r>
        <w:t xml:space="preserve">, and </w:t>
      </w:r>
      <w:r w:rsidRPr="00E72383">
        <w:t>Second Minor Amendment</w:t>
      </w:r>
      <w:r>
        <w:t xml:space="preserve"> </w:t>
      </w:r>
      <w:r w:rsidRPr="00E72383">
        <w:t>(filed June 8, 2016).</w:t>
      </w:r>
    </w:p>
  </w:footnote>
  <w:footnote w:id="26">
    <w:p w:rsidR="00020AFA" w:rsidRPr="003E6B51" w:rsidP="00296807" w14:paraId="5B63E216" w14:textId="74DF16A3">
      <w:pPr>
        <w:pStyle w:val="FootnoteText"/>
        <w:spacing w:after="120"/>
      </w:pPr>
      <w:r w:rsidRPr="00377B37">
        <w:rPr>
          <w:rStyle w:val="FootnoteReference"/>
        </w:rPr>
        <w:footnoteRef/>
      </w:r>
      <w:r w:rsidRPr="00377B37">
        <w:t xml:space="preserve"> </w:t>
      </w:r>
      <w:r w:rsidRPr="00377B37">
        <w:rPr>
          <w:i/>
        </w:rPr>
        <w:t>Maritime Communications/Land Mobile, LLC and Southern California Regional Rail Authority File Applications to Modify License and Assign Spectrum for Positive Train Control Use, and Request Part 80 Waivers</w:t>
      </w:r>
      <w:r w:rsidRPr="00377B37">
        <w:t>, Order, 31 FCC Rcd 9826</w:t>
      </w:r>
      <w:r>
        <w:t>,</w:t>
      </w:r>
      <w:r w:rsidRPr="00377B37">
        <w:t xml:space="preserve"> </w:t>
      </w:r>
      <w:r w:rsidRPr="003E6B51">
        <w:t>9833-40 paras. 22-40</w:t>
      </w:r>
      <w:r w:rsidRPr="00377B37">
        <w:t xml:space="preserve"> (WTB MD 2016) (</w:t>
      </w:r>
      <w:r w:rsidRPr="00377B37">
        <w:rPr>
          <w:i/>
        </w:rPr>
        <w:t>SCRRA Order</w:t>
      </w:r>
      <w:r w:rsidRPr="00377B37">
        <w:t>)</w:t>
      </w:r>
      <w:r>
        <w:t xml:space="preserve">. </w:t>
      </w:r>
    </w:p>
  </w:footnote>
  <w:footnote w:id="27">
    <w:p w:rsidR="00020AFA" w:rsidRPr="003E6B51" w:rsidP="00A7632B" w14:paraId="108330F0" w14:textId="0538DE57">
      <w:pPr>
        <w:pStyle w:val="FootnoteText"/>
        <w:spacing w:after="120"/>
      </w:pPr>
      <w:r w:rsidRPr="003E6B51">
        <w:rPr>
          <w:rStyle w:val="FootnoteReference"/>
        </w:rPr>
        <w:footnoteRef/>
      </w:r>
      <w:r w:rsidRPr="003E6B51">
        <w:t xml:space="preserve"> </w:t>
      </w:r>
      <w:r w:rsidRPr="003E6B51">
        <w:rPr>
          <w:i/>
        </w:rPr>
        <w:t xml:space="preserve">Wireless Telecommunications Bureau Assignment of License Authorization Applications, Transfer of Control of Licensee Applications, De Facto Transfer Lease Applications and Spectrum Manager Lease Notifications, Designated Entity Reportable Eligibility Event Applications, and Designated Entity Annual Reports Action, </w:t>
      </w:r>
      <w:r w:rsidRPr="003E6B51">
        <w:t>Public Notice (WTB Dec. 28, 2016), 2016 WL 7475683; ULS File No. 0004144435 (filed Dec. 16, 2016) (notice of consummation).</w:t>
      </w:r>
    </w:p>
  </w:footnote>
  <w:footnote w:id="28">
    <w:p w:rsidR="00020AFA" w:rsidP="00361DEE" w14:paraId="42605243" w14:textId="48AD8E08">
      <w:pPr>
        <w:pStyle w:val="FootnoteText"/>
        <w:spacing w:after="120"/>
      </w:pPr>
      <w:r>
        <w:rPr>
          <w:rStyle w:val="FootnoteReference"/>
        </w:rPr>
        <w:footnoteRef/>
      </w:r>
      <w:r>
        <w:t xml:space="preserve"> SCRRA commenced leasing </w:t>
      </w:r>
      <w:r w:rsidRPr="00361DEE">
        <w:rPr>
          <w:iCs/>
        </w:rPr>
        <w:t>spectrum f</w:t>
      </w:r>
      <w:r>
        <w:t xml:space="preserve">rom PTC-220 in September 2012.  </w:t>
      </w:r>
      <w:r w:rsidRPr="00F66DCF">
        <w:t xml:space="preserve">Lease </w:t>
      </w:r>
      <w:r>
        <w:t xml:space="preserve">Identifiers </w:t>
      </w:r>
      <w:r w:rsidRPr="00F66DCF">
        <w:t>L000010091 (expir</w:t>
      </w:r>
      <w:r>
        <w:t xml:space="preserve">ing </w:t>
      </w:r>
      <w:r w:rsidRPr="00F66DCF">
        <w:t>Sep. 19, 2029) and L000010092 (expir</w:t>
      </w:r>
      <w:r>
        <w:t>ing</w:t>
      </w:r>
      <w:r w:rsidRPr="00F66DCF">
        <w:t xml:space="preserve"> Sep. 23, 2029)</w:t>
      </w:r>
      <w:r>
        <w:t>.</w:t>
      </w:r>
    </w:p>
  </w:footnote>
  <w:footnote w:id="29">
    <w:p w:rsidR="00020AFA" w:rsidRPr="003E6B51" w:rsidP="00177537" w14:paraId="5D1B8B43" w14:textId="09BD46C6">
      <w:pPr>
        <w:pStyle w:val="FootnoteText"/>
        <w:spacing w:after="120"/>
      </w:pPr>
      <w:r w:rsidRPr="003E6B51">
        <w:rPr>
          <w:rStyle w:val="FootnoteReference"/>
        </w:rPr>
        <w:footnoteRef/>
      </w:r>
      <w:r w:rsidRPr="003E6B51">
        <w:t xml:space="preserve"> SCRRA Waiver Request at </w:t>
      </w:r>
      <w:r>
        <w:t>6</w:t>
      </w:r>
      <w:r w:rsidRPr="003E6B51">
        <w:t>.</w:t>
      </w:r>
    </w:p>
  </w:footnote>
  <w:footnote w:id="30">
    <w:p w:rsidR="00020AFA" w:rsidRPr="003E6B51" w:rsidP="00276C6B" w14:paraId="4FE86C97" w14:textId="26AC7C40">
      <w:pPr>
        <w:pStyle w:val="FootnoteText"/>
        <w:spacing w:after="120"/>
      </w:pPr>
      <w:r w:rsidRPr="003E6B51">
        <w:rPr>
          <w:rStyle w:val="FootnoteReference"/>
        </w:rPr>
        <w:footnoteRef/>
      </w:r>
      <w:r w:rsidRPr="003E6B51">
        <w:t xml:space="preserve"> </w:t>
      </w:r>
      <w:r>
        <w:t>ULS File No</w:t>
      </w:r>
      <w:r w:rsidRPr="003E6B51">
        <w:t>.</w:t>
      </w:r>
      <w:r>
        <w:t xml:space="preserve"> </w:t>
      </w:r>
      <w:r w:rsidRPr="00451D69">
        <w:t>0009176150</w:t>
      </w:r>
      <w:r>
        <w:t xml:space="preserve"> (STA granted Aug. 11, 2020). </w:t>
      </w:r>
    </w:p>
  </w:footnote>
  <w:footnote w:id="31">
    <w:p w:rsidR="00020AFA" w:rsidRPr="003E6B51" w:rsidP="00EC2239" w14:paraId="22E6831F" w14:textId="3154CEB1">
      <w:pPr>
        <w:pStyle w:val="FootnoteText"/>
        <w:spacing w:after="120"/>
      </w:pPr>
      <w:r w:rsidRPr="003E6B51">
        <w:rPr>
          <w:rStyle w:val="FootnoteReference"/>
        </w:rPr>
        <w:footnoteRef/>
      </w:r>
      <w:r w:rsidRPr="003E6B51">
        <w:t xml:space="preserve"> </w:t>
      </w:r>
      <w:r w:rsidR="00D26548">
        <w:t xml:space="preserve">STA Call Sign </w:t>
      </w:r>
      <w:r w:rsidRPr="00D26548" w:rsidR="00D26548">
        <w:t>WRJD571</w:t>
      </w:r>
      <w:r>
        <w:t xml:space="preserve">, </w:t>
      </w:r>
      <w:r w:rsidR="00D26548">
        <w:t>Operational Update</w:t>
      </w:r>
      <w:r>
        <w:t xml:space="preserve">, </w:t>
      </w:r>
      <w:r w:rsidRPr="00005EF2">
        <w:t>dated Oct.</w:t>
      </w:r>
      <w:r w:rsidR="00D26548">
        <w:t xml:space="preserve"> 20,</w:t>
      </w:r>
      <w:r>
        <w:t xml:space="preserve"> 2020. </w:t>
      </w:r>
    </w:p>
  </w:footnote>
  <w:footnote w:id="32">
    <w:p w:rsidR="00020AFA" w:rsidRPr="003E6B51" w:rsidP="00806471" w14:paraId="42701BDD" w14:textId="5C07843B">
      <w:pPr>
        <w:pStyle w:val="FootnoteText"/>
        <w:spacing w:after="120"/>
      </w:pPr>
      <w:r w:rsidRPr="003E6B51">
        <w:rPr>
          <w:rStyle w:val="FootnoteReference"/>
        </w:rPr>
        <w:footnoteRef/>
      </w:r>
      <w:r w:rsidRPr="003E6B51">
        <w:t xml:space="preserve"> 47 CFR § 80.215(h)(2); </w:t>
      </w:r>
      <w:r w:rsidRPr="003E6B51">
        <w:rPr>
          <w:i/>
        </w:rPr>
        <w:t xml:space="preserve">see also </w:t>
      </w:r>
      <w:r w:rsidRPr="00232D2D" w:rsidR="00232D2D">
        <w:rPr>
          <w:i/>
          <w:iCs/>
        </w:rPr>
        <w:t>id.</w:t>
      </w:r>
      <w:r w:rsidRPr="003E6B51">
        <w:t xml:space="preserve"> § 80.475(a)(1).  AMTS base stations are authorized “subject to the condition that no harmful interference will be caused to television reception except that TV services authorized subsequent to the filing of the AMTS station application will not be protected.”  </w:t>
      </w:r>
      <w:r w:rsidRPr="00232D2D" w:rsidR="00232D2D">
        <w:rPr>
          <w:i/>
          <w:iCs/>
        </w:rPr>
        <w:t>Id.</w:t>
      </w:r>
      <w:r w:rsidRPr="003E6B51">
        <w:t xml:space="preserve"> § 80.215(h).</w:t>
      </w:r>
    </w:p>
  </w:footnote>
  <w:footnote w:id="33">
    <w:p w:rsidR="00020AFA" w:rsidRPr="003E6B51" w:rsidP="00D50290" w14:paraId="7F58A6F1" w14:textId="1DCC02C0">
      <w:pPr>
        <w:pStyle w:val="FootnoteText"/>
        <w:spacing w:after="120"/>
      </w:pPr>
      <w:r w:rsidRPr="003E6B51">
        <w:rPr>
          <w:rStyle w:val="FootnoteReference"/>
        </w:rPr>
        <w:footnoteRef/>
      </w:r>
      <w:r w:rsidRPr="003E6B51">
        <w:t xml:space="preserve"> </w:t>
      </w:r>
      <w:r w:rsidRPr="00263B1C">
        <w:t xml:space="preserve">SCRRA Waiver Request at 7-8, and n.9.  </w:t>
      </w:r>
    </w:p>
  </w:footnote>
  <w:footnote w:id="34">
    <w:p w:rsidR="00020AFA" w:rsidP="004C53D6" w14:paraId="1A85167E" w14:textId="573B548F">
      <w:pPr>
        <w:pStyle w:val="FootnoteText"/>
        <w:spacing w:after="120"/>
      </w:pPr>
      <w:r>
        <w:rPr>
          <w:rStyle w:val="FootnoteReference"/>
        </w:rPr>
        <w:footnoteRef/>
      </w:r>
      <w:r>
        <w:t xml:space="preserve"> </w:t>
      </w:r>
      <w:r w:rsidRPr="004C53D6">
        <w:t>47 CFR § 80.215(</w:t>
      </w:r>
      <w:r>
        <w:t>h</w:t>
      </w:r>
      <w:r w:rsidRPr="004C53D6">
        <w:t>)(2).</w:t>
      </w:r>
    </w:p>
  </w:footnote>
  <w:footnote w:id="35">
    <w:p w:rsidR="00020AFA" w:rsidRPr="00192CBC" w:rsidP="00D63C24" w14:paraId="40865373" w14:textId="345236E9">
      <w:pPr>
        <w:pStyle w:val="FootnoteText"/>
        <w:spacing w:after="120"/>
      </w:pPr>
      <w:r w:rsidRPr="00615CA3">
        <w:rPr>
          <w:rStyle w:val="FootnoteReference"/>
        </w:rPr>
        <w:footnoteRef/>
      </w:r>
      <w:r>
        <w:t xml:space="preserve"> </w:t>
      </w:r>
      <w:r w:rsidRPr="00192CBC">
        <w:t>ULS File No. 0007974978</w:t>
      </w:r>
      <w:r>
        <w:t xml:space="preserve">, </w:t>
      </w:r>
      <w:r w:rsidRPr="009C1683">
        <w:t xml:space="preserve">“Interference Analysis for BEA 160 &amp; 161 AMTS-A Block with Over-the Air TV Channels 13 and 10 Broadcasts” at 3, prepared by RF Networks Inc., dated March 20, 2019 (filed May 28, 2019) </w:t>
      </w:r>
      <w:r w:rsidRPr="00192CBC">
        <w:t>(SCRRA Engineering Report).</w:t>
      </w:r>
    </w:p>
  </w:footnote>
  <w:footnote w:id="36">
    <w:p w:rsidR="00020AFA" w14:paraId="23DBEF0C" w14:textId="0FDEA5DB">
      <w:pPr>
        <w:pStyle w:val="FootnoteText"/>
      </w:pPr>
      <w:r>
        <w:rPr>
          <w:rStyle w:val="FootnoteReference"/>
        </w:rPr>
        <w:footnoteRef/>
      </w:r>
      <w:r>
        <w:t xml:space="preserve"> </w:t>
      </w:r>
      <w:r w:rsidRPr="004C53D6">
        <w:t xml:space="preserve">The </w:t>
      </w:r>
      <w:r>
        <w:t xml:space="preserve">study considered one </w:t>
      </w:r>
      <w:r w:rsidRPr="004C53D6">
        <w:t>Channel 13 station KCOP-TV, Los Angeles, CA.  SCRRA Engineering Report at 38 (Fig</w:t>
      </w:r>
      <w:r w:rsidR="000745C4">
        <w:t>.</w:t>
      </w:r>
      <w:r w:rsidRPr="004C53D6">
        <w:t xml:space="preserve"> 7).  The </w:t>
      </w:r>
      <w:r>
        <w:t xml:space="preserve">study considered six </w:t>
      </w:r>
      <w:r w:rsidRPr="004C53D6">
        <w:t>Channel 10 stations</w:t>
      </w:r>
      <w:r>
        <w:t>:</w:t>
      </w:r>
      <w:r w:rsidRPr="004C53D6">
        <w:t xml:space="preserve"> </w:t>
      </w:r>
      <w:r w:rsidRPr="00E12F39">
        <w:t>KERO-TV, Bakersfield; KGTV, San Diego; DKTAV-LD, Altadena; KIIO-LD, Los Angeles; KZSW-LD, Riverside; and K10PV-D, Santa Barbara</w:t>
      </w:r>
      <w:r w:rsidRPr="004C53D6">
        <w:t xml:space="preserve">. </w:t>
      </w:r>
      <w:r>
        <w:t xml:space="preserve"> </w:t>
      </w:r>
      <w:r w:rsidRPr="00C00399" w:rsidR="00C00399">
        <w:rPr>
          <w:i/>
          <w:iCs/>
        </w:rPr>
        <w:t>Id.</w:t>
      </w:r>
      <w:r w:rsidRPr="004C53D6">
        <w:t xml:space="preserve"> at 39-44 (Fig</w:t>
      </w:r>
      <w:r w:rsidR="000745C4">
        <w:t>s</w:t>
      </w:r>
      <w:r w:rsidR="00C00399">
        <w:t>.</w:t>
      </w:r>
      <w:r w:rsidRPr="004C53D6">
        <w:t xml:space="preserve"> 8a to 8f).</w:t>
      </w:r>
      <w:r>
        <w:t xml:space="preserve"> </w:t>
      </w:r>
    </w:p>
    <w:p w:rsidR="00020AFA" w14:paraId="1EA9EA08" w14:textId="77777777">
      <w:pPr>
        <w:pStyle w:val="FootnoteText"/>
      </w:pPr>
    </w:p>
  </w:footnote>
  <w:footnote w:id="37">
    <w:p w:rsidR="00020AFA" w:rsidRPr="00192CBC" w:rsidP="00F91239" w14:paraId="1BD08713" w14:textId="5D67FDCD">
      <w:pPr>
        <w:pStyle w:val="FootnoteText"/>
        <w:spacing w:after="120"/>
      </w:pPr>
      <w:r w:rsidRPr="00192CBC">
        <w:rPr>
          <w:rStyle w:val="FootnoteReference"/>
        </w:rPr>
        <w:footnoteRef/>
      </w:r>
      <w:r w:rsidRPr="00192CBC">
        <w:t xml:space="preserve"> </w:t>
      </w:r>
      <w:r w:rsidRPr="00AC1472">
        <w:t>“Interference Mitigation Measures,” SCRRA Engineering Report at 6-7 (Interference Mitigation Plan).</w:t>
      </w:r>
      <w:r w:rsidRPr="00192CBC">
        <w:t xml:space="preserve">  </w:t>
      </w:r>
    </w:p>
  </w:footnote>
  <w:footnote w:id="38">
    <w:p w:rsidR="00020AFA" w:rsidRPr="00192CBC" w:rsidP="00806471" w14:paraId="6E0E004B" w14:textId="54A66FA8">
      <w:pPr>
        <w:pStyle w:val="FootnoteText"/>
        <w:spacing w:after="120"/>
      </w:pPr>
      <w:r w:rsidRPr="00192CBC">
        <w:rPr>
          <w:rStyle w:val="FootnoteReference"/>
        </w:rPr>
        <w:footnoteRef/>
      </w:r>
      <w:r w:rsidRPr="00192CBC">
        <w:t xml:space="preserve"> ULS File No. 0007974978, Certification of Darrell Maxey, SCRRA Chief Officer Mobilization, Transition and Special Projects, dated March 13, 2020 (attached as Exhibit 4 to SCRRA Waiver Request) (Maxey Certification). </w:t>
      </w:r>
    </w:p>
  </w:footnote>
  <w:footnote w:id="39">
    <w:p w:rsidR="00020AFA" w:rsidP="001759E3" w14:paraId="64DD2224" w14:textId="2E3A0CCC">
      <w:pPr>
        <w:pStyle w:val="FootnoteText"/>
        <w:spacing w:after="120"/>
      </w:pPr>
      <w:r>
        <w:rPr>
          <w:rStyle w:val="FootnoteReference"/>
        </w:rPr>
        <w:footnoteRef/>
      </w:r>
      <w:r>
        <w:t xml:space="preserve"> </w:t>
      </w:r>
      <w:r w:rsidRPr="00600A82">
        <w:t>SCRRA Waiver Request</w:t>
      </w:r>
      <w:r w:rsidRPr="003E6B51">
        <w:t xml:space="preserve"> </w:t>
      </w:r>
      <w:r>
        <w:t xml:space="preserve">at 4-7, citing </w:t>
      </w:r>
      <w:r w:rsidRPr="003E6B51">
        <w:t>47 CFR § 80.215(</w:t>
      </w:r>
      <w:r>
        <w:t>i</w:t>
      </w:r>
      <w:r w:rsidRPr="003E6B51">
        <w:t>)</w:t>
      </w:r>
      <w:r>
        <w:t xml:space="preserve"> (</w:t>
      </w:r>
      <w:r w:rsidRPr="00627DD6">
        <w:t xml:space="preserve">AMTS mobile radio stations must have a </w:t>
      </w:r>
      <w:r>
        <w:t xml:space="preserve">TPO </w:t>
      </w:r>
      <w:r w:rsidRPr="00627DD6">
        <w:t>“not exceeding 25 watts and an ERP not exceeding 18 watts” unless certain conditions are met</w:t>
      </w:r>
      <w:r>
        <w:t>)</w:t>
      </w:r>
      <w:r w:rsidRPr="006A1409">
        <w:t>.</w:t>
      </w:r>
    </w:p>
  </w:footnote>
  <w:footnote w:id="40">
    <w:p w:rsidR="00020AFA" w:rsidRPr="00714CD1" w:rsidP="00D013BD" w14:paraId="213BE018" w14:textId="3F735ADA">
      <w:pPr>
        <w:pStyle w:val="FootnoteText"/>
        <w:spacing w:after="120"/>
      </w:pPr>
      <w:r w:rsidRPr="00714CD1">
        <w:rPr>
          <w:rStyle w:val="FootnoteReference"/>
        </w:rPr>
        <w:footnoteRef/>
      </w:r>
      <w:r w:rsidRPr="00714CD1">
        <w:t xml:space="preserve"> SCRRA Waiver Request at 7-8 and 12-13, citing 47 CFR § 1.913(a)(1</w:t>
      </w:r>
      <w:r>
        <w:t>)</w:t>
      </w:r>
      <w:r w:rsidRPr="00714CD1">
        <w:t>.</w:t>
      </w:r>
    </w:p>
  </w:footnote>
  <w:footnote w:id="41">
    <w:p w:rsidR="00020AFA" w:rsidRPr="00192CBC" w:rsidP="00806471" w14:paraId="2A2E41CC" w14:textId="57DEDBBA">
      <w:pPr>
        <w:pStyle w:val="FootnoteText"/>
        <w:spacing w:after="120"/>
        <w:rPr>
          <w:i/>
        </w:rPr>
      </w:pPr>
      <w:r w:rsidRPr="00192CBC">
        <w:rPr>
          <w:rStyle w:val="FootnoteReference"/>
        </w:rPr>
        <w:footnoteRef/>
      </w:r>
      <w:r w:rsidRPr="00192CBC">
        <w:t xml:space="preserve"> ULS File No. 0007974978, Certificates of Service (filed Nov. 9, 2017, May 28, 2019 and Oct. 11, 2019, and Mar</w:t>
      </w:r>
      <w:r w:rsidR="00F65D6B">
        <w:t>.</w:t>
      </w:r>
      <w:r w:rsidRPr="00192CBC">
        <w:t xml:space="preserve"> 13, 2020).  </w:t>
      </w:r>
    </w:p>
  </w:footnote>
  <w:footnote w:id="42">
    <w:p w:rsidR="00020AFA" w:rsidRPr="003E6B51" w:rsidP="006A1409" w14:paraId="2FA92612" w14:textId="2F8546AC">
      <w:pPr>
        <w:pStyle w:val="FootnoteText"/>
        <w:spacing w:after="120"/>
      </w:pPr>
      <w:r w:rsidRPr="003E6B51">
        <w:rPr>
          <w:rStyle w:val="FootnoteReference"/>
        </w:rPr>
        <w:footnoteRef/>
      </w:r>
      <w:r w:rsidRPr="003E6B51">
        <w:t xml:space="preserve"> </w:t>
      </w:r>
      <w:r>
        <w:t xml:space="preserve">SCRRA </w:t>
      </w:r>
      <w:r w:rsidRPr="003E6B51">
        <w:t xml:space="preserve">Engineering Report at </w:t>
      </w:r>
      <w:r>
        <w:t>27 (base station parameters)</w:t>
      </w:r>
      <w:r w:rsidRPr="003E6B51">
        <w:t xml:space="preserve">.  </w:t>
      </w:r>
    </w:p>
  </w:footnote>
  <w:footnote w:id="43">
    <w:p w:rsidR="00020AFA" w:rsidRPr="003E6B51" w:rsidP="00806471" w14:paraId="2B4490B3" w14:textId="58B1FDC3">
      <w:pPr>
        <w:pStyle w:val="FootnoteText"/>
        <w:spacing w:after="120"/>
      </w:pPr>
      <w:r w:rsidRPr="003E6B51">
        <w:rPr>
          <w:rStyle w:val="FootnoteReference"/>
        </w:rPr>
        <w:footnoteRef/>
      </w:r>
      <w:r w:rsidRPr="003E6B51">
        <w:t xml:space="preserve"> </w:t>
      </w:r>
      <w:r>
        <w:t xml:space="preserve">SCRRA </w:t>
      </w:r>
      <w:r w:rsidRPr="003E6B51">
        <w:t>Waiver Request</w:t>
      </w:r>
      <w:r>
        <w:t>, Ex</w:t>
      </w:r>
      <w:r w:rsidR="002C5A67">
        <w:t>.</w:t>
      </w:r>
      <w:r>
        <w:t xml:space="preserve"> 2 </w:t>
      </w:r>
      <w:r w:rsidRPr="003627AC">
        <w:t xml:space="preserve">(wayside station parameters). </w:t>
      </w:r>
      <w:r>
        <w:t xml:space="preserve"> W</w:t>
      </w:r>
      <w:r w:rsidRPr="00BC6F68">
        <w:t xml:space="preserve">ayside radio stations are collocated with intermediate or control point railroad signals and communicate with both approaching trains and nearby base stations.  SCRRA Engineering Report at 3.  They are usually located within 30 feet of the rail edge, with antenna heights typically between 30 and 60 feet.  </w:t>
      </w:r>
      <w:r w:rsidRPr="00F033E0" w:rsidR="00F033E0">
        <w:rPr>
          <w:i/>
          <w:iCs/>
        </w:rPr>
        <w:t>Id.</w:t>
      </w:r>
      <w:r w:rsidRPr="00BC6F68">
        <w:t xml:space="preserve">  The wayside radio stations are owned by SCRRA, BNSF, and UP.  SCRRA Waiver Request, Ex</w:t>
      </w:r>
      <w:r w:rsidR="00A93B5D">
        <w:t>.</w:t>
      </w:r>
      <w:r w:rsidRPr="00BC6F68">
        <w:t xml:space="preserve"> 2.  SCRRA base stations will control the assignment and use of its AMTS spectrum by all wayside radio stations in SCRRA territory, including stations owned by BNSF and UP.  SCRRA Waiver Request at n.10.</w:t>
      </w:r>
    </w:p>
  </w:footnote>
  <w:footnote w:id="44">
    <w:p w:rsidR="00020AFA" w:rsidRPr="003E6B51" w:rsidP="006A1409" w14:paraId="66C41C37" w14:textId="31B4D87A">
      <w:pPr>
        <w:pStyle w:val="FootnoteText"/>
        <w:spacing w:after="120"/>
      </w:pPr>
      <w:r w:rsidRPr="003E6B51">
        <w:rPr>
          <w:rStyle w:val="FootnoteReference"/>
        </w:rPr>
        <w:footnoteRef/>
      </w:r>
      <w:r w:rsidRPr="003E6B51">
        <w:t xml:space="preserve"> </w:t>
      </w:r>
      <w:r>
        <w:t xml:space="preserve">SCRRA </w:t>
      </w:r>
      <w:r w:rsidRPr="003E6B51">
        <w:t>Engineering Report at 24</w:t>
      </w:r>
      <w:r>
        <w:t>, Tbl</w:t>
      </w:r>
      <w:r w:rsidR="003D49C0">
        <w:t>.</w:t>
      </w:r>
      <w:r>
        <w:t xml:space="preserve"> 5.3 (locomotive radio parameters). </w:t>
      </w:r>
    </w:p>
  </w:footnote>
  <w:footnote w:id="45">
    <w:p w:rsidR="00020AFA" w:rsidRPr="003E6B51" w:rsidP="00F64056" w14:paraId="7795E1A2" w14:textId="77777777">
      <w:pPr>
        <w:pStyle w:val="FootnoteText"/>
        <w:spacing w:after="120"/>
        <w:rPr>
          <w:i/>
        </w:rPr>
      </w:pPr>
      <w:r w:rsidRPr="003E6B51">
        <w:rPr>
          <w:rStyle w:val="FootnoteReference"/>
        </w:rPr>
        <w:footnoteRef/>
      </w:r>
      <w:r w:rsidRPr="003E6B51">
        <w:t xml:space="preserve"> </w:t>
      </w:r>
      <w:r w:rsidRPr="00571B65">
        <w:t>TPO is the power level at the output terminals of a radio transmitter.</w:t>
      </w:r>
    </w:p>
  </w:footnote>
  <w:footnote w:id="46">
    <w:p w:rsidR="00020AFA" w:rsidP="00D73BAF" w14:paraId="40C6B510" w14:textId="0C3C0144">
      <w:pPr>
        <w:pStyle w:val="FootnoteText"/>
        <w:spacing w:after="120"/>
      </w:pPr>
      <w:r>
        <w:rPr>
          <w:rStyle w:val="FootnoteReference"/>
        </w:rPr>
        <w:footnoteRef/>
      </w:r>
      <w:r>
        <w:t xml:space="preserve"> </w:t>
      </w:r>
      <w:r w:rsidRPr="003E6B51">
        <w:t>SCRRA Waiver Request at</w:t>
      </w:r>
      <w:r>
        <w:t xml:space="preserve"> 4-7.  </w:t>
      </w:r>
      <w:r w:rsidRPr="006A1409">
        <w:t>ERP is defined as “[t]he product of the power supplied to the antenna multiplied by the gain of the antenna referenced to a half-wave dipole.”  47 CFR § 1.907.</w:t>
      </w:r>
    </w:p>
  </w:footnote>
  <w:footnote w:id="47">
    <w:p w:rsidR="00020AFA" w:rsidRPr="003E6B51" w:rsidP="006723EC" w14:paraId="409FE5A7" w14:textId="02AB588C">
      <w:pPr>
        <w:pStyle w:val="FootnoteText"/>
        <w:spacing w:after="120"/>
        <w:rPr>
          <w:i/>
        </w:rPr>
      </w:pPr>
      <w:r w:rsidRPr="003E6B51">
        <w:rPr>
          <w:rStyle w:val="FootnoteReference"/>
        </w:rPr>
        <w:footnoteRef/>
      </w:r>
      <w:r w:rsidRPr="003E6B51">
        <w:t xml:space="preserve"> 47 CFR § 80.215(</w:t>
      </w:r>
      <w:r>
        <w:t>i</w:t>
      </w:r>
      <w:r w:rsidRPr="003E6B51">
        <w:t>).</w:t>
      </w:r>
      <w:r>
        <w:t xml:space="preserve">  </w:t>
      </w:r>
    </w:p>
  </w:footnote>
  <w:footnote w:id="48">
    <w:p w:rsidR="00020AFA" w:rsidRPr="003E6B51" w:rsidP="00015516" w14:paraId="37BB848F" w14:textId="6FC0AA03">
      <w:pPr>
        <w:pStyle w:val="FootnoteText"/>
        <w:spacing w:after="120"/>
        <w:rPr>
          <w:i/>
        </w:rPr>
      </w:pPr>
      <w:r w:rsidRPr="003E6B51">
        <w:rPr>
          <w:rStyle w:val="FootnoteReference"/>
        </w:rPr>
        <w:footnoteRef/>
      </w:r>
      <w:r w:rsidRPr="003E6B51">
        <w:t xml:space="preserve"> </w:t>
      </w:r>
      <w:r w:rsidRPr="00C97B56" w:rsidR="009F58D3">
        <w:rPr>
          <w:i/>
          <w:iCs/>
        </w:rPr>
        <w:t>Id.</w:t>
      </w:r>
      <w:r w:rsidRPr="003E6B51">
        <w:t xml:space="preserve"> § 80.215(</w:t>
      </w:r>
      <w:r>
        <w:t>i</w:t>
      </w:r>
      <w:r w:rsidRPr="003E6B51">
        <w:t>)</w:t>
      </w:r>
      <w:r>
        <w:t>(1)</w:t>
      </w:r>
      <w:r w:rsidRPr="003E6B51">
        <w:t>.</w:t>
      </w:r>
    </w:p>
  </w:footnote>
  <w:footnote w:id="49">
    <w:p w:rsidR="00020AFA" w:rsidRPr="003E6B51" w:rsidP="00015516" w14:paraId="2FD93160" w14:textId="1CFCC7DC">
      <w:pPr>
        <w:pStyle w:val="FootnoteText"/>
        <w:spacing w:after="120"/>
        <w:rPr>
          <w:i/>
        </w:rPr>
      </w:pPr>
      <w:r w:rsidRPr="003E6B51">
        <w:rPr>
          <w:rStyle w:val="FootnoteReference"/>
        </w:rPr>
        <w:footnoteRef/>
      </w:r>
      <w:r w:rsidRPr="003E6B51">
        <w:t xml:space="preserve"> </w:t>
      </w:r>
      <w:r w:rsidRPr="00F57053" w:rsidR="009F58D3">
        <w:rPr>
          <w:i/>
          <w:iCs/>
        </w:rPr>
        <w:t>Id.</w:t>
      </w:r>
      <w:r w:rsidRPr="003E6B51">
        <w:t xml:space="preserve"> § 80.215(</w:t>
      </w:r>
      <w:r>
        <w:t>i</w:t>
      </w:r>
      <w:r w:rsidRPr="003E6B51">
        <w:t>)</w:t>
      </w:r>
      <w:r>
        <w:t>(2)</w:t>
      </w:r>
      <w:r w:rsidRPr="003E6B51">
        <w:t>.</w:t>
      </w:r>
    </w:p>
  </w:footnote>
  <w:footnote w:id="50">
    <w:p w:rsidR="00020AFA" w:rsidRPr="003E6B51" w:rsidP="005E1352" w14:paraId="785295BA" w14:textId="68E5BE66">
      <w:pPr>
        <w:pStyle w:val="FootnoteText"/>
        <w:spacing w:after="120"/>
        <w:rPr>
          <w:i/>
        </w:rPr>
      </w:pPr>
      <w:r w:rsidRPr="003E6B51">
        <w:rPr>
          <w:rStyle w:val="FootnoteReference"/>
        </w:rPr>
        <w:footnoteRef/>
      </w:r>
      <w:r w:rsidRPr="003E6B51">
        <w:t xml:space="preserve"> </w:t>
      </w:r>
      <w:r w:rsidRPr="00F57053" w:rsidR="008C064D">
        <w:rPr>
          <w:i/>
          <w:iCs/>
        </w:rPr>
        <w:t>Id.</w:t>
      </w:r>
      <w:r w:rsidRPr="003E6B51">
        <w:t xml:space="preserve"> § 80.215(</w:t>
      </w:r>
      <w:r>
        <w:t>j</w:t>
      </w:r>
      <w:r w:rsidRPr="003E6B51">
        <w:t>).</w:t>
      </w:r>
      <w:r>
        <w:t xml:space="preserve">  </w:t>
      </w:r>
    </w:p>
  </w:footnote>
  <w:footnote w:id="51">
    <w:p w:rsidR="00020AFA" w:rsidP="00521182" w14:paraId="36055FC2" w14:textId="41C76E07">
      <w:pPr>
        <w:pStyle w:val="FootnoteText"/>
        <w:spacing w:after="120"/>
      </w:pPr>
      <w:r>
        <w:rPr>
          <w:rStyle w:val="FootnoteReference"/>
        </w:rPr>
        <w:footnoteRef/>
      </w:r>
      <w:r>
        <w:t xml:space="preserve"> </w:t>
      </w:r>
      <w:r w:rsidRPr="003E6B51">
        <w:t>SCRRA Waiver Request at</w:t>
      </w:r>
      <w:r>
        <w:t xml:space="preserve"> 4-7.</w:t>
      </w:r>
    </w:p>
  </w:footnote>
  <w:footnote w:id="52">
    <w:p w:rsidR="00020AFA" w:rsidRPr="003E6B51" w:rsidP="00B20533" w14:paraId="1EA5D2B8" w14:textId="4AB0D3D0">
      <w:pPr>
        <w:pStyle w:val="FootnoteText"/>
        <w:spacing w:after="120"/>
      </w:pPr>
      <w:r w:rsidRPr="003E6B51">
        <w:rPr>
          <w:rStyle w:val="FootnoteReference"/>
        </w:rPr>
        <w:footnoteRef/>
      </w:r>
      <w:r w:rsidRPr="003E6B51">
        <w:t xml:space="preserve"> </w:t>
      </w:r>
      <w:r w:rsidRPr="00FD66E3">
        <w:t xml:space="preserve">This waiver extends to all PTC locomotive radio operations </w:t>
      </w:r>
      <w:r>
        <w:t xml:space="preserve">under </w:t>
      </w:r>
      <w:bookmarkStart w:id="10" w:name="_Hlk52896001"/>
      <w:r w:rsidRPr="00FD66E3">
        <w:t>Call Sign WQYR421</w:t>
      </w:r>
      <w:bookmarkEnd w:id="10"/>
      <w:r w:rsidRPr="00FD66E3">
        <w:t>.</w:t>
      </w:r>
      <w:r>
        <w:t xml:space="preserve">  </w:t>
      </w:r>
      <w:r w:rsidRPr="003E6B51">
        <w:t xml:space="preserve">SCRRA Waiver Request </w:t>
      </w:r>
      <w:r w:rsidRPr="00932083">
        <w:t>at n</w:t>
      </w:r>
      <w:r w:rsidRPr="00932083" w:rsidR="00932083">
        <w:t>.</w:t>
      </w:r>
      <w:r>
        <w:t>7 (stating that the “</w:t>
      </w:r>
      <w:r w:rsidRPr="00F549EB">
        <w:t xml:space="preserve">waiver request should cover freight railroad mobile radios that will utilize the Station License </w:t>
      </w:r>
      <w:r>
        <w:t>[</w:t>
      </w:r>
      <w:r w:rsidRPr="003E6B51">
        <w:rPr>
          <w:sz w:val="22"/>
          <w:szCs w:val="22"/>
        </w:rPr>
        <w:t>WQYR421</w:t>
      </w:r>
      <w:r>
        <w:rPr>
          <w:sz w:val="22"/>
          <w:szCs w:val="22"/>
        </w:rPr>
        <w:t>]</w:t>
      </w:r>
      <w:r>
        <w:t xml:space="preserve"> </w:t>
      </w:r>
      <w:r w:rsidRPr="00F549EB">
        <w:t>in Southern California pursuant to a forthcoming leasing arrangement</w:t>
      </w:r>
      <w:r>
        <w:t>”).</w:t>
      </w:r>
      <w:r w:rsidRPr="00F549EB">
        <w:t xml:space="preserve"> </w:t>
      </w:r>
    </w:p>
  </w:footnote>
  <w:footnote w:id="53">
    <w:p w:rsidR="00020AFA" w:rsidRPr="00756CAE" w:rsidP="006F66B2" w14:paraId="5099AE65" w14:textId="5223D0AA">
      <w:pPr>
        <w:pStyle w:val="FootnoteText"/>
        <w:spacing w:after="120"/>
      </w:pPr>
      <w:r w:rsidRPr="00756CAE">
        <w:rPr>
          <w:rStyle w:val="FootnoteReference"/>
        </w:rPr>
        <w:footnoteRef/>
      </w:r>
      <w:r w:rsidRPr="00756CAE">
        <w:t xml:space="preserve"> </w:t>
      </w:r>
      <w:r w:rsidRPr="00AC3DE7">
        <w:t>49 U.S.C. § 20157(</w:t>
      </w:r>
      <w:r>
        <w:t>a</w:t>
      </w:r>
      <w:r w:rsidRPr="00AC3DE7">
        <w:t>)(</w:t>
      </w:r>
      <w:r>
        <w:t>2</w:t>
      </w:r>
      <w:r w:rsidRPr="00AC3DE7">
        <w:t>)</w:t>
      </w:r>
      <w:r>
        <w:t xml:space="preserve">(A)(i)(1) (a railroad “must </w:t>
      </w:r>
      <w:r w:rsidRPr="00F065AA">
        <w:t>provide for interoperability of the system with the movements of trains of other railroad carriers over its lines</w:t>
      </w:r>
      <w:r>
        <w:t xml:space="preserve">”).  The Rail Safety Act defines </w:t>
      </w:r>
      <w:r w:rsidRPr="00311F2E">
        <w:t xml:space="preserve">“interoperability” </w:t>
      </w:r>
      <w:r>
        <w:t>as “</w:t>
      </w:r>
      <w:r w:rsidRPr="00311F2E">
        <w:t>the ability to control locomotives of the host railroad and tenant railroad to communicate with and respond to the positive train control system, including uninterrupted movements over property boundaries</w:t>
      </w:r>
      <w:r>
        <w:t xml:space="preserve">.”  </w:t>
      </w:r>
      <w:r w:rsidRPr="00F55B87" w:rsidR="00F55B87">
        <w:rPr>
          <w:i/>
          <w:iCs/>
        </w:rPr>
        <w:t>Id.</w:t>
      </w:r>
      <w:r w:rsidRPr="00AC3DE7">
        <w:t xml:space="preserve"> § 20157(i)(3).</w:t>
      </w:r>
    </w:p>
  </w:footnote>
  <w:footnote w:id="54">
    <w:p w:rsidR="00020AFA" w:rsidRPr="00756CAE" w:rsidP="00900E01" w14:paraId="08913269" w14:textId="77777777">
      <w:pPr>
        <w:pStyle w:val="FootnoteText"/>
        <w:spacing w:after="120"/>
      </w:pPr>
      <w:r w:rsidRPr="00756CAE">
        <w:rPr>
          <w:rStyle w:val="FootnoteReference"/>
        </w:rPr>
        <w:footnoteRef/>
      </w:r>
      <w:r w:rsidRPr="00756CAE">
        <w:t xml:space="preserve"> SCRRA Waiver Request at 7.</w:t>
      </w:r>
    </w:p>
  </w:footnote>
  <w:footnote w:id="55">
    <w:p w:rsidR="00020AFA" w:rsidRPr="00756CAE" w:rsidP="00C452C7" w14:paraId="305F79F8" w14:textId="455661A3">
      <w:pPr>
        <w:pStyle w:val="FootnoteText"/>
        <w:spacing w:after="120"/>
      </w:pPr>
      <w:r w:rsidRPr="00756CAE">
        <w:rPr>
          <w:rStyle w:val="FootnoteReference"/>
        </w:rPr>
        <w:footnoteRef/>
      </w:r>
      <w:r w:rsidRPr="00756CAE">
        <w:t xml:space="preserve"> </w:t>
      </w:r>
      <w:r w:rsidRPr="00F033E0" w:rsidR="00F033E0">
        <w:rPr>
          <w:i/>
          <w:iCs/>
        </w:rPr>
        <w:t>Id.</w:t>
      </w:r>
    </w:p>
  </w:footnote>
  <w:footnote w:id="56">
    <w:p w:rsidR="00020AFA" w:rsidRPr="00756CAE" w:rsidP="00A42DDC" w14:paraId="461D6A7A" w14:textId="16AF88F6">
      <w:pPr>
        <w:pStyle w:val="FootnoteText"/>
        <w:spacing w:after="120"/>
      </w:pPr>
      <w:r w:rsidRPr="00756CAE">
        <w:rPr>
          <w:rStyle w:val="FootnoteReference"/>
        </w:rPr>
        <w:footnoteRef/>
      </w:r>
      <w:r w:rsidRPr="00756CAE">
        <w:t xml:space="preserve"> </w:t>
      </w:r>
      <w:r w:rsidRPr="00F033E0" w:rsidR="00F033E0">
        <w:rPr>
          <w:i/>
          <w:iCs/>
        </w:rPr>
        <w:t>Id.</w:t>
      </w:r>
    </w:p>
  </w:footnote>
  <w:footnote w:id="57">
    <w:p w:rsidR="00020AFA" w:rsidRPr="00756CAE" w:rsidP="00BB0ADF" w14:paraId="000692C1" w14:textId="3774C062">
      <w:pPr>
        <w:pStyle w:val="FootnoteText"/>
        <w:spacing w:after="120"/>
      </w:pPr>
      <w:r w:rsidRPr="00756CAE">
        <w:rPr>
          <w:rStyle w:val="FootnoteReference"/>
        </w:rPr>
        <w:footnoteRef/>
      </w:r>
      <w:r w:rsidRPr="00756CAE">
        <w:t xml:space="preserve"> </w:t>
      </w:r>
      <w:r w:rsidRPr="00F033E0" w:rsidR="00F033E0">
        <w:rPr>
          <w:i/>
          <w:iCs/>
        </w:rPr>
        <w:t>Id.</w:t>
      </w:r>
      <w:r w:rsidRPr="00756CAE">
        <w:t xml:space="preserve"> at 6-7</w:t>
      </w:r>
      <w:r>
        <w:t xml:space="preserve">.  </w:t>
      </w:r>
      <w:r w:rsidRPr="00756CAE">
        <w:t xml:space="preserve">The Meteorcomm Radio’s specifications are attached as Exhibit 1 to the SCRRA Waiver Request.  </w:t>
      </w:r>
    </w:p>
  </w:footnote>
  <w:footnote w:id="58">
    <w:p w:rsidR="00020AFA" w:rsidRPr="003E6B51" w:rsidP="004B1058" w14:paraId="04D12896" w14:textId="7FD6344D">
      <w:pPr>
        <w:pStyle w:val="FootnoteText"/>
        <w:spacing w:after="120"/>
        <w:rPr>
          <w:i/>
        </w:rPr>
      </w:pPr>
      <w:r w:rsidRPr="003E6B51">
        <w:rPr>
          <w:rStyle w:val="FootnoteReference"/>
        </w:rPr>
        <w:footnoteRef/>
      </w:r>
      <w:r w:rsidRPr="003E6B51">
        <w:t xml:space="preserve"> 47 CFR § </w:t>
      </w:r>
      <w:r>
        <w:t>90.729(b)</w:t>
      </w:r>
      <w:r w:rsidRPr="003E6B51">
        <w:t>.</w:t>
      </w:r>
      <w:r>
        <w:t xml:space="preserve">  </w:t>
      </w:r>
    </w:p>
  </w:footnote>
  <w:footnote w:id="59">
    <w:p w:rsidR="00020AFA" w:rsidRPr="00756CAE" w:rsidP="00C452C7" w14:paraId="7951CEB5" w14:textId="070EF594">
      <w:pPr>
        <w:pStyle w:val="FootnoteText"/>
        <w:spacing w:after="120"/>
      </w:pPr>
      <w:r w:rsidRPr="00756CAE">
        <w:rPr>
          <w:rStyle w:val="FootnoteReference"/>
        </w:rPr>
        <w:footnoteRef/>
      </w:r>
      <w:r w:rsidRPr="00756CAE">
        <w:t xml:space="preserve"> SCRRA Waiver Request at 6-7</w:t>
      </w:r>
      <w:r>
        <w:t xml:space="preserve">.  </w:t>
      </w:r>
      <w:r w:rsidRPr="00756CAE">
        <w:t xml:space="preserve">  </w:t>
      </w:r>
    </w:p>
  </w:footnote>
  <w:footnote w:id="60">
    <w:p w:rsidR="00020AFA" w:rsidRPr="00756CAE" w:rsidP="007E52E8" w14:paraId="475A3E8F" w14:textId="76FA72D4">
      <w:pPr>
        <w:pStyle w:val="FootnoteText"/>
        <w:spacing w:after="120"/>
      </w:pPr>
      <w:r w:rsidRPr="00756CAE">
        <w:rPr>
          <w:rStyle w:val="FootnoteReference"/>
        </w:rPr>
        <w:footnoteRef/>
      </w:r>
      <w:r w:rsidRPr="00756CAE">
        <w:t xml:space="preserve"> </w:t>
      </w:r>
      <w:r w:rsidRPr="00C83EC0" w:rsidR="00B4463D">
        <w:rPr>
          <w:i/>
          <w:iCs/>
        </w:rPr>
        <w:t>Id.</w:t>
      </w:r>
      <w:r w:rsidR="00B4463D">
        <w:t>at</w:t>
      </w:r>
      <w:r w:rsidRPr="00756CAE">
        <w:t xml:space="preserve"> </w:t>
      </w:r>
      <w:r w:rsidR="004A706D">
        <w:t>6.</w:t>
      </w:r>
    </w:p>
  </w:footnote>
  <w:footnote w:id="61">
    <w:p w:rsidR="00020AFA" w:rsidRPr="00756CAE" w:rsidP="00044075" w14:paraId="5C15DB8D" w14:textId="043EA3FD">
      <w:pPr>
        <w:pStyle w:val="FootnoteText"/>
        <w:spacing w:after="120"/>
      </w:pPr>
      <w:r w:rsidRPr="00756CAE">
        <w:rPr>
          <w:rStyle w:val="FootnoteReference"/>
        </w:rPr>
        <w:footnoteRef/>
      </w:r>
      <w:r w:rsidRPr="00756CAE">
        <w:t xml:space="preserve"> </w:t>
      </w:r>
      <w:r w:rsidRPr="00F033E0" w:rsidR="00F033E0">
        <w:rPr>
          <w:i/>
          <w:iCs/>
        </w:rPr>
        <w:t>Id.</w:t>
      </w:r>
      <w:r w:rsidRPr="00756CAE">
        <w:t xml:space="preserve"> at 7.</w:t>
      </w:r>
    </w:p>
  </w:footnote>
  <w:footnote w:id="62">
    <w:p w:rsidR="00020AFA" w:rsidRPr="00756CAE" w:rsidP="00B20533" w14:paraId="73AB6EC6" w14:textId="3109A35C">
      <w:pPr>
        <w:pStyle w:val="FootnoteText"/>
        <w:spacing w:after="120"/>
      </w:pPr>
      <w:r w:rsidRPr="00756CAE">
        <w:rPr>
          <w:rStyle w:val="FootnoteReference"/>
        </w:rPr>
        <w:footnoteRef/>
      </w:r>
      <w:r w:rsidRPr="00756CAE">
        <w:t xml:space="preserve"> </w:t>
      </w:r>
      <w:r w:rsidRPr="00F033E0" w:rsidR="00F033E0">
        <w:rPr>
          <w:i/>
          <w:iCs/>
        </w:rPr>
        <w:t>Id.</w:t>
      </w:r>
    </w:p>
  </w:footnote>
  <w:footnote w:id="63">
    <w:p w:rsidR="00020AFA" w:rsidRPr="003E6B51" w:rsidP="007C535E" w14:paraId="0A5070FF" w14:textId="03C88D39">
      <w:pPr>
        <w:pStyle w:val="FootnoteText"/>
        <w:spacing w:after="120"/>
        <w:rPr>
          <w:i/>
        </w:rPr>
      </w:pPr>
      <w:r w:rsidRPr="003E6B51">
        <w:rPr>
          <w:rStyle w:val="FootnoteReference"/>
        </w:rPr>
        <w:footnoteRef/>
      </w:r>
      <w:r w:rsidRPr="003E6B51">
        <w:t xml:space="preserve"> 47 CFR § </w:t>
      </w:r>
      <w:r w:rsidRPr="00C61B31">
        <w:t>1.925(b)(3)</w:t>
      </w:r>
      <w:r w:rsidRPr="003E6B51">
        <w:t>.</w:t>
      </w:r>
      <w:r>
        <w:t xml:space="preserve">  </w:t>
      </w:r>
      <w:r w:rsidRPr="008E50DF">
        <w:t>The Commission also may waive its rules for good cause shown.</w:t>
      </w:r>
      <w:r>
        <w:t xml:space="preserve">  </w:t>
      </w:r>
      <w:r w:rsidRPr="000A50E7" w:rsidR="000A50E7">
        <w:rPr>
          <w:i/>
          <w:iCs/>
        </w:rPr>
        <w:t>Id.</w:t>
      </w:r>
      <w:r w:rsidRPr="008E50DF">
        <w:t xml:space="preserve"> § 1.3.</w:t>
      </w:r>
    </w:p>
  </w:footnote>
  <w:footnote w:id="64">
    <w:p w:rsidR="00020AFA" w:rsidRPr="003E6B51" w:rsidP="00696BFB" w14:paraId="71952716" w14:textId="77777777">
      <w:pPr>
        <w:pStyle w:val="FootnoteText"/>
        <w:spacing w:after="120"/>
        <w:rPr>
          <w:i/>
        </w:rPr>
      </w:pPr>
      <w:r w:rsidRPr="003E6B51">
        <w:rPr>
          <w:rStyle w:val="FootnoteReference"/>
        </w:rPr>
        <w:footnoteRef/>
      </w:r>
      <w:r w:rsidRPr="003E6B51">
        <w:t xml:space="preserve"> 47 CFR § </w:t>
      </w:r>
      <w:r w:rsidRPr="00C61B31">
        <w:t>1.925(b)(3)</w:t>
      </w:r>
      <w:r>
        <w:t>(ii)</w:t>
      </w:r>
      <w:r w:rsidRPr="003E6B51">
        <w:t>.</w:t>
      </w:r>
    </w:p>
  </w:footnote>
  <w:footnote w:id="65">
    <w:p w:rsidR="00020AFA" w:rsidRPr="009B2F92" w:rsidP="009B2F92" w14:paraId="68C653F4" w14:textId="3C9C145A">
      <w:pPr>
        <w:pStyle w:val="FootnoteText"/>
        <w:spacing w:after="120"/>
        <w:rPr>
          <w:iCs/>
        </w:rPr>
      </w:pPr>
      <w:r w:rsidRPr="003E6B51">
        <w:rPr>
          <w:rStyle w:val="FootnoteReference"/>
        </w:rPr>
        <w:footnoteRef/>
      </w:r>
      <w:r>
        <w:rPr>
          <w:i/>
        </w:rPr>
        <w:t xml:space="preserve"> </w:t>
      </w:r>
      <w:r w:rsidRPr="00A14DFA">
        <w:rPr>
          <w:i/>
        </w:rPr>
        <w:t>SCRRA Order</w:t>
      </w:r>
      <w:r>
        <w:rPr>
          <w:i/>
        </w:rPr>
        <w:t xml:space="preserve">, </w:t>
      </w:r>
      <w:r>
        <w:rPr>
          <w:iCs/>
        </w:rPr>
        <w:t>31 FCC Rcd at 9838-39 (finding that SCRRA faces unique factual circumstances in complying with the federal PTC mandate).</w:t>
      </w:r>
    </w:p>
  </w:footnote>
  <w:footnote w:id="66">
    <w:p w:rsidR="00020AFA" w:rsidRPr="003E6B51" w:rsidP="00696BFB" w14:paraId="26E97F64" w14:textId="77777777">
      <w:pPr>
        <w:pStyle w:val="FootnoteText"/>
        <w:spacing w:after="120"/>
        <w:rPr>
          <w:i/>
        </w:rPr>
      </w:pPr>
      <w:r w:rsidRPr="003E6B51">
        <w:rPr>
          <w:rStyle w:val="FootnoteReference"/>
        </w:rPr>
        <w:footnoteRef/>
      </w:r>
      <w:r w:rsidRPr="003E6B51">
        <w:t xml:space="preserve"> 47 CFR § 80.215(</w:t>
      </w:r>
      <w:r>
        <w:t>i</w:t>
      </w:r>
      <w:r w:rsidRPr="003E6B51">
        <w:t>)</w:t>
      </w:r>
      <w:r>
        <w:t>(1)</w:t>
      </w:r>
      <w:r w:rsidRPr="003E6B51">
        <w:t>.</w:t>
      </w:r>
    </w:p>
  </w:footnote>
  <w:footnote w:id="67">
    <w:p w:rsidR="00020AFA" w:rsidRPr="003E6B51" w:rsidP="00696BFB" w14:paraId="66C8F68B" w14:textId="3DDE0DE7">
      <w:pPr>
        <w:pStyle w:val="FootnoteText"/>
        <w:spacing w:after="120"/>
        <w:rPr>
          <w:i/>
        </w:rPr>
      </w:pPr>
      <w:r w:rsidRPr="003E6B51">
        <w:rPr>
          <w:rStyle w:val="FootnoteReference"/>
        </w:rPr>
        <w:footnoteRef/>
      </w:r>
      <w:r w:rsidRPr="003E6B51">
        <w:t xml:space="preserve"> </w:t>
      </w:r>
      <w:r w:rsidRPr="00C83EC0" w:rsidR="005D5228">
        <w:rPr>
          <w:i/>
          <w:iCs/>
        </w:rPr>
        <w:t>Id.</w:t>
      </w:r>
      <w:r w:rsidRPr="003E6B51">
        <w:t xml:space="preserve"> § 80.215(</w:t>
      </w:r>
      <w:r>
        <w:t>i</w:t>
      </w:r>
      <w:r w:rsidRPr="003E6B51">
        <w:t>)</w:t>
      </w:r>
      <w:r>
        <w:t>(2)</w:t>
      </w:r>
      <w:r w:rsidRPr="003E6B51">
        <w:t>.</w:t>
      </w:r>
    </w:p>
  </w:footnote>
  <w:footnote w:id="68">
    <w:p w:rsidR="00020AFA" w:rsidRPr="003E6B51" w:rsidP="00692682" w14:paraId="462162A6" w14:textId="05C6BE55">
      <w:pPr>
        <w:pStyle w:val="FootnoteText"/>
        <w:spacing w:after="120"/>
        <w:rPr>
          <w:i/>
        </w:rPr>
      </w:pPr>
      <w:r w:rsidRPr="003E6B51">
        <w:rPr>
          <w:rStyle w:val="FootnoteReference"/>
        </w:rPr>
        <w:footnoteRef/>
      </w:r>
      <w:r w:rsidRPr="003E6B51">
        <w:t xml:space="preserve"> SCRRA Waiver Reques</w:t>
      </w:r>
      <w:r>
        <w:t>t at 9 (stating that “[b]ase and wayside stations in the SCRRA network are not capable of controlling the power output of mobile/locomotive transmitters”).  As</w:t>
      </w:r>
      <w:r w:rsidRPr="0036206A">
        <w:t xml:space="preserve"> noted above, changes in TPO can only be implemented “when a trained technician connects to the specific radio via computer terminal, successfully authenticates to the radio, issues a series of configuration commands, and reboots the radio.”  SCRRA Waiver Request at 7.</w:t>
      </w:r>
    </w:p>
  </w:footnote>
  <w:footnote w:id="69">
    <w:p w:rsidR="00020AFA" w:rsidRPr="003E6B51" w:rsidP="00EB13DC" w14:paraId="7C9F648A" w14:textId="77777777">
      <w:pPr>
        <w:pStyle w:val="FootnoteText"/>
        <w:spacing w:after="120"/>
        <w:rPr>
          <w:i/>
        </w:rPr>
      </w:pPr>
      <w:r w:rsidRPr="003E6B51">
        <w:rPr>
          <w:rStyle w:val="FootnoteReference"/>
        </w:rPr>
        <w:footnoteRef/>
      </w:r>
      <w:r w:rsidRPr="003E6B51">
        <w:t xml:space="preserve"> 47 CFR § 80.215(</w:t>
      </w:r>
      <w:r>
        <w:t>i</w:t>
      </w:r>
      <w:r w:rsidRPr="003E6B51">
        <w:t>)</w:t>
      </w:r>
      <w:r>
        <w:t>(2)</w:t>
      </w:r>
      <w:r w:rsidRPr="003E6B51">
        <w:t>.</w:t>
      </w:r>
    </w:p>
  </w:footnote>
  <w:footnote w:id="70">
    <w:p w:rsidR="003675E7" w:rsidRPr="00E95896" w:rsidP="003675E7" w14:paraId="0F0E47F3" w14:textId="58DF2337">
      <w:pPr>
        <w:pStyle w:val="FootnoteText"/>
        <w:spacing w:after="120"/>
        <w:rPr>
          <w:iCs/>
        </w:rPr>
      </w:pPr>
      <w:r w:rsidRPr="003E6B51">
        <w:rPr>
          <w:rStyle w:val="FootnoteReference"/>
        </w:rPr>
        <w:footnoteRef/>
      </w:r>
      <w:r>
        <w:rPr>
          <w:i/>
        </w:rPr>
        <w:t xml:space="preserve"> </w:t>
      </w:r>
      <w:r w:rsidRPr="003E6B51">
        <w:t>SCRRA Waiver Reques</w:t>
      </w:r>
      <w:r>
        <w:t>t at 6 n.7.</w:t>
      </w:r>
    </w:p>
  </w:footnote>
  <w:footnote w:id="71">
    <w:p w:rsidR="00020AFA" w:rsidRPr="00E95896" w:rsidP="00E95896" w14:paraId="56691292" w14:textId="07798B68">
      <w:pPr>
        <w:pStyle w:val="FootnoteText"/>
        <w:spacing w:after="120"/>
        <w:rPr>
          <w:iCs/>
        </w:rPr>
      </w:pPr>
      <w:r w:rsidRPr="003E6B51">
        <w:rPr>
          <w:rStyle w:val="FootnoteReference"/>
        </w:rPr>
        <w:footnoteRef/>
      </w:r>
      <w:r>
        <w:rPr>
          <w:i/>
        </w:rPr>
        <w:t xml:space="preserve"> </w:t>
      </w:r>
      <w:r w:rsidRPr="00A74AA4">
        <w:rPr>
          <w:iCs/>
        </w:rPr>
        <w:t xml:space="preserve">Depending on their configuration, SCRRA </w:t>
      </w:r>
      <w:r>
        <w:rPr>
          <w:iCs/>
        </w:rPr>
        <w:t xml:space="preserve">radios operate at up to 26.22 watts ERP, BNSF radios at up to 26.93 watts ERP, and UP radios at up to 38.74 watts ERP.  </w:t>
      </w:r>
      <w:r>
        <w:t xml:space="preserve">SCRRA Engineering Report at 24, </w:t>
      </w:r>
      <w:r w:rsidRPr="00D113E8">
        <w:t>Tbl</w:t>
      </w:r>
      <w:r w:rsidR="003D49C0">
        <w:t>.</w:t>
      </w:r>
      <w:r w:rsidRPr="00D113E8">
        <w:t xml:space="preserve"> 5.3</w:t>
      </w:r>
      <w:r>
        <w:t xml:space="preserve"> (</w:t>
      </w:r>
      <w:r w:rsidRPr="008E68B2">
        <w:t>LA Basin Locomotive radio TPO and ERP data</w:t>
      </w:r>
      <w:r>
        <w:t>).</w:t>
      </w:r>
    </w:p>
  </w:footnote>
  <w:footnote w:id="72">
    <w:p w:rsidR="00020AFA" w:rsidRPr="003E6B51" w:rsidP="00AD173B" w14:paraId="1E939111" w14:textId="77777777">
      <w:pPr>
        <w:pStyle w:val="FootnoteText"/>
        <w:spacing w:after="120"/>
        <w:rPr>
          <w:i/>
        </w:rPr>
      </w:pPr>
      <w:r w:rsidRPr="003E6B51">
        <w:rPr>
          <w:rStyle w:val="FootnoteReference"/>
        </w:rPr>
        <w:footnoteRef/>
      </w:r>
      <w:r w:rsidRPr="003E6B51">
        <w:t xml:space="preserve"> 47 CFR § 80.215(</w:t>
      </w:r>
      <w:r>
        <w:t>i</w:t>
      </w:r>
      <w:r w:rsidRPr="003E6B51">
        <w:t>).</w:t>
      </w:r>
    </w:p>
  </w:footnote>
  <w:footnote w:id="73">
    <w:p w:rsidR="00020AFA" w:rsidRPr="003E6B51" w:rsidP="00197C4D" w14:paraId="548E0124" w14:textId="60BC2117">
      <w:pPr>
        <w:pStyle w:val="FootnoteText"/>
        <w:spacing w:after="120"/>
        <w:rPr>
          <w:i/>
        </w:rPr>
      </w:pPr>
      <w:r w:rsidRPr="003E6B51">
        <w:rPr>
          <w:rStyle w:val="FootnoteReference"/>
        </w:rPr>
        <w:footnoteRef/>
      </w:r>
      <w:r w:rsidRPr="003E6B51">
        <w:t xml:space="preserve"> </w:t>
      </w:r>
      <w:r w:rsidRPr="00C83EC0" w:rsidR="005D5228">
        <w:rPr>
          <w:i/>
          <w:iCs/>
        </w:rPr>
        <w:t>Id.</w:t>
      </w:r>
      <w:r w:rsidRPr="003E6B51">
        <w:t xml:space="preserve"> § 80.215(</w:t>
      </w:r>
      <w:r>
        <w:t>j</w:t>
      </w:r>
      <w:r w:rsidRPr="003E6B51">
        <w:t>).</w:t>
      </w:r>
    </w:p>
  </w:footnote>
  <w:footnote w:id="74">
    <w:p w:rsidR="00020AFA" w:rsidRPr="003E6B51" w:rsidP="00CB6655" w14:paraId="20F66916" w14:textId="57090DF9">
      <w:pPr>
        <w:pStyle w:val="FootnoteText"/>
        <w:spacing w:after="120"/>
      </w:pPr>
      <w:r w:rsidRPr="003E6B51">
        <w:rPr>
          <w:rStyle w:val="FootnoteReference"/>
        </w:rPr>
        <w:footnoteRef/>
      </w:r>
      <w:r w:rsidRPr="003E6B51">
        <w:t xml:space="preserve"> SCRRA Waiver Reques</w:t>
      </w:r>
      <w:r>
        <w:t>t, Ex</w:t>
      </w:r>
      <w:r w:rsidR="00A60D95">
        <w:t>.</w:t>
      </w:r>
      <w:r>
        <w:t xml:space="preserve"> 3 (Section 80.215(j) Plan).</w:t>
      </w:r>
    </w:p>
  </w:footnote>
  <w:footnote w:id="75">
    <w:p w:rsidR="00020AFA" w:rsidRPr="003E6B51" w:rsidP="009F3D9F" w14:paraId="5CAC0E8F" w14:textId="0D5AA08E">
      <w:pPr>
        <w:pStyle w:val="FootnoteText"/>
        <w:spacing w:after="120"/>
      </w:pPr>
      <w:r w:rsidRPr="003E6B51">
        <w:rPr>
          <w:rStyle w:val="FootnoteReference"/>
        </w:rPr>
        <w:footnoteRef/>
      </w:r>
      <w:r w:rsidRPr="003E6B51">
        <w:t xml:space="preserve"> </w:t>
      </w:r>
      <w:r>
        <w:t>SCRRA Engineering Report at 25, Fig</w:t>
      </w:r>
      <w:r w:rsidR="00882B1B">
        <w:t>.</w:t>
      </w:r>
      <w:r>
        <w:t xml:space="preserve"> 5.1 (</w:t>
      </w:r>
      <w:r w:rsidRPr="00464C94">
        <w:t>PTC-equipped track routes for SCRRA, BNSF and UP in the LA Basin</w:t>
      </w:r>
      <w:r>
        <w:t>).</w:t>
      </w:r>
    </w:p>
  </w:footnote>
  <w:footnote w:id="76">
    <w:p w:rsidR="00020AFA" w:rsidRPr="003E6B51" w:rsidP="007B3CB6" w14:paraId="630A48E6" w14:textId="2C4E545C">
      <w:pPr>
        <w:pStyle w:val="FootnoteText"/>
        <w:spacing w:after="120"/>
      </w:pPr>
      <w:r w:rsidRPr="003E6B51">
        <w:rPr>
          <w:rStyle w:val="FootnoteReference"/>
        </w:rPr>
        <w:footnoteRef/>
      </w:r>
      <w:r w:rsidRPr="003E6B51">
        <w:t xml:space="preserve"> </w:t>
      </w:r>
      <w:r w:rsidRPr="006915C7" w:rsidR="00766A29">
        <w:rPr>
          <w:i/>
          <w:iCs/>
        </w:rPr>
        <w:t>Id.</w:t>
      </w:r>
      <w:r>
        <w:t xml:space="preserve"> at 24, </w:t>
      </w:r>
      <w:r w:rsidRPr="00D113E8">
        <w:t>Tbl</w:t>
      </w:r>
      <w:r w:rsidR="003D49C0">
        <w:t>.</w:t>
      </w:r>
      <w:r w:rsidRPr="00D113E8">
        <w:t xml:space="preserve"> 5.3</w:t>
      </w:r>
      <w:r>
        <w:t xml:space="preserve"> (</w:t>
      </w:r>
      <w:r w:rsidRPr="008E68B2">
        <w:t>LA Basin Locomotive radio TPO and ERP data</w:t>
      </w:r>
      <w:r>
        <w:t xml:space="preserve">), and at 26, </w:t>
      </w:r>
      <w:r w:rsidRPr="00D113E8">
        <w:t>Fig</w:t>
      </w:r>
      <w:r w:rsidR="00882B1B">
        <w:t>.</w:t>
      </w:r>
      <w:r w:rsidRPr="00D113E8">
        <w:t xml:space="preserve"> 5.2</w:t>
      </w:r>
      <w:r>
        <w:t xml:space="preserve"> (</w:t>
      </w:r>
      <w:r w:rsidRPr="003B453E">
        <w:t>LA Basin PTC Train Runs by Metrolink as Host and Tenant</w:t>
      </w:r>
      <w:r>
        <w:t>).</w:t>
      </w:r>
    </w:p>
  </w:footnote>
  <w:footnote w:id="77">
    <w:p w:rsidR="00020AFA" w:rsidRPr="003E6B51" w:rsidP="00E01CB0" w14:paraId="32265BD0" w14:textId="26F79BAF">
      <w:pPr>
        <w:pStyle w:val="FootnoteText"/>
        <w:spacing w:after="120"/>
      </w:pPr>
      <w:r w:rsidRPr="003E6B51">
        <w:rPr>
          <w:rStyle w:val="FootnoteReference"/>
        </w:rPr>
        <w:footnoteRef/>
      </w:r>
      <w:r w:rsidRPr="003E6B51">
        <w:t xml:space="preserve"> </w:t>
      </w:r>
      <w:r w:rsidRPr="006915C7" w:rsidR="00766A29">
        <w:rPr>
          <w:i/>
          <w:iCs/>
        </w:rPr>
        <w:t>Id.</w:t>
      </w:r>
      <w:r w:rsidR="00766A29">
        <w:t xml:space="preserve"> </w:t>
      </w:r>
      <w:r>
        <w:t>at 24-26.</w:t>
      </w:r>
    </w:p>
  </w:footnote>
  <w:footnote w:id="78">
    <w:p w:rsidR="00020AFA" w:rsidRPr="003E6B51" w:rsidP="004C0797" w14:paraId="32C4D241" w14:textId="238A8641">
      <w:pPr>
        <w:pStyle w:val="FootnoteText"/>
        <w:spacing w:after="120"/>
      </w:pPr>
      <w:r w:rsidRPr="003E6B51">
        <w:rPr>
          <w:rStyle w:val="FootnoteReference"/>
        </w:rPr>
        <w:footnoteRef/>
      </w:r>
      <w:r w:rsidRPr="003E6B51">
        <w:t xml:space="preserve"> </w:t>
      </w:r>
      <w:r w:rsidRPr="00F033E0" w:rsidR="00F033E0">
        <w:rPr>
          <w:i/>
          <w:iCs/>
        </w:rPr>
        <w:t>Id.</w:t>
      </w:r>
      <w:r>
        <w:t xml:space="preserve"> at 26.</w:t>
      </w:r>
    </w:p>
  </w:footnote>
  <w:footnote w:id="79">
    <w:p w:rsidR="00020AFA" w:rsidRPr="003E6B51" w:rsidP="00DA3682" w14:paraId="5BFF2CE4" w14:textId="70CDA312">
      <w:pPr>
        <w:pStyle w:val="FootnoteText"/>
        <w:spacing w:after="120"/>
      </w:pPr>
      <w:r w:rsidRPr="003E6B51">
        <w:rPr>
          <w:rStyle w:val="FootnoteReference"/>
        </w:rPr>
        <w:footnoteRef/>
      </w:r>
      <w:r w:rsidRPr="003E6B51">
        <w:t xml:space="preserve"> </w:t>
      </w:r>
      <w:r w:rsidRPr="00F033E0" w:rsidR="00F033E0">
        <w:rPr>
          <w:i/>
          <w:iCs/>
        </w:rPr>
        <w:t>Id.</w:t>
      </w:r>
      <w:r>
        <w:t xml:space="preserve"> </w:t>
      </w:r>
      <w:r w:rsidRPr="003E6B51">
        <w:t xml:space="preserve">at </w:t>
      </w:r>
      <w:r>
        <w:t>27 (base station parameters)</w:t>
      </w:r>
      <w:r w:rsidRPr="003E6B51">
        <w:t xml:space="preserve">.  </w:t>
      </w:r>
    </w:p>
  </w:footnote>
  <w:footnote w:id="80">
    <w:p w:rsidR="00020AFA" w:rsidRPr="003E6B51" w:rsidP="00B158F7" w14:paraId="009538AD" w14:textId="74A920BD">
      <w:pPr>
        <w:pStyle w:val="FootnoteText"/>
        <w:spacing w:after="120"/>
      </w:pPr>
      <w:r w:rsidRPr="003E6B51">
        <w:rPr>
          <w:rStyle w:val="FootnoteReference"/>
        </w:rPr>
        <w:footnoteRef/>
      </w:r>
      <w:r w:rsidRPr="003E6B51">
        <w:t xml:space="preserve"> </w:t>
      </w:r>
      <w:r>
        <w:t xml:space="preserve">SCRRA </w:t>
      </w:r>
      <w:r w:rsidRPr="003E6B51">
        <w:t>Engineering Report at</w:t>
      </w:r>
      <w:r>
        <w:t xml:space="preserve"> 24</w:t>
      </w:r>
      <w:r w:rsidRPr="003627AC">
        <w:t xml:space="preserve"> </w:t>
      </w:r>
      <w:r>
        <w:t>(noting that “even assuming trains and Wayside antennas both operate at the highest elevations of the railroad ROW, then with respect to Base Station ERP and antenna height, which are the parameters most responsible for adjacent channel interference, the Base stations and Waysides always present the worst case scenario”).</w:t>
      </w:r>
    </w:p>
  </w:footnote>
  <w:footnote w:id="81">
    <w:p w:rsidR="00020AFA" w:rsidRPr="003E6B51" w:rsidP="004B4ADE" w14:paraId="1A983308" w14:textId="77777777">
      <w:pPr>
        <w:pStyle w:val="FootnoteText"/>
        <w:spacing w:after="120"/>
      </w:pPr>
      <w:r w:rsidRPr="003E6B51">
        <w:rPr>
          <w:rStyle w:val="FootnoteReference"/>
        </w:rPr>
        <w:footnoteRef/>
      </w:r>
      <w:r w:rsidRPr="003E6B51">
        <w:t xml:space="preserve"> </w:t>
      </w:r>
      <w:r>
        <w:t xml:space="preserve">SCRRA </w:t>
      </w:r>
      <w:r w:rsidRPr="003E6B51">
        <w:t xml:space="preserve">Engineering Report at </w:t>
      </w:r>
      <w:r>
        <w:t>27 (base station parameters)</w:t>
      </w:r>
      <w:r w:rsidRPr="003E6B51">
        <w:t xml:space="preserve">.  </w:t>
      </w:r>
    </w:p>
  </w:footnote>
  <w:footnote w:id="82">
    <w:p w:rsidR="00020AFA" w:rsidRPr="003E6B51" w:rsidP="004B4ADE" w14:paraId="5BEA6E0E" w14:textId="19221E81">
      <w:pPr>
        <w:pStyle w:val="FootnoteText"/>
        <w:spacing w:after="120"/>
      </w:pPr>
      <w:r w:rsidRPr="003E6B51">
        <w:rPr>
          <w:rStyle w:val="FootnoteReference"/>
        </w:rPr>
        <w:footnoteRef/>
      </w:r>
      <w:r w:rsidRPr="003E6B51">
        <w:t xml:space="preserve"> </w:t>
      </w:r>
      <w:r>
        <w:t xml:space="preserve">SCRRA </w:t>
      </w:r>
      <w:r w:rsidRPr="003E6B51">
        <w:t>Waiver Request</w:t>
      </w:r>
      <w:r>
        <w:t>, Ex</w:t>
      </w:r>
      <w:r w:rsidR="00A60D95">
        <w:t>.</w:t>
      </w:r>
      <w:r>
        <w:t xml:space="preserve"> 2 </w:t>
      </w:r>
      <w:r w:rsidRPr="003627AC">
        <w:t xml:space="preserve">(wayside station parameters). </w:t>
      </w:r>
    </w:p>
  </w:footnote>
  <w:footnote w:id="83">
    <w:p w:rsidR="00020AFA" w:rsidRPr="00714CD1" w:rsidP="00020AFA" w14:paraId="3E455F7D" w14:textId="08070E9B">
      <w:pPr>
        <w:pStyle w:val="FootnoteText"/>
        <w:spacing w:after="120"/>
      </w:pPr>
      <w:r w:rsidRPr="00714CD1">
        <w:rPr>
          <w:rStyle w:val="FootnoteReference"/>
        </w:rPr>
        <w:footnoteRef/>
      </w:r>
      <w:r w:rsidRPr="00714CD1">
        <w:t xml:space="preserve"> 47 CFR § 1.3 (the Commission can waive any provision of its rules “for good cause shown”); </w:t>
      </w:r>
      <w:r w:rsidR="00C27EA8">
        <w:rPr>
          <w:i/>
          <w:iCs/>
        </w:rPr>
        <w:t>i</w:t>
      </w:r>
      <w:r w:rsidRPr="003459EC" w:rsidR="003459EC">
        <w:rPr>
          <w:i/>
          <w:iCs/>
        </w:rPr>
        <w:t>d.</w:t>
      </w:r>
      <w:r w:rsidR="003459EC">
        <w:rPr>
          <w:i/>
          <w:iCs/>
        </w:rPr>
        <w:t xml:space="preserve"> </w:t>
      </w:r>
      <w:r w:rsidRPr="00714CD1">
        <w:t>§ 1.925(b)(3)(ii).</w:t>
      </w:r>
    </w:p>
  </w:footnote>
  <w:footnote w:id="84">
    <w:p w:rsidR="00020AFA" w:rsidRPr="00714CD1" w:rsidP="00020AFA" w14:paraId="066D1807" w14:textId="44CCE77E">
      <w:pPr>
        <w:pStyle w:val="FootnoteText"/>
        <w:spacing w:after="120"/>
      </w:pPr>
      <w:r w:rsidRPr="00714CD1">
        <w:rPr>
          <w:rStyle w:val="FootnoteReference"/>
        </w:rPr>
        <w:footnoteRef/>
      </w:r>
      <w:r w:rsidRPr="00714CD1">
        <w:t xml:space="preserve"> SCRRA Waiver Request at 7-8 and 12-13, citing 47 CFR § 1.913(a)(1).  Schedule D is titled “Wireless Telecommunications Bureau and/or Public Safety and Homeland Security Bureau Schedule for Station Locations and Antenna Structures.” The Schedule D instructions state “[t]his schedule must be completed when any station location is to be added, modified, or deleted.” FCC Form 601, Schedule D – Instructions, at 1 (Mar. 2018).  And that an applicant must “[u]se as many copies of Schedule D as necessary to provide information for all stations.”  </w:t>
      </w:r>
      <w:r w:rsidRPr="00F033E0" w:rsidR="00F033E0">
        <w:rPr>
          <w:i/>
          <w:iCs/>
        </w:rPr>
        <w:t>Id.</w:t>
      </w:r>
    </w:p>
  </w:footnote>
  <w:footnote w:id="85">
    <w:p w:rsidR="00020AFA" w:rsidRPr="00714CD1" w:rsidP="00020AFA" w14:paraId="223F8150" w14:textId="6FE894C1">
      <w:pPr>
        <w:pStyle w:val="FootnoteText"/>
        <w:spacing w:after="120"/>
      </w:pPr>
      <w:r w:rsidRPr="00714CD1">
        <w:rPr>
          <w:rStyle w:val="FootnoteReference"/>
        </w:rPr>
        <w:footnoteRef/>
      </w:r>
      <w:r w:rsidRPr="00714CD1">
        <w:t xml:space="preserve"> SCRRA Waiver Request at 7</w:t>
      </w:r>
      <w:r>
        <w:t>;</w:t>
      </w:r>
      <w:r w:rsidRPr="00714CD1">
        <w:t xml:space="preserve"> 47 CFR § 1.925(b)(3)(ii)</w:t>
      </w:r>
    </w:p>
  </w:footnote>
  <w:footnote w:id="86">
    <w:p w:rsidR="00020AFA" w:rsidRPr="00714CD1" w:rsidP="00020AFA" w14:paraId="79509973" w14:textId="77777777">
      <w:pPr>
        <w:pStyle w:val="FootnoteText"/>
        <w:spacing w:after="120"/>
      </w:pPr>
      <w:r w:rsidRPr="00714CD1">
        <w:rPr>
          <w:rStyle w:val="FootnoteReference"/>
        </w:rPr>
        <w:footnoteRef/>
      </w:r>
      <w:r w:rsidRPr="00714CD1">
        <w:t xml:space="preserve"> SCRRA Waiver Request at 7.</w:t>
      </w:r>
    </w:p>
  </w:footnote>
  <w:footnote w:id="87">
    <w:p w:rsidR="00020AFA" w:rsidP="00521182" w14:paraId="24424F2B" w14:textId="182E1DCF">
      <w:pPr>
        <w:pStyle w:val="FootnoteText"/>
        <w:spacing w:after="120"/>
      </w:pPr>
      <w:r>
        <w:rPr>
          <w:rStyle w:val="FootnoteReference"/>
        </w:rPr>
        <w:footnoteRef/>
      </w:r>
      <w:r>
        <w:t xml:space="preserve"> </w:t>
      </w:r>
      <w:r w:rsidRPr="00BD5C6C">
        <w:rPr>
          <w:i/>
        </w:rPr>
        <w:t>SCRRA Order</w:t>
      </w:r>
      <w:r>
        <w:rPr>
          <w:i/>
        </w:rPr>
        <w:t xml:space="preserve">, </w:t>
      </w:r>
      <w:r>
        <w:rPr>
          <w:iCs/>
        </w:rPr>
        <w:t>31 FCC Rcd at 9838-39 (finding that SCRRA faces unique factual circumstances in complying with the federal PTC mandate).</w:t>
      </w:r>
    </w:p>
  </w:footnote>
  <w:footnote w:id="88">
    <w:p w:rsidR="00020AFA" w:rsidRPr="00714CD1" w:rsidP="00020AFA" w14:paraId="584454EA" w14:textId="77777777">
      <w:pPr>
        <w:pStyle w:val="FootnoteText"/>
        <w:spacing w:after="120"/>
      </w:pPr>
      <w:r w:rsidRPr="00714CD1">
        <w:rPr>
          <w:rStyle w:val="FootnoteReference"/>
        </w:rPr>
        <w:footnoteRef/>
      </w:r>
      <w:r w:rsidRPr="00714CD1">
        <w:t xml:space="preserve"> 47 CFR § 1.925(b)(3)(ii).</w:t>
      </w:r>
    </w:p>
  </w:footnote>
  <w:footnote w:id="89">
    <w:p w:rsidR="00020AFA" w:rsidRPr="00714CD1" w:rsidP="00F4104E" w14:paraId="2B678C5D" w14:textId="041C3D67">
      <w:pPr>
        <w:pStyle w:val="FootnoteText"/>
        <w:spacing w:after="120"/>
        <w:rPr>
          <w:b/>
        </w:rPr>
      </w:pPr>
      <w:r w:rsidRPr="00714CD1">
        <w:rPr>
          <w:rStyle w:val="FootnoteReference"/>
        </w:rPr>
        <w:footnoteRef/>
      </w:r>
      <w:r w:rsidRPr="00714CD1">
        <w:t xml:space="preserve"> </w:t>
      </w:r>
      <w:r w:rsidRPr="006915C7" w:rsidR="008B3603">
        <w:rPr>
          <w:i/>
          <w:iCs/>
        </w:rPr>
        <w:t>Id.</w:t>
      </w:r>
      <w:r>
        <w:t xml:space="preserve"> </w:t>
      </w:r>
      <w:r w:rsidRPr="00714CD1">
        <w:t xml:space="preserve">§ </w:t>
      </w:r>
      <w:r>
        <w:t>80.215(h)(2).</w:t>
      </w:r>
    </w:p>
  </w:footnote>
  <w:footnote w:id="90">
    <w:p w:rsidR="00020AFA" w:rsidRPr="00714CD1" w:rsidP="00020AFA" w14:paraId="507A7F68" w14:textId="45E26DC3">
      <w:pPr>
        <w:pStyle w:val="FootnoteText"/>
        <w:spacing w:after="120"/>
        <w:rPr>
          <w:b/>
        </w:rPr>
      </w:pPr>
      <w:r w:rsidRPr="00714CD1">
        <w:rPr>
          <w:rStyle w:val="FootnoteReference"/>
        </w:rPr>
        <w:footnoteRef/>
      </w:r>
      <w:r w:rsidRPr="00714CD1">
        <w:t xml:space="preserve"> SCRRA Engineering Report at 10</w:t>
      </w:r>
      <w:r>
        <w:t xml:space="preserve">.  </w:t>
      </w:r>
      <w:r w:rsidRPr="00B86B75">
        <w:t xml:space="preserve">The wayside radio stations are owned by BNSF, </w:t>
      </w:r>
      <w:r>
        <w:t xml:space="preserve">SCRRA, </w:t>
      </w:r>
      <w:r w:rsidRPr="00B86B75">
        <w:t xml:space="preserve">and UP.  </w:t>
      </w:r>
      <w:r w:rsidRPr="00F033E0" w:rsidR="00F033E0">
        <w:rPr>
          <w:i/>
          <w:iCs/>
        </w:rPr>
        <w:t>Id.</w:t>
      </w:r>
      <w:r w:rsidRPr="00B86B75">
        <w:t>, Ex</w:t>
      </w:r>
      <w:r w:rsidR="00566CE9">
        <w:t>.</w:t>
      </w:r>
      <w:r w:rsidRPr="00B86B75">
        <w:t xml:space="preserve"> 2.   SCRRA base stations will control the assignment and use of its AMTS spectrum by all wayside radio stations in SCRRA territory, including stations owned by BNSF and UP.  SCRRA Waiver Request at n.10.</w:t>
      </w:r>
    </w:p>
  </w:footnote>
  <w:footnote w:id="91">
    <w:p w:rsidR="00020AFA" w:rsidRPr="00714CD1" w:rsidP="00020AFA" w14:paraId="06768FED" w14:textId="19428DEC">
      <w:pPr>
        <w:pStyle w:val="FootnoteText"/>
        <w:spacing w:after="120"/>
      </w:pPr>
      <w:r w:rsidRPr="00714CD1">
        <w:rPr>
          <w:rStyle w:val="FootnoteReference"/>
        </w:rPr>
        <w:footnoteRef/>
      </w:r>
      <w:r w:rsidRPr="00714CD1">
        <w:t xml:space="preserve"> SCRRA Engineering Report at 39-44 (Fig</w:t>
      </w:r>
      <w:r w:rsidR="008679DF">
        <w:t>s.</w:t>
      </w:r>
      <w:r w:rsidRPr="00714CD1">
        <w:t xml:space="preserve"> 8a to 8f).</w:t>
      </w:r>
    </w:p>
  </w:footnote>
  <w:footnote w:id="92">
    <w:p w:rsidR="00020AFA" w:rsidRPr="00714CD1" w:rsidP="00020AFA" w14:paraId="0D7C3418" w14:textId="4A6C4E11">
      <w:pPr>
        <w:pStyle w:val="FootnoteText"/>
        <w:spacing w:after="120"/>
        <w:rPr>
          <w:b/>
        </w:rPr>
      </w:pPr>
      <w:r w:rsidRPr="00714CD1">
        <w:rPr>
          <w:rStyle w:val="FootnoteReference"/>
        </w:rPr>
        <w:footnoteRef/>
      </w:r>
      <w:r w:rsidRPr="00714CD1">
        <w:t xml:space="preserve"> </w:t>
      </w:r>
      <w:r w:rsidRPr="006915C7" w:rsidR="008B3603">
        <w:rPr>
          <w:i/>
          <w:iCs/>
        </w:rPr>
        <w:t>Id.</w:t>
      </w:r>
      <w:r w:rsidR="008B3603">
        <w:t xml:space="preserve"> </w:t>
      </w:r>
      <w:r w:rsidRPr="00714CD1">
        <w:t>at 38 (Fig</w:t>
      </w:r>
      <w:r w:rsidR="008679DF">
        <w:t>.</w:t>
      </w:r>
      <w:r w:rsidRPr="00714CD1">
        <w:t xml:space="preserve"> 7).</w:t>
      </w:r>
    </w:p>
  </w:footnote>
  <w:footnote w:id="93">
    <w:p w:rsidR="00020AFA" w:rsidRPr="00714CD1" w:rsidP="00F4104E" w14:paraId="214EA105" w14:textId="37FBBE1D">
      <w:pPr>
        <w:pStyle w:val="FootnoteText"/>
        <w:spacing w:after="120"/>
      </w:pPr>
      <w:r w:rsidRPr="00714CD1">
        <w:rPr>
          <w:rStyle w:val="FootnoteReference"/>
        </w:rPr>
        <w:footnoteRef/>
      </w:r>
      <w:r w:rsidRPr="00714CD1">
        <w:t xml:space="preserve"> </w:t>
      </w:r>
      <w:r w:rsidRPr="006915C7" w:rsidR="00241B81">
        <w:rPr>
          <w:i/>
          <w:iCs/>
        </w:rPr>
        <w:t>Id.</w:t>
      </w:r>
      <w:r w:rsidRPr="00714CD1">
        <w:t xml:space="preserve"> at 39-44 (Fig</w:t>
      </w:r>
      <w:r w:rsidR="00882B1B">
        <w:t>s.</w:t>
      </w:r>
      <w:r w:rsidRPr="00714CD1">
        <w:t xml:space="preserve"> 8a to 8f).</w:t>
      </w:r>
    </w:p>
  </w:footnote>
  <w:footnote w:id="94">
    <w:p w:rsidR="00020AFA" w:rsidRPr="00714CD1" w:rsidP="00020AFA" w14:paraId="70E72AA6" w14:textId="77777777">
      <w:pPr>
        <w:pStyle w:val="FootnoteText"/>
        <w:spacing w:after="120"/>
      </w:pPr>
      <w:r w:rsidRPr="00714CD1">
        <w:rPr>
          <w:rStyle w:val="FootnoteReference"/>
        </w:rPr>
        <w:footnoteRef/>
      </w:r>
      <w:r w:rsidRPr="00714CD1">
        <w:t xml:space="preserve"> Longley-Rice Methodology for Predicting Inter-Service Interference to Broadcast Television from Mobile Wireless Broadband Services in the UHF Band, Supplement A – Guidance for Predicting Inter-Service Interference to Broadcast Television in the VHF Band from Positive Train Control (PTC) Systems, OET Bulletin No. 74, Supplement A at 5 (2017), </w:t>
      </w:r>
      <w:hyperlink r:id="rId8" w:history="1">
        <w:r w:rsidRPr="00714CD1">
          <w:rPr>
            <w:rStyle w:val="Hyperlink"/>
          </w:rPr>
          <w:t>https://transition.fcc.gov/oet/info/documents/bulletins/oet74/OET74a-PTC.pdf</w:t>
        </w:r>
      </w:hyperlink>
      <w:r w:rsidRPr="00714CD1">
        <w:t xml:space="preserve"> (OET-74 Supplement A).</w:t>
      </w:r>
    </w:p>
  </w:footnote>
  <w:footnote w:id="95">
    <w:p w:rsidR="00020AFA" w:rsidRPr="00714CD1" w:rsidP="00020AFA" w14:paraId="6F5C0967" w14:textId="77777777">
      <w:pPr>
        <w:pStyle w:val="FootnoteText"/>
        <w:spacing w:after="120"/>
      </w:pPr>
      <w:r w:rsidRPr="00714CD1">
        <w:rPr>
          <w:rStyle w:val="FootnoteReference"/>
        </w:rPr>
        <w:footnoteRef/>
      </w:r>
      <w:r w:rsidRPr="00714CD1">
        <w:t xml:space="preserve"> SCRRA Engineering Report at 33</w:t>
      </w:r>
      <w:r>
        <w:t xml:space="preserve">.  </w:t>
      </w:r>
      <w:r w:rsidRPr="00DC2CF4">
        <w:rPr>
          <w:i/>
          <w:iCs/>
        </w:rPr>
        <w:t>See also</w:t>
      </w:r>
      <w:r>
        <w:t xml:space="preserve"> </w:t>
      </w:r>
      <w:r w:rsidRPr="00714CD1">
        <w:t>OET-74 Supplement A</w:t>
      </w:r>
      <w:r>
        <w:t xml:space="preserve"> at 5.</w:t>
      </w:r>
    </w:p>
  </w:footnote>
  <w:footnote w:id="96">
    <w:p w:rsidR="00020AFA" w:rsidRPr="00714CD1" w:rsidP="00020AFA" w14:paraId="38E1B239" w14:textId="439DC98E">
      <w:pPr>
        <w:pStyle w:val="FootnoteText"/>
        <w:spacing w:after="120"/>
      </w:pPr>
      <w:r w:rsidRPr="00714CD1">
        <w:rPr>
          <w:rStyle w:val="FootnoteReference"/>
        </w:rPr>
        <w:footnoteRef/>
      </w:r>
      <w:r w:rsidRPr="00714CD1">
        <w:t xml:space="preserve"> </w:t>
      </w:r>
      <w:r w:rsidRPr="00714CD1" w:rsidR="00EC395E">
        <w:t xml:space="preserve">SCRRA Engineering Report </w:t>
      </w:r>
      <w:r w:rsidRPr="00714CD1">
        <w:t xml:space="preserve">at 34.  </w:t>
      </w:r>
      <w:r w:rsidRPr="00714CD1">
        <w:rPr>
          <w:i/>
        </w:rPr>
        <w:t>See also</w:t>
      </w:r>
      <w:r w:rsidRPr="00714CD1">
        <w:t xml:space="preserve"> OET-74 Supplement A at 5.</w:t>
      </w:r>
    </w:p>
  </w:footnote>
  <w:footnote w:id="97">
    <w:p w:rsidR="00020AFA" w:rsidP="00020AFA" w14:paraId="457F0DA6" w14:textId="77777777">
      <w:pPr>
        <w:pStyle w:val="FootnoteText"/>
        <w:spacing w:after="120"/>
      </w:pPr>
      <w:r>
        <w:rPr>
          <w:rStyle w:val="FootnoteReference"/>
        </w:rPr>
        <w:footnoteRef/>
      </w:r>
      <w:r>
        <w:t xml:space="preserve"> </w:t>
      </w:r>
      <w:r w:rsidRPr="00714CD1">
        <w:t>SCRRA Engineering Report</w:t>
      </w:r>
      <w:r>
        <w:t xml:space="preserve"> at 6. </w:t>
      </w:r>
    </w:p>
  </w:footnote>
  <w:footnote w:id="98">
    <w:p w:rsidR="00020AFA" w:rsidRPr="00714CD1" w:rsidP="005A7BDE" w14:paraId="1E252F24" w14:textId="77777777">
      <w:pPr>
        <w:pStyle w:val="FootnoteText"/>
        <w:spacing w:after="120"/>
      </w:pPr>
      <w:r w:rsidRPr="00714CD1">
        <w:rPr>
          <w:rStyle w:val="FootnoteReference"/>
        </w:rPr>
        <w:footnoteRef/>
      </w:r>
      <w:r w:rsidRPr="00714CD1">
        <w:t xml:space="preserve"> 47 CFR § 80.215(h)(4).</w:t>
      </w:r>
    </w:p>
  </w:footnote>
  <w:footnote w:id="99">
    <w:p w:rsidR="00020AFA" w:rsidRPr="00714CD1" w:rsidP="00020AFA" w14:paraId="1F7B5E1C" w14:textId="2F473588">
      <w:pPr>
        <w:pStyle w:val="FootnoteText"/>
        <w:spacing w:after="120"/>
      </w:pPr>
      <w:r w:rsidRPr="00714CD1">
        <w:rPr>
          <w:rStyle w:val="FootnoteReference"/>
        </w:rPr>
        <w:footnoteRef/>
      </w:r>
      <w:r w:rsidRPr="00714CD1">
        <w:t xml:space="preserve"> Longley-Rice Methodology for Evaluating TV Service Coverage and Interference, OET Bulletin No. 69 (2004), </w:t>
      </w:r>
      <w:hyperlink r:id="rId9" w:history="1">
        <w:r w:rsidRPr="00714CD1">
          <w:rPr>
            <w:rStyle w:val="Hyperlink"/>
          </w:rPr>
          <w:t>https://transition.fcc.gov/oet/info/documents/bulletins/oet69/oet69.pdf</w:t>
        </w:r>
      </w:hyperlink>
      <w:r w:rsidRPr="00714CD1">
        <w:t xml:space="preserve"> (OET-69); Longley-Rice Methodology for Predicting Inter-Service Interference to Broadcast Television from Mobile Wireless Broadband Services in the UHF Band, OET Bulletin No. 74 (2015), </w:t>
      </w:r>
      <w:hyperlink r:id="rId10" w:history="1">
        <w:r w:rsidRPr="00714CD1">
          <w:rPr>
            <w:rStyle w:val="Hyperlink"/>
          </w:rPr>
          <w:t>https://www.fcc.gov/bureaus/oet/info/documents/bulletins/oet74/OET74.pdf</w:t>
        </w:r>
      </w:hyperlink>
      <w:r w:rsidRPr="00714CD1">
        <w:t xml:space="preserve"> (OET-74). </w:t>
      </w:r>
    </w:p>
  </w:footnote>
  <w:footnote w:id="100">
    <w:p w:rsidR="00020AFA" w:rsidRPr="00714CD1" w:rsidP="00020AFA" w14:paraId="5AD621E6" w14:textId="6AEE73FE">
      <w:pPr>
        <w:pStyle w:val="FootnoteText"/>
        <w:spacing w:after="120"/>
      </w:pPr>
      <w:r w:rsidRPr="00714CD1">
        <w:rPr>
          <w:rStyle w:val="FootnoteReference"/>
        </w:rPr>
        <w:footnoteRef/>
      </w:r>
      <w:r w:rsidRPr="00714CD1">
        <w:t xml:space="preserve"> RF Networks’ study methodology included six steps.  SCRRA Engineering Report at 10.  </w:t>
      </w:r>
    </w:p>
  </w:footnote>
  <w:footnote w:id="101">
    <w:p w:rsidR="00020AFA" w:rsidRPr="00714CD1" w:rsidP="00020AFA" w14:paraId="63DF6A91" w14:textId="77777777">
      <w:pPr>
        <w:pStyle w:val="FootnoteText"/>
        <w:spacing w:after="120"/>
      </w:pPr>
      <w:r w:rsidRPr="00714CD1">
        <w:rPr>
          <w:rStyle w:val="FootnoteReference"/>
        </w:rPr>
        <w:footnoteRef/>
      </w:r>
      <w:r w:rsidRPr="00714CD1">
        <w:t xml:space="preserve"> SCRRA Engineering Report at 10. </w:t>
      </w:r>
    </w:p>
  </w:footnote>
  <w:footnote w:id="102">
    <w:p w:rsidR="00020AFA" w:rsidRPr="00714CD1" w:rsidP="00020AFA" w14:paraId="0D0819BD" w14:textId="1A0D88AB">
      <w:pPr>
        <w:pStyle w:val="FootnoteText"/>
        <w:spacing w:after="120"/>
      </w:pPr>
      <w:r w:rsidRPr="00714CD1">
        <w:rPr>
          <w:rStyle w:val="FootnoteReference"/>
        </w:rPr>
        <w:footnoteRef/>
      </w:r>
      <w:r w:rsidRPr="00714CD1">
        <w:t xml:space="preserve"> </w:t>
      </w:r>
      <w:r w:rsidRPr="00F033E0" w:rsidR="00F033E0">
        <w:rPr>
          <w:i/>
          <w:iCs/>
        </w:rPr>
        <w:t>Id.</w:t>
      </w:r>
    </w:p>
  </w:footnote>
  <w:footnote w:id="103">
    <w:p w:rsidR="00020AFA" w:rsidRPr="00714CD1" w:rsidP="00020AFA" w14:paraId="0AD03211" w14:textId="16889ECB">
      <w:pPr>
        <w:pStyle w:val="FootnoteText"/>
        <w:spacing w:after="120"/>
      </w:pPr>
      <w:r w:rsidRPr="00714CD1">
        <w:rPr>
          <w:rStyle w:val="FootnoteReference"/>
        </w:rPr>
        <w:footnoteRef/>
      </w:r>
      <w:r w:rsidRPr="00714CD1">
        <w:t xml:space="preserve"> </w:t>
      </w:r>
      <w:r w:rsidRPr="00F033E0" w:rsidR="00F033E0">
        <w:rPr>
          <w:i/>
          <w:iCs/>
        </w:rPr>
        <w:t>Id.</w:t>
      </w:r>
      <w:r w:rsidRPr="00714CD1">
        <w:t xml:space="preserve"> at 5.</w:t>
      </w:r>
      <w:r>
        <w:t xml:space="preserve">  </w:t>
      </w:r>
    </w:p>
  </w:footnote>
  <w:footnote w:id="104">
    <w:p w:rsidR="00020AFA" w:rsidRPr="00714CD1" w:rsidP="009264D3" w14:paraId="3D512D06" w14:textId="02BD5FB6">
      <w:pPr>
        <w:pStyle w:val="FootnoteText"/>
        <w:spacing w:after="120"/>
      </w:pPr>
      <w:r w:rsidRPr="00714CD1">
        <w:rPr>
          <w:rStyle w:val="FootnoteReference"/>
        </w:rPr>
        <w:footnoteRef/>
      </w:r>
      <w:r w:rsidRPr="00714CD1">
        <w:t xml:space="preserve"> 47 CFR § 80.215(h)(3).</w:t>
      </w:r>
      <w:r>
        <w:t xml:space="preserve"> </w:t>
      </w:r>
    </w:p>
  </w:footnote>
  <w:footnote w:id="105">
    <w:p w:rsidR="00020AFA" w:rsidRPr="00714CD1" w:rsidP="00020AFA" w14:paraId="701D77CF" w14:textId="53826801">
      <w:pPr>
        <w:pStyle w:val="FootnoteText"/>
        <w:spacing w:after="120"/>
      </w:pPr>
      <w:r w:rsidRPr="00714CD1">
        <w:rPr>
          <w:rStyle w:val="FootnoteReference"/>
        </w:rPr>
        <w:footnoteRef/>
      </w:r>
      <w:r w:rsidRPr="00714CD1">
        <w:t xml:space="preserve"> </w:t>
      </w:r>
      <w:r w:rsidRPr="00F033E0" w:rsidR="00F033E0">
        <w:rPr>
          <w:i/>
          <w:iCs/>
        </w:rPr>
        <w:t>Id.</w:t>
      </w:r>
      <w:r>
        <w:t xml:space="preserve"> </w:t>
      </w:r>
    </w:p>
  </w:footnote>
  <w:footnote w:id="106">
    <w:p w:rsidR="00020AFA" w:rsidRPr="00714CD1" w:rsidP="00020AFA" w14:paraId="358A44E6" w14:textId="77777777">
      <w:pPr>
        <w:pStyle w:val="FootnoteText"/>
        <w:spacing w:after="120"/>
      </w:pPr>
      <w:r w:rsidRPr="00714CD1">
        <w:rPr>
          <w:rStyle w:val="FootnoteReference"/>
        </w:rPr>
        <w:footnoteRef/>
      </w:r>
      <w:r w:rsidRPr="00714CD1">
        <w:t xml:space="preserve"> </w:t>
      </w:r>
      <w:r w:rsidRPr="00714CD1">
        <w:rPr>
          <w:iCs/>
        </w:rPr>
        <w:t>SCRRA Engineering</w:t>
      </w:r>
      <w:r w:rsidRPr="00714CD1">
        <w:t xml:space="preserve"> Report at </w:t>
      </w:r>
      <w:r>
        <w:t>10</w:t>
      </w:r>
      <w:r w:rsidRPr="00714CD1">
        <w:t xml:space="preserve">. </w:t>
      </w:r>
    </w:p>
  </w:footnote>
  <w:footnote w:id="107">
    <w:p w:rsidR="00020AFA" w:rsidRPr="00714CD1" w:rsidP="00020AFA" w14:paraId="1481F968" w14:textId="4CA5E850">
      <w:pPr>
        <w:pStyle w:val="FootnoteText"/>
        <w:spacing w:after="120"/>
      </w:pPr>
      <w:r w:rsidRPr="00714CD1">
        <w:rPr>
          <w:rStyle w:val="FootnoteReference"/>
        </w:rPr>
        <w:footnoteRef/>
      </w:r>
      <w:r w:rsidRPr="00714CD1">
        <w:t xml:space="preserve"> </w:t>
      </w:r>
      <w:r w:rsidRPr="00F033E0" w:rsidR="00F033E0">
        <w:rPr>
          <w:i/>
          <w:iCs/>
        </w:rPr>
        <w:t>Id.</w:t>
      </w:r>
      <w:r w:rsidRPr="00714CD1">
        <w:t xml:space="preserve"> at 5.</w:t>
      </w:r>
    </w:p>
  </w:footnote>
  <w:footnote w:id="108">
    <w:p w:rsidR="00020AFA" w:rsidRPr="00714CD1" w:rsidP="00020AFA" w14:paraId="5949DA0E" w14:textId="26569FA8">
      <w:pPr>
        <w:pStyle w:val="FootnoteText"/>
        <w:spacing w:after="120"/>
      </w:pPr>
      <w:r w:rsidRPr="00714CD1">
        <w:rPr>
          <w:rStyle w:val="FootnoteReference"/>
        </w:rPr>
        <w:footnoteRef/>
      </w:r>
      <w:r w:rsidRPr="00714CD1">
        <w:t xml:space="preserve"> 47 CFR § 80.215(h)(3).  Historically, the Commission analyzed the potential for interference according to a TV station's analog Grade B predicted contour.  To account for the conversion to digital television, the Commission developed the </w:t>
      </w:r>
      <w:bookmarkStart w:id="18" w:name="_Hlk532371961"/>
      <w:r w:rsidRPr="00714CD1">
        <w:t xml:space="preserve">noise-limited service contour </w:t>
      </w:r>
      <w:bookmarkEnd w:id="18"/>
      <w:r w:rsidRPr="00714CD1">
        <w:t>(NLSC) to approximate the same probability of service as the analog Grade B contour</w:t>
      </w:r>
      <w:r w:rsidRPr="00714CD1">
        <w:rPr>
          <w:i/>
        </w:rPr>
        <w:t>.</w:t>
      </w:r>
      <w:r w:rsidRPr="00714CD1">
        <w:t xml:space="preserve">  The NLSC is defined using the F(50,90) field strength contour, the area in which at least fifty percent of the locations can be expected to receive a signal that exceeds a specified field strength value at least ninety percent of the time.  </w:t>
      </w:r>
      <w:r w:rsidRPr="00714CD1">
        <w:rPr>
          <w:i/>
        </w:rPr>
        <w:t>See Establishment of a Model for Predicting Digital Broadcast Television Field Strength Received at Individual Locations</w:t>
      </w:r>
      <w:r w:rsidRPr="00714CD1">
        <w:t xml:space="preserve">, </w:t>
      </w:r>
      <w:r w:rsidR="00EF5F09">
        <w:t xml:space="preserve">ET Docket No. </w:t>
      </w:r>
      <w:r w:rsidR="004D71DA">
        <w:t xml:space="preserve">10-152, </w:t>
      </w:r>
      <w:r w:rsidRPr="00714CD1">
        <w:t xml:space="preserve">Notice of Proposed Rule Making and Further Notice of Proposed Rule Making, 25 FCC Rcd 10474, 10485, para. 25 (2010).  </w:t>
      </w:r>
      <w:r w:rsidRPr="00714CD1">
        <w:rPr>
          <w:i/>
        </w:rPr>
        <w:t xml:space="preserve">See also </w:t>
      </w:r>
      <w:r w:rsidRPr="00714CD1">
        <w:rPr>
          <w:i/>
          <w:iCs/>
        </w:rPr>
        <w:t>Avista Corporation</w:t>
      </w:r>
      <w:r w:rsidRPr="00714CD1">
        <w:t>, Order, 27 FCC Rcd 263, 266-67, paras. 6-7 (WTB MD 2012) (Longley-Rice propagation model and noise-limited service contour (NLSC) used to predict potential interference to DTV station by AMTS licensee).</w:t>
      </w:r>
    </w:p>
  </w:footnote>
  <w:footnote w:id="109">
    <w:p w:rsidR="00020AFA" w:rsidRPr="00714CD1" w:rsidP="00020AFA" w14:paraId="013F2BAC" w14:textId="77777777">
      <w:pPr>
        <w:pStyle w:val="FootnoteText"/>
        <w:spacing w:after="120"/>
      </w:pPr>
      <w:r w:rsidRPr="00714CD1">
        <w:rPr>
          <w:rStyle w:val="FootnoteReference"/>
        </w:rPr>
        <w:footnoteRef/>
      </w:r>
      <w:r w:rsidRPr="00714CD1">
        <w:t xml:space="preserve"> 47 CFR § 80.215(h)(3)(i)-(iii).</w:t>
      </w:r>
    </w:p>
  </w:footnote>
  <w:footnote w:id="110">
    <w:p w:rsidR="00020AFA" w:rsidRPr="00714CD1" w:rsidP="00020AFA" w14:paraId="6F7B1E21" w14:textId="308BA44B">
      <w:pPr>
        <w:pStyle w:val="FootnoteText"/>
        <w:spacing w:after="120"/>
      </w:pPr>
      <w:r w:rsidRPr="00714CD1">
        <w:rPr>
          <w:rStyle w:val="FootnoteReference"/>
        </w:rPr>
        <w:footnoteRef/>
      </w:r>
      <w:r>
        <w:t xml:space="preserve"> Maxey </w:t>
      </w:r>
      <w:r w:rsidRPr="00714CD1">
        <w:rPr>
          <w:iCs/>
        </w:rPr>
        <w:t>Certification at para. 3.</w:t>
      </w:r>
    </w:p>
  </w:footnote>
  <w:footnote w:id="111">
    <w:p w:rsidR="00020AFA" w:rsidRPr="00714CD1" w:rsidP="00020AFA" w14:paraId="613FBE1D" w14:textId="661CAEBC">
      <w:pPr>
        <w:pStyle w:val="FootnoteText"/>
        <w:spacing w:after="120"/>
        <w:rPr>
          <w:b/>
        </w:rPr>
      </w:pPr>
      <w:r w:rsidRPr="0022649D">
        <w:rPr>
          <w:rStyle w:val="FootnoteReference"/>
        </w:rPr>
        <w:footnoteRef/>
      </w:r>
      <w:r w:rsidRPr="0022649D">
        <w:t xml:space="preserve"> </w:t>
      </w:r>
      <w:r w:rsidRPr="00F033E0" w:rsidR="00F033E0">
        <w:rPr>
          <w:i/>
          <w:iCs/>
        </w:rPr>
        <w:t>Id.</w:t>
      </w:r>
      <w:r w:rsidRPr="00714CD1">
        <w:t xml:space="preserve">   </w:t>
      </w:r>
    </w:p>
  </w:footnote>
  <w:footnote w:id="112">
    <w:p w:rsidR="00020AFA" w:rsidRPr="00714CD1" w:rsidP="00020AFA" w14:paraId="656D5A17" w14:textId="3C89E8DC">
      <w:pPr>
        <w:pStyle w:val="FootnoteText"/>
        <w:spacing w:after="120"/>
      </w:pPr>
      <w:r w:rsidRPr="00714CD1">
        <w:rPr>
          <w:rStyle w:val="FootnoteReference"/>
        </w:rPr>
        <w:footnoteRef/>
      </w:r>
      <w:r w:rsidRPr="00714CD1">
        <w:t xml:space="preserve"> </w:t>
      </w:r>
      <w:r w:rsidRPr="00F033E0" w:rsidR="00F033E0">
        <w:rPr>
          <w:i/>
          <w:iCs/>
        </w:rPr>
        <w:t>Id.</w:t>
      </w:r>
    </w:p>
  </w:footnote>
  <w:footnote w:id="113">
    <w:p w:rsidR="00020AFA" w:rsidRPr="00714CD1" w:rsidP="00020AFA" w14:paraId="2F26125A" w14:textId="77777777">
      <w:pPr>
        <w:pStyle w:val="FootnoteText"/>
        <w:spacing w:after="120"/>
      </w:pPr>
      <w:r w:rsidRPr="00714CD1">
        <w:rPr>
          <w:rStyle w:val="FootnoteReference"/>
        </w:rPr>
        <w:footnoteRef/>
      </w:r>
      <w:r w:rsidRPr="00714CD1">
        <w:t xml:space="preserve"> A notch (band reject) filter attenuates one frequency band and passes both a lower and a higher frequency band.  </w:t>
      </w:r>
    </w:p>
  </w:footnote>
  <w:footnote w:id="114">
    <w:p w:rsidR="00020AFA" w:rsidRPr="00714CD1" w:rsidP="00020AFA" w14:paraId="629AD30C" w14:textId="0CD21920">
      <w:pPr>
        <w:pStyle w:val="FootnoteText"/>
        <w:spacing w:after="120"/>
      </w:pPr>
      <w:r w:rsidRPr="00714CD1">
        <w:rPr>
          <w:rStyle w:val="FootnoteReference"/>
        </w:rPr>
        <w:footnoteRef/>
      </w:r>
      <w:r w:rsidRPr="00714CD1">
        <w:t xml:space="preserve"> SCRRA Engineering Report at 6-7 (Interference Mitigation Measures) and </w:t>
      </w:r>
      <w:r w:rsidRPr="00CE451A">
        <w:t>Maxey Certification at para</w:t>
      </w:r>
      <w:r w:rsidRPr="00714CD1">
        <w:t xml:space="preserve"> </w:t>
      </w:r>
      <w:r>
        <w:t>2</w:t>
      </w:r>
      <w:r w:rsidRPr="00714CD1">
        <w:t>, committing SCRRA to implement those measures.</w:t>
      </w:r>
    </w:p>
  </w:footnote>
  <w:footnote w:id="115">
    <w:p w:rsidR="00020AFA" w:rsidRPr="00714CD1" w:rsidP="00020AFA" w14:paraId="689F50B8" w14:textId="043FA6C4">
      <w:pPr>
        <w:pStyle w:val="FootnoteText"/>
        <w:spacing w:after="120"/>
      </w:pPr>
      <w:r w:rsidRPr="00714CD1">
        <w:rPr>
          <w:rStyle w:val="FootnoteReference"/>
        </w:rPr>
        <w:footnoteRef/>
      </w:r>
      <w:r w:rsidRPr="00714CD1">
        <w:t xml:space="preserve"> Appendix C to the Engineering Study identifies 588 radio transmitters.  There are 546 wayside stations located less than 169 kilometers from Channel 13 Station KCOP-TV, and thus subject to individual licensing.  These same sites are enumerated in Exhibit 2 to the SCRRA Wai</w:t>
      </w:r>
      <w:r>
        <w:t>v</w:t>
      </w:r>
      <w:r w:rsidRPr="00714CD1">
        <w:t xml:space="preserve">er Request.  There are 20 wayside stations subject to command by SCRRA base stations but more than 169 kilometers from Channel 13 Station KCOP-TV, and thus not subject to </w:t>
      </w:r>
      <w:r>
        <w:t xml:space="preserve">the </w:t>
      </w:r>
      <w:r w:rsidRPr="00714CD1">
        <w:t>individual licensing</w:t>
      </w:r>
      <w:r>
        <w:t xml:space="preserve"> requirement</w:t>
      </w:r>
      <w:r w:rsidRPr="00714CD1">
        <w:t xml:space="preserve">.  </w:t>
      </w:r>
      <w:r w:rsidRPr="00031333">
        <w:t xml:space="preserve">And there are 17 base stations, </w:t>
      </w:r>
      <w:r w:rsidRPr="009264D3">
        <w:t>five with two transmitters.  SCRRA Waiver Request at 8, n.9; 47 CFR § 80.5 (defining a station as “[o]ne or more transmitters or a combination of transmitters and receivers, including the accessory equipment, necessary at one location for carrying on radiocommunication services”).</w:t>
      </w:r>
    </w:p>
  </w:footnote>
  <w:footnote w:id="116">
    <w:p w:rsidR="00020AFA" w:rsidRPr="00714CD1" w:rsidP="00020AFA" w14:paraId="42E8891F" w14:textId="77777777">
      <w:pPr>
        <w:pStyle w:val="FootnoteText"/>
        <w:spacing w:after="120"/>
      </w:pPr>
      <w:r w:rsidRPr="00714CD1">
        <w:rPr>
          <w:rStyle w:val="FootnoteReference"/>
        </w:rPr>
        <w:footnoteRef/>
      </w:r>
      <w:r w:rsidRPr="00714CD1">
        <w:t xml:space="preserve"> 47 CFR § 80.215(h)(4).</w:t>
      </w:r>
    </w:p>
  </w:footnote>
  <w:footnote w:id="117">
    <w:p w:rsidR="00020AFA" w:rsidRPr="00714CD1" w:rsidP="00020AFA" w14:paraId="6DE141C7" w14:textId="667922E9">
      <w:pPr>
        <w:pStyle w:val="FootnoteText"/>
        <w:spacing w:after="120"/>
      </w:pPr>
      <w:r w:rsidRPr="00714CD1">
        <w:rPr>
          <w:rStyle w:val="FootnoteReference"/>
        </w:rPr>
        <w:footnoteRef/>
      </w:r>
      <w:r w:rsidRPr="00714CD1">
        <w:t xml:space="preserve"> SCRRA Engineering Report at 6-7.  </w:t>
      </w:r>
    </w:p>
  </w:footnote>
  <w:footnote w:id="118">
    <w:p w:rsidR="00020AFA" w:rsidRPr="00714CD1" w:rsidP="00020AFA" w14:paraId="75A54F20" w14:textId="3710EEC6">
      <w:pPr>
        <w:pStyle w:val="FootnoteText"/>
        <w:spacing w:after="120"/>
      </w:pPr>
      <w:r w:rsidRPr="00714CD1">
        <w:rPr>
          <w:rStyle w:val="FootnoteReference"/>
        </w:rPr>
        <w:footnoteRef/>
      </w:r>
      <w:r w:rsidRPr="00714CD1">
        <w:t xml:space="preserve"> </w:t>
      </w:r>
      <w:r w:rsidRPr="00F033E0" w:rsidR="00F033E0">
        <w:rPr>
          <w:i/>
          <w:iCs/>
        </w:rPr>
        <w:t>Id.</w:t>
      </w:r>
      <w:r>
        <w:t xml:space="preserve"> </w:t>
      </w:r>
      <w:r w:rsidRPr="00714CD1">
        <w:t>at 6.</w:t>
      </w:r>
    </w:p>
  </w:footnote>
  <w:footnote w:id="119">
    <w:p w:rsidR="00020AFA" w:rsidRPr="00714CD1" w:rsidP="00020AFA" w14:paraId="61D964C0" w14:textId="156D1C7C">
      <w:pPr>
        <w:pStyle w:val="FootnoteText"/>
        <w:spacing w:after="120"/>
      </w:pPr>
      <w:r w:rsidRPr="00714CD1">
        <w:rPr>
          <w:rStyle w:val="FootnoteReference"/>
        </w:rPr>
        <w:footnoteRef/>
      </w:r>
      <w:r w:rsidRPr="00714CD1">
        <w:t xml:space="preserve"> </w:t>
      </w:r>
      <w:r w:rsidRPr="00F033E0" w:rsidR="00F033E0">
        <w:rPr>
          <w:i/>
          <w:iCs/>
        </w:rPr>
        <w:t>Id.</w:t>
      </w:r>
    </w:p>
  </w:footnote>
  <w:footnote w:id="120">
    <w:p w:rsidR="00020AFA" w:rsidRPr="00714CD1" w:rsidP="00020AFA" w14:paraId="6BFB09C4" w14:textId="61312B92">
      <w:pPr>
        <w:pStyle w:val="FootnoteText"/>
        <w:spacing w:after="120"/>
      </w:pPr>
      <w:r w:rsidRPr="00714CD1">
        <w:rPr>
          <w:rStyle w:val="FootnoteReference"/>
        </w:rPr>
        <w:footnoteRef/>
      </w:r>
      <w:r>
        <w:rPr>
          <w:i/>
          <w:iCs/>
        </w:rPr>
        <w:t xml:space="preserve"> </w:t>
      </w:r>
      <w:r w:rsidRPr="00F033E0" w:rsidR="00F033E0">
        <w:rPr>
          <w:i/>
          <w:iCs/>
        </w:rPr>
        <w:t>Id.</w:t>
      </w:r>
    </w:p>
  </w:footnote>
  <w:footnote w:id="121">
    <w:p w:rsidR="00020AFA" w:rsidRPr="00714CD1" w:rsidP="00020AFA" w14:paraId="18B29340" w14:textId="522EC27A">
      <w:pPr>
        <w:pStyle w:val="FootnoteText"/>
        <w:spacing w:after="120"/>
      </w:pPr>
      <w:r w:rsidRPr="00714CD1">
        <w:rPr>
          <w:rStyle w:val="FootnoteReference"/>
        </w:rPr>
        <w:footnoteRef/>
      </w:r>
      <w:r>
        <w:rPr>
          <w:i/>
          <w:iCs/>
        </w:rPr>
        <w:t xml:space="preserve"> </w:t>
      </w:r>
      <w:r w:rsidRPr="00F033E0" w:rsidR="00F033E0">
        <w:rPr>
          <w:i/>
          <w:iCs/>
        </w:rPr>
        <w:t>Id.</w:t>
      </w:r>
    </w:p>
  </w:footnote>
  <w:footnote w:id="122">
    <w:p w:rsidR="00020AFA" w:rsidRPr="00714CD1" w:rsidP="00020AFA" w14:paraId="15C7B939" w14:textId="5D2270CA">
      <w:pPr>
        <w:pStyle w:val="FootnoteText"/>
        <w:spacing w:after="120"/>
      </w:pPr>
      <w:r w:rsidRPr="00714CD1">
        <w:rPr>
          <w:rStyle w:val="FootnoteReference"/>
        </w:rPr>
        <w:footnoteRef/>
      </w:r>
      <w:r>
        <w:rPr>
          <w:i/>
          <w:iCs/>
        </w:rPr>
        <w:t xml:space="preserve"> </w:t>
      </w:r>
      <w:r w:rsidRPr="00F033E0" w:rsidR="00F033E0">
        <w:rPr>
          <w:i/>
          <w:iCs/>
        </w:rPr>
        <w:t>Id.</w:t>
      </w:r>
    </w:p>
  </w:footnote>
  <w:footnote w:id="123">
    <w:p w:rsidR="00020AFA" w:rsidRPr="00714CD1" w:rsidP="00020AFA" w14:paraId="2A197150" w14:textId="6E4C195D">
      <w:pPr>
        <w:pStyle w:val="FootnoteText"/>
        <w:spacing w:after="120"/>
      </w:pPr>
      <w:r w:rsidRPr="00714CD1">
        <w:rPr>
          <w:rStyle w:val="FootnoteReference"/>
        </w:rPr>
        <w:footnoteRef/>
      </w:r>
      <w:r w:rsidRPr="00714CD1">
        <w:t xml:space="preserve"> </w:t>
      </w:r>
      <w:r w:rsidR="00D26548">
        <w:t xml:space="preserve">STA Call Sign </w:t>
      </w:r>
      <w:r w:rsidRPr="00D26548" w:rsidR="00D26548">
        <w:t>WRJD571</w:t>
      </w:r>
      <w:r w:rsidR="00D26548">
        <w:t xml:space="preserve">, Operational Update, </w:t>
      </w:r>
      <w:r w:rsidRPr="00005EF2" w:rsidR="00D26548">
        <w:t>dated Oct.</w:t>
      </w:r>
      <w:r w:rsidR="00D26548">
        <w:t xml:space="preserve"> 20, 2020</w:t>
      </w:r>
      <w:r w:rsidRPr="00714CD1">
        <w:t>.</w:t>
      </w:r>
    </w:p>
  </w:footnote>
  <w:footnote w:id="124">
    <w:p w:rsidR="00020AFA" w:rsidRPr="00714CD1" w:rsidP="00020AFA" w14:paraId="2D1CC6FB" w14:textId="77777777">
      <w:pPr>
        <w:pStyle w:val="FootnoteText"/>
        <w:spacing w:after="120"/>
      </w:pPr>
      <w:r w:rsidRPr="00714CD1">
        <w:rPr>
          <w:rStyle w:val="FootnoteReference"/>
        </w:rPr>
        <w:footnoteRef/>
      </w:r>
      <w:r w:rsidRPr="00714CD1">
        <w:t xml:space="preserve"> SCRRA Engineering Report at 6.  </w:t>
      </w:r>
    </w:p>
  </w:footnote>
  <w:footnote w:id="125">
    <w:p w:rsidR="00020AFA" w:rsidRPr="00714CD1" w:rsidP="00020AFA" w14:paraId="440A5882" w14:textId="01B3DA1A">
      <w:pPr>
        <w:pStyle w:val="FootnoteText"/>
        <w:spacing w:after="120"/>
      </w:pPr>
      <w:r w:rsidRPr="00714CD1">
        <w:rPr>
          <w:rStyle w:val="FootnoteReference"/>
        </w:rPr>
        <w:footnoteRef/>
      </w:r>
      <w:r w:rsidRPr="00714CD1">
        <w:t xml:space="preserve"> </w:t>
      </w:r>
      <w:r w:rsidRPr="00F033E0" w:rsidR="00F033E0">
        <w:rPr>
          <w:i/>
          <w:iCs/>
        </w:rPr>
        <w:t>Id.</w:t>
      </w:r>
      <w:r w:rsidRPr="00714CD1">
        <w:t xml:space="preserve">  </w:t>
      </w:r>
    </w:p>
  </w:footnote>
  <w:footnote w:id="126">
    <w:p w:rsidR="00020AFA" w:rsidRPr="00714CD1" w:rsidP="00020AFA" w14:paraId="5BF25E73" w14:textId="2962E342">
      <w:pPr>
        <w:pStyle w:val="FootnoteText"/>
        <w:spacing w:after="120"/>
      </w:pPr>
      <w:r w:rsidRPr="00714CD1">
        <w:rPr>
          <w:rStyle w:val="FootnoteReference"/>
        </w:rPr>
        <w:footnoteRef/>
      </w:r>
      <w:r w:rsidRPr="00714CD1">
        <w:t xml:space="preserve"> </w:t>
      </w:r>
      <w:r w:rsidRPr="00F033E0" w:rsidR="00F033E0">
        <w:rPr>
          <w:i/>
          <w:iCs/>
        </w:rPr>
        <w:t>Id.</w:t>
      </w:r>
      <w:r w:rsidRPr="00714CD1">
        <w:t xml:space="preserve">  </w:t>
      </w:r>
    </w:p>
  </w:footnote>
  <w:footnote w:id="127">
    <w:p w:rsidR="00020AFA" w:rsidRPr="00714CD1" w:rsidP="00020AFA" w14:paraId="7C1E38D7" w14:textId="77777777">
      <w:pPr>
        <w:pStyle w:val="FootnoteText"/>
        <w:spacing w:after="120"/>
      </w:pPr>
      <w:r w:rsidRPr="00714CD1">
        <w:rPr>
          <w:rStyle w:val="FootnoteReference"/>
        </w:rPr>
        <w:footnoteRef/>
      </w:r>
      <w:r w:rsidRPr="00714CD1">
        <w:t xml:space="preserve"> 47 CFR § 80.215(h)(4).    </w:t>
      </w:r>
    </w:p>
  </w:footnote>
  <w:footnote w:id="128">
    <w:p w:rsidR="00020AFA" w:rsidRPr="00714CD1" w:rsidP="00020AFA" w14:paraId="2E7792DB" w14:textId="77777777">
      <w:pPr>
        <w:pStyle w:val="FootnoteText"/>
        <w:spacing w:after="120"/>
      </w:pPr>
      <w:r w:rsidRPr="00714CD1">
        <w:rPr>
          <w:rStyle w:val="FootnoteReference"/>
        </w:rPr>
        <w:footnoteRef/>
      </w:r>
      <w:r w:rsidRPr="00714CD1">
        <w:t xml:space="preserve"> SCRRA Engineering Report at 6.</w:t>
      </w:r>
    </w:p>
  </w:footnote>
  <w:footnote w:id="129">
    <w:p w:rsidR="00020AFA" w:rsidRPr="00406DB9" w:rsidP="00406DB9" w14:paraId="728D1E0D" w14:textId="3288C89A">
      <w:pPr>
        <w:pStyle w:val="FootnoteText"/>
        <w:spacing w:after="120"/>
      </w:pPr>
      <w:r w:rsidRPr="00714CD1">
        <w:rPr>
          <w:rStyle w:val="FootnoteReference"/>
        </w:rPr>
        <w:footnoteRef/>
      </w:r>
      <w:r w:rsidRPr="00714CD1">
        <w:t xml:space="preserve"> </w:t>
      </w:r>
      <w:r w:rsidRPr="00A37201">
        <w:t xml:space="preserve">The </w:t>
      </w:r>
      <w:r>
        <w:t xml:space="preserve">potentially affected broadcasters include: (1) </w:t>
      </w:r>
      <w:r w:rsidRPr="00A37201">
        <w:t>one Channel 13 station</w:t>
      </w:r>
      <w:r>
        <w:t>,</w:t>
      </w:r>
      <w:r w:rsidRPr="00A37201">
        <w:t xml:space="preserve"> KCOP-TV, Los Angeles, CA</w:t>
      </w:r>
      <w:r>
        <w:t xml:space="preserve">; and (2) </w:t>
      </w:r>
      <w:r w:rsidRPr="00A37201">
        <w:t>six Channel 10 stations: KERO-TV, Bakersfield; KGTV, San Diego; DKTAV-LD, Altadena; KIIO-LD, Los Angeles; KZSW-LD, Riverside; and K10PV-D, Santa Barbara.  SCRRA Engineering Report at 3</w:t>
      </w:r>
      <w:r>
        <w:t>8</w:t>
      </w:r>
      <w:r w:rsidRPr="00A37201">
        <w:t>-44 (Fig</w:t>
      </w:r>
      <w:r w:rsidR="00882B1B">
        <w:t>s.</w:t>
      </w:r>
      <w:r w:rsidRPr="00A37201">
        <w:t xml:space="preserve"> </w:t>
      </w:r>
      <w:r>
        <w:t xml:space="preserve">7 </w:t>
      </w:r>
      <w:r w:rsidRPr="00406DB9">
        <w:t>to 8f).</w:t>
      </w:r>
    </w:p>
  </w:footnote>
  <w:footnote w:id="130">
    <w:p w:rsidR="00020AFA" w:rsidRPr="00714CD1" w:rsidP="00406DB9" w14:paraId="2AC6D5EE" w14:textId="77777777">
      <w:pPr>
        <w:pStyle w:val="FootnoteText"/>
        <w:spacing w:after="120"/>
      </w:pPr>
      <w:r w:rsidRPr="00714CD1">
        <w:rPr>
          <w:rStyle w:val="FootnoteReference"/>
        </w:rPr>
        <w:footnoteRef/>
      </w:r>
      <w:r w:rsidRPr="00714CD1">
        <w:t xml:space="preserve"> If SCRRA were unable to remedy interference, Commission rules would require it to discontinue use of an offending base or wayside radio station.  47 CFR § 80.215(h)(4).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0AFA" w:rsidRPr="003F69A2" w:rsidP="003F69A2" w14:paraId="5D3AF309" w14:textId="24D4DDE4">
    <w:pPr>
      <w:rPr>
        <w:sz w:val="22"/>
        <w:szCs w:val="22"/>
      </w:rPr>
    </w:pPr>
    <w:r>
      <w:rPr>
        <w:sz w:val="22"/>
        <w:szCs w:val="22"/>
      </w:rPr>
      <w:t>Paul J. Feldman</w:t>
    </w:r>
    <w:r w:rsidRPr="003F69A2">
      <w:rPr>
        <w:sz w:val="22"/>
        <w:szCs w:val="22"/>
      </w:rPr>
      <w:t>, Esq.</w:t>
    </w:r>
  </w:p>
  <w:p w:rsidR="00020AFA" w:rsidRPr="003F69A2" w:rsidP="003F69A2" w14:paraId="398A9A54" w14:textId="5697AA2E">
    <w:pPr>
      <w:pStyle w:val="Header"/>
      <w:tabs>
        <w:tab w:val="clear" w:pos="4320"/>
      </w:tabs>
      <w:rPr>
        <w:sz w:val="22"/>
        <w:szCs w:val="22"/>
      </w:rPr>
    </w:pPr>
    <w:r w:rsidRPr="003F69A2">
      <w:rPr>
        <w:sz w:val="22"/>
        <w:szCs w:val="22"/>
      </w:rPr>
      <w:fldChar w:fldCharType="begin"/>
    </w:r>
    <w:r w:rsidRPr="003F69A2">
      <w:rPr>
        <w:sz w:val="22"/>
        <w:szCs w:val="22"/>
      </w:rPr>
      <w:instrText xml:space="preserve"> TIME \@ "MMMM d, yyyy" </w:instrText>
    </w:r>
    <w:r w:rsidRPr="003F69A2">
      <w:rPr>
        <w:sz w:val="22"/>
        <w:szCs w:val="22"/>
      </w:rPr>
      <w:fldChar w:fldCharType="separate"/>
    </w:r>
    <w:r w:rsidR="00CF3D90">
      <w:rPr>
        <w:noProof/>
        <w:sz w:val="22"/>
        <w:szCs w:val="22"/>
      </w:rPr>
      <w:t>October 23, 2020</w:t>
    </w:r>
    <w:r w:rsidRPr="003F69A2">
      <w:rPr>
        <w:sz w:val="22"/>
        <w:szCs w:val="22"/>
      </w:rPr>
      <w:fldChar w:fldCharType="end"/>
    </w:r>
  </w:p>
  <w:p w:rsidR="00020AFA" w:rsidRPr="003F69A2" w:rsidP="003F69A2" w14:paraId="154F5E3D" w14:textId="77777777">
    <w:pPr>
      <w:pStyle w:val="Header"/>
      <w:rPr>
        <w:sz w:val="22"/>
        <w:szCs w:val="22"/>
      </w:rPr>
    </w:pPr>
    <w:r w:rsidRPr="003F69A2">
      <w:rPr>
        <w:sz w:val="22"/>
        <w:szCs w:val="22"/>
      </w:rPr>
      <w:t xml:space="preserve">Page </w:t>
    </w:r>
    <w:r w:rsidRPr="00BD249F">
      <w:rPr>
        <w:sz w:val="22"/>
        <w:szCs w:val="22"/>
      </w:rPr>
      <w:fldChar w:fldCharType="begin"/>
    </w:r>
    <w:r w:rsidRPr="003F69A2">
      <w:rPr>
        <w:sz w:val="22"/>
        <w:szCs w:val="22"/>
      </w:rPr>
      <w:instrText xml:space="preserve"> PAGE  \* Arabic  \* MERGEFORMAT </w:instrText>
    </w:r>
    <w:r w:rsidRPr="00BD249F">
      <w:rPr>
        <w:sz w:val="22"/>
        <w:szCs w:val="22"/>
      </w:rPr>
      <w:fldChar w:fldCharType="separate"/>
    </w:r>
    <w:r w:rsidRPr="00BD249F">
      <w:rPr>
        <w:sz w:val="22"/>
        <w:szCs w:val="22"/>
      </w:rPr>
      <w:t>2</w:t>
    </w:r>
    <w:r w:rsidRPr="00BD249F">
      <w:rPr>
        <w:sz w:val="22"/>
        <w:szCs w:val="22"/>
      </w:rPr>
      <w:fldChar w:fldCharType="end"/>
    </w:r>
    <w:r w:rsidRPr="003F69A2">
      <w:rPr>
        <w:sz w:val="22"/>
        <w:szCs w:val="22"/>
      </w:rPr>
      <w:t xml:space="preserve"> of </w:t>
    </w:r>
    <w:r w:rsidRPr="00BD249F">
      <w:rPr>
        <w:sz w:val="22"/>
        <w:szCs w:val="22"/>
      </w:rPr>
      <w:fldChar w:fldCharType="begin"/>
    </w:r>
    <w:r w:rsidRPr="003F69A2">
      <w:rPr>
        <w:sz w:val="22"/>
        <w:szCs w:val="22"/>
      </w:rPr>
      <w:instrText xml:space="preserve"> NUMPAGES  \* Arabic  \* MERGEFORMAT </w:instrText>
    </w:r>
    <w:r w:rsidRPr="00BD249F">
      <w:rPr>
        <w:sz w:val="22"/>
        <w:szCs w:val="22"/>
      </w:rPr>
      <w:fldChar w:fldCharType="separate"/>
    </w:r>
    <w:r w:rsidRPr="00BD249F">
      <w:rPr>
        <w:sz w:val="22"/>
        <w:szCs w:val="22"/>
      </w:rPr>
      <w:t>2</w:t>
    </w:r>
    <w:r w:rsidRPr="00BD249F">
      <w:rPr>
        <w:sz w:val="22"/>
        <w:szCs w:val="22"/>
      </w:rPr>
      <w:fldChar w:fldCharType="end"/>
    </w:r>
  </w:p>
  <w:p w:rsidR="00020AFA" w14:paraId="6C142B1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0AFA" w14:paraId="37304042" w14:textId="77777777">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664967245" r:id="rId2"/>
      </w:pict>
    </w:r>
    <w:r>
      <w:rPr>
        <w:rFonts w:ascii="CG Times (W1)" w:hAnsi="CG Times (W1)"/>
        <w:sz w:val="28"/>
      </w:rPr>
      <w:t>Federal Communications Commission</w:t>
    </w:r>
  </w:p>
  <w:p w:rsidR="00020AFA" w14:paraId="511E004A" w14:textId="77777777">
    <w:pPr>
      <w:jc w:val="center"/>
    </w:pPr>
    <w:r>
      <w:rPr>
        <w:rFonts w:ascii="CG Times (W1)" w:hAnsi="CG Times (W1)"/>
        <w:sz w:val="28"/>
      </w:rPr>
      <w:t>Washington, D.C. 20554</w:t>
    </w:r>
  </w:p>
  <w:p w:rsidR="00020AFA" w14:paraId="06FDE855" w14:textId="77777777">
    <w:pPr>
      <w:pStyle w:val="Header"/>
      <w:tabs>
        <w:tab w:val="clear" w:pos="4320"/>
      </w:tabs>
      <w:jc w:val="center"/>
      <w:rPr>
        <w:sz w:val="22"/>
      </w:rPr>
    </w:pPr>
  </w:p>
  <w:p w:rsidR="00020AFA" w14:paraId="55C6C95D" w14:textId="77777777">
    <w:pPr>
      <w:pStyle w:val="Header"/>
      <w:tabs>
        <w:tab w:val="clear" w:pos="4320"/>
      </w:tabs>
      <w:jc w:val="center"/>
      <w:rPr>
        <w:sz w:val="22"/>
      </w:rPr>
    </w:pPr>
  </w:p>
  <w:p w:rsidR="00020AFA" w14:paraId="4627CF60" w14:textId="4FC8A891">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CF3D90">
      <w:rPr>
        <w:noProof/>
        <w:sz w:val="24"/>
      </w:rPr>
      <w:t>October 23, 2020</w:t>
    </w:r>
    <w:r>
      <w:rPr>
        <w:sz w:val="24"/>
      </w:rPr>
      <w:fldChar w:fldCharType="end"/>
    </w:r>
  </w:p>
  <w:p w:rsidR="00020AFA" w14:paraId="186CEA41" w14:textId="77777777">
    <w:pPr>
      <w:pStyle w:val="Header"/>
      <w:tabs>
        <w:tab w:val="clear" w:pos="4320"/>
      </w:tabs>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B42306"/>
    <w:multiLevelType w:val="hybridMultilevel"/>
    <w:tmpl w:val="B17C8B3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D369AE"/>
    <w:multiLevelType w:val="hybridMultilevel"/>
    <w:tmpl w:val="76E47F92"/>
    <w:lvl w:ilvl="0">
      <w:start w:val="1"/>
      <w:numFmt w:val="decimal"/>
      <w:lvlText w:val="%1."/>
      <w:lvlJc w:val="left"/>
      <w:pPr>
        <w:ind w:left="3240" w:hanging="360"/>
      </w:pPr>
      <w:rPr>
        <w:b w:val="0"/>
      </w:rPr>
    </w:lvl>
    <w:lvl w:ilvl="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2">
    <w:nsid w:val="533324EB"/>
    <w:multiLevelType w:val="hybridMultilevel"/>
    <w:tmpl w:val="4916464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04"/>
    <w:rsid w:val="000018EF"/>
    <w:rsid w:val="00001E22"/>
    <w:rsid w:val="0000346B"/>
    <w:rsid w:val="00003B86"/>
    <w:rsid w:val="00004C4A"/>
    <w:rsid w:val="00005EF2"/>
    <w:rsid w:val="00006FB9"/>
    <w:rsid w:val="000079D3"/>
    <w:rsid w:val="00011A88"/>
    <w:rsid w:val="00013201"/>
    <w:rsid w:val="00013203"/>
    <w:rsid w:val="000135A6"/>
    <w:rsid w:val="000137F1"/>
    <w:rsid w:val="00013E6C"/>
    <w:rsid w:val="00014D99"/>
    <w:rsid w:val="00014FC1"/>
    <w:rsid w:val="00015516"/>
    <w:rsid w:val="000164B4"/>
    <w:rsid w:val="000166B4"/>
    <w:rsid w:val="00016D6D"/>
    <w:rsid w:val="00016FF5"/>
    <w:rsid w:val="0001799B"/>
    <w:rsid w:val="00017AA0"/>
    <w:rsid w:val="00020886"/>
    <w:rsid w:val="00020AFA"/>
    <w:rsid w:val="000212F8"/>
    <w:rsid w:val="0002302C"/>
    <w:rsid w:val="0002477F"/>
    <w:rsid w:val="000261A2"/>
    <w:rsid w:val="00026C33"/>
    <w:rsid w:val="00031333"/>
    <w:rsid w:val="00031B02"/>
    <w:rsid w:val="000329FF"/>
    <w:rsid w:val="00033F08"/>
    <w:rsid w:val="000343F4"/>
    <w:rsid w:val="00034843"/>
    <w:rsid w:val="00035CEF"/>
    <w:rsid w:val="0003662F"/>
    <w:rsid w:val="000377D7"/>
    <w:rsid w:val="00042590"/>
    <w:rsid w:val="00044075"/>
    <w:rsid w:val="00046454"/>
    <w:rsid w:val="000464E9"/>
    <w:rsid w:val="00046D76"/>
    <w:rsid w:val="000471DF"/>
    <w:rsid w:val="00047A6D"/>
    <w:rsid w:val="00053FFD"/>
    <w:rsid w:val="000542B5"/>
    <w:rsid w:val="0005538B"/>
    <w:rsid w:val="00056A50"/>
    <w:rsid w:val="00056C75"/>
    <w:rsid w:val="000640D1"/>
    <w:rsid w:val="00064EC8"/>
    <w:rsid w:val="00064F0F"/>
    <w:rsid w:val="0006503A"/>
    <w:rsid w:val="0006645F"/>
    <w:rsid w:val="0006705F"/>
    <w:rsid w:val="000670BB"/>
    <w:rsid w:val="0007005E"/>
    <w:rsid w:val="00070796"/>
    <w:rsid w:val="000710AB"/>
    <w:rsid w:val="00072205"/>
    <w:rsid w:val="00072C6C"/>
    <w:rsid w:val="000734D9"/>
    <w:rsid w:val="000745C4"/>
    <w:rsid w:val="00074849"/>
    <w:rsid w:val="00074AE9"/>
    <w:rsid w:val="00074B92"/>
    <w:rsid w:val="00075055"/>
    <w:rsid w:val="000762EB"/>
    <w:rsid w:val="00076776"/>
    <w:rsid w:val="00076B33"/>
    <w:rsid w:val="00077113"/>
    <w:rsid w:val="00077A1C"/>
    <w:rsid w:val="00077A84"/>
    <w:rsid w:val="0008092A"/>
    <w:rsid w:val="00081D8B"/>
    <w:rsid w:val="000827AB"/>
    <w:rsid w:val="000828CF"/>
    <w:rsid w:val="00082AD9"/>
    <w:rsid w:val="000833BD"/>
    <w:rsid w:val="000835C8"/>
    <w:rsid w:val="00084F24"/>
    <w:rsid w:val="0008699D"/>
    <w:rsid w:val="000869D6"/>
    <w:rsid w:val="00091053"/>
    <w:rsid w:val="000918C2"/>
    <w:rsid w:val="000945E3"/>
    <w:rsid w:val="000951C2"/>
    <w:rsid w:val="000962F6"/>
    <w:rsid w:val="00096EB2"/>
    <w:rsid w:val="000A0A46"/>
    <w:rsid w:val="000A0C29"/>
    <w:rsid w:val="000A0D3D"/>
    <w:rsid w:val="000A19A0"/>
    <w:rsid w:val="000A1E95"/>
    <w:rsid w:val="000A2604"/>
    <w:rsid w:val="000A367F"/>
    <w:rsid w:val="000A375C"/>
    <w:rsid w:val="000A3A6B"/>
    <w:rsid w:val="000A4BB4"/>
    <w:rsid w:val="000A50E7"/>
    <w:rsid w:val="000A5473"/>
    <w:rsid w:val="000B1762"/>
    <w:rsid w:val="000B5321"/>
    <w:rsid w:val="000B6034"/>
    <w:rsid w:val="000B6398"/>
    <w:rsid w:val="000C0FCF"/>
    <w:rsid w:val="000C12CC"/>
    <w:rsid w:val="000C1822"/>
    <w:rsid w:val="000C1D92"/>
    <w:rsid w:val="000C2274"/>
    <w:rsid w:val="000C3E5C"/>
    <w:rsid w:val="000C5466"/>
    <w:rsid w:val="000C79DF"/>
    <w:rsid w:val="000C7B5A"/>
    <w:rsid w:val="000D04CC"/>
    <w:rsid w:val="000D08CC"/>
    <w:rsid w:val="000D2BCD"/>
    <w:rsid w:val="000D534C"/>
    <w:rsid w:val="000D5A25"/>
    <w:rsid w:val="000D5C58"/>
    <w:rsid w:val="000D5D3F"/>
    <w:rsid w:val="000D72A4"/>
    <w:rsid w:val="000E053B"/>
    <w:rsid w:val="000E0F46"/>
    <w:rsid w:val="000E23C1"/>
    <w:rsid w:val="000E23E9"/>
    <w:rsid w:val="000E3003"/>
    <w:rsid w:val="000E453F"/>
    <w:rsid w:val="000E474A"/>
    <w:rsid w:val="000E4ACD"/>
    <w:rsid w:val="000E522A"/>
    <w:rsid w:val="000F1089"/>
    <w:rsid w:val="000F2585"/>
    <w:rsid w:val="000F2B0D"/>
    <w:rsid w:val="000F3F87"/>
    <w:rsid w:val="000F47EA"/>
    <w:rsid w:val="000F4CD0"/>
    <w:rsid w:val="000F6A2C"/>
    <w:rsid w:val="000F72CF"/>
    <w:rsid w:val="000F7682"/>
    <w:rsid w:val="000F7CB5"/>
    <w:rsid w:val="0010185A"/>
    <w:rsid w:val="0010379E"/>
    <w:rsid w:val="00104091"/>
    <w:rsid w:val="00112035"/>
    <w:rsid w:val="001135F1"/>
    <w:rsid w:val="00114700"/>
    <w:rsid w:val="00114AF2"/>
    <w:rsid w:val="00117231"/>
    <w:rsid w:val="00121D0D"/>
    <w:rsid w:val="0012534D"/>
    <w:rsid w:val="001256A1"/>
    <w:rsid w:val="00125C57"/>
    <w:rsid w:val="00126E10"/>
    <w:rsid w:val="00130A6B"/>
    <w:rsid w:val="00131EEF"/>
    <w:rsid w:val="00132654"/>
    <w:rsid w:val="0013445D"/>
    <w:rsid w:val="001350F1"/>
    <w:rsid w:val="00135F85"/>
    <w:rsid w:val="001366F9"/>
    <w:rsid w:val="00137168"/>
    <w:rsid w:val="001400FA"/>
    <w:rsid w:val="00140F8D"/>
    <w:rsid w:val="00141108"/>
    <w:rsid w:val="00141AAD"/>
    <w:rsid w:val="001436D4"/>
    <w:rsid w:val="00143773"/>
    <w:rsid w:val="001441B0"/>
    <w:rsid w:val="00144DEF"/>
    <w:rsid w:val="00145075"/>
    <w:rsid w:val="00145151"/>
    <w:rsid w:val="00146AD7"/>
    <w:rsid w:val="00146D42"/>
    <w:rsid w:val="0015070A"/>
    <w:rsid w:val="00150996"/>
    <w:rsid w:val="00150CCC"/>
    <w:rsid w:val="00151418"/>
    <w:rsid w:val="0015543C"/>
    <w:rsid w:val="00157F64"/>
    <w:rsid w:val="0016091E"/>
    <w:rsid w:val="00161D7F"/>
    <w:rsid w:val="00161EA3"/>
    <w:rsid w:val="00163265"/>
    <w:rsid w:val="001632AA"/>
    <w:rsid w:val="00163FD8"/>
    <w:rsid w:val="0016467B"/>
    <w:rsid w:val="00165E0E"/>
    <w:rsid w:val="001669BF"/>
    <w:rsid w:val="0017058F"/>
    <w:rsid w:val="00170725"/>
    <w:rsid w:val="00172FC2"/>
    <w:rsid w:val="001758CF"/>
    <w:rsid w:val="001759E3"/>
    <w:rsid w:val="00177537"/>
    <w:rsid w:val="00177C8C"/>
    <w:rsid w:val="00180773"/>
    <w:rsid w:val="00180C74"/>
    <w:rsid w:val="00180D9E"/>
    <w:rsid w:val="0018111A"/>
    <w:rsid w:val="00181845"/>
    <w:rsid w:val="00181AC7"/>
    <w:rsid w:val="001822D7"/>
    <w:rsid w:val="001823AE"/>
    <w:rsid w:val="00182503"/>
    <w:rsid w:val="00182C7F"/>
    <w:rsid w:val="0018343D"/>
    <w:rsid w:val="00183F02"/>
    <w:rsid w:val="001841B5"/>
    <w:rsid w:val="001842F8"/>
    <w:rsid w:val="0018499C"/>
    <w:rsid w:val="001849CB"/>
    <w:rsid w:val="001874EE"/>
    <w:rsid w:val="00187CE4"/>
    <w:rsid w:val="00190643"/>
    <w:rsid w:val="00190721"/>
    <w:rsid w:val="00192946"/>
    <w:rsid w:val="00192988"/>
    <w:rsid w:val="00192CBC"/>
    <w:rsid w:val="00194D4B"/>
    <w:rsid w:val="00195A79"/>
    <w:rsid w:val="001960E7"/>
    <w:rsid w:val="001963B2"/>
    <w:rsid w:val="00197756"/>
    <w:rsid w:val="00197C4D"/>
    <w:rsid w:val="001A15E8"/>
    <w:rsid w:val="001A28B7"/>
    <w:rsid w:val="001A3124"/>
    <w:rsid w:val="001A3342"/>
    <w:rsid w:val="001A3755"/>
    <w:rsid w:val="001A3C22"/>
    <w:rsid w:val="001A6C28"/>
    <w:rsid w:val="001A754A"/>
    <w:rsid w:val="001B1BB4"/>
    <w:rsid w:val="001B1BFA"/>
    <w:rsid w:val="001B29F7"/>
    <w:rsid w:val="001B2C92"/>
    <w:rsid w:val="001B4B6A"/>
    <w:rsid w:val="001B697F"/>
    <w:rsid w:val="001B71D5"/>
    <w:rsid w:val="001B745B"/>
    <w:rsid w:val="001C24A6"/>
    <w:rsid w:val="001C2746"/>
    <w:rsid w:val="001C2A6D"/>
    <w:rsid w:val="001C2AB4"/>
    <w:rsid w:val="001C2CC0"/>
    <w:rsid w:val="001C727C"/>
    <w:rsid w:val="001C7A8D"/>
    <w:rsid w:val="001D2E20"/>
    <w:rsid w:val="001D30D8"/>
    <w:rsid w:val="001D337B"/>
    <w:rsid w:val="001D384E"/>
    <w:rsid w:val="001D47FA"/>
    <w:rsid w:val="001D550A"/>
    <w:rsid w:val="001D563E"/>
    <w:rsid w:val="001D5773"/>
    <w:rsid w:val="001D7667"/>
    <w:rsid w:val="001D7EED"/>
    <w:rsid w:val="001E0AEF"/>
    <w:rsid w:val="001E104A"/>
    <w:rsid w:val="001E1257"/>
    <w:rsid w:val="001E223E"/>
    <w:rsid w:val="001E2D51"/>
    <w:rsid w:val="001E2E2E"/>
    <w:rsid w:val="001E301F"/>
    <w:rsid w:val="001E3BAA"/>
    <w:rsid w:val="001E5213"/>
    <w:rsid w:val="001E60C4"/>
    <w:rsid w:val="001E656E"/>
    <w:rsid w:val="001E67B4"/>
    <w:rsid w:val="001F1155"/>
    <w:rsid w:val="001F1180"/>
    <w:rsid w:val="001F1463"/>
    <w:rsid w:val="001F1CDF"/>
    <w:rsid w:val="001F2871"/>
    <w:rsid w:val="001F3868"/>
    <w:rsid w:val="001F39F2"/>
    <w:rsid w:val="001F439D"/>
    <w:rsid w:val="001F4B23"/>
    <w:rsid w:val="001F4C04"/>
    <w:rsid w:val="001F5186"/>
    <w:rsid w:val="001F5C7E"/>
    <w:rsid w:val="001F5CD4"/>
    <w:rsid w:val="001F6167"/>
    <w:rsid w:val="001F7D68"/>
    <w:rsid w:val="002000BF"/>
    <w:rsid w:val="0020024A"/>
    <w:rsid w:val="00200AC5"/>
    <w:rsid w:val="0020308C"/>
    <w:rsid w:val="002033E1"/>
    <w:rsid w:val="00204790"/>
    <w:rsid w:val="00204CE3"/>
    <w:rsid w:val="00204D5D"/>
    <w:rsid w:val="002078D9"/>
    <w:rsid w:val="00211B76"/>
    <w:rsid w:val="00211EF9"/>
    <w:rsid w:val="00212D97"/>
    <w:rsid w:val="00213623"/>
    <w:rsid w:val="00213F32"/>
    <w:rsid w:val="0021603F"/>
    <w:rsid w:val="0021624F"/>
    <w:rsid w:val="0021675C"/>
    <w:rsid w:val="0021694B"/>
    <w:rsid w:val="00217E13"/>
    <w:rsid w:val="00220103"/>
    <w:rsid w:val="00220263"/>
    <w:rsid w:val="00220891"/>
    <w:rsid w:val="002218C9"/>
    <w:rsid w:val="00222A50"/>
    <w:rsid w:val="00222EB0"/>
    <w:rsid w:val="00223005"/>
    <w:rsid w:val="0022381C"/>
    <w:rsid w:val="00224F31"/>
    <w:rsid w:val="00224F67"/>
    <w:rsid w:val="0022640F"/>
    <w:rsid w:val="0022649D"/>
    <w:rsid w:val="0023008B"/>
    <w:rsid w:val="00231591"/>
    <w:rsid w:val="00231791"/>
    <w:rsid w:val="00231BEB"/>
    <w:rsid w:val="00232D2D"/>
    <w:rsid w:val="00233550"/>
    <w:rsid w:val="00235863"/>
    <w:rsid w:val="00235962"/>
    <w:rsid w:val="002365E5"/>
    <w:rsid w:val="002376B7"/>
    <w:rsid w:val="00241B81"/>
    <w:rsid w:val="00243145"/>
    <w:rsid w:val="00243B25"/>
    <w:rsid w:val="00246D8F"/>
    <w:rsid w:val="00247024"/>
    <w:rsid w:val="00247483"/>
    <w:rsid w:val="00247FE2"/>
    <w:rsid w:val="0025071D"/>
    <w:rsid w:val="00251B5E"/>
    <w:rsid w:val="00252197"/>
    <w:rsid w:val="002525DB"/>
    <w:rsid w:val="002534FE"/>
    <w:rsid w:val="002537E9"/>
    <w:rsid w:val="002537F5"/>
    <w:rsid w:val="00254294"/>
    <w:rsid w:val="0025496F"/>
    <w:rsid w:val="00255393"/>
    <w:rsid w:val="00256AE7"/>
    <w:rsid w:val="00256FEC"/>
    <w:rsid w:val="002604A1"/>
    <w:rsid w:val="00261F21"/>
    <w:rsid w:val="00262401"/>
    <w:rsid w:val="00263B1C"/>
    <w:rsid w:val="00270330"/>
    <w:rsid w:val="00272C19"/>
    <w:rsid w:val="00273252"/>
    <w:rsid w:val="002737D3"/>
    <w:rsid w:val="00273F38"/>
    <w:rsid w:val="00274168"/>
    <w:rsid w:val="002747AC"/>
    <w:rsid w:val="00275DBE"/>
    <w:rsid w:val="00276AE0"/>
    <w:rsid w:val="00276C6B"/>
    <w:rsid w:val="00277461"/>
    <w:rsid w:val="00277F3B"/>
    <w:rsid w:val="002801EE"/>
    <w:rsid w:val="002806C5"/>
    <w:rsid w:val="00281DC3"/>
    <w:rsid w:val="0028290D"/>
    <w:rsid w:val="00282ED1"/>
    <w:rsid w:val="0028334A"/>
    <w:rsid w:val="00284286"/>
    <w:rsid w:val="00284FCA"/>
    <w:rsid w:val="002868D3"/>
    <w:rsid w:val="00290D5D"/>
    <w:rsid w:val="002938EA"/>
    <w:rsid w:val="0029436D"/>
    <w:rsid w:val="00295289"/>
    <w:rsid w:val="0029580D"/>
    <w:rsid w:val="002966BF"/>
    <w:rsid w:val="00296807"/>
    <w:rsid w:val="002968A8"/>
    <w:rsid w:val="00297176"/>
    <w:rsid w:val="002A0CEE"/>
    <w:rsid w:val="002A1BF4"/>
    <w:rsid w:val="002A1C06"/>
    <w:rsid w:val="002A1CFE"/>
    <w:rsid w:val="002A30AE"/>
    <w:rsid w:val="002A35E8"/>
    <w:rsid w:val="002A369B"/>
    <w:rsid w:val="002A4FC7"/>
    <w:rsid w:val="002A5C40"/>
    <w:rsid w:val="002A71E2"/>
    <w:rsid w:val="002A794E"/>
    <w:rsid w:val="002B0511"/>
    <w:rsid w:val="002B05BE"/>
    <w:rsid w:val="002B13A6"/>
    <w:rsid w:val="002B235F"/>
    <w:rsid w:val="002B2713"/>
    <w:rsid w:val="002B4887"/>
    <w:rsid w:val="002B4C40"/>
    <w:rsid w:val="002B4D7A"/>
    <w:rsid w:val="002B54DB"/>
    <w:rsid w:val="002B7D27"/>
    <w:rsid w:val="002B7FA3"/>
    <w:rsid w:val="002C00AE"/>
    <w:rsid w:val="002C00AF"/>
    <w:rsid w:val="002C099D"/>
    <w:rsid w:val="002C28F5"/>
    <w:rsid w:val="002C3A35"/>
    <w:rsid w:val="002C450F"/>
    <w:rsid w:val="002C4A00"/>
    <w:rsid w:val="002C51A1"/>
    <w:rsid w:val="002C5A67"/>
    <w:rsid w:val="002C5DA9"/>
    <w:rsid w:val="002D14A6"/>
    <w:rsid w:val="002D2F19"/>
    <w:rsid w:val="002D387A"/>
    <w:rsid w:val="002D3A70"/>
    <w:rsid w:val="002D48FD"/>
    <w:rsid w:val="002D594F"/>
    <w:rsid w:val="002D6092"/>
    <w:rsid w:val="002D6AAB"/>
    <w:rsid w:val="002D7080"/>
    <w:rsid w:val="002E0097"/>
    <w:rsid w:val="002E4927"/>
    <w:rsid w:val="002E4B34"/>
    <w:rsid w:val="002E682A"/>
    <w:rsid w:val="002E70FE"/>
    <w:rsid w:val="002F11F7"/>
    <w:rsid w:val="002F3F29"/>
    <w:rsid w:val="002F5D8F"/>
    <w:rsid w:val="003002B0"/>
    <w:rsid w:val="00300AD1"/>
    <w:rsid w:val="0030126D"/>
    <w:rsid w:val="003035A0"/>
    <w:rsid w:val="00304703"/>
    <w:rsid w:val="003056FB"/>
    <w:rsid w:val="00305C92"/>
    <w:rsid w:val="0031089A"/>
    <w:rsid w:val="00311D9B"/>
    <w:rsid w:val="00311F2E"/>
    <w:rsid w:val="00312E25"/>
    <w:rsid w:val="003131FC"/>
    <w:rsid w:val="00313FAB"/>
    <w:rsid w:val="00314746"/>
    <w:rsid w:val="00316C6B"/>
    <w:rsid w:val="0031773B"/>
    <w:rsid w:val="003206F1"/>
    <w:rsid w:val="00320DC0"/>
    <w:rsid w:val="00322208"/>
    <w:rsid w:val="00324006"/>
    <w:rsid w:val="003246B8"/>
    <w:rsid w:val="00324B23"/>
    <w:rsid w:val="00324CF3"/>
    <w:rsid w:val="00325F19"/>
    <w:rsid w:val="00327E95"/>
    <w:rsid w:val="0033084A"/>
    <w:rsid w:val="00331302"/>
    <w:rsid w:val="00332F41"/>
    <w:rsid w:val="00333DDB"/>
    <w:rsid w:val="00334396"/>
    <w:rsid w:val="00335520"/>
    <w:rsid w:val="00335E16"/>
    <w:rsid w:val="00335F67"/>
    <w:rsid w:val="0033686D"/>
    <w:rsid w:val="0033706A"/>
    <w:rsid w:val="00337181"/>
    <w:rsid w:val="00337C77"/>
    <w:rsid w:val="00340ACA"/>
    <w:rsid w:val="003429D5"/>
    <w:rsid w:val="00342C16"/>
    <w:rsid w:val="003433DD"/>
    <w:rsid w:val="00343BFD"/>
    <w:rsid w:val="00344DE8"/>
    <w:rsid w:val="003459EC"/>
    <w:rsid w:val="00347E9C"/>
    <w:rsid w:val="0035087B"/>
    <w:rsid w:val="00351A3E"/>
    <w:rsid w:val="003525EB"/>
    <w:rsid w:val="003533DF"/>
    <w:rsid w:val="00353EAF"/>
    <w:rsid w:val="00355267"/>
    <w:rsid w:val="0035539C"/>
    <w:rsid w:val="003567A7"/>
    <w:rsid w:val="00356C99"/>
    <w:rsid w:val="00357920"/>
    <w:rsid w:val="00357980"/>
    <w:rsid w:val="0036020B"/>
    <w:rsid w:val="00361DEE"/>
    <w:rsid w:val="00361E23"/>
    <w:rsid w:val="0036206A"/>
    <w:rsid w:val="003620B9"/>
    <w:rsid w:val="003621F1"/>
    <w:rsid w:val="003622DA"/>
    <w:rsid w:val="0036268B"/>
    <w:rsid w:val="003627AC"/>
    <w:rsid w:val="00362DC5"/>
    <w:rsid w:val="00363254"/>
    <w:rsid w:val="0036465C"/>
    <w:rsid w:val="003653AB"/>
    <w:rsid w:val="00365B7A"/>
    <w:rsid w:val="00365B8F"/>
    <w:rsid w:val="00365FD8"/>
    <w:rsid w:val="00366722"/>
    <w:rsid w:val="003675E7"/>
    <w:rsid w:val="00370BAE"/>
    <w:rsid w:val="00371CF5"/>
    <w:rsid w:val="00372FF3"/>
    <w:rsid w:val="00373119"/>
    <w:rsid w:val="00374A4C"/>
    <w:rsid w:val="003762AC"/>
    <w:rsid w:val="003764EA"/>
    <w:rsid w:val="003765AC"/>
    <w:rsid w:val="003770C0"/>
    <w:rsid w:val="00377B37"/>
    <w:rsid w:val="00382639"/>
    <w:rsid w:val="00384939"/>
    <w:rsid w:val="00384CC7"/>
    <w:rsid w:val="00385F87"/>
    <w:rsid w:val="00385FD2"/>
    <w:rsid w:val="0038737F"/>
    <w:rsid w:val="003903BD"/>
    <w:rsid w:val="00391A41"/>
    <w:rsid w:val="00391C66"/>
    <w:rsid w:val="00393170"/>
    <w:rsid w:val="0039370B"/>
    <w:rsid w:val="00395845"/>
    <w:rsid w:val="00395C64"/>
    <w:rsid w:val="00395DCF"/>
    <w:rsid w:val="003969CF"/>
    <w:rsid w:val="00397140"/>
    <w:rsid w:val="003977BD"/>
    <w:rsid w:val="003A07D4"/>
    <w:rsid w:val="003A106F"/>
    <w:rsid w:val="003A2D4D"/>
    <w:rsid w:val="003A326D"/>
    <w:rsid w:val="003A3281"/>
    <w:rsid w:val="003A5C4B"/>
    <w:rsid w:val="003A666A"/>
    <w:rsid w:val="003A6D7B"/>
    <w:rsid w:val="003B0783"/>
    <w:rsid w:val="003B1324"/>
    <w:rsid w:val="003B156B"/>
    <w:rsid w:val="003B2B94"/>
    <w:rsid w:val="003B32AB"/>
    <w:rsid w:val="003B3417"/>
    <w:rsid w:val="003B3564"/>
    <w:rsid w:val="003B42F4"/>
    <w:rsid w:val="003B453E"/>
    <w:rsid w:val="003B48B9"/>
    <w:rsid w:val="003B614E"/>
    <w:rsid w:val="003B6C02"/>
    <w:rsid w:val="003B7194"/>
    <w:rsid w:val="003C0761"/>
    <w:rsid w:val="003C0C05"/>
    <w:rsid w:val="003C1F38"/>
    <w:rsid w:val="003C201E"/>
    <w:rsid w:val="003C211C"/>
    <w:rsid w:val="003C24DA"/>
    <w:rsid w:val="003C5CB9"/>
    <w:rsid w:val="003C657B"/>
    <w:rsid w:val="003C6E8B"/>
    <w:rsid w:val="003D01E0"/>
    <w:rsid w:val="003D02CE"/>
    <w:rsid w:val="003D0FA7"/>
    <w:rsid w:val="003D155C"/>
    <w:rsid w:val="003D1B4A"/>
    <w:rsid w:val="003D3069"/>
    <w:rsid w:val="003D36CF"/>
    <w:rsid w:val="003D49C0"/>
    <w:rsid w:val="003D4F03"/>
    <w:rsid w:val="003D7A1F"/>
    <w:rsid w:val="003D7BD8"/>
    <w:rsid w:val="003D7C09"/>
    <w:rsid w:val="003D7D95"/>
    <w:rsid w:val="003E0533"/>
    <w:rsid w:val="003E1339"/>
    <w:rsid w:val="003E1BCA"/>
    <w:rsid w:val="003E1C28"/>
    <w:rsid w:val="003E3555"/>
    <w:rsid w:val="003E47C9"/>
    <w:rsid w:val="003E489A"/>
    <w:rsid w:val="003E60C5"/>
    <w:rsid w:val="003E6252"/>
    <w:rsid w:val="003E690A"/>
    <w:rsid w:val="003E6B51"/>
    <w:rsid w:val="003E6CCF"/>
    <w:rsid w:val="003E7040"/>
    <w:rsid w:val="003E7839"/>
    <w:rsid w:val="003E78D2"/>
    <w:rsid w:val="003F1A7D"/>
    <w:rsid w:val="003F29E1"/>
    <w:rsid w:val="003F388E"/>
    <w:rsid w:val="003F4028"/>
    <w:rsid w:val="003F465D"/>
    <w:rsid w:val="003F4CC0"/>
    <w:rsid w:val="003F4FE2"/>
    <w:rsid w:val="003F69A2"/>
    <w:rsid w:val="00400833"/>
    <w:rsid w:val="00401572"/>
    <w:rsid w:val="004025CA"/>
    <w:rsid w:val="004025CE"/>
    <w:rsid w:val="00402DAA"/>
    <w:rsid w:val="00403479"/>
    <w:rsid w:val="004038A5"/>
    <w:rsid w:val="004039AD"/>
    <w:rsid w:val="00403F6B"/>
    <w:rsid w:val="00404308"/>
    <w:rsid w:val="00406317"/>
    <w:rsid w:val="00406DB9"/>
    <w:rsid w:val="00410890"/>
    <w:rsid w:val="0041123E"/>
    <w:rsid w:val="004114FD"/>
    <w:rsid w:val="00411B4B"/>
    <w:rsid w:val="00411CEA"/>
    <w:rsid w:val="004134BF"/>
    <w:rsid w:val="00413774"/>
    <w:rsid w:val="00413CDA"/>
    <w:rsid w:val="00414B3B"/>
    <w:rsid w:val="00414F4E"/>
    <w:rsid w:val="004160B8"/>
    <w:rsid w:val="004162E7"/>
    <w:rsid w:val="004168FA"/>
    <w:rsid w:val="004174D9"/>
    <w:rsid w:val="004206EB"/>
    <w:rsid w:val="00420FA6"/>
    <w:rsid w:val="004217CC"/>
    <w:rsid w:val="004220C9"/>
    <w:rsid w:val="00422A2E"/>
    <w:rsid w:val="00423151"/>
    <w:rsid w:val="00423EA5"/>
    <w:rsid w:val="004248FA"/>
    <w:rsid w:val="00426318"/>
    <w:rsid w:val="00430C71"/>
    <w:rsid w:val="00431FC2"/>
    <w:rsid w:val="0043290F"/>
    <w:rsid w:val="004339B3"/>
    <w:rsid w:val="004339E4"/>
    <w:rsid w:val="00434783"/>
    <w:rsid w:val="00434F37"/>
    <w:rsid w:val="00435C56"/>
    <w:rsid w:val="00440037"/>
    <w:rsid w:val="0044300C"/>
    <w:rsid w:val="0044395F"/>
    <w:rsid w:val="004439D5"/>
    <w:rsid w:val="00444760"/>
    <w:rsid w:val="00444CC1"/>
    <w:rsid w:val="00445359"/>
    <w:rsid w:val="00445A27"/>
    <w:rsid w:val="00445B30"/>
    <w:rsid w:val="00446554"/>
    <w:rsid w:val="00446777"/>
    <w:rsid w:val="004503CA"/>
    <w:rsid w:val="00450DC6"/>
    <w:rsid w:val="00451D69"/>
    <w:rsid w:val="00452B63"/>
    <w:rsid w:val="00453588"/>
    <w:rsid w:val="0045390C"/>
    <w:rsid w:val="004556BD"/>
    <w:rsid w:val="00455DD3"/>
    <w:rsid w:val="00456E32"/>
    <w:rsid w:val="00457A39"/>
    <w:rsid w:val="00457ED2"/>
    <w:rsid w:val="0046003B"/>
    <w:rsid w:val="00461BAE"/>
    <w:rsid w:val="00464B43"/>
    <w:rsid w:val="00464C94"/>
    <w:rsid w:val="00466CC6"/>
    <w:rsid w:val="004677F6"/>
    <w:rsid w:val="0047007F"/>
    <w:rsid w:val="00470805"/>
    <w:rsid w:val="0047086F"/>
    <w:rsid w:val="004713BF"/>
    <w:rsid w:val="00472183"/>
    <w:rsid w:val="004751DD"/>
    <w:rsid w:val="00476D9F"/>
    <w:rsid w:val="0047728B"/>
    <w:rsid w:val="00477A8C"/>
    <w:rsid w:val="00477ECB"/>
    <w:rsid w:val="00481308"/>
    <w:rsid w:val="00482212"/>
    <w:rsid w:val="004829B6"/>
    <w:rsid w:val="00483307"/>
    <w:rsid w:val="0048366B"/>
    <w:rsid w:val="0048524E"/>
    <w:rsid w:val="00486505"/>
    <w:rsid w:val="00487779"/>
    <w:rsid w:val="00491949"/>
    <w:rsid w:val="00492C17"/>
    <w:rsid w:val="004967BC"/>
    <w:rsid w:val="00496F75"/>
    <w:rsid w:val="004A0699"/>
    <w:rsid w:val="004A1C88"/>
    <w:rsid w:val="004A2454"/>
    <w:rsid w:val="004A40FC"/>
    <w:rsid w:val="004A50DC"/>
    <w:rsid w:val="004A706D"/>
    <w:rsid w:val="004B0339"/>
    <w:rsid w:val="004B1058"/>
    <w:rsid w:val="004B1132"/>
    <w:rsid w:val="004B207F"/>
    <w:rsid w:val="004B2385"/>
    <w:rsid w:val="004B2CA8"/>
    <w:rsid w:val="004B2EBD"/>
    <w:rsid w:val="004B4ADE"/>
    <w:rsid w:val="004B5219"/>
    <w:rsid w:val="004B7377"/>
    <w:rsid w:val="004B74A5"/>
    <w:rsid w:val="004C02A8"/>
    <w:rsid w:val="004C0364"/>
    <w:rsid w:val="004C0797"/>
    <w:rsid w:val="004C2554"/>
    <w:rsid w:val="004C2B54"/>
    <w:rsid w:val="004C3E68"/>
    <w:rsid w:val="004C3F73"/>
    <w:rsid w:val="004C53D6"/>
    <w:rsid w:val="004C54AA"/>
    <w:rsid w:val="004C6243"/>
    <w:rsid w:val="004C6DEB"/>
    <w:rsid w:val="004C7C77"/>
    <w:rsid w:val="004D0074"/>
    <w:rsid w:val="004D0775"/>
    <w:rsid w:val="004D0B9C"/>
    <w:rsid w:val="004D109C"/>
    <w:rsid w:val="004D11B8"/>
    <w:rsid w:val="004D1A91"/>
    <w:rsid w:val="004D1B3C"/>
    <w:rsid w:val="004D2563"/>
    <w:rsid w:val="004D2D2C"/>
    <w:rsid w:val="004D2D9A"/>
    <w:rsid w:val="004D2F44"/>
    <w:rsid w:val="004D3B53"/>
    <w:rsid w:val="004D400C"/>
    <w:rsid w:val="004D43D1"/>
    <w:rsid w:val="004D46F1"/>
    <w:rsid w:val="004D65C3"/>
    <w:rsid w:val="004D6F55"/>
    <w:rsid w:val="004D71DA"/>
    <w:rsid w:val="004D7B3E"/>
    <w:rsid w:val="004E056E"/>
    <w:rsid w:val="004E197C"/>
    <w:rsid w:val="004E1F36"/>
    <w:rsid w:val="004E23DB"/>
    <w:rsid w:val="004E274A"/>
    <w:rsid w:val="004E279B"/>
    <w:rsid w:val="004E2C65"/>
    <w:rsid w:val="004E3E7F"/>
    <w:rsid w:val="004E56EE"/>
    <w:rsid w:val="004E5B77"/>
    <w:rsid w:val="004E7C55"/>
    <w:rsid w:val="004F2326"/>
    <w:rsid w:val="004F2B6F"/>
    <w:rsid w:val="004F2C6C"/>
    <w:rsid w:val="004F2F5F"/>
    <w:rsid w:val="004F30EF"/>
    <w:rsid w:val="004F3169"/>
    <w:rsid w:val="004F417B"/>
    <w:rsid w:val="004F546B"/>
    <w:rsid w:val="004F58AF"/>
    <w:rsid w:val="004F5F1E"/>
    <w:rsid w:val="004F6A9D"/>
    <w:rsid w:val="004F7238"/>
    <w:rsid w:val="004F7C2D"/>
    <w:rsid w:val="00500A3E"/>
    <w:rsid w:val="005014B2"/>
    <w:rsid w:val="00502243"/>
    <w:rsid w:val="00502B92"/>
    <w:rsid w:val="00504ACD"/>
    <w:rsid w:val="005059D6"/>
    <w:rsid w:val="00505FCC"/>
    <w:rsid w:val="005060E6"/>
    <w:rsid w:val="00506DF6"/>
    <w:rsid w:val="00507556"/>
    <w:rsid w:val="00507605"/>
    <w:rsid w:val="00512714"/>
    <w:rsid w:val="005133BC"/>
    <w:rsid w:val="005152DF"/>
    <w:rsid w:val="00515BBC"/>
    <w:rsid w:val="00515C94"/>
    <w:rsid w:val="00515ED3"/>
    <w:rsid w:val="00517018"/>
    <w:rsid w:val="00517A77"/>
    <w:rsid w:val="00517EC7"/>
    <w:rsid w:val="0052090B"/>
    <w:rsid w:val="00521182"/>
    <w:rsid w:val="0052160E"/>
    <w:rsid w:val="00522991"/>
    <w:rsid w:val="00522DB6"/>
    <w:rsid w:val="00523D1B"/>
    <w:rsid w:val="00524241"/>
    <w:rsid w:val="005247D8"/>
    <w:rsid w:val="005248F2"/>
    <w:rsid w:val="00524AB9"/>
    <w:rsid w:val="00524BB7"/>
    <w:rsid w:val="0052527D"/>
    <w:rsid w:val="00525646"/>
    <w:rsid w:val="005263EB"/>
    <w:rsid w:val="00526A78"/>
    <w:rsid w:val="00526B9A"/>
    <w:rsid w:val="0052707D"/>
    <w:rsid w:val="0053083F"/>
    <w:rsid w:val="00530E5C"/>
    <w:rsid w:val="00531CB3"/>
    <w:rsid w:val="00532210"/>
    <w:rsid w:val="00532A4A"/>
    <w:rsid w:val="005333E4"/>
    <w:rsid w:val="005347E5"/>
    <w:rsid w:val="00535089"/>
    <w:rsid w:val="005352F8"/>
    <w:rsid w:val="005359E4"/>
    <w:rsid w:val="00536608"/>
    <w:rsid w:val="00536F3D"/>
    <w:rsid w:val="00536FC1"/>
    <w:rsid w:val="00537289"/>
    <w:rsid w:val="0054159B"/>
    <w:rsid w:val="005416AA"/>
    <w:rsid w:val="00541BA4"/>
    <w:rsid w:val="00541D26"/>
    <w:rsid w:val="0054217C"/>
    <w:rsid w:val="005422BB"/>
    <w:rsid w:val="005425C1"/>
    <w:rsid w:val="0054310D"/>
    <w:rsid w:val="00543AEA"/>
    <w:rsid w:val="00543C8B"/>
    <w:rsid w:val="00544F56"/>
    <w:rsid w:val="00545920"/>
    <w:rsid w:val="00547B7B"/>
    <w:rsid w:val="00550063"/>
    <w:rsid w:val="00550320"/>
    <w:rsid w:val="00551A2C"/>
    <w:rsid w:val="00551F19"/>
    <w:rsid w:val="005520E7"/>
    <w:rsid w:val="00552A54"/>
    <w:rsid w:val="00552C33"/>
    <w:rsid w:val="00552DA4"/>
    <w:rsid w:val="00553643"/>
    <w:rsid w:val="00553914"/>
    <w:rsid w:val="00554C5F"/>
    <w:rsid w:val="005550DD"/>
    <w:rsid w:val="005551AF"/>
    <w:rsid w:val="0055527A"/>
    <w:rsid w:val="00555524"/>
    <w:rsid w:val="0055670D"/>
    <w:rsid w:val="00560761"/>
    <w:rsid w:val="00562175"/>
    <w:rsid w:val="00562268"/>
    <w:rsid w:val="005624E6"/>
    <w:rsid w:val="0056262C"/>
    <w:rsid w:val="00562F93"/>
    <w:rsid w:val="00563CB9"/>
    <w:rsid w:val="00565419"/>
    <w:rsid w:val="00566244"/>
    <w:rsid w:val="00566CE9"/>
    <w:rsid w:val="00566D26"/>
    <w:rsid w:val="00567352"/>
    <w:rsid w:val="005679CD"/>
    <w:rsid w:val="00567FC2"/>
    <w:rsid w:val="0057066F"/>
    <w:rsid w:val="0057093F"/>
    <w:rsid w:val="00571886"/>
    <w:rsid w:val="00571B65"/>
    <w:rsid w:val="00572361"/>
    <w:rsid w:val="005727DE"/>
    <w:rsid w:val="00572D53"/>
    <w:rsid w:val="00573774"/>
    <w:rsid w:val="00573E72"/>
    <w:rsid w:val="0057495B"/>
    <w:rsid w:val="0057496C"/>
    <w:rsid w:val="005751CE"/>
    <w:rsid w:val="00575B77"/>
    <w:rsid w:val="00576309"/>
    <w:rsid w:val="005769A1"/>
    <w:rsid w:val="00576A45"/>
    <w:rsid w:val="00576FDA"/>
    <w:rsid w:val="0057708B"/>
    <w:rsid w:val="00580BFC"/>
    <w:rsid w:val="00581A95"/>
    <w:rsid w:val="00581E74"/>
    <w:rsid w:val="00582233"/>
    <w:rsid w:val="0058280A"/>
    <w:rsid w:val="005830D7"/>
    <w:rsid w:val="0058481B"/>
    <w:rsid w:val="005849D2"/>
    <w:rsid w:val="00584E03"/>
    <w:rsid w:val="005855F0"/>
    <w:rsid w:val="0058670C"/>
    <w:rsid w:val="005874FF"/>
    <w:rsid w:val="00590A75"/>
    <w:rsid w:val="00592789"/>
    <w:rsid w:val="00592C60"/>
    <w:rsid w:val="0059306C"/>
    <w:rsid w:val="00594F09"/>
    <w:rsid w:val="005951D9"/>
    <w:rsid w:val="005957AB"/>
    <w:rsid w:val="0059624F"/>
    <w:rsid w:val="005A018D"/>
    <w:rsid w:val="005A0729"/>
    <w:rsid w:val="005A08EE"/>
    <w:rsid w:val="005A18A5"/>
    <w:rsid w:val="005A23EA"/>
    <w:rsid w:val="005A2F45"/>
    <w:rsid w:val="005A34F3"/>
    <w:rsid w:val="005A55F7"/>
    <w:rsid w:val="005A572F"/>
    <w:rsid w:val="005A636F"/>
    <w:rsid w:val="005A6BDB"/>
    <w:rsid w:val="005A7BDE"/>
    <w:rsid w:val="005B1A1B"/>
    <w:rsid w:val="005B1CDA"/>
    <w:rsid w:val="005B356C"/>
    <w:rsid w:val="005B42E1"/>
    <w:rsid w:val="005B657A"/>
    <w:rsid w:val="005B71F7"/>
    <w:rsid w:val="005B7419"/>
    <w:rsid w:val="005B764B"/>
    <w:rsid w:val="005B7829"/>
    <w:rsid w:val="005C0713"/>
    <w:rsid w:val="005C090A"/>
    <w:rsid w:val="005C2506"/>
    <w:rsid w:val="005C3939"/>
    <w:rsid w:val="005C3CFD"/>
    <w:rsid w:val="005C44BB"/>
    <w:rsid w:val="005C55BB"/>
    <w:rsid w:val="005C58A5"/>
    <w:rsid w:val="005C71A2"/>
    <w:rsid w:val="005C75CF"/>
    <w:rsid w:val="005C7B1F"/>
    <w:rsid w:val="005C7B8B"/>
    <w:rsid w:val="005D0F0F"/>
    <w:rsid w:val="005D10E5"/>
    <w:rsid w:val="005D19A1"/>
    <w:rsid w:val="005D3F7C"/>
    <w:rsid w:val="005D4548"/>
    <w:rsid w:val="005D5228"/>
    <w:rsid w:val="005D5804"/>
    <w:rsid w:val="005E03B1"/>
    <w:rsid w:val="005E1352"/>
    <w:rsid w:val="005E2250"/>
    <w:rsid w:val="005E6A17"/>
    <w:rsid w:val="005E6F3A"/>
    <w:rsid w:val="005E79F5"/>
    <w:rsid w:val="005F03DD"/>
    <w:rsid w:val="005F03F1"/>
    <w:rsid w:val="005F0FA2"/>
    <w:rsid w:val="005F1B8E"/>
    <w:rsid w:val="005F2501"/>
    <w:rsid w:val="005F3AF1"/>
    <w:rsid w:val="005F54B0"/>
    <w:rsid w:val="005F62B6"/>
    <w:rsid w:val="005F7326"/>
    <w:rsid w:val="006003EC"/>
    <w:rsid w:val="0060057C"/>
    <w:rsid w:val="0060077B"/>
    <w:rsid w:val="00600A82"/>
    <w:rsid w:val="0060122E"/>
    <w:rsid w:val="00601FE0"/>
    <w:rsid w:val="006034E8"/>
    <w:rsid w:val="00604964"/>
    <w:rsid w:val="00604C04"/>
    <w:rsid w:val="00604E74"/>
    <w:rsid w:val="00605531"/>
    <w:rsid w:val="0060610D"/>
    <w:rsid w:val="00607EEB"/>
    <w:rsid w:val="00610906"/>
    <w:rsid w:val="00610C90"/>
    <w:rsid w:val="00610D9A"/>
    <w:rsid w:val="0061188B"/>
    <w:rsid w:val="006133A2"/>
    <w:rsid w:val="006149C6"/>
    <w:rsid w:val="00615BF0"/>
    <w:rsid w:val="00615CA3"/>
    <w:rsid w:val="006164CA"/>
    <w:rsid w:val="006172B0"/>
    <w:rsid w:val="0061793D"/>
    <w:rsid w:val="00617CD7"/>
    <w:rsid w:val="00620C6E"/>
    <w:rsid w:val="00620C72"/>
    <w:rsid w:val="00621D9F"/>
    <w:rsid w:val="0062222C"/>
    <w:rsid w:val="00622D7A"/>
    <w:rsid w:val="006230E8"/>
    <w:rsid w:val="0062354E"/>
    <w:rsid w:val="00623E7C"/>
    <w:rsid w:val="006243A3"/>
    <w:rsid w:val="006248D8"/>
    <w:rsid w:val="0062530A"/>
    <w:rsid w:val="00627469"/>
    <w:rsid w:val="00627DD6"/>
    <w:rsid w:val="0063016B"/>
    <w:rsid w:val="006309AA"/>
    <w:rsid w:val="00630CAB"/>
    <w:rsid w:val="00631193"/>
    <w:rsid w:val="00632CB7"/>
    <w:rsid w:val="006334A9"/>
    <w:rsid w:val="00634041"/>
    <w:rsid w:val="00634C2F"/>
    <w:rsid w:val="00634ED2"/>
    <w:rsid w:val="0063524F"/>
    <w:rsid w:val="006365F4"/>
    <w:rsid w:val="00637224"/>
    <w:rsid w:val="00642B85"/>
    <w:rsid w:val="00642FD1"/>
    <w:rsid w:val="00643288"/>
    <w:rsid w:val="00643559"/>
    <w:rsid w:val="00644E31"/>
    <w:rsid w:val="0064613E"/>
    <w:rsid w:val="00647EFF"/>
    <w:rsid w:val="00652EE7"/>
    <w:rsid w:val="00652FA3"/>
    <w:rsid w:val="00653328"/>
    <w:rsid w:val="00654210"/>
    <w:rsid w:val="00654FCD"/>
    <w:rsid w:val="0065513A"/>
    <w:rsid w:val="00655536"/>
    <w:rsid w:val="00655860"/>
    <w:rsid w:val="006576B8"/>
    <w:rsid w:val="00661C19"/>
    <w:rsid w:val="00662C30"/>
    <w:rsid w:val="006635D8"/>
    <w:rsid w:val="00663D7A"/>
    <w:rsid w:val="00663DCD"/>
    <w:rsid w:val="00666317"/>
    <w:rsid w:val="0066636E"/>
    <w:rsid w:val="0066664A"/>
    <w:rsid w:val="006668DA"/>
    <w:rsid w:val="00666AB2"/>
    <w:rsid w:val="00666ABA"/>
    <w:rsid w:val="00671C5E"/>
    <w:rsid w:val="0067202E"/>
    <w:rsid w:val="006723EC"/>
    <w:rsid w:val="00673002"/>
    <w:rsid w:val="00673D68"/>
    <w:rsid w:val="0067542F"/>
    <w:rsid w:val="006758AD"/>
    <w:rsid w:val="006768C1"/>
    <w:rsid w:val="00677EF8"/>
    <w:rsid w:val="0068002F"/>
    <w:rsid w:val="006803AB"/>
    <w:rsid w:val="0068040E"/>
    <w:rsid w:val="006804AB"/>
    <w:rsid w:val="006808D9"/>
    <w:rsid w:val="006818DE"/>
    <w:rsid w:val="0068279D"/>
    <w:rsid w:val="00682BA1"/>
    <w:rsid w:val="006846B5"/>
    <w:rsid w:val="00686427"/>
    <w:rsid w:val="00686E1F"/>
    <w:rsid w:val="0068702E"/>
    <w:rsid w:val="0069076E"/>
    <w:rsid w:val="00690ABE"/>
    <w:rsid w:val="006915C7"/>
    <w:rsid w:val="00692682"/>
    <w:rsid w:val="006946F5"/>
    <w:rsid w:val="00696372"/>
    <w:rsid w:val="00696BFB"/>
    <w:rsid w:val="00697387"/>
    <w:rsid w:val="006A072A"/>
    <w:rsid w:val="006A10E3"/>
    <w:rsid w:val="006A1367"/>
    <w:rsid w:val="006A1409"/>
    <w:rsid w:val="006A155E"/>
    <w:rsid w:val="006A3618"/>
    <w:rsid w:val="006A3711"/>
    <w:rsid w:val="006A3E10"/>
    <w:rsid w:val="006A49B2"/>
    <w:rsid w:val="006A4E44"/>
    <w:rsid w:val="006A5A2B"/>
    <w:rsid w:val="006A5A72"/>
    <w:rsid w:val="006A69A3"/>
    <w:rsid w:val="006B07C2"/>
    <w:rsid w:val="006B0E25"/>
    <w:rsid w:val="006B178A"/>
    <w:rsid w:val="006B224C"/>
    <w:rsid w:val="006B3EF4"/>
    <w:rsid w:val="006B43A1"/>
    <w:rsid w:val="006B499F"/>
    <w:rsid w:val="006B4DFC"/>
    <w:rsid w:val="006B5526"/>
    <w:rsid w:val="006B5635"/>
    <w:rsid w:val="006B653F"/>
    <w:rsid w:val="006C0507"/>
    <w:rsid w:val="006C0674"/>
    <w:rsid w:val="006C0B68"/>
    <w:rsid w:val="006C1BC2"/>
    <w:rsid w:val="006C1E9F"/>
    <w:rsid w:val="006C2A3F"/>
    <w:rsid w:val="006C3C17"/>
    <w:rsid w:val="006C4B1C"/>
    <w:rsid w:val="006C5636"/>
    <w:rsid w:val="006C650D"/>
    <w:rsid w:val="006C6BA5"/>
    <w:rsid w:val="006C73DE"/>
    <w:rsid w:val="006C7904"/>
    <w:rsid w:val="006D13D1"/>
    <w:rsid w:val="006D140B"/>
    <w:rsid w:val="006D1787"/>
    <w:rsid w:val="006D3C04"/>
    <w:rsid w:val="006D4124"/>
    <w:rsid w:val="006D47AB"/>
    <w:rsid w:val="006D7B81"/>
    <w:rsid w:val="006E165D"/>
    <w:rsid w:val="006E1B44"/>
    <w:rsid w:val="006E208C"/>
    <w:rsid w:val="006E2265"/>
    <w:rsid w:val="006E2D56"/>
    <w:rsid w:val="006E4AC0"/>
    <w:rsid w:val="006E5BA5"/>
    <w:rsid w:val="006E5F57"/>
    <w:rsid w:val="006E6F12"/>
    <w:rsid w:val="006F084D"/>
    <w:rsid w:val="006F0B21"/>
    <w:rsid w:val="006F17A1"/>
    <w:rsid w:val="006F17AE"/>
    <w:rsid w:val="006F1FFE"/>
    <w:rsid w:val="006F268E"/>
    <w:rsid w:val="006F2A97"/>
    <w:rsid w:val="006F2B2D"/>
    <w:rsid w:val="006F3108"/>
    <w:rsid w:val="006F372E"/>
    <w:rsid w:val="006F37A6"/>
    <w:rsid w:val="006F4FE5"/>
    <w:rsid w:val="006F580A"/>
    <w:rsid w:val="006F66B2"/>
    <w:rsid w:val="006F6720"/>
    <w:rsid w:val="006F6983"/>
    <w:rsid w:val="006F72E2"/>
    <w:rsid w:val="006F7C2F"/>
    <w:rsid w:val="006F7F0E"/>
    <w:rsid w:val="0070047A"/>
    <w:rsid w:val="00701DD3"/>
    <w:rsid w:val="00703C11"/>
    <w:rsid w:val="00704AC3"/>
    <w:rsid w:val="0070634F"/>
    <w:rsid w:val="007106BF"/>
    <w:rsid w:val="00711B71"/>
    <w:rsid w:val="007127D8"/>
    <w:rsid w:val="007139CC"/>
    <w:rsid w:val="00714036"/>
    <w:rsid w:val="007146D5"/>
    <w:rsid w:val="00714CD1"/>
    <w:rsid w:val="00715098"/>
    <w:rsid w:val="007165C6"/>
    <w:rsid w:val="00716D85"/>
    <w:rsid w:val="00720B82"/>
    <w:rsid w:val="0072100C"/>
    <w:rsid w:val="0072117F"/>
    <w:rsid w:val="0072158A"/>
    <w:rsid w:val="0072176E"/>
    <w:rsid w:val="00721BC1"/>
    <w:rsid w:val="00721C90"/>
    <w:rsid w:val="007221A7"/>
    <w:rsid w:val="007221B3"/>
    <w:rsid w:val="007222D7"/>
    <w:rsid w:val="007241CA"/>
    <w:rsid w:val="00724372"/>
    <w:rsid w:val="007245C7"/>
    <w:rsid w:val="007252DA"/>
    <w:rsid w:val="007253EA"/>
    <w:rsid w:val="00725F18"/>
    <w:rsid w:val="0072613D"/>
    <w:rsid w:val="0072664B"/>
    <w:rsid w:val="0072669A"/>
    <w:rsid w:val="0072761E"/>
    <w:rsid w:val="00727C8F"/>
    <w:rsid w:val="00730981"/>
    <w:rsid w:val="00730AB9"/>
    <w:rsid w:val="00731571"/>
    <w:rsid w:val="007320AC"/>
    <w:rsid w:val="00736607"/>
    <w:rsid w:val="0074063D"/>
    <w:rsid w:val="00741959"/>
    <w:rsid w:val="00741CA7"/>
    <w:rsid w:val="00741E30"/>
    <w:rsid w:val="0074212D"/>
    <w:rsid w:val="007422C8"/>
    <w:rsid w:val="00743278"/>
    <w:rsid w:val="00743CD6"/>
    <w:rsid w:val="007441EF"/>
    <w:rsid w:val="007457CF"/>
    <w:rsid w:val="00745F6B"/>
    <w:rsid w:val="00747290"/>
    <w:rsid w:val="00747C89"/>
    <w:rsid w:val="00747CBD"/>
    <w:rsid w:val="007504E0"/>
    <w:rsid w:val="00750962"/>
    <w:rsid w:val="00751D4A"/>
    <w:rsid w:val="00753FF6"/>
    <w:rsid w:val="007554AC"/>
    <w:rsid w:val="007568D5"/>
    <w:rsid w:val="00756CAE"/>
    <w:rsid w:val="00757001"/>
    <w:rsid w:val="00757092"/>
    <w:rsid w:val="00757555"/>
    <w:rsid w:val="00760AB5"/>
    <w:rsid w:val="00761551"/>
    <w:rsid w:val="007617A2"/>
    <w:rsid w:val="00761E51"/>
    <w:rsid w:val="00763A63"/>
    <w:rsid w:val="007654A3"/>
    <w:rsid w:val="00765679"/>
    <w:rsid w:val="00766A29"/>
    <w:rsid w:val="00766CAC"/>
    <w:rsid w:val="007677C6"/>
    <w:rsid w:val="00770105"/>
    <w:rsid w:val="00770234"/>
    <w:rsid w:val="007703C9"/>
    <w:rsid w:val="00770757"/>
    <w:rsid w:val="00770DE2"/>
    <w:rsid w:val="007714E1"/>
    <w:rsid w:val="007721D8"/>
    <w:rsid w:val="007736E9"/>
    <w:rsid w:val="007738A9"/>
    <w:rsid w:val="00774345"/>
    <w:rsid w:val="00784138"/>
    <w:rsid w:val="0078552F"/>
    <w:rsid w:val="00785748"/>
    <w:rsid w:val="007876E3"/>
    <w:rsid w:val="00790A23"/>
    <w:rsid w:val="00790A4F"/>
    <w:rsid w:val="0079302E"/>
    <w:rsid w:val="00796077"/>
    <w:rsid w:val="007973AB"/>
    <w:rsid w:val="00797B5E"/>
    <w:rsid w:val="00797FE2"/>
    <w:rsid w:val="007A1AF4"/>
    <w:rsid w:val="007A34B5"/>
    <w:rsid w:val="007A4786"/>
    <w:rsid w:val="007A4AD8"/>
    <w:rsid w:val="007A59A0"/>
    <w:rsid w:val="007A5F7B"/>
    <w:rsid w:val="007B072A"/>
    <w:rsid w:val="007B0B6E"/>
    <w:rsid w:val="007B0E13"/>
    <w:rsid w:val="007B108C"/>
    <w:rsid w:val="007B2739"/>
    <w:rsid w:val="007B3107"/>
    <w:rsid w:val="007B3452"/>
    <w:rsid w:val="007B3CB6"/>
    <w:rsid w:val="007B5C1F"/>
    <w:rsid w:val="007B647D"/>
    <w:rsid w:val="007C2677"/>
    <w:rsid w:val="007C2D21"/>
    <w:rsid w:val="007C344A"/>
    <w:rsid w:val="007C3826"/>
    <w:rsid w:val="007C3F5F"/>
    <w:rsid w:val="007C4AD4"/>
    <w:rsid w:val="007C535E"/>
    <w:rsid w:val="007C6A2D"/>
    <w:rsid w:val="007D1196"/>
    <w:rsid w:val="007D132E"/>
    <w:rsid w:val="007D274E"/>
    <w:rsid w:val="007D2D88"/>
    <w:rsid w:val="007D30BA"/>
    <w:rsid w:val="007D37E1"/>
    <w:rsid w:val="007D3C73"/>
    <w:rsid w:val="007D3CA5"/>
    <w:rsid w:val="007D3CD6"/>
    <w:rsid w:val="007D4044"/>
    <w:rsid w:val="007D48E7"/>
    <w:rsid w:val="007D4AF3"/>
    <w:rsid w:val="007D5351"/>
    <w:rsid w:val="007D5B10"/>
    <w:rsid w:val="007D69B9"/>
    <w:rsid w:val="007D6DB7"/>
    <w:rsid w:val="007D6EA1"/>
    <w:rsid w:val="007D70C4"/>
    <w:rsid w:val="007D74FF"/>
    <w:rsid w:val="007D7576"/>
    <w:rsid w:val="007D7811"/>
    <w:rsid w:val="007D7E13"/>
    <w:rsid w:val="007E072C"/>
    <w:rsid w:val="007E0DC1"/>
    <w:rsid w:val="007E1D9C"/>
    <w:rsid w:val="007E34D4"/>
    <w:rsid w:val="007E3504"/>
    <w:rsid w:val="007E52E8"/>
    <w:rsid w:val="007E621C"/>
    <w:rsid w:val="007F07E7"/>
    <w:rsid w:val="007F3DA4"/>
    <w:rsid w:val="007F3DAE"/>
    <w:rsid w:val="007F4A6E"/>
    <w:rsid w:val="007F5837"/>
    <w:rsid w:val="007F738F"/>
    <w:rsid w:val="007F75FC"/>
    <w:rsid w:val="00800BB6"/>
    <w:rsid w:val="008019FC"/>
    <w:rsid w:val="00801A1E"/>
    <w:rsid w:val="00804741"/>
    <w:rsid w:val="0080494D"/>
    <w:rsid w:val="00804B5E"/>
    <w:rsid w:val="00806471"/>
    <w:rsid w:val="00807981"/>
    <w:rsid w:val="00807E53"/>
    <w:rsid w:val="00810BA7"/>
    <w:rsid w:val="0081292F"/>
    <w:rsid w:val="00812D8A"/>
    <w:rsid w:val="00813983"/>
    <w:rsid w:val="00814185"/>
    <w:rsid w:val="00815C6B"/>
    <w:rsid w:val="008160D2"/>
    <w:rsid w:val="008172C5"/>
    <w:rsid w:val="00817606"/>
    <w:rsid w:val="00817680"/>
    <w:rsid w:val="00820071"/>
    <w:rsid w:val="0082183B"/>
    <w:rsid w:val="00823027"/>
    <w:rsid w:val="00823221"/>
    <w:rsid w:val="0082350E"/>
    <w:rsid w:val="00824A96"/>
    <w:rsid w:val="00825744"/>
    <w:rsid w:val="00826FD8"/>
    <w:rsid w:val="00827327"/>
    <w:rsid w:val="00832E8C"/>
    <w:rsid w:val="00833779"/>
    <w:rsid w:val="0083391A"/>
    <w:rsid w:val="00834918"/>
    <w:rsid w:val="008352BD"/>
    <w:rsid w:val="00835D1A"/>
    <w:rsid w:val="008360FF"/>
    <w:rsid w:val="00836621"/>
    <w:rsid w:val="00837552"/>
    <w:rsid w:val="00840B92"/>
    <w:rsid w:val="00840C48"/>
    <w:rsid w:val="008422FB"/>
    <w:rsid w:val="00844286"/>
    <w:rsid w:val="00845370"/>
    <w:rsid w:val="00846ABE"/>
    <w:rsid w:val="00847E9E"/>
    <w:rsid w:val="00851784"/>
    <w:rsid w:val="00851BF4"/>
    <w:rsid w:val="00851E30"/>
    <w:rsid w:val="00852007"/>
    <w:rsid w:val="00852030"/>
    <w:rsid w:val="00852C66"/>
    <w:rsid w:val="0085302B"/>
    <w:rsid w:val="0085339B"/>
    <w:rsid w:val="00853C7E"/>
    <w:rsid w:val="008601EA"/>
    <w:rsid w:val="008626F0"/>
    <w:rsid w:val="008628C5"/>
    <w:rsid w:val="00862959"/>
    <w:rsid w:val="00864A7F"/>
    <w:rsid w:val="00864CE1"/>
    <w:rsid w:val="00865E79"/>
    <w:rsid w:val="0086741F"/>
    <w:rsid w:val="008679DF"/>
    <w:rsid w:val="00867A7E"/>
    <w:rsid w:val="00867E47"/>
    <w:rsid w:val="00870864"/>
    <w:rsid w:val="008714B3"/>
    <w:rsid w:val="00871D1A"/>
    <w:rsid w:val="008740B7"/>
    <w:rsid w:val="008762E1"/>
    <w:rsid w:val="00880B84"/>
    <w:rsid w:val="00880FA3"/>
    <w:rsid w:val="00882B1B"/>
    <w:rsid w:val="00882C95"/>
    <w:rsid w:val="00882D7D"/>
    <w:rsid w:val="00882ED2"/>
    <w:rsid w:val="008838FA"/>
    <w:rsid w:val="008839E0"/>
    <w:rsid w:val="008858C2"/>
    <w:rsid w:val="0088741D"/>
    <w:rsid w:val="008874AF"/>
    <w:rsid w:val="00887D00"/>
    <w:rsid w:val="008912A0"/>
    <w:rsid w:val="00891A7B"/>
    <w:rsid w:val="00892D95"/>
    <w:rsid w:val="00892FDA"/>
    <w:rsid w:val="00895B0E"/>
    <w:rsid w:val="00895F4A"/>
    <w:rsid w:val="00896236"/>
    <w:rsid w:val="00896D65"/>
    <w:rsid w:val="008970EA"/>
    <w:rsid w:val="008A12E5"/>
    <w:rsid w:val="008A18F3"/>
    <w:rsid w:val="008A2593"/>
    <w:rsid w:val="008A2FF0"/>
    <w:rsid w:val="008A352C"/>
    <w:rsid w:val="008A6600"/>
    <w:rsid w:val="008A7137"/>
    <w:rsid w:val="008B1A56"/>
    <w:rsid w:val="008B1F1E"/>
    <w:rsid w:val="008B3603"/>
    <w:rsid w:val="008B3701"/>
    <w:rsid w:val="008B4682"/>
    <w:rsid w:val="008B763E"/>
    <w:rsid w:val="008C064D"/>
    <w:rsid w:val="008C2071"/>
    <w:rsid w:val="008C3074"/>
    <w:rsid w:val="008C6073"/>
    <w:rsid w:val="008C6139"/>
    <w:rsid w:val="008D11F6"/>
    <w:rsid w:val="008D24A5"/>
    <w:rsid w:val="008D3D27"/>
    <w:rsid w:val="008D408E"/>
    <w:rsid w:val="008D45B3"/>
    <w:rsid w:val="008D4995"/>
    <w:rsid w:val="008D4A05"/>
    <w:rsid w:val="008D7906"/>
    <w:rsid w:val="008D7C99"/>
    <w:rsid w:val="008E0E0C"/>
    <w:rsid w:val="008E3A1B"/>
    <w:rsid w:val="008E50AA"/>
    <w:rsid w:val="008E50DF"/>
    <w:rsid w:val="008E5CDB"/>
    <w:rsid w:val="008E622D"/>
    <w:rsid w:val="008E68B2"/>
    <w:rsid w:val="008E7FFC"/>
    <w:rsid w:val="008F03A9"/>
    <w:rsid w:val="008F0641"/>
    <w:rsid w:val="008F2045"/>
    <w:rsid w:val="008F2BE6"/>
    <w:rsid w:val="008F2E5C"/>
    <w:rsid w:val="008F40C1"/>
    <w:rsid w:val="008F463F"/>
    <w:rsid w:val="008F5052"/>
    <w:rsid w:val="008F5A2C"/>
    <w:rsid w:val="008F7AF9"/>
    <w:rsid w:val="00900730"/>
    <w:rsid w:val="00900E01"/>
    <w:rsid w:val="0090281D"/>
    <w:rsid w:val="00902AE0"/>
    <w:rsid w:val="00902D2E"/>
    <w:rsid w:val="009057C7"/>
    <w:rsid w:val="00905A31"/>
    <w:rsid w:val="00905F83"/>
    <w:rsid w:val="0090724F"/>
    <w:rsid w:val="00912B7C"/>
    <w:rsid w:val="009133F6"/>
    <w:rsid w:val="00914261"/>
    <w:rsid w:val="00914A36"/>
    <w:rsid w:val="00915ED5"/>
    <w:rsid w:val="009165F5"/>
    <w:rsid w:val="00917AD4"/>
    <w:rsid w:val="00917EF1"/>
    <w:rsid w:val="00920A4D"/>
    <w:rsid w:val="0092137A"/>
    <w:rsid w:val="00922F8A"/>
    <w:rsid w:val="0092360E"/>
    <w:rsid w:val="00924D04"/>
    <w:rsid w:val="00924EF2"/>
    <w:rsid w:val="0092524E"/>
    <w:rsid w:val="009264D3"/>
    <w:rsid w:val="00927251"/>
    <w:rsid w:val="00927DB9"/>
    <w:rsid w:val="009304C4"/>
    <w:rsid w:val="0093065F"/>
    <w:rsid w:val="00932083"/>
    <w:rsid w:val="009325D5"/>
    <w:rsid w:val="009328D9"/>
    <w:rsid w:val="009346E3"/>
    <w:rsid w:val="00934FC9"/>
    <w:rsid w:val="00935364"/>
    <w:rsid w:val="00935F2D"/>
    <w:rsid w:val="00936E60"/>
    <w:rsid w:val="00937253"/>
    <w:rsid w:val="00937500"/>
    <w:rsid w:val="00941332"/>
    <w:rsid w:val="009416CE"/>
    <w:rsid w:val="00941A0D"/>
    <w:rsid w:val="00942699"/>
    <w:rsid w:val="00943CA2"/>
    <w:rsid w:val="00944153"/>
    <w:rsid w:val="00945F7A"/>
    <w:rsid w:val="00947242"/>
    <w:rsid w:val="00947343"/>
    <w:rsid w:val="00950200"/>
    <w:rsid w:val="00952A56"/>
    <w:rsid w:val="009536B5"/>
    <w:rsid w:val="00954605"/>
    <w:rsid w:val="00954C5C"/>
    <w:rsid w:val="00955118"/>
    <w:rsid w:val="00955E9E"/>
    <w:rsid w:val="009567F6"/>
    <w:rsid w:val="00957628"/>
    <w:rsid w:val="00961C67"/>
    <w:rsid w:val="00961F20"/>
    <w:rsid w:val="00962285"/>
    <w:rsid w:val="00964BD8"/>
    <w:rsid w:val="00965410"/>
    <w:rsid w:val="0096769B"/>
    <w:rsid w:val="009708B1"/>
    <w:rsid w:val="00970F2A"/>
    <w:rsid w:val="009710FE"/>
    <w:rsid w:val="0097128C"/>
    <w:rsid w:val="009714B8"/>
    <w:rsid w:val="009720D3"/>
    <w:rsid w:val="00972B2C"/>
    <w:rsid w:val="009731F2"/>
    <w:rsid w:val="00973917"/>
    <w:rsid w:val="0097398F"/>
    <w:rsid w:val="00974B34"/>
    <w:rsid w:val="009757DC"/>
    <w:rsid w:val="00975E11"/>
    <w:rsid w:val="0097613D"/>
    <w:rsid w:val="00976C9C"/>
    <w:rsid w:val="00976FB2"/>
    <w:rsid w:val="00977023"/>
    <w:rsid w:val="0097733C"/>
    <w:rsid w:val="00977726"/>
    <w:rsid w:val="009810DC"/>
    <w:rsid w:val="00983E29"/>
    <w:rsid w:val="0098427C"/>
    <w:rsid w:val="00984D2F"/>
    <w:rsid w:val="00984FA4"/>
    <w:rsid w:val="009857C9"/>
    <w:rsid w:val="009863B5"/>
    <w:rsid w:val="009869DA"/>
    <w:rsid w:val="00987016"/>
    <w:rsid w:val="009872E1"/>
    <w:rsid w:val="00987A8A"/>
    <w:rsid w:val="00987DAA"/>
    <w:rsid w:val="009905EE"/>
    <w:rsid w:val="0099104F"/>
    <w:rsid w:val="00991F1C"/>
    <w:rsid w:val="0099209E"/>
    <w:rsid w:val="0099225A"/>
    <w:rsid w:val="00992EBA"/>
    <w:rsid w:val="0099323F"/>
    <w:rsid w:val="00993244"/>
    <w:rsid w:val="009942CE"/>
    <w:rsid w:val="00994BE1"/>
    <w:rsid w:val="00994C6C"/>
    <w:rsid w:val="00996645"/>
    <w:rsid w:val="00996A05"/>
    <w:rsid w:val="00996CAC"/>
    <w:rsid w:val="00996F6F"/>
    <w:rsid w:val="009A0DED"/>
    <w:rsid w:val="009A0FD7"/>
    <w:rsid w:val="009A1B7A"/>
    <w:rsid w:val="009A1BFB"/>
    <w:rsid w:val="009A1C86"/>
    <w:rsid w:val="009A2237"/>
    <w:rsid w:val="009A256A"/>
    <w:rsid w:val="009A336D"/>
    <w:rsid w:val="009A3EFA"/>
    <w:rsid w:val="009A43C8"/>
    <w:rsid w:val="009A4826"/>
    <w:rsid w:val="009A6A18"/>
    <w:rsid w:val="009A7DAA"/>
    <w:rsid w:val="009B03FA"/>
    <w:rsid w:val="009B0831"/>
    <w:rsid w:val="009B213A"/>
    <w:rsid w:val="009B2F92"/>
    <w:rsid w:val="009B3ECD"/>
    <w:rsid w:val="009B4727"/>
    <w:rsid w:val="009B5BB0"/>
    <w:rsid w:val="009B6070"/>
    <w:rsid w:val="009B65BC"/>
    <w:rsid w:val="009B6B20"/>
    <w:rsid w:val="009B7617"/>
    <w:rsid w:val="009B7A33"/>
    <w:rsid w:val="009B7E19"/>
    <w:rsid w:val="009C0CCE"/>
    <w:rsid w:val="009C102E"/>
    <w:rsid w:val="009C1357"/>
    <w:rsid w:val="009C1683"/>
    <w:rsid w:val="009C2B6A"/>
    <w:rsid w:val="009C556B"/>
    <w:rsid w:val="009C6DC7"/>
    <w:rsid w:val="009C7273"/>
    <w:rsid w:val="009C7C45"/>
    <w:rsid w:val="009D023D"/>
    <w:rsid w:val="009D04C9"/>
    <w:rsid w:val="009D0E0A"/>
    <w:rsid w:val="009D0F15"/>
    <w:rsid w:val="009D10EE"/>
    <w:rsid w:val="009D1D39"/>
    <w:rsid w:val="009D2F3B"/>
    <w:rsid w:val="009D57CE"/>
    <w:rsid w:val="009D592B"/>
    <w:rsid w:val="009D7AB0"/>
    <w:rsid w:val="009E1968"/>
    <w:rsid w:val="009E1D3F"/>
    <w:rsid w:val="009E2270"/>
    <w:rsid w:val="009E248F"/>
    <w:rsid w:val="009E2BD1"/>
    <w:rsid w:val="009E2CFE"/>
    <w:rsid w:val="009E3216"/>
    <w:rsid w:val="009E3EF7"/>
    <w:rsid w:val="009E44B1"/>
    <w:rsid w:val="009E5DF2"/>
    <w:rsid w:val="009E61E5"/>
    <w:rsid w:val="009E67B3"/>
    <w:rsid w:val="009E76A0"/>
    <w:rsid w:val="009F26C1"/>
    <w:rsid w:val="009F2E79"/>
    <w:rsid w:val="009F39F3"/>
    <w:rsid w:val="009F3B5A"/>
    <w:rsid w:val="009F3CB3"/>
    <w:rsid w:val="009F3D5A"/>
    <w:rsid w:val="009F3D9F"/>
    <w:rsid w:val="009F402F"/>
    <w:rsid w:val="009F51DB"/>
    <w:rsid w:val="009F58D3"/>
    <w:rsid w:val="009F5B9B"/>
    <w:rsid w:val="009F60D5"/>
    <w:rsid w:val="009F6CE8"/>
    <w:rsid w:val="009F7FCB"/>
    <w:rsid w:val="00A0245A"/>
    <w:rsid w:val="00A03540"/>
    <w:rsid w:val="00A03BC5"/>
    <w:rsid w:val="00A0492A"/>
    <w:rsid w:val="00A05006"/>
    <w:rsid w:val="00A0756C"/>
    <w:rsid w:val="00A07574"/>
    <w:rsid w:val="00A11DDD"/>
    <w:rsid w:val="00A13B09"/>
    <w:rsid w:val="00A14DFA"/>
    <w:rsid w:val="00A16283"/>
    <w:rsid w:val="00A16D70"/>
    <w:rsid w:val="00A16E34"/>
    <w:rsid w:val="00A177DA"/>
    <w:rsid w:val="00A21458"/>
    <w:rsid w:val="00A24579"/>
    <w:rsid w:val="00A25A40"/>
    <w:rsid w:val="00A263D2"/>
    <w:rsid w:val="00A26C5D"/>
    <w:rsid w:val="00A26F4B"/>
    <w:rsid w:val="00A27529"/>
    <w:rsid w:val="00A27FF2"/>
    <w:rsid w:val="00A3026E"/>
    <w:rsid w:val="00A3060F"/>
    <w:rsid w:val="00A30B12"/>
    <w:rsid w:val="00A334CC"/>
    <w:rsid w:val="00A3397B"/>
    <w:rsid w:val="00A33DB2"/>
    <w:rsid w:val="00A3552D"/>
    <w:rsid w:val="00A357C1"/>
    <w:rsid w:val="00A359A5"/>
    <w:rsid w:val="00A36B29"/>
    <w:rsid w:val="00A37201"/>
    <w:rsid w:val="00A37486"/>
    <w:rsid w:val="00A4030C"/>
    <w:rsid w:val="00A40456"/>
    <w:rsid w:val="00A40A93"/>
    <w:rsid w:val="00A4201B"/>
    <w:rsid w:val="00A421CF"/>
    <w:rsid w:val="00A42DDC"/>
    <w:rsid w:val="00A449F3"/>
    <w:rsid w:val="00A453AC"/>
    <w:rsid w:val="00A45D22"/>
    <w:rsid w:val="00A50371"/>
    <w:rsid w:val="00A50BF5"/>
    <w:rsid w:val="00A54136"/>
    <w:rsid w:val="00A57ABE"/>
    <w:rsid w:val="00A57BD9"/>
    <w:rsid w:val="00A602F2"/>
    <w:rsid w:val="00A60375"/>
    <w:rsid w:val="00A60D95"/>
    <w:rsid w:val="00A60E27"/>
    <w:rsid w:val="00A61387"/>
    <w:rsid w:val="00A61788"/>
    <w:rsid w:val="00A61CF1"/>
    <w:rsid w:val="00A62C79"/>
    <w:rsid w:val="00A63E1D"/>
    <w:rsid w:val="00A63FE5"/>
    <w:rsid w:val="00A64724"/>
    <w:rsid w:val="00A647AE"/>
    <w:rsid w:val="00A655AD"/>
    <w:rsid w:val="00A66B61"/>
    <w:rsid w:val="00A67183"/>
    <w:rsid w:val="00A67334"/>
    <w:rsid w:val="00A7001C"/>
    <w:rsid w:val="00A70E9C"/>
    <w:rsid w:val="00A71DF3"/>
    <w:rsid w:val="00A723C8"/>
    <w:rsid w:val="00A73347"/>
    <w:rsid w:val="00A74AA4"/>
    <w:rsid w:val="00A761CE"/>
    <w:rsid w:val="00A7632B"/>
    <w:rsid w:val="00A766F4"/>
    <w:rsid w:val="00A8011A"/>
    <w:rsid w:val="00A83132"/>
    <w:rsid w:val="00A8343B"/>
    <w:rsid w:val="00A834F6"/>
    <w:rsid w:val="00A83C84"/>
    <w:rsid w:val="00A83EDB"/>
    <w:rsid w:val="00A868AB"/>
    <w:rsid w:val="00A86A3D"/>
    <w:rsid w:val="00A87AE6"/>
    <w:rsid w:val="00A9028E"/>
    <w:rsid w:val="00A92489"/>
    <w:rsid w:val="00A93B5D"/>
    <w:rsid w:val="00A9483B"/>
    <w:rsid w:val="00A954F6"/>
    <w:rsid w:val="00A95B76"/>
    <w:rsid w:val="00A95DC2"/>
    <w:rsid w:val="00A96508"/>
    <w:rsid w:val="00A97398"/>
    <w:rsid w:val="00AA22E4"/>
    <w:rsid w:val="00AA2946"/>
    <w:rsid w:val="00AA3B8D"/>
    <w:rsid w:val="00AA42CE"/>
    <w:rsid w:val="00AA43A1"/>
    <w:rsid w:val="00AA5BA0"/>
    <w:rsid w:val="00AB0B13"/>
    <w:rsid w:val="00AB4DEE"/>
    <w:rsid w:val="00AB4EB1"/>
    <w:rsid w:val="00AC00BD"/>
    <w:rsid w:val="00AC013A"/>
    <w:rsid w:val="00AC0890"/>
    <w:rsid w:val="00AC0E36"/>
    <w:rsid w:val="00AC10CF"/>
    <w:rsid w:val="00AC1238"/>
    <w:rsid w:val="00AC1472"/>
    <w:rsid w:val="00AC2929"/>
    <w:rsid w:val="00AC3DE7"/>
    <w:rsid w:val="00AC3E15"/>
    <w:rsid w:val="00AC4129"/>
    <w:rsid w:val="00AC56B8"/>
    <w:rsid w:val="00AC60F8"/>
    <w:rsid w:val="00AC65CC"/>
    <w:rsid w:val="00AC684F"/>
    <w:rsid w:val="00AC7AE4"/>
    <w:rsid w:val="00AD173B"/>
    <w:rsid w:val="00AD2236"/>
    <w:rsid w:val="00AD2987"/>
    <w:rsid w:val="00AD59E5"/>
    <w:rsid w:val="00AE10C1"/>
    <w:rsid w:val="00AE10FD"/>
    <w:rsid w:val="00AE2902"/>
    <w:rsid w:val="00AE2CD8"/>
    <w:rsid w:val="00AE4EF9"/>
    <w:rsid w:val="00AE525B"/>
    <w:rsid w:val="00AE5E93"/>
    <w:rsid w:val="00AE6B9D"/>
    <w:rsid w:val="00AE7780"/>
    <w:rsid w:val="00AF24EA"/>
    <w:rsid w:val="00AF47E1"/>
    <w:rsid w:val="00AF6CFD"/>
    <w:rsid w:val="00B00346"/>
    <w:rsid w:val="00B011A8"/>
    <w:rsid w:val="00B01830"/>
    <w:rsid w:val="00B05746"/>
    <w:rsid w:val="00B074C3"/>
    <w:rsid w:val="00B07B55"/>
    <w:rsid w:val="00B07BF4"/>
    <w:rsid w:val="00B12153"/>
    <w:rsid w:val="00B12391"/>
    <w:rsid w:val="00B13E54"/>
    <w:rsid w:val="00B14E0D"/>
    <w:rsid w:val="00B15563"/>
    <w:rsid w:val="00B158F7"/>
    <w:rsid w:val="00B15B46"/>
    <w:rsid w:val="00B15C2F"/>
    <w:rsid w:val="00B16923"/>
    <w:rsid w:val="00B17402"/>
    <w:rsid w:val="00B17B6F"/>
    <w:rsid w:val="00B20533"/>
    <w:rsid w:val="00B2134E"/>
    <w:rsid w:val="00B22067"/>
    <w:rsid w:val="00B24A14"/>
    <w:rsid w:val="00B24BBB"/>
    <w:rsid w:val="00B24F3E"/>
    <w:rsid w:val="00B25DFF"/>
    <w:rsid w:val="00B25F83"/>
    <w:rsid w:val="00B26FEE"/>
    <w:rsid w:val="00B3047E"/>
    <w:rsid w:val="00B31091"/>
    <w:rsid w:val="00B31692"/>
    <w:rsid w:val="00B3328F"/>
    <w:rsid w:val="00B34225"/>
    <w:rsid w:val="00B36521"/>
    <w:rsid w:val="00B36DDB"/>
    <w:rsid w:val="00B37145"/>
    <w:rsid w:val="00B37A81"/>
    <w:rsid w:val="00B37D13"/>
    <w:rsid w:val="00B404BA"/>
    <w:rsid w:val="00B4113C"/>
    <w:rsid w:val="00B41358"/>
    <w:rsid w:val="00B4152A"/>
    <w:rsid w:val="00B41B63"/>
    <w:rsid w:val="00B428E6"/>
    <w:rsid w:val="00B4463D"/>
    <w:rsid w:val="00B4524B"/>
    <w:rsid w:val="00B45E45"/>
    <w:rsid w:val="00B46EEB"/>
    <w:rsid w:val="00B46FA8"/>
    <w:rsid w:val="00B47525"/>
    <w:rsid w:val="00B515DB"/>
    <w:rsid w:val="00B52298"/>
    <w:rsid w:val="00B525ED"/>
    <w:rsid w:val="00B530FB"/>
    <w:rsid w:val="00B53501"/>
    <w:rsid w:val="00B543FE"/>
    <w:rsid w:val="00B546A8"/>
    <w:rsid w:val="00B55C36"/>
    <w:rsid w:val="00B62C66"/>
    <w:rsid w:val="00B62CA6"/>
    <w:rsid w:val="00B62FE0"/>
    <w:rsid w:val="00B63F37"/>
    <w:rsid w:val="00B6507D"/>
    <w:rsid w:val="00B661E2"/>
    <w:rsid w:val="00B66625"/>
    <w:rsid w:val="00B67FA3"/>
    <w:rsid w:val="00B71338"/>
    <w:rsid w:val="00B73503"/>
    <w:rsid w:val="00B750FF"/>
    <w:rsid w:val="00B754F3"/>
    <w:rsid w:val="00B75605"/>
    <w:rsid w:val="00B77F6A"/>
    <w:rsid w:val="00B81BA6"/>
    <w:rsid w:val="00B81D20"/>
    <w:rsid w:val="00B8266B"/>
    <w:rsid w:val="00B84574"/>
    <w:rsid w:val="00B86B75"/>
    <w:rsid w:val="00B872F0"/>
    <w:rsid w:val="00B87D09"/>
    <w:rsid w:val="00B87DF1"/>
    <w:rsid w:val="00B90F55"/>
    <w:rsid w:val="00B91936"/>
    <w:rsid w:val="00B92B6B"/>
    <w:rsid w:val="00B94EEE"/>
    <w:rsid w:val="00B95B18"/>
    <w:rsid w:val="00B95BB0"/>
    <w:rsid w:val="00B960BE"/>
    <w:rsid w:val="00B96467"/>
    <w:rsid w:val="00B96C33"/>
    <w:rsid w:val="00BA4D3F"/>
    <w:rsid w:val="00BA55C3"/>
    <w:rsid w:val="00BA6503"/>
    <w:rsid w:val="00BA77AE"/>
    <w:rsid w:val="00BA7C35"/>
    <w:rsid w:val="00BB03CE"/>
    <w:rsid w:val="00BB0ADF"/>
    <w:rsid w:val="00BB0AF6"/>
    <w:rsid w:val="00BB15B7"/>
    <w:rsid w:val="00BB1F53"/>
    <w:rsid w:val="00BB3B75"/>
    <w:rsid w:val="00BB4927"/>
    <w:rsid w:val="00BB505C"/>
    <w:rsid w:val="00BB60C4"/>
    <w:rsid w:val="00BC0593"/>
    <w:rsid w:val="00BC1C40"/>
    <w:rsid w:val="00BC21DE"/>
    <w:rsid w:val="00BC3ECD"/>
    <w:rsid w:val="00BC447B"/>
    <w:rsid w:val="00BC5463"/>
    <w:rsid w:val="00BC5615"/>
    <w:rsid w:val="00BC5835"/>
    <w:rsid w:val="00BC5C42"/>
    <w:rsid w:val="00BC6AB6"/>
    <w:rsid w:val="00BC6DD8"/>
    <w:rsid w:val="00BC6F68"/>
    <w:rsid w:val="00BC760E"/>
    <w:rsid w:val="00BD0F22"/>
    <w:rsid w:val="00BD12D4"/>
    <w:rsid w:val="00BD1F54"/>
    <w:rsid w:val="00BD249F"/>
    <w:rsid w:val="00BD2851"/>
    <w:rsid w:val="00BD29E9"/>
    <w:rsid w:val="00BD3195"/>
    <w:rsid w:val="00BD3556"/>
    <w:rsid w:val="00BD49FE"/>
    <w:rsid w:val="00BD5890"/>
    <w:rsid w:val="00BD590D"/>
    <w:rsid w:val="00BD5C6C"/>
    <w:rsid w:val="00BE046E"/>
    <w:rsid w:val="00BE05EE"/>
    <w:rsid w:val="00BE09D4"/>
    <w:rsid w:val="00BE3FF4"/>
    <w:rsid w:val="00BE473C"/>
    <w:rsid w:val="00BE7108"/>
    <w:rsid w:val="00BE77BC"/>
    <w:rsid w:val="00BE7D15"/>
    <w:rsid w:val="00BE7E9E"/>
    <w:rsid w:val="00BF1A0C"/>
    <w:rsid w:val="00BF1EBD"/>
    <w:rsid w:val="00BF20EE"/>
    <w:rsid w:val="00BF2548"/>
    <w:rsid w:val="00BF3DEA"/>
    <w:rsid w:val="00BF4398"/>
    <w:rsid w:val="00BF57F6"/>
    <w:rsid w:val="00BF5F8E"/>
    <w:rsid w:val="00BF6933"/>
    <w:rsid w:val="00C0002C"/>
    <w:rsid w:val="00C00399"/>
    <w:rsid w:val="00C00CB2"/>
    <w:rsid w:val="00C0119E"/>
    <w:rsid w:val="00C011DA"/>
    <w:rsid w:val="00C026FB"/>
    <w:rsid w:val="00C033E7"/>
    <w:rsid w:val="00C0401E"/>
    <w:rsid w:val="00C04A9E"/>
    <w:rsid w:val="00C04DB7"/>
    <w:rsid w:val="00C05588"/>
    <w:rsid w:val="00C06029"/>
    <w:rsid w:val="00C06633"/>
    <w:rsid w:val="00C07997"/>
    <w:rsid w:val="00C079BF"/>
    <w:rsid w:val="00C11E2E"/>
    <w:rsid w:val="00C13642"/>
    <w:rsid w:val="00C1442E"/>
    <w:rsid w:val="00C14D26"/>
    <w:rsid w:val="00C14EC8"/>
    <w:rsid w:val="00C15668"/>
    <w:rsid w:val="00C175AD"/>
    <w:rsid w:val="00C17764"/>
    <w:rsid w:val="00C2006D"/>
    <w:rsid w:val="00C200B6"/>
    <w:rsid w:val="00C20425"/>
    <w:rsid w:val="00C20F50"/>
    <w:rsid w:val="00C215C4"/>
    <w:rsid w:val="00C2176D"/>
    <w:rsid w:val="00C21F78"/>
    <w:rsid w:val="00C22BEB"/>
    <w:rsid w:val="00C22F1A"/>
    <w:rsid w:val="00C238E5"/>
    <w:rsid w:val="00C24813"/>
    <w:rsid w:val="00C24957"/>
    <w:rsid w:val="00C2575F"/>
    <w:rsid w:val="00C270C5"/>
    <w:rsid w:val="00C27EA8"/>
    <w:rsid w:val="00C30989"/>
    <w:rsid w:val="00C30A31"/>
    <w:rsid w:val="00C316EA"/>
    <w:rsid w:val="00C31ACA"/>
    <w:rsid w:val="00C31F10"/>
    <w:rsid w:val="00C32329"/>
    <w:rsid w:val="00C3267C"/>
    <w:rsid w:val="00C32F2D"/>
    <w:rsid w:val="00C335C8"/>
    <w:rsid w:val="00C33F53"/>
    <w:rsid w:val="00C34BF5"/>
    <w:rsid w:val="00C35D16"/>
    <w:rsid w:val="00C417A5"/>
    <w:rsid w:val="00C441C1"/>
    <w:rsid w:val="00C45039"/>
    <w:rsid w:val="00C452C7"/>
    <w:rsid w:val="00C45A88"/>
    <w:rsid w:val="00C45CB4"/>
    <w:rsid w:val="00C45D4C"/>
    <w:rsid w:val="00C46F5E"/>
    <w:rsid w:val="00C472B2"/>
    <w:rsid w:val="00C47AEB"/>
    <w:rsid w:val="00C507F7"/>
    <w:rsid w:val="00C50F9B"/>
    <w:rsid w:val="00C515D8"/>
    <w:rsid w:val="00C54AC0"/>
    <w:rsid w:val="00C55481"/>
    <w:rsid w:val="00C55560"/>
    <w:rsid w:val="00C5656D"/>
    <w:rsid w:val="00C56608"/>
    <w:rsid w:val="00C57FD4"/>
    <w:rsid w:val="00C61B31"/>
    <w:rsid w:val="00C61C38"/>
    <w:rsid w:val="00C62F4F"/>
    <w:rsid w:val="00C654DF"/>
    <w:rsid w:val="00C65EEE"/>
    <w:rsid w:val="00C6695E"/>
    <w:rsid w:val="00C66DB3"/>
    <w:rsid w:val="00C67D2B"/>
    <w:rsid w:val="00C67E14"/>
    <w:rsid w:val="00C71F15"/>
    <w:rsid w:val="00C73BD0"/>
    <w:rsid w:val="00C75B29"/>
    <w:rsid w:val="00C76675"/>
    <w:rsid w:val="00C77883"/>
    <w:rsid w:val="00C804AA"/>
    <w:rsid w:val="00C80C98"/>
    <w:rsid w:val="00C82BD1"/>
    <w:rsid w:val="00C83858"/>
    <w:rsid w:val="00C83E86"/>
    <w:rsid w:val="00C83EC0"/>
    <w:rsid w:val="00C8740D"/>
    <w:rsid w:val="00C87815"/>
    <w:rsid w:val="00C87C33"/>
    <w:rsid w:val="00C91F26"/>
    <w:rsid w:val="00C934FD"/>
    <w:rsid w:val="00C94D3C"/>
    <w:rsid w:val="00C95925"/>
    <w:rsid w:val="00C9715F"/>
    <w:rsid w:val="00C97384"/>
    <w:rsid w:val="00C976CE"/>
    <w:rsid w:val="00C97B56"/>
    <w:rsid w:val="00C97D0E"/>
    <w:rsid w:val="00CA5229"/>
    <w:rsid w:val="00CA5A8F"/>
    <w:rsid w:val="00CA7339"/>
    <w:rsid w:val="00CA7490"/>
    <w:rsid w:val="00CA779A"/>
    <w:rsid w:val="00CB11B4"/>
    <w:rsid w:val="00CB2416"/>
    <w:rsid w:val="00CB242A"/>
    <w:rsid w:val="00CB6318"/>
    <w:rsid w:val="00CB6655"/>
    <w:rsid w:val="00CB752D"/>
    <w:rsid w:val="00CC045A"/>
    <w:rsid w:val="00CC08EF"/>
    <w:rsid w:val="00CC10F3"/>
    <w:rsid w:val="00CC134D"/>
    <w:rsid w:val="00CC2533"/>
    <w:rsid w:val="00CC5000"/>
    <w:rsid w:val="00CC6B3D"/>
    <w:rsid w:val="00CD006E"/>
    <w:rsid w:val="00CD13C2"/>
    <w:rsid w:val="00CD2623"/>
    <w:rsid w:val="00CD427D"/>
    <w:rsid w:val="00CD48DB"/>
    <w:rsid w:val="00CD4D5F"/>
    <w:rsid w:val="00CD52CD"/>
    <w:rsid w:val="00CD5A33"/>
    <w:rsid w:val="00CD6AF9"/>
    <w:rsid w:val="00CD717A"/>
    <w:rsid w:val="00CE02EB"/>
    <w:rsid w:val="00CE1110"/>
    <w:rsid w:val="00CE1E04"/>
    <w:rsid w:val="00CE36D4"/>
    <w:rsid w:val="00CE383A"/>
    <w:rsid w:val="00CE3FC1"/>
    <w:rsid w:val="00CE451A"/>
    <w:rsid w:val="00CE4BE9"/>
    <w:rsid w:val="00CE5D31"/>
    <w:rsid w:val="00CE6E37"/>
    <w:rsid w:val="00CE749F"/>
    <w:rsid w:val="00CE7994"/>
    <w:rsid w:val="00CF0891"/>
    <w:rsid w:val="00CF0F11"/>
    <w:rsid w:val="00CF16D3"/>
    <w:rsid w:val="00CF1FAE"/>
    <w:rsid w:val="00CF220A"/>
    <w:rsid w:val="00CF2AE9"/>
    <w:rsid w:val="00CF386A"/>
    <w:rsid w:val="00CF3D90"/>
    <w:rsid w:val="00CF45DB"/>
    <w:rsid w:val="00CF5943"/>
    <w:rsid w:val="00CF5EAE"/>
    <w:rsid w:val="00CF627D"/>
    <w:rsid w:val="00CF6A88"/>
    <w:rsid w:val="00CF7F12"/>
    <w:rsid w:val="00D0014B"/>
    <w:rsid w:val="00D00A48"/>
    <w:rsid w:val="00D00BE5"/>
    <w:rsid w:val="00D011BD"/>
    <w:rsid w:val="00D013BD"/>
    <w:rsid w:val="00D01E3B"/>
    <w:rsid w:val="00D025F6"/>
    <w:rsid w:val="00D026DD"/>
    <w:rsid w:val="00D042D8"/>
    <w:rsid w:val="00D047E4"/>
    <w:rsid w:val="00D04D5C"/>
    <w:rsid w:val="00D04D6B"/>
    <w:rsid w:val="00D0582A"/>
    <w:rsid w:val="00D05BF2"/>
    <w:rsid w:val="00D05DD6"/>
    <w:rsid w:val="00D06CF6"/>
    <w:rsid w:val="00D075B0"/>
    <w:rsid w:val="00D113E8"/>
    <w:rsid w:val="00D120A1"/>
    <w:rsid w:val="00D13D6F"/>
    <w:rsid w:val="00D1509F"/>
    <w:rsid w:val="00D15C75"/>
    <w:rsid w:val="00D237F1"/>
    <w:rsid w:val="00D23835"/>
    <w:rsid w:val="00D24AEF"/>
    <w:rsid w:val="00D25AB0"/>
    <w:rsid w:val="00D26548"/>
    <w:rsid w:val="00D27E77"/>
    <w:rsid w:val="00D32027"/>
    <w:rsid w:val="00D32BA0"/>
    <w:rsid w:val="00D3342A"/>
    <w:rsid w:val="00D33BFB"/>
    <w:rsid w:val="00D34376"/>
    <w:rsid w:val="00D37031"/>
    <w:rsid w:val="00D4019D"/>
    <w:rsid w:val="00D407B0"/>
    <w:rsid w:val="00D409E1"/>
    <w:rsid w:val="00D43286"/>
    <w:rsid w:val="00D4366E"/>
    <w:rsid w:val="00D43826"/>
    <w:rsid w:val="00D43A56"/>
    <w:rsid w:val="00D449B4"/>
    <w:rsid w:val="00D44B22"/>
    <w:rsid w:val="00D46441"/>
    <w:rsid w:val="00D46D1F"/>
    <w:rsid w:val="00D47FF6"/>
    <w:rsid w:val="00D50290"/>
    <w:rsid w:val="00D528B9"/>
    <w:rsid w:val="00D54D65"/>
    <w:rsid w:val="00D54E27"/>
    <w:rsid w:val="00D55959"/>
    <w:rsid w:val="00D55F05"/>
    <w:rsid w:val="00D56A86"/>
    <w:rsid w:val="00D56EB4"/>
    <w:rsid w:val="00D577F8"/>
    <w:rsid w:val="00D57C37"/>
    <w:rsid w:val="00D602A1"/>
    <w:rsid w:val="00D614B7"/>
    <w:rsid w:val="00D61894"/>
    <w:rsid w:val="00D62A95"/>
    <w:rsid w:val="00D6313A"/>
    <w:rsid w:val="00D631F6"/>
    <w:rsid w:val="00D63531"/>
    <w:rsid w:val="00D63BBD"/>
    <w:rsid w:val="00D63C24"/>
    <w:rsid w:val="00D64945"/>
    <w:rsid w:val="00D64BF9"/>
    <w:rsid w:val="00D7133A"/>
    <w:rsid w:val="00D71BE4"/>
    <w:rsid w:val="00D727F5"/>
    <w:rsid w:val="00D73BAF"/>
    <w:rsid w:val="00D73E59"/>
    <w:rsid w:val="00D75D41"/>
    <w:rsid w:val="00D75E0C"/>
    <w:rsid w:val="00D763FC"/>
    <w:rsid w:val="00D76ECF"/>
    <w:rsid w:val="00D76FF1"/>
    <w:rsid w:val="00D7713D"/>
    <w:rsid w:val="00D77CF3"/>
    <w:rsid w:val="00D814F2"/>
    <w:rsid w:val="00D81661"/>
    <w:rsid w:val="00D81B3D"/>
    <w:rsid w:val="00D81D94"/>
    <w:rsid w:val="00D81F51"/>
    <w:rsid w:val="00D82388"/>
    <w:rsid w:val="00D824A6"/>
    <w:rsid w:val="00D82E1C"/>
    <w:rsid w:val="00D82F09"/>
    <w:rsid w:val="00D83290"/>
    <w:rsid w:val="00D840AB"/>
    <w:rsid w:val="00D84307"/>
    <w:rsid w:val="00D855B7"/>
    <w:rsid w:val="00D86597"/>
    <w:rsid w:val="00D91600"/>
    <w:rsid w:val="00D92257"/>
    <w:rsid w:val="00D931FC"/>
    <w:rsid w:val="00D933F5"/>
    <w:rsid w:val="00D941D3"/>
    <w:rsid w:val="00D95FD0"/>
    <w:rsid w:val="00D96737"/>
    <w:rsid w:val="00DA08E9"/>
    <w:rsid w:val="00DA1B98"/>
    <w:rsid w:val="00DA248A"/>
    <w:rsid w:val="00DA2BBD"/>
    <w:rsid w:val="00DA3616"/>
    <w:rsid w:val="00DA3682"/>
    <w:rsid w:val="00DA39CF"/>
    <w:rsid w:val="00DA478D"/>
    <w:rsid w:val="00DA4D72"/>
    <w:rsid w:val="00DA6034"/>
    <w:rsid w:val="00DA7E97"/>
    <w:rsid w:val="00DB0086"/>
    <w:rsid w:val="00DB0AAC"/>
    <w:rsid w:val="00DB1F8B"/>
    <w:rsid w:val="00DB334F"/>
    <w:rsid w:val="00DB6171"/>
    <w:rsid w:val="00DB638E"/>
    <w:rsid w:val="00DB74DE"/>
    <w:rsid w:val="00DC2CF4"/>
    <w:rsid w:val="00DC2FB4"/>
    <w:rsid w:val="00DC32A4"/>
    <w:rsid w:val="00DC3824"/>
    <w:rsid w:val="00DC428D"/>
    <w:rsid w:val="00DC4CC0"/>
    <w:rsid w:val="00DC51DD"/>
    <w:rsid w:val="00DC54CD"/>
    <w:rsid w:val="00DC76E2"/>
    <w:rsid w:val="00DD1135"/>
    <w:rsid w:val="00DD1E3A"/>
    <w:rsid w:val="00DD22CC"/>
    <w:rsid w:val="00DD24FE"/>
    <w:rsid w:val="00DD3099"/>
    <w:rsid w:val="00DD3903"/>
    <w:rsid w:val="00DD60A2"/>
    <w:rsid w:val="00DD64F2"/>
    <w:rsid w:val="00DD73B1"/>
    <w:rsid w:val="00DD776D"/>
    <w:rsid w:val="00DD7A21"/>
    <w:rsid w:val="00DD7DAD"/>
    <w:rsid w:val="00DE005D"/>
    <w:rsid w:val="00DE1402"/>
    <w:rsid w:val="00DE1790"/>
    <w:rsid w:val="00DE2A3A"/>
    <w:rsid w:val="00DE2E7C"/>
    <w:rsid w:val="00DE3FEA"/>
    <w:rsid w:val="00DE5404"/>
    <w:rsid w:val="00DE6996"/>
    <w:rsid w:val="00DE6EB3"/>
    <w:rsid w:val="00DE7114"/>
    <w:rsid w:val="00DE71C8"/>
    <w:rsid w:val="00DE746B"/>
    <w:rsid w:val="00DE760D"/>
    <w:rsid w:val="00DE7897"/>
    <w:rsid w:val="00DF2993"/>
    <w:rsid w:val="00DF5899"/>
    <w:rsid w:val="00DF61AD"/>
    <w:rsid w:val="00DF6D2C"/>
    <w:rsid w:val="00DF767C"/>
    <w:rsid w:val="00DF7E15"/>
    <w:rsid w:val="00E00B52"/>
    <w:rsid w:val="00E013D5"/>
    <w:rsid w:val="00E01CB0"/>
    <w:rsid w:val="00E030ED"/>
    <w:rsid w:val="00E0360A"/>
    <w:rsid w:val="00E03AFF"/>
    <w:rsid w:val="00E062B9"/>
    <w:rsid w:val="00E064E8"/>
    <w:rsid w:val="00E07748"/>
    <w:rsid w:val="00E102F9"/>
    <w:rsid w:val="00E10E57"/>
    <w:rsid w:val="00E11D80"/>
    <w:rsid w:val="00E11E9C"/>
    <w:rsid w:val="00E123DC"/>
    <w:rsid w:val="00E1255E"/>
    <w:rsid w:val="00E12F39"/>
    <w:rsid w:val="00E12FC8"/>
    <w:rsid w:val="00E1341A"/>
    <w:rsid w:val="00E14804"/>
    <w:rsid w:val="00E148B5"/>
    <w:rsid w:val="00E14F07"/>
    <w:rsid w:val="00E16E24"/>
    <w:rsid w:val="00E175C8"/>
    <w:rsid w:val="00E1776D"/>
    <w:rsid w:val="00E20A06"/>
    <w:rsid w:val="00E21585"/>
    <w:rsid w:val="00E22E9C"/>
    <w:rsid w:val="00E22EB1"/>
    <w:rsid w:val="00E2374B"/>
    <w:rsid w:val="00E243ED"/>
    <w:rsid w:val="00E25EFB"/>
    <w:rsid w:val="00E263E1"/>
    <w:rsid w:val="00E26AEB"/>
    <w:rsid w:val="00E26DAC"/>
    <w:rsid w:val="00E26E32"/>
    <w:rsid w:val="00E27492"/>
    <w:rsid w:val="00E3039B"/>
    <w:rsid w:val="00E30B3B"/>
    <w:rsid w:val="00E33D47"/>
    <w:rsid w:val="00E34A42"/>
    <w:rsid w:val="00E35118"/>
    <w:rsid w:val="00E354FC"/>
    <w:rsid w:val="00E356D7"/>
    <w:rsid w:val="00E35B88"/>
    <w:rsid w:val="00E3679E"/>
    <w:rsid w:val="00E369C0"/>
    <w:rsid w:val="00E36AC1"/>
    <w:rsid w:val="00E379A9"/>
    <w:rsid w:val="00E37E62"/>
    <w:rsid w:val="00E405A0"/>
    <w:rsid w:val="00E40607"/>
    <w:rsid w:val="00E41CA8"/>
    <w:rsid w:val="00E42873"/>
    <w:rsid w:val="00E45626"/>
    <w:rsid w:val="00E50DBA"/>
    <w:rsid w:val="00E512E8"/>
    <w:rsid w:val="00E51C67"/>
    <w:rsid w:val="00E526BD"/>
    <w:rsid w:val="00E53BCB"/>
    <w:rsid w:val="00E54D09"/>
    <w:rsid w:val="00E562C3"/>
    <w:rsid w:val="00E564D5"/>
    <w:rsid w:val="00E60F85"/>
    <w:rsid w:val="00E61FEC"/>
    <w:rsid w:val="00E63D8D"/>
    <w:rsid w:val="00E64F17"/>
    <w:rsid w:val="00E66E81"/>
    <w:rsid w:val="00E6770A"/>
    <w:rsid w:val="00E705D6"/>
    <w:rsid w:val="00E70722"/>
    <w:rsid w:val="00E70CFF"/>
    <w:rsid w:val="00E71CDE"/>
    <w:rsid w:val="00E71D58"/>
    <w:rsid w:val="00E721A8"/>
    <w:rsid w:val="00E72383"/>
    <w:rsid w:val="00E72800"/>
    <w:rsid w:val="00E72EC2"/>
    <w:rsid w:val="00E73570"/>
    <w:rsid w:val="00E80D5A"/>
    <w:rsid w:val="00E82184"/>
    <w:rsid w:val="00E8385F"/>
    <w:rsid w:val="00E838FE"/>
    <w:rsid w:val="00E83E48"/>
    <w:rsid w:val="00E84217"/>
    <w:rsid w:val="00E84A2A"/>
    <w:rsid w:val="00E853DA"/>
    <w:rsid w:val="00E85F05"/>
    <w:rsid w:val="00E90134"/>
    <w:rsid w:val="00E917EB"/>
    <w:rsid w:val="00E92FCB"/>
    <w:rsid w:val="00E933D3"/>
    <w:rsid w:val="00E93CD6"/>
    <w:rsid w:val="00E95896"/>
    <w:rsid w:val="00E958DC"/>
    <w:rsid w:val="00E973CE"/>
    <w:rsid w:val="00EA04E8"/>
    <w:rsid w:val="00EA105A"/>
    <w:rsid w:val="00EA1ADD"/>
    <w:rsid w:val="00EA3398"/>
    <w:rsid w:val="00EA502A"/>
    <w:rsid w:val="00EA5384"/>
    <w:rsid w:val="00EA6546"/>
    <w:rsid w:val="00EA6AD3"/>
    <w:rsid w:val="00EB00F4"/>
    <w:rsid w:val="00EB0BC8"/>
    <w:rsid w:val="00EB13DC"/>
    <w:rsid w:val="00EB1986"/>
    <w:rsid w:val="00EB245F"/>
    <w:rsid w:val="00EB2596"/>
    <w:rsid w:val="00EB36EE"/>
    <w:rsid w:val="00EB4709"/>
    <w:rsid w:val="00EB5023"/>
    <w:rsid w:val="00EB5B4B"/>
    <w:rsid w:val="00EB5CEA"/>
    <w:rsid w:val="00EB6804"/>
    <w:rsid w:val="00EB7969"/>
    <w:rsid w:val="00EB7A86"/>
    <w:rsid w:val="00EC2239"/>
    <w:rsid w:val="00EC22B0"/>
    <w:rsid w:val="00EC2340"/>
    <w:rsid w:val="00EC26B3"/>
    <w:rsid w:val="00EC3659"/>
    <w:rsid w:val="00EC395E"/>
    <w:rsid w:val="00EC3BA6"/>
    <w:rsid w:val="00EC4312"/>
    <w:rsid w:val="00EC557F"/>
    <w:rsid w:val="00EC59BF"/>
    <w:rsid w:val="00EC6DC9"/>
    <w:rsid w:val="00ED079C"/>
    <w:rsid w:val="00ED12A1"/>
    <w:rsid w:val="00ED13AB"/>
    <w:rsid w:val="00ED4944"/>
    <w:rsid w:val="00ED5AFA"/>
    <w:rsid w:val="00ED5FA1"/>
    <w:rsid w:val="00ED64F7"/>
    <w:rsid w:val="00ED6CB1"/>
    <w:rsid w:val="00EE03DA"/>
    <w:rsid w:val="00EE0C4B"/>
    <w:rsid w:val="00EE26BA"/>
    <w:rsid w:val="00EE455C"/>
    <w:rsid w:val="00EE68A8"/>
    <w:rsid w:val="00EE6A75"/>
    <w:rsid w:val="00EE6E36"/>
    <w:rsid w:val="00EE736F"/>
    <w:rsid w:val="00EF00AE"/>
    <w:rsid w:val="00EF1E09"/>
    <w:rsid w:val="00EF3205"/>
    <w:rsid w:val="00EF376A"/>
    <w:rsid w:val="00EF3C47"/>
    <w:rsid w:val="00EF50FE"/>
    <w:rsid w:val="00EF56D2"/>
    <w:rsid w:val="00EF570E"/>
    <w:rsid w:val="00EF5F09"/>
    <w:rsid w:val="00EF5FC8"/>
    <w:rsid w:val="00EF736A"/>
    <w:rsid w:val="00EF753F"/>
    <w:rsid w:val="00EF7FBC"/>
    <w:rsid w:val="00F00F2F"/>
    <w:rsid w:val="00F0142A"/>
    <w:rsid w:val="00F01499"/>
    <w:rsid w:val="00F026DB"/>
    <w:rsid w:val="00F033E0"/>
    <w:rsid w:val="00F03437"/>
    <w:rsid w:val="00F03A1A"/>
    <w:rsid w:val="00F04042"/>
    <w:rsid w:val="00F04115"/>
    <w:rsid w:val="00F0499C"/>
    <w:rsid w:val="00F05055"/>
    <w:rsid w:val="00F065AA"/>
    <w:rsid w:val="00F06725"/>
    <w:rsid w:val="00F06799"/>
    <w:rsid w:val="00F06CC2"/>
    <w:rsid w:val="00F06F58"/>
    <w:rsid w:val="00F10B64"/>
    <w:rsid w:val="00F11289"/>
    <w:rsid w:val="00F11C96"/>
    <w:rsid w:val="00F13933"/>
    <w:rsid w:val="00F14C83"/>
    <w:rsid w:val="00F16719"/>
    <w:rsid w:val="00F17C54"/>
    <w:rsid w:val="00F17C8D"/>
    <w:rsid w:val="00F2166A"/>
    <w:rsid w:val="00F21B37"/>
    <w:rsid w:val="00F23694"/>
    <w:rsid w:val="00F23846"/>
    <w:rsid w:val="00F240FC"/>
    <w:rsid w:val="00F2555D"/>
    <w:rsid w:val="00F25E16"/>
    <w:rsid w:val="00F26873"/>
    <w:rsid w:val="00F268D7"/>
    <w:rsid w:val="00F269A7"/>
    <w:rsid w:val="00F26B2C"/>
    <w:rsid w:val="00F26C72"/>
    <w:rsid w:val="00F27C43"/>
    <w:rsid w:val="00F31AD3"/>
    <w:rsid w:val="00F31B0C"/>
    <w:rsid w:val="00F31C5E"/>
    <w:rsid w:val="00F33462"/>
    <w:rsid w:val="00F34153"/>
    <w:rsid w:val="00F36953"/>
    <w:rsid w:val="00F36F4C"/>
    <w:rsid w:val="00F37182"/>
    <w:rsid w:val="00F40FCD"/>
    <w:rsid w:val="00F4104E"/>
    <w:rsid w:val="00F4376F"/>
    <w:rsid w:val="00F44DFE"/>
    <w:rsid w:val="00F44E22"/>
    <w:rsid w:val="00F450FA"/>
    <w:rsid w:val="00F45A64"/>
    <w:rsid w:val="00F46D6B"/>
    <w:rsid w:val="00F504BB"/>
    <w:rsid w:val="00F5153D"/>
    <w:rsid w:val="00F51829"/>
    <w:rsid w:val="00F51AC3"/>
    <w:rsid w:val="00F53EBF"/>
    <w:rsid w:val="00F5404A"/>
    <w:rsid w:val="00F549EB"/>
    <w:rsid w:val="00F556EF"/>
    <w:rsid w:val="00F55B87"/>
    <w:rsid w:val="00F5655C"/>
    <w:rsid w:val="00F57053"/>
    <w:rsid w:val="00F574A0"/>
    <w:rsid w:val="00F57893"/>
    <w:rsid w:val="00F57E58"/>
    <w:rsid w:val="00F60388"/>
    <w:rsid w:val="00F61903"/>
    <w:rsid w:val="00F61DC5"/>
    <w:rsid w:val="00F62C1C"/>
    <w:rsid w:val="00F62EFC"/>
    <w:rsid w:val="00F6301A"/>
    <w:rsid w:val="00F633E0"/>
    <w:rsid w:val="00F64056"/>
    <w:rsid w:val="00F657CC"/>
    <w:rsid w:val="00F658CB"/>
    <w:rsid w:val="00F65D6B"/>
    <w:rsid w:val="00F66DCF"/>
    <w:rsid w:val="00F67084"/>
    <w:rsid w:val="00F672B0"/>
    <w:rsid w:val="00F73847"/>
    <w:rsid w:val="00F7440B"/>
    <w:rsid w:val="00F74BED"/>
    <w:rsid w:val="00F76C38"/>
    <w:rsid w:val="00F76E48"/>
    <w:rsid w:val="00F77D3E"/>
    <w:rsid w:val="00F80427"/>
    <w:rsid w:val="00F80C58"/>
    <w:rsid w:val="00F81011"/>
    <w:rsid w:val="00F81B20"/>
    <w:rsid w:val="00F81F76"/>
    <w:rsid w:val="00F84C8A"/>
    <w:rsid w:val="00F85C03"/>
    <w:rsid w:val="00F879EF"/>
    <w:rsid w:val="00F87B08"/>
    <w:rsid w:val="00F9058E"/>
    <w:rsid w:val="00F91239"/>
    <w:rsid w:val="00F91FDE"/>
    <w:rsid w:val="00F93232"/>
    <w:rsid w:val="00FA2FC0"/>
    <w:rsid w:val="00FA342D"/>
    <w:rsid w:val="00FA3447"/>
    <w:rsid w:val="00FA5342"/>
    <w:rsid w:val="00FA5494"/>
    <w:rsid w:val="00FA5DB4"/>
    <w:rsid w:val="00FA7035"/>
    <w:rsid w:val="00FA7175"/>
    <w:rsid w:val="00FB0EC5"/>
    <w:rsid w:val="00FB189D"/>
    <w:rsid w:val="00FB190B"/>
    <w:rsid w:val="00FB2CDF"/>
    <w:rsid w:val="00FB4050"/>
    <w:rsid w:val="00FB4830"/>
    <w:rsid w:val="00FB53E8"/>
    <w:rsid w:val="00FB550D"/>
    <w:rsid w:val="00FB695A"/>
    <w:rsid w:val="00FB7B8B"/>
    <w:rsid w:val="00FC01E0"/>
    <w:rsid w:val="00FC05F5"/>
    <w:rsid w:val="00FC0DB2"/>
    <w:rsid w:val="00FC236E"/>
    <w:rsid w:val="00FC2609"/>
    <w:rsid w:val="00FC31B2"/>
    <w:rsid w:val="00FC453E"/>
    <w:rsid w:val="00FC460C"/>
    <w:rsid w:val="00FC5975"/>
    <w:rsid w:val="00FC6802"/>
    <w:rsid w:val="00FC7820"/>
    <w:rsid w:val="00FD1ACC"/>
    <w:rsid w:val="00FD3125"/>
    <w:rsid w:val="00FD4FA6"/>
    <w:rsid w:val="00FD53E3"/>
    <w:rsid w:val="00FD568A"/>
    <w:rsid w:val="00FD632F"/>
    <w:rsid w:val="00FD66E3"/>
    <w:rsid w:val="00FD6850"/>
    <w:rsid w:val="00FD6C5A"/>
    <w:rsid w:val="00FE00D1"/>
    <w:rsid w:val="00FE1190"/>
    <w:rsid w:val="00FE1B7C"/>
    <w:rsid w:val="00FE1BF1"/>
    <w:rsid w:val="00FE1C25"/>
    <w:rsid w:val="00FE1DF2"/>
    <w:rsid w:val="00FE3B40"/>
    <w:rsid w:val="00FE5EE0"/>
    <w:rsid w:val="00FE6605"/>
    <w:rsid w:val="00FF011D"/>
    <w:rsid w:val="00FF078C"/>
    <w:rsid w:val="00FF081B"/>
    <w:rsid w:val="00FF1082"/>
    <w:rsid w:val="00FF2129"/>
    <w:rsid w:val="00FF3695"/>
    <w:rsid w:val="00FF5304"/>
    <w:rsid w:val="00FF590B"/>
    <w:rsid w:val="00FF5E32"/>
    <w:rsid w:val="00FF5F63"/>
    <w:rsid w:val="00FF6057"/>
    <w:rsid w:val="00FF6BF9"/>
    <w:rsid w:val="00FF75A0"/>
    <w:rsid w:val="00FF77E8"/>
    <w:rsid w:val="0B8581E7"/>
    <w:rsid w:val="513500B1"/>
    <w:rsid w:val="7963A4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522880C-E9D4-428E-BF55-2E62EF25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ALTS FOOTNOTE,Footnote Text Char Char Char4 Char,Footnote Text Char1,Footnote Text Char3,Footnote Text Char4 Char1 Char,Footnote Text Char4 Char1 Char Char Char Char,Footnote Text Char7 Char,Footnote Text Char7 Char Char Char Char,fn"/>
    <w:basedOn w:val="Normal"/>
    <w:link w:val="FootnoteTextChar"/>
    <w:rsid w:val="000A2604"/>
  </w:style>
  <w:style w:type="character" w:customStyle="1" w:styleId="FootnoteTextChar">
    <w:name w:val="Footnote Text Char"/>
    <w:aliases w:val="ALTS FOOTNOTE Char,Footnote Text Char Char Char4 Char Char,Footnote Text Char1 Char,Footnote Text Char3 Char,Footnote Text Char4 Char1 Char Char,Footnote Text Char4 Char1 Char Char Char Char Char,Footnote Text Char7 Char Char,fn Char"/>
    <w:basedOn w:val="DefaultParagraphFont"/>
    <w:link w:val="FootnoteText"/>
    <w:rsid w:val="000A2604"/>
  </w:style>
  <w:style w:type="character" w:styleId="FootnoteReference">
    <w:name w:val="footnote reference"/>
    <w:aliases w:val="(NECG) Footnote Reference,Appel note de bas de p,FR,Footnote Reference/,Style 12,Style 124,Style 13,Style 17,Style 3,Style 4,Style 6,fr,o"/>
    <w:rsid w:val="000A2604"/>
    <w:rPr>
      <w:vertAlign w:val="superscript"/>
    </w:rPr>
  </w:style>
  <w:style w:type="paragraph" w:styleId="BalloonText">
    <w:name w:val="Balloon Text"/>
    <w:basedOn w:val="Normal"/>
    <w:link w:val="BalloonTextChar"/>
    <w:uiPriority w:val="99"/>
    <w:semiHidden/>
    <w:unhideWhenUsed/>
    <w:rsid w:val="000A2604"/>
    <w:rPr>
      <w:rFonts w:ascii="Segoe UI" w:hAnsi="Segoe UI" w:cs="Segoe UI"/>
      <w:sz w:val="18"/>
      <w:szCs w:val="18"/>
    </w:rPr>
  </w:style>
  <w:style w:type="character" w:customStyle="1" w:styleId="BalloonTextChar">
    <w:name w:val="Balloon Text Char"/>
    <w:link w:val="BalloonText"/>
    <w:uiPriority w:val="99"/>
    <w:semiHidden/>
    <w:rsid w:val="000A2604"/>
    <w:rPr>
      <w:rFonts w:ascii="Segoe UI" w:hAnsi="Segoe UI" w:cs="Segoe UI"/>
      <w:sz w:val="18"/>
      <w:szCs w:val="18"/>
    </w:rPr>
  </w:style>
  <w:style w:type="character" w:customStyle="1" w:styleId="FooterChar">
    <w:name w:val="Footer Char"/>
    <w:link w:val="Footer"/>
    <w:uiPriority w:val="99"/>
    <w:rsid w:val="00013E6C"/>
  </w:style>
  <w:style w:type="character" w:styleId="Hyperlink">
    <w:name w:val="Hyperlink"/>
    <w:uiPriority w:val="99"/>
    <w:rsid w:val="00806471"/>
    <w:rPr>
      <w:rFonts w:cs="Times New Roman"/>
      <w:color w:val="0000FF"/>
      <w:u w:val="single"/>
    </w:rPr>
  </w:style>
  <w:style w:type="paragraph" w:styleId="ListParagraph">
    <w:name w:val="List Paragraph"/>
    <w:basedOn w:val="Normal"/>
    <w:uiPriority w:val="34"/>
    <w:qFormat/>
    <w:rsid w:val="00806471"/>
    <w:pPr>
      <w:ind w:left="720"/>
    </w:pPr>
    <w:rPr>
      <w:sz w:val="24"/>
      <w:szCs w:val="24"/>
    </w:rPr>
  </w:style>
  <w:style w:type="character" w:customStyle="1" w:styleId="UnresolvedMention1">
    <w:name w:val="Unresolved Mention1"/>
    <w:basedOn w:val="DefaultParagraphFont"/>
    <w:uiPriority w:val="99"/>
    <w:semiHidden/>
    <w:unhideWhenUsed/>
    <w:rsid w:val="00DA3616"/>
    <w:rPr>
      <w:color w:val="605E5C"/>
      <w:shd w:val="clear" w:color="auto" w:fill="E1DFDD"/>
    </w:rPr>
  </w:style>
  <w:style w:type="character" w:styleId="FollowedHyperlink">
    <w:name w:val="FollowedHyperlink"/>
    <w:basedOn w:val="DefaultParagraphFont"/>
    <w:uiPriority w:val="99"/>
    <w:semiHidden/>
    <w:unhideWhenUsed/>
    <w:rsid w:val="00A0492A"/>
    <w:rPr>
      <w:color w:val="954F72" w:themeColor="followedHyperlink"/>
      <w:u w:val="single"/>
    </w:rPr>
  </w:style>
  <w:style w:type="character" w:customStyle="1" w:styleId="HeaderChar">
    <w:name w:val="Header Char"/>
    <w:basedOn w:val="DefaultParagraphFont"/>
    <w:link w:val="Header"/>
    <w:semiHidden/>
    <w:rsid w:val="003F69A2"/>
  </w:style>
  <w:style w:type="character" w:styleId="CommentReference">
    <w:name w:val="annotation reference"/>
    <w:basedOn w:val="DefaultParagraphFont"/>
    <w:uiPriority w:val="99"/>
    <w:semiHidden/>
    <w:unhideWhenUsed/>
    <w:rsid w:val="004220C9"/>
    <w:rPr>
      <w:sz w:val="16"/>
      <w:szCs w:val="16"/>
    </w:rPr>
  </w:style>
  <w:style w:type="paragraph" w:styleId="CommentText">
    <w:name w:val="annotation text"/>
    <w:basedOn w:val="Normal"/>
    <w:link w:val="CommentTextChar"/>
    <w:uiPriority w:val="99"/>
    <w:semiHidden/>
    <w:unhideWhenUsed/>
    <w:rsid w:val="004220C9"/>
  </w:style>
  <w:style w:type="character" w:customStyle="1" w:styleId="CommentTextChar">
    <w:name w:val="Comment Text Char"/>
    <w:basedOn w:val="DefaultParagraphFont"/>
    <w:link w:val="CommentText"/>
    <w:uiPriority w:val="99"/>
    <w:semiHidden/>
    <w:rsid w:val="004220C9"/>
  </w:style>
  <w:style w:type="paragraph" w:styleId="CommentSubject">
    <w:name w:val="annotation subject"/>
    <w:basedOn w:val="CommentText"/>
    <w:next w:val="CommentText"/>
    <w:link w:val="CommentSubjectChar"/>
    <w:uiPriority w:val="99"/>
    <w:semiHidden/>
    <w:unhideWhenUsed/>
    <w:rsid w:val="004220C9"/>
    <w:rPr>
      <w:b/>
      <w:bCs/>
    </w:rPr>
  </w:style>
  <w:style w:type="character" w:customStyle="1" w:styleId="CommentSubjectChar">
    <w:name w:val="Comment Subject Char"/>
    <w:basedOn w:val="CommentTextChar"/>
    <w:link w:val="CommentSubject"/>
    <w:uiPriority w:val="99"/>
    <w:semiHidden/>
    <w:rsid w:val="004220C9"/>
    <w:rPr>
      <w:b/>
      <w:bCs/>
    </w:rPr>
  </w:style>
  <w:style w:type="character" w:customStyle="1" w:styleId="UnresolvedMention">
    <w:name w:val="Unresolved Mention"/>
    <w:basedOn w:val="DefaultParagraphFont"/>
    <w:uiPriority w:val="99"/>
    <w:rsid w:val="00A0245A"/>
    <w:rPr>
      <w:color w:val="605E5C"/>
      <w:shd w:val="clear" w:color="auto" w:fill="E1DFDD"/>
    </w:rPr>
  </w:style>
  <w:style w:type="character" w:styleId="Emphasis">
    <w:name w:val="Emphasis"/>
    <w:basedOn w:val="DefaultParagraphFont"/>
    <w:uiPriority w:val="20"/>
    <w:qFormat/>
    <w:rsid w:val="00E456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metrolinktrains.com/train-status/train_tracker/wheres-my-train-map-view/" TargetMode="External" /><Relationship Id="rId10" Type="http://schemas.openxmlformats.org/officeDocument/2006/relationships/hyperlink" Target="https://www.fcc.gov/bureaus/oet/info/documents/bulletins/oet74/OET74.pdf" TargetMode="External" /><Relationship Id="rId2" Type="http://schemas.openxmlformats.org/officeDocument/2006/relationships/hyperlink" Target="http://www.ntsb.gov/investigations/AccidentReports/Reports/RAR1001.pdf" TargetMode="External" /><Relationship Id="rId3" Type="http://schemas.openxmlformats.org/officeDocument/2006/relationships/hyperlink" Target="https://www.fra.dot.gov/Page/P0152" TargetMode="External" /><Relationship Id="rId4" Type="http://schemas.openxmlformats.org/officeDocument/2006/relationships/hyperlink" Target="https://www.transportation.gov/briefing-room/statement-positive-train-control-implementation" TargetMode="External" /><Relationship Id="rId5" Type="http://schemas.openxmlformats.org/officeDocument/2006/relationships/hyperlink" Target="https://railroads.dot.gov/train-control/ptc/positive-train-control-ptc" TargetMode="External" /><Relationship Id="rId6" Type="http://schemas.openxmlformats.org/officeDocument/2006/relationships/hyperlink" Target="https://www.metrolinktrains.com/about/agency/member-agencies/" TargetMode="External" /><Relationship Id="rId7" Type="http://schemas.openxmlformats.org/officeDocument/2006/relationships/hyperlink" Target="https://metrolinktrains.com/about/agency/history-of-metrolink/" TargetMode="External" /><Relationship Id="rId8" Type="http://schemas.openxmlformats.org/officeDocument/2006/relationships/hyperlink" Target="https://transition.fcc.gov/oet/info/documents/bulletins/oet74/OET74a-PTC.pdf" TargetMode="External" /><Relationship Id="rId9" Type="http://schemas.openxmlformats.org/officeDocument/2006/relationships/hyperlink" Target="https://transition.fcc.gov/oet/info/documents/bulletins/oet69/oet69.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