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13A8B" w:rsidRPr="00B20363" w:rsidP="00013A8B">
      <w:pPr>
        <w:jc w:val="right"/>
        <w:rPr>
          <w:b/>
          <w:sz w:val="24"/>
        </w:rPr>
      </w:pPr>
      <w:bookmarkStart w:id="0" w:name="_GoBack"/>
      <w:bookmarkEnd w:id="0"/>
      <w:r>
        <w:rPr>
          <w:b/>
          <w:sz w:val="24"/>
        </w:rPr>
        <w:t>DA 12-1260</w:t>
      </w:r>
    </w:p>
    <w:p w:rsidR="00013A8B" w:rsidRPr="00B20363" w:rsidP="00013A8B">
      <w:pPr>
        <w:spacing w:before="60"/>
        <w:jc w:val="right"/>
        <w:rPr>
          <w:b/>
          <w:sz w:val="24"/>
        </w:rPr>
      </w:pPr>
      <w:r>
        <w:rPr>
          <w:b/>
          <w:sz w:val="24"/>
        </w:rPr>
        <w:t xml:space="preserve">Released:  </w:t>
      </w:r>
      <w:r w:rsidR="00064B0D">
        <w:rPr>
          <w:b/>
          <w:sz w:val="24"/>
        </w:rPr>
        <w:t>October 23, 2020</w:t>
      </w:r>
    </w:p>
    <w:p w:rsidR="00013A8B" w:rsidP="00013A8B">
      <w:pPr>
        <w:jc w:val="right"/>
        <w:rPr>
          <w:sz w:val="24"/>
        </w:rPr>
      </w:pPr>
    </w:p>
    <w:p w:rsidR="00603851" w:rsidP="00603851">
      <w:pPr>
        <w:spacing w:after="120"/>
        <w:jc w:val="center"/>
        <w:rPr>
          <w:b/>
          <w:caps/>
          <w:szCs w:val="22"/>
        </w:rPr>
      </w:pPr>
      <w:r w:rsidRPr="00E14A7D">
        <w:rPr>
          <w:b/>
          <w:caps/>
          <w:szCs w:val="22"/>
        </w:rPr>
        <w:t>International bureau RELEASES</w:t>
      </w:r>
      <w:r>
        <w:rPr>
          <w:b/>
          <w:caps/>
          <w:szCs w:val="22"/>
        </w:rPr>
        <w:t xml:space="preserve"> </w:t>
      </w:r>
      <w:r w:rsidRPr="00416A55">
        <w:rPr>
          <w:b/>
          <w:caps/>
          <w:szCs w:val="22"/>
        </w:rPr>
        <w:t>Updated</w:t>
      </w:r>
      <w:r w:rsidRPr="00E14A7D">
        <w:rPr>
          <w:b/>
          <w:caps/>
          <w:szCs w:val="22"/>
        </w:rPr>
        <w:t xml:space="preserve"> list of incumbent earth stations in the 3.7-4.2 ghz Band IN THE CONTIGUOUS UNITED STATES</w:t>
      </w:r>
    </w:p>
    <w:p w:rsidR="00F96F63" w:rsidP="001E1196">
      <w:pPr>
        <w:jc w:val="center"/>
        <w:rPr>
          <w:b/>
          <w:sz w:val="24"/>
        </w:rPr>
      </w:pPr>
      <w:r>
        <w:rPr>
          <w:b/>
          <w:sz w:val="24"/>
        </w:rPr>
        <w:t>IB Docket No. 20-20</w:t>
      </w:r>
      <w:r w:rsidR="0081405E">
        <w:rPr>
          <w:b/>
          <w:sz w:val="24"/>
        </w:rPr>
        <w:t>5</w:t>
      </w:r>
    </w:p>
    <w:p w:rsidR="0081405E" w:rsidRPr="001E1196" w:rsidP="001E1196">
      <w:pPr>
        <w:jc w:val="center"/>
        <w:rPr>
          <w:b/>
          <w:sz w:val="24"/>
        </w:rPr>
      </w:pPr>
      <w:r>
        <w:rPr>
          <w:b/>
          <w:sz w:val="24"/>
        </w:rPr>
        <w:t>GN Docket No. 20-305</w:t>
      </w:r>
    </w:p>
    <w:p w:rsidR="006C02AD" w:rsidP="00F96F63">
      <w:pPr>
        <w:rPr>
          <w:sz w:val="24"/>
        </w:rPr>
      </w:pPr>
    </w:p>
    <w:p w:rsidR="00515B8F" w:rsidP="00515B8F">
      <w:pPr>
        <w:pStyle w:val="ParaNum"/>
      </w:pPr>
      <w:r w:rsidRPr="00E14A7D">
        <w:t xml:space="preserve">With this Public Notice, the International Bureau (the Bureau) releases </w:t>
      </w:r>
      <w:r>
        <w:t>an</w:t>
      </w:r>
      <w:r w:rsidRPr="00E14A7D">
        <w:t xml:space="preserve"> </w:t>
      </w:r>
      <w:r w:rsidRPr="00416A55">
        <w:t>updated</w:t>
      </w:r>
      <w:r>
        <w:t xml:space="preserve"> </w:t>
      </w:r>
      <w:r w:rsidRPr="00E14A7D">
        <w:t xml:space="preserve">list of those Fixed Satellite Service (FSS) earth stations in the 3.7-4.2 GHz band </w:t>
      </w:r>
      <w:r>
        <w:t>(C-band) with</w:t>
      </w:r>
      <w:r w:rsidRPr="00E14A7D">
        <w:t>in the contiguous United States that the Bureau has found satisfy the criteri</w:t>
      </w:r>
      <w:r w:rsidRPr="00E14A7D">
        <w:t>a to be classified as incumbent earth stations for purposes of the C-band transition.</w:t>
      </w:r>
      <w:r>
        <w:rPr>
          <w:rStyle w:val="FootnoteReference"/>
          <w:szCs w:val="22"/>
        </w:rPr>
        <w:footnoteReference w:id="3"/>
      </w:r>
      <w:r w:rsidR="00117A3C">
        <w:t xml:space="preserve">  </w:t>
      </w:r>
    </w:p>
    <w:p w:rsidR="00515B8F" w:rsidRPr="001A6A8A" w:rsidP="001A6A8A">
      <w:pPr>
        <w:pStyle w:val="ParaNum"/>
        <w:rPr>
          <w:snapToGrid/>
          <w:color w:val="000000"/>
          <w:kern w:val="0"/>
        </w:rPr>
      </w:pPr>
      <w:r>
        <w:t>In</w:t>
      </w:r>
      <w:r w:rsidRPr="00E14A7D">
        <w:t xml:space="preserve"> the </w:t>
      </w:r>
      <w:r w:rsidRPr="00E14A7D">
        <w:rPr>
          <w:i/>
          <w:iCs/>
        </w:rPr>
        <w:t>3.7 GHz</w:t>
      </w:r>
      <w:r w:rsidRPr="00E14A7D">
        <w:rPr>
          <w:i/>
        </w:rPr>
        <w:t xml:space="preserve"> Band </w:t>
      </w:r>
      <w:r w:rsidRPr="00E14A7D">
        <w:rPr>
          <w:i/>
          <w:iCs/>
        </w:rPr>
        <w:t xml:space="preserve">Report and Order </w:t>
      </w:r>
      <w:r>
        <w:t xml:space="preserve">the Commission </w:t>
      </w:r>
      <w:r w:rsidRPr="00E14A7D">
        <w:t xml:space="preserve">defined the criteria that earth stations must satisfy to be eligible as incumbent earth stations to receive </w:t>
      </w:r>
      <w:r>
        <w:t>reimbu</w:t>
      </w:r>
      <w:r>
        <w:t xml:space="preserve">rsement for </w:t>
      </w:r>
      <w:r w:rsidRPr="00E14A7D">
        <w:t>their reasonable relocation costs.</w:t>
      </w:r>
      <w:r>
        <w:rPr>
          <w:rStyle w:val="FootnoteReference"/>
          <w:snapToGrid/>
          <w:kern w:val="0"/>
          <w:szCs w:val="22"/>
        </w:rPr>
        <w:footnoteReference w:id="4"/>
      </w:r>
      <w:r w:rsidRPr="00E14A7D">
        <w:rPr>
          <w:snapToGrid/>
          <w:color w:val="000000"/>
          <w:kern w:val="0"/>
        </w:rPr>
        <w:t xml:space="preserve"> </w:t>
      </w:r>
      <w:r w:rsidRPr="00E14A7D">
        <w:t xml:space="preserve"> Specifically, incumbent earth stations are those FSS earth stations that have demonstrated that they meet the following requirements:</w:t>
      </w:r>
    </w:p>
    <w:p w:rsidR="00515B8F" w:rsidRPr="00E14A7D" w:rsidP="00C247B5">
      <w:pPr>
        <w:widowControl/>
        <w:numPr>
          <w:ilvl w:val="0"/>
          <w:numId w:val="7"/>
        </w:numPr>
        <w:spacing w:after="120"/>
        <w:contextualSpacing/>
        <w:rPr>
          <w:snapToGrid/>
          <w:color w:val="000000"/>
          <w:kern w:val="0"/>
          <w:szCs w:val="22"/>
        </w:rPr>
      </w:pPr>
      <w:r w:rsidRPr="00E14A7D">
        <w:rPr>
          <w:snapToGrid/>
          <w:color w:val="000000"/>
          <w:kern w:val="0"/>
          <w:szCs w:val="22"/>
        </w:rPr>
        <w:t xml:space="preserve">The FSS earth station must have been operational as of </w:t>
      </w:r>
      <w:r>
        <w:rPr>
          <w:snapToGrid/>
          <w:color w:val="000000"/>
          <w:kern w:val="0"/>
          <w:szCs w:val="22"/>
        </w:rPr>
        <w:t xml:space="preserve">the </w:t>
      </w:r>
      <w:r w:rsidRPr="00E14A7D">
        <w:rPr>
          <w:snapToGrid/>
          <w:color w:val="000000"/>
          <w:kern w:val="0"/>
          <w:szCs w:val="22"/>
        </w:rPr>
        <w:t>April 19, 2018 filing freeze and remain operational; and must have been registered (receive-only) or licensed (transmit/receive) in the 3700-4200 MHz band.</w:t>
      </w:r>
    </w:p>
    <w:p w:rsidR="00515B8F" w:rsidRPr="00E14A7D" w:rsidP="00C247B5">
      <w:pPr>
        <w:widowControl/>
        <w:numPr>
          <w:ilvl w:val="0"/>
          <w:numId w:val="7"/>
        </w:numPr>
        <w:spacing w:after="120"/>
        <w:contextualSpacing/>
        <w:rPr>
          <w:snapToGrid/>
          <w:color w:val="000000"/>
          <w:kern w:val="0"/>
          <w:szCs w:val="22"/>
        </w:rPr>
      </w:pPr>
      <w:r w:rsidRPr="00E14A7D">
        <w:rPr>
          <w:snapToGrid/>
          <w:color w:val="000000"/>
          <w:kern w:val="0"/>
          <w:szCs w:val="22"/>
        </w:rPr>
        <w:t>If the FSS earth station was unregistered</w:t>
      </w:r>
      <w:r w:rsidRPr="00E14A7D">
        <w:rPr>
          <w:snapToGrid/>
          <w:color w:val="000000"/>
          <w:kern w:val="0"/>
          <w:szCs w:val="22"/>
        </w:rPr>
        <w:t xml:space="preserve"> or unlicensed before April 19, 2018, its registration or license applications must have been filed by November 7, 2018.</w:t>
      </w:r>
      <w:r>
        <w:rPr>
          <w:rStyle w:val="FootnoteReference"/>
          <w:snapToGrid/>
          <w:kern w:val="0"/>
          <w:szCs w:val="22"/>
        </w:rPr>
        <w:footnoteReference w:id="5"/>
      </w:r>
      <w:r w:rsidRPr="00E14A7D">
        <w:rPr>
          <w:snapToGrid/>
          <w:color w:val="000000"/>
          <w:kern w:val="0"/>
          <w:szCs w:val="22"/>
        </w:rPr>
        <w:t xml:space="preserve">  </w:t>
      </w:r>
    </w:p>
    <w:p w:rsidR="00515B8F" w:rsidRPr="00E14A7D" w:rsidP="00C247B5">
      <w:pPr>
        <w:widowControl/>
        <w:numPr>
          <w:ilvl w:val="0"/>
          <w:numId w:val="7"/>
        </w:numPr>
        <w:spacing w:after="120"/>
        <w:contextualSpacing/>
        <w:rPr>
          <w:snapToGrid/>
          <w:color w:val="000000"/>
          <w:kern w:val="0"/>
          <w:szCs w:val="22"/>
        </w:rPr>
      </w:pPr>
      <w:r w:rsidRPr="00E14A7D">
        <w:rPr>
          <w:snapToGrid/>
          <w:color w:val="000000"/>
          <w:kern w:val="0"/>
          <w:szCs w:val="22"/>
        </w:rPr>
        <w:t>If the FSS earth station was registered or licensed before April 19, 2018, the registrant or licensee must have:</w:t>
      </w:r>
    </w:p>
    <w:p w:rsidR="00515B8F" w:rsidRPr="00E14A7D" w:rsidP="00C247B5">
      <w:pPr>
        <w:widowControl/>
        <w:numPr>
          <w:ilvl w:val="1"/>
          <w:numId w:val="7"/>
        </w:numPr>
        <w:spacing w:after="120"/>
        <w:contextualSpacing/>
        <w:rPr>
          <w:snapToGrid/>
          <w:color w:val="000000"/>
          <w:kern w:val="0"/>
          <w:szCs w:val="22"/>
        </w:rPr>
      </w:pPr>
      <w:r w:rsidRPr="00E14A7D">
        <w:rPr>
          <w:snapToGrid/>
          <w:color w:val="000000"/>
          <w:kern w:val="0"/>
          <w:szCs w:val="22"/>
        </w:rPr>
        <w:t>Certified the accu</w:t>
      </w:r>
      <w:r w:rsidRPr="00E14A7D">
        <w:rPr>
          <w:snapToGrid/>
          <w:color w:val="000000"/>
          <w:kern w:val="0"/>
          <w:szCs w:val="22"/>
        </w:rPr>
        <w:t xml:space="preserve">racy of the registration/license information in IBFS by May 28, 2019; </w:t>
      </w:r>
      <w:r w:rsidR="00064B0D">
        <w:rPr>
          <w:snapToGrid/>
          <w:color w:val="000000"/>
          <w:kern w:val="0"/>
          <w:szCs w:val="22"/>
        </w:rPr>
        <w:t>or</w:t>
      </w:r>
    </w:p>
    <w:p w:rsidR="00515B8F" w:rsidRPr="00E14A7D" w:rsidP="00C247B5">
      <w:pPr>
        <w:widowControl/>
        <w:numPr>
          <w:ilvl w:val="1"/>
          <w:numId w:val="7"/>
        </w:numPr>
        <w:spacing w:after="120"/>
        <w:contextualSpacing/>
        <w:rPr>
          <w:snapToGrid/>
          <w:color w:val="000000"/>
          <w:kern w:val="0"/>
          <w:szCs w:val="22"/>
        </w:rPr>
      </w:pPr>
      <w:r w:rsidRPr="00E14A7D">
        <w:rPr>
          <w:snapToGrid/>
          <w:color w:val="000000"/>
          <w:kern w:val="0"/>
          <w:szCs w:val="22"/>
        </w:rPr>
        <w:t xml:space="preserve">Filed a modification/update to the registration or license in IBFS during the April 19, 2018 </w:t>
      </w:r>
      <w:r w:rsidR="00064B0D">
        <w:rPr>
          <w:snapToGrid/>
          <w:color w:val="000000"/>
          <w:kern w:val="0"/>
          <w:szCs w:val="22"/>
        </w:rPr>
        <w:t>to</w:t>
      </w:r>
      <w:r w:rsidRPr="00E14A7D">
        <w:rPr>
          <w:snapToGrid/>
          <w:color w:val="000000"/>
          <w:kern w:val="0"/>
          <w:szCs w:val="22"/>
        </w:rPr>
        <w:t xml:space="preserve"> November 7, 2018 filing window; </w:t>
      </w:r>
      <w:r w:rsidR="00064B0D">
        <w:rPr>
          <w:snapToGrid/>
          <w:color w:val="000000"/>
          <w:kern w:val="0"/>
          <w:szCs w:val="22"/>
        </w:rPr>
        <w:t>or</w:t>
      </w:r>
    </w:p>
    <w:p w:rsidR="00515B8F" w:rsidRPr="00B64743" w:rsidP="00C247B5">
      <w:pPr>
        <w:widowControl/>
        <w:numPr>
          <w:ilvl w:val="1"/>
          <w:numId w:val="7"/>
        </w:numPr>
        <w:spacing w:after="120"/>
        <w:contextualSpacing/>
        <w:rPr>
          <w:snapToGrid/>
          <w:color w:val="000000"/>
          <w:kern w:val="0"/>
          <w:szCs w:val="22"/>
        </w:rPr>
      </w:pPr>
      <w:r w:rsidRPr="00E14A7D">
        <w:rPr>
          <w:snapToGrid/>
          <w:color w:val="000000"/>
          <w:kern w:val="0"/>
          <w:szCs w:val="22"/>
        </w:rPr>
        <w:t xml:space="preserve">Filed a timely renewal application for the existing </w:t>
      </w:r>
      <w:r w:rsidRPr="00E14A7D">
        <w:rPr>
          <w:snapToGrid/>
          <w:color w:val="000000"/>
          <w:kern w:val="0"/>
          <w:szCs w:val="22"/>
        </w:rPr>
        <w:t>registration or license by May 28, 2019.</w:t>
      </w:r>
      <w:r>
        <w:rPr>
          <w:rStyle w:val="FootnoteReference"/>
          <w:szCs w:val="22"/>
        </w:rPr>
        <w:footnoteReference w:id="6"/>
      </w:r>
      <w:r w:rsidRPr="00E14A7D">
        <w:rPr>
          <w:szCs w:val="22"/>
        </w:rPr>
        <w:t xml:space="preserve">  </w:t>
      </w:r>
    </w:p>
    <w:p w:rsidR="0003330D" w:rsidP="0003330D">
      <w:pPr>
        <w:pStyle w:val="ParaNum"/>
      </w:pPr>
      <w:r w:rsidRPr="00284F21">
        <w:rPr>
          <w:szCs w:val="22"/>
        </w:rPr>
        <w:t>The</w:t>
      </w:r>
      <w:r w:rsidRPr="00284F21">
        <w:rPr>
          <w:i/>
          <w:iCs/>
          <w:szCs w:val="22"/>
        </w:rPr>
        <w:t xml:space="preserve"> 3.7 GHz</w:t>
      </w:r>
      <w:r w:rsidRPr="00284F21">
        <w:rPr>
          <w:i/>
          <w:szCs w:val="22"/>
        </w:rPr>
        <w:t xml:space="preserve"> Band </w:t>
      </w:r>
      <w:r w:rsidRPr="00284F21">
        <w:rPr>
          <w:i/>
          <w:iCs/>
          <w:szCs w:val="22"/>
        </w:rPr>
        <w:t>Report and Order</w:t>
      </w:r>
      <w:r w:rsidRPr="00284F21">
        <w:rPr>
          <w:szCs w:val="22"/>
        </w:rPr>
        <w:t xml:space="preserve"> directed the Bureau to complete the processing of all earth station license or registration applications (whether for an initial grant, modification, or renewal) </w:t>
      </w:r>
      <w:r w:rsidRPr="00284F21">
        <w:rPr>
          <w:szCs w:val="22"/>
        </w:rPr>
        <w:t>that were filed during the limited freeze window.</w:t>
      </w:r>
      <w:r>
        <w:rPr>
          <w:vertAlign w:val="superscript"/>
        </w:rPr>
        <w:footnoteReference w:id="7"/>
      </w:r>
      <w:r w:rsidRPr="00284F21">
        <w:rPr>
          <w:szCs w:val="22"/>
        </w:rPr>
        <w:t xml:space="preserve">  </w:t>
      </w:r>
      <w:r w:rsidRPr="6D7524F7" w:rsidR="002A4D8D">
        <w:t>On August 3, 2020, the Bureau released a</w:t>
      </w:r>
      <w:r w:rsidRPr="00DD69BA" w:rsidR="002A4D8D">
        <w:rPr>
          <w:szCs w:val="22"/>
        </w:rPr>
        <w:t xml:space="preserve"> </w:t>
      </w:r>
      <w:r w:rsidRPr="6D7524F7" w:rsidR="002A4D8D">
        <w:t xml:space="preserve">list of those FSS earth stations in the 3.7-4.2 GHz band in the contiguous United States </w:t>
      </w:r>
      <w:r w:rsidRPr="00DD69BA" w:rsidR="002A4D8D">
        <w:rPr>
          <w:szCs w:val="22"/>
        </w:rPr>
        <w:t>(</w:t>
      </w:r>
      <w:r w:rsidRPr="00DD69BA" w:rsidR="002A4D8D">
        <w:rPr>
          <w:i/>
          <w:iCs/>
        </w:rPr>
        <w:t>August 3</w:t>
      </w:r>
      <w:r w:rsidRPr="00DD69BA" w:rsidR="002A4D8D">
        <w:rPr>
          <w:szCs w:val="22"/>
        </w:rPr>
        <w:t xml:space="preserve"> </w:t>
      </w:r>
      <w:r w:rsidRPr="00DD69BA" w:rsidR="002A4D8D">
        <w:rPr>
          <w:i/>
          <w:iCs/>
        </w:rPr>
        <w:t>Incumbent Earth Station PN</w:t>
      </w:r>
      <w:r w:rsidRPr="00DD69BA" w:rsidR="002A4D8D">
        <w:rPr>
          <w:szCs w:val="22"/>
        </w:rPr>
        <w:t xml:space="preserve">) </w:t>
      </w:r>
      <w:r w:rsidRPr="6D7524F7" w:rsidR="002A4D8D">
        <w:t>that the Bureau found satisfy the criteria to be classified as incumbent earth stations for purposes of the C-band band transition</w:t>
      </w:r>
      <w:r w:rsidRPr="00DD69BA" w:rsidR="002A4D8D">
        <w:rPr>
          <w:szCs w:val="22"/>
        </w:rPr>
        <w:t>.</w:t>
      </w:r>
      <w:r>
        <w:rPr>
          <w:rStyle w:val="FootnoteReference"/>
        </w:rPr>
        <w:footnoteReference w:id="8"/>
      </w:r>
      <w:r w:rsidRPr="00DD69BA" w:rsidR="002A4D8D">
        <w:rPr>
          <w:szCs w:val="22"/>
        </w:rPr>
        <w:t xml:space="preserve">  </w:t>
      </w:r>
      <w:bookmarkStart w:id="2" w:name="_Toc54115841"/>
      <w:bookmarkStart w:id="3" w:name="_Toc54116000"/>
      <w:bookmarkStart w:id="4" w:name="_Toc54118391"/>
    </w:p>
    <w:bookmarkEnd w:id="2"/>
    <w:bookmarkEnd w:id="3"/>
    <w:bookmarkEnd w:id="4"/>
    <w:p w:rsidR="0099471E" w:rsidRPr="0099471E" w:rsidP="008A0E52">
      <w:pPr>
        <w:pStyle w:val="ParaNum"/>
      </w:pPr>
      <w:r w:rsidRPr="00064B0D">
        <w:rPr>
          <w:snapToGrid/>
        </w:rPr>
        <w:t xml:space="preserve">The Bureau has reviewed the status of all earth stations in IBFS with active or pending licenses or registrations to receive in the 3.7-4.2 GHz band.  </w:t>
      </w:r>
      <w:r w:rsidRPr="00064B0D" w:rsidR="00064B0D">
        <w:rPr>
          <w:szCs w:val="22"/>
        </w:rPr>
        <w:t>The Bureau has processed the applications that were timely filed during the earth station freeze.</w:t>
      </w:r>
      <w:r>
        <w:rPr>
          <w:vertAlign w:val="superscript"/>
        </w:rPr>
        <w:footnoteReference w:id="9"/>
      </w:r>
      <w:r w:rsidRPr="00064B0D" w:rsidR="00064B0D">
        <w:rPr>
          <w:szCs w:val="22"/>
        </w:rPr>
        <w:t xml:space="preserve">  </w:t>
      </w:r>
      <w:r w:rsidRPr="00E07A32">
        <w:t>The list attached to this Public Notice includes all such earth stations that the Bureau has determined satisfy the incumbent earth station criteria.</w:t>
      </w:r>
      <w:r>
        <w:rPr>
          <w:vertAlign w:val="superscript"/>
        </w:rPr>
        <w:footnoteReference w:id="10"/>
      </w:r>
      <w:r w:rsidRPr="00E07A32">
        <w:t xml:space="preserve"> </w:t>
      </w:r>
      <w:r w:rsidR="00064B0D">
        <w:t xml:space="preserve"> </w:t>
      </w:r>
      <w:r w:rsidRPr="00E07A32">
        <w:t>Unlike the previous list, the attached list does not include any pending applications to re</w:t>
      </w:r>
      <w:r w:rsidRPr="00E07A32">
        <w:t>gister earth stations that are in red light status (because the applicant owes an outstanding debt).</w:t>
      </w:r>
      <w:r w:rsidR="00A938C0">
        <w:t xml:space="preserve"> </w:t>
      </w:r>
      <w:r w:rsidR="00064B0D">
        <w:t xml:space="preserve"> </w:t>
      </w:r>
      <w:r w:rsidRPr="6D7524F7" w:rsidR="00A938C0">
        <w:t>Th</w:t>
      </w:r>
      <w:r w:rsidR="00A938C0">
        <w:t>e</w:t>
      </w:r>
      <w:r w:rsidRPr="6D7524F7" w:rsidR="00A938C0">
        <w:t xml:space="preserve"> updated list </w:t>
      </w:r>
      <w:r w:rsidR="00A938C0">
        <w:t xml:space="preserve">attached to this Public Notice also </w:t>
      </w:r>
      <w:r w:rsidRPr="6D7524F7" w:rsidR="00A938C0">
        <w:t xml:space="preserve">reflects </w:t>
      </w:r>
      <w:r w:rsidR="00A938C0">
        <w:t xml:space="preserve">a variety of </w:t>
      </w:r>
      <w:r w:rsidRPr="6D7524F7" w:rsidR="00A938C0">
        <w:t xml:space="preserve">changes </w:t>
      </w:r>
      <w:r w:rsidR="00A938C0">
        <w:t>to earth station registration,</w:t>
      </w:r>
      <w:r w:rsidRPr="6D7524F7" w:rsidR="00A938C0">
        <w:t xml:space="preserve"> </w:t>
      </w:r>
      <w:r w:rsidR="00A938C0">
        <w:t>including</w:t>
      </w:r>
      <w:r w:rsidRPr="6D7524F7" w:rsidR="00A938C0">
        <w:t xml:space="preserve"> address or coordinate corrections, registration assignments, and other updates since the </w:t>
      </w:r>
      <w:r w:rsidRPr="00064B0D" w:rsidR="00A938C0">
        <w:rPr>
          <w:i/>
          <w:iCs/>
        </w:rPr>
        <w:t>August 3</w:t>
      </w:r>
      <w:r w:rsidRPr="00064B0D" w:rsidR="00A938C0">
        <w:rPr>
          <w:szCs w:val="22"/>
        </w:rPr>
        <w:t xml:space="preserve"> </w:t>
      </w:r>
      <w:r w:rsidRPr="00064B0D" w:rsidR="00A938C0">
        <w:rPr>
          <w:i/>
          <w:iCs/>
        </w:rPr>
        <w:t>Incumbent Earth Station PN</w:t>
      </w:r>
      <w:r w:rsidRPr="6D7524F7" w:rsidR="00A938C0">
        <w:t>.</w:t>
      </w:r>
      <w:r w:rsidR="00064B0D">
        <w:t xml:space="preserve">  </w:t>
      </w:r>
      <w:r w:rsidRPr="00064B0D">
        <w:rPr>
          <w:szCs w:val="22"/>
        </w:rPr>
        <w:t>The Bureau has not included on the list those earth stations for which it has dismissed applications as not meeting the criteria for incumbent status.  The Bur</w:t>
      </w:r>
      <w:r w:rsidRPr="00064B0D">
        <w:rPr>
          <w:szCs w:val="22"/>
        </w:rPr>
        <w:t>eau also has not included earth stations with authorizations classified as transmit-only in the 5.925-6.425 GHz portion of the C-band that do not include reception in the 3.7-4.2 GHz band.</w:t>
      </w:r>
      <w:r>
        <w:rPr>
          <w:vertAlign w:val="superscript"/>
        </w:rPr>
        <w:footnoteReference w:id="11"/>
      </w:r>
    </w:p>
    <w:p w:rsidR="009541AB" w:rsidRPr="00CC5537" w:rsidP="00254040">
      <w:pPr>
        <w:pStyle w:val="ParaNum"/>
      </w:pPr>
      <w:r w:rsidRPr="008A0E52">
        <w:rPr>
          <w:snapToGrid/>
        </w:rPr>
        <w:t>In addition, several commenters have provided the Bureau with not</w:t>
      </w:r>
      <w:r w:rsidRPr="008A0E52">
        <w:rPr>
          <w:snapToGrid/>
        </w:rPr>
        <w:t xml:space="preserve">ice of earth stations that are no longer in use or have advised that entries on the </w:t>
      </w:r>
      <w:r w:rsidRPr="008A0E52">
        <w:rPr>
          <w:i/>
          <w:iCs/>
          <w:snapToGrid/>
        </w:rPr>
        <w:t>August 3 Incumbent Earth Station</w:t>
      </w:r>
      <w:r w:rsidRPr="008A0E52">
        <w:rPr>
          <w:snapToGrid/>
        </w:rPr>
        <w:t xml:space="preserve"> PN list were duplicative.</w:t>
      </w:r>
      <w:r>
        <w:rPr>
          <w:vertAlign w:val="superscript"/>
        </w:rPr>
        <w:footnoteReference w:id="12"/>
      </w:r>
      <w:r w:rsidRPr="008A0E52">
        <w:rPr>
          <w:snapToGrid/>
        </w:rPr>
        <w:t xml:space="preserve">  </w:t>
      </w:r>
      <w:r w:rsidRPr="00CC5537" w:rsidR="006A6780">
        <w:rPr>
          <w:snapToGrid/>
          <w:kern w:val="0"/>
          <w:szCs w:val="22"/>
        </w:rPr>
        <w:t>Where all of the earth stations on a callsign are affected</w:t>
      </w:r>
      <w:r w:rsidR="00426CD4">
        <w:rPr>
          <w:snapToGrid/>
          <w:kern w:val="0"/>
          <w:szCs w:val="22"/>
        </w:rPr>
        <w:t>,</w:t>
      </w:r>
      <w:r w:rsidRPr="008A0E52" w:rsidR="006A6780">
        <w:rPr>
          <w:snapToGrid/>
        </w:rPr>
        <w:t xml:space="preserve"> </w:t>
      </w:r>
      <w:r w:rsidR="00426CD4">
        <w:rPr>
          <w:snapToGrid/>
        </w:rPr>
        <w:t>t</w:t>
      </w:r>
      <w:r w:rsidRPr="008A0E52">
        <w:rPr>
          <w:snapToGrid/>
        </w:rPr>
        <w:t xml:space="preserve">he Bureau has processed these notices as </w:t>
      </w:r>
      <w:r w:rsidRPr="008A0E52">
        <w:rPr>
          <w:snapToGrid/>
        </w:rPr>
        <w:t>surrender notices or has dismissed the underlying authorizations on delegated authority, and has removed any duplications.</w:t>
      </w:r>
      <w:r>
        <w:rPr>
          <w:vertAlign w:val="superscript"/>
        </w:rPr>
        <w:footnoteReference w:id="13"/>
      </w:r>
      <w:r w:rsidRPr="008A0E52">
        <w:rPr>
          <w:snapToGrid/>
        </w:rPr>
        <w:t xml:space="preserve">  The list should reflect these changes.  </w:t>
      </w:r>
      <w:r w:rsidRPr="00254040">
        <w:rPr>
          <w:snapToGrid/>
        </w:rPr>
        <w:t>As a reminder, all incumbent earth stations that continue to operate in</w:t>
      </w:r>
      <w:r w:rsidR="002F38E9">
        <w:rPr>
          <w:snapToGrid/>
        </w:rPr>
        <w:t xml:space="preserve"> the C-band during the </w:t>
      </w:r>
      <w:r w:rsidR="00AA0D8B">
        <w:rPr>
          <w:snapToGrid/>
        </w:rPr>
        <w:t>transition or in</w:t>
      </w:r>
      <w:r w:rsidRPr="00254040">
        <w:rPr>
          <w:snapToGrid/>
        </w:rPr>
        <w:t xml:space="preserve"> the 4.0-4.2 GHz band </w:t>
      </w:r>
      <w:r w:rsidR="00AA0D8B">
        <w:rPr>
          <w:snapToGrid/>
        </w:rPr>
        <w:t>afterwards must</w:t>
      </w:r>
      <w:r w:rsidRPr="00254040">
        <w:rPr>
          <w:snapToGrid/>
        </w:rPr>
        <w:t xml:space="preserve"> maintain a valid registration in IBFS</w:t>
      </w:r>
      <w:r w:rsidR="00DA72D4">
        <w:rPr>
          <w:snapToGrid/>
        </w:rPr>
        <w:t xml:space="preserve">; </w:t>
      </w:r>
      <w:r w:rsidRPr="00CC5537">
        <w:rPr>
          <w:snapToGrid/>
          <w:kern w:val="0"/>
          <w:szCs w:val="22"/>
        </w:rPr>
        <w:t>incumbent earth stations that terminate their operations in the C</w:t>
      </w:r>
      <w:r w:rsidR="0082032D">
        <w:rPr>
          <w:snapToGrid/>
          <w:kern w:val="0"/>
          <w:szCs w:val="22"/>
        </w:rPr>
        <w:t>-b</w:t>
      </w:r>
      <w:r w:rsidRPr="00CC5537">
        <w:rPr>
          <w:snapToGrid/>
          <w:kern w:val="0"/>
          <w:szCs w:val="22"/>
        </w:rPr>
        <w:t>and, whether as part of their lump sum election or independently, are required pursuant to t</w:t>
      </w:r>
      <w:r w:rsidRPr="00CC5537">
        <w:rPr>
          <w:snapToGrid/>
          <w:kern w:val="0"/>
          <w:szCs w:val="22"/>
        </w:rPr>
        <w:t>he Commission’s rules to notify the Commission when those earth stations are no longer operational.</w:t>
      </w:r>
      <w:r>
        <w:rPr>
          <w:vertAlign w:val="superscript"/>
        </w:rPr>
        <w:footnoteReference w:id="14"/>
      </w:r>
    </w:p>
    <w:p w:rsidR="00E07A32" w:rsidRPr="00974C03" w:rsidP="00A815A3">
      <w:pPr>
        <w:pStyle w:val="ParaNum"/>
      </w:pPr>
      <w:r w:rsidRPr="00426CD4">
        <w:rPr>
          <w:szCs w:val="22"/>
        </w:rPr>
        <w:br w:type="page"/>
      </w:r>
      <w:r w:rsidRPr="00284F21">
        <w:t xml:space="preserve">For ease of identification, the list of earth stations includes the following information from the IBFS database: (1) </w:t>
      </w:r>
      <w:r w:rsidRPr="00A815A3">
        <w:rPr>
          <w:snapToGrid/>
          <w:color w:val="000000"/>
          <w:kern w:val="0"/>
        </w:rPr>
        <w:t>Licensee/Registrant/Applicant</w:t>
      </w:r>
      <w:r w:rsidRPr="00284F21">
        <w:t xml:space="preserve"> name;</w:t>
      </w:r>
      <w:r w:rsidRPr="00284F21">
        <w:t xml:space="preserve"> (2)</w:t>
      </w:r>
      <w:r w:rsidRPr="00A815A3">
        <w:rPr>
          <w:snapToGrid/>
          <w:color w:val="000000"/>
          <w:kern w:val="0"/>
        </w:rPr>
        <w:t xml:space="preserve"> Earth Station Callsign; (3) Site ID; (4) Antenna ID; (5) number of antennas/dishes associated with that Antenna ID; (6) site address; (7) GPS coordinates of the antenna; and (8) File Number(s) of current authorization and/or pending application.</w:t>
      </w:r>
      <w:r>
        <w:rPr>
          <w:kern w:val="0"/>
          <w:vertAlign w:val="superscript"/>
        </w:rPr>
        <w:footnoteReference w:id="15"/>
      </w:r>
      <w:r w:rsidRPr="00A815A3">
        <w:rPr>
          <w:snapToGrid/>
          <w:color w:val="000000"/>
          <w:kern w:val="0"/>
        </w:rPr>
        <w:t xml:space="preserve">  </w:t>
      </w:r>
    </w:p>
    <w:p w:rsidR="00CC5537" w:rsidP="00E07A32">
      <w:pPr>
        <w:widowControl/>
        <w:spacing w:after="120"/>
        <w:ind w:firstLine="720"/>
        <w:jc w:val="center"/>
        <w:rPr>
          <w:snapToGrid/>
          <w:kern w:val="0"/>
          <w:szCs w:val="22"/>
        </w:rPr>
      </w:pPr>
    </w:p>
    <w:p w:rsidR="00E07A32" w:rsidRPr="00A815A3" w:rsidP="00A815A3">
      <w:pPr>
        <w:spacing w:after="120"/>
        <w:jc w:val="center"/>
        <w:rPr>
          <w:b/>
          <w:bCs/>
          <w:snapToGrid/>
        </w:rPr>
      </w:pPr>
      <w:r w:rsidRPr="00A815A3">
        <w:rPr>
          <w:b/>
          <w:bCs/>
          <w:snapToGrid/>
          <w:kern w:val="0"/>
          <w:szCs w:val="22"/>
        </w:rPr>
        <w:t>-FCC-</w:t>
      </w:r>
    </w:p>
    <w:p w:rsidR="00352DD0" w:rsidRPr="00352DD0" w:rsidP="00C247B5">
      <w:pPr>
        <w:spacing w:after="120"/>
        <w:ind w:firstLine="720"/>
      </w:pPr>
      <w:r w:rsidRPr="00E07A32">
        <w:rPr>
          <w:szCs w:val="22"/>
        </w:rPr>
        <w:t xml:space="preserve">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P="0055614C">
    <w:pPr>
      <w:pStyle w:val="Footer"/>
      <w:framePr w:wrap="around" w:vAnchor="text" w:hAnchor="margin" w:xAlign="center" w:y="1"/>
    </w:pPr>
    <w:r>
      <w:fldChar w:fldCharType="begin"/>
    </w:r>
    <w:r>
      <w:instrText xml:space="preserve">PAGE  </w:instrText>
    </w:r>
    <w:r>
      <w:fldChar w:fldCharType="separate"/>
    </w:r>
    <w:r>
      <w:fldChar w:fldCharType="end"/>
    </w:r>
  </w:p>
  <w:p w:rsidR="009F0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076F">
      <w:r>
        <w:separator/>
      </w:r>
    </w:p>
  </w:footnote>
  <w:footnote w:type="continuationSeparator" w:id="1">
    <w:p w:rsidR="00A6076F">
      <w:pPr>
        <w:rPr>
          <w:sz w:val="20"/>
        </w:rPr>
      </w:pPr>
      <w:r>
        <w:rPr>
          <w:sz w:val="20"/>
        </w:rPr>
        <w:t xml:space="preserve">(Continued from previous page)  </w:t>
      </w:r>
      <w:r>
        <w:rPr>
          <w:sz w:val="20"/>
        </w:rPr>
        <w:separator/>
      </w:r>
    </w:p>
  </w:footnote>
  <w:footnote w:type="continuationNotice" w:id="2">
    <w:p w:rsidR="00A6076F" w:rsidP="00910F12">
      <w:pPr>
        <w:jc w:val="right"/>
        <w:rPr>
          <w:sz w:val="20"/>
        </w:rPr>
      </w:pPr>
      <w:r>
        <w:rPr>
          <w:sz w:val="20"/>
        </w:rPr>
        <w:t>(continued….)</w:t>
      </w:r>
    </w:p>
  </w:footnote>
  <w:footnote w:id="3">
    <w:p w:rsidR="009F0013" w:rsidRPr="00CD0DFC" w:rsidP="00515B8F">
      <w:pPr>
        <w:pStyle w:val="FootnoteText"/>
      </w:pPr>
      <w:r w:rsidRPr="00CD0DFC">
        <w:rPr>
          <w:rStyle w:val="FootnoteReference"/>
          <w:sz w:val="20"/>
        </w:rPr>
        <w:footnoteRef/>
      </w:r>
      <w:r w:rsidRPr="00CD0DFC">
        <w:t xml:space="preserve"> </w:t>
      </w:r>
      <w:r w:rsidRPr="00CD0DFC">
        <w:rPr>
          <w:i/>
          <w:iCs/>
        </w:rPr>
        <w:t xml:space="preserve">See </w:t>
      </w:r>
      <w:r w:rsidRPr="00CD0DFC">
        <w:t>47 CFR § 27.1411(b)(3).  The C-</w:t>
      </w:r>
      <w:r w:rsidR="00A54C74">
        <w:t>b</w:t>
      </w:r>
      <w:r w:rsidRPr="00CD0DFC">
        <w:t>and transition is not occurring outside the contiguous United State</w:t>
      </w:r>
      <w:r w:rsidRPr="00CD0DFC">
        <w:t>s, but U.S. licensed or registered earth stations in those locations may seek reimbursement of costs directly related to the transition if they satisfy the criteria for incumbent earth station status.  Those earth stations, however, are not eligible to ele</w:t>
      </w:r>
      <w:r w:rsidRPr="00CD0DFC">
        <w:t>ct lump sum payments.</w:t>
      </w:r>
    </w:p>
  </w:footnote>
  <w:footnote w:id="4">
    <w:p w:rsidR="009F0013" w:rsidRPr="005E29B7" w:rsidP="00515B8F">
      <w:pPr>
        <w:pStyle w:val="FootnoteText"/>
      </w:pPr>
      <w:r w:rsidRPr="00CD0DFC">
        <w:rPr>
          <w:rStyle w:val="FootnoteReference"/>
          <w:sz w:val="20"/>
        </w:rPr>
        <w:footnoteRef/>
      </w:r>
      <w:r w:rsidRPr="00CD0DFC">
        <w:t xml:space="preserve"> </w:t>
      </w:r>
      <w:r w:rsidRPr="00CD0DFC">
        <w:rPr>
          <w:i/>
          <w:iCs/>
        </w:rPr>
        <w:t>Expanding Flexible Use of the 3.7 to 4.2 GHz Band</w:t>
      </w:r>
      <w:r w:rsidRPr="00CD0DFC">
        <w:t>, Report and Ord</w:t>
      </w:r>
      <w:r w:rsidRPr="002D63EB">
        <w:t xml:space="preserve">er and Order of Proposed Modification, </w:t>
      </w:r>
      <w:r w:rsidRPr="001967D6">
        <w:t>35 FCC Rcd</w:t>
      </w:r>
      <w:r w:rsidRPr="00FB6BEB">
        <w:rPr>
          <w:i/>
          <w:iCs/>
        </w:rPr>
        <w:t xml:space="preserve"> </w:t>
      </w:r>
      <w:r w:rsidRPr="002734B0">
        <w:t>2343, 2391,</w:t>
      </w:r>
      <w:r w:rsidRPr="0007566D">
        <w:t xml:space="preserve"> paras. 1</w:t>
      </w:r>
      <w:r w:rsidRPr="00BD0173">
        <w:t>16-2</w:t>
      </w:r>
      <w:r w:rsidRPr="005B3173">
        <w:t>3 (2020) (</w:t>
      </w:r>
      <w:r w:rsidRPr="0063651B">
        <w:rPr>
          <w:i/>
          <w:iCs/>
        </w:rPr>
        <w:t xml:space="preserve">3.7 GHz </w:t>
      </w:r>
      <w:r>
        <w:rPr>
          <w:i/>
          <w:iCs/>
        </w:rPr>
        <w:t xml:space="preserve">Band </w:t>
      </w:r>
      <w:r w:rsidRPr="0063651B">
        <w:rPr>
          <w:i/>
          <w:iCs/>
        </w:rPr>
        <w:t>Report and Order</w:t>
      </w:r>
      <w:r w:rsidRPr="00C247B5">
        <w:t>)</w:t>
      </w:r>
      <w:r w:rsidRPr="00D92D29">
        <w:t xml:space="preserve">.  </w:t>
      </w:r>
      <w:r w:rsidRPr="00997252">
        <w:rPr>
          <w:color w:val="000000"/>
        </w:rPr>
        <w:t xml:space="preserve">The </w:t>
      </w:r>
      <w:r w:rsidRPr="00997252">
        <w:rPr>
          <w:i/>
          <w:iCs/>
        </w:rPr>
        <w:t>3.7 GHz Band Report and Order</w:t>
      </w:r>
      <w:r w:rsidRPr="00997252">
        <w:rPr>
          <w:color w:val="000000"/>
        </w:rPr>
        <w:t xml:space="preserve"> specifically rejected a request to open an additional earth station filing window.  </w:t>
      </w:r>
      <w:r w:rsidRPr="00997252">
        <w:rPr>
          <w:i/>
          <w:iCs/>
          <w:color w:val="000000"/>
        </w:rPr>
        <w:t>Id.</w:t>
      </w:r>
      <w:r w:rsidRPr="005E29B7">
        <w:rPr>
          <w:color w:val="000000"/>
        </w:rPr>
        <w:t xml:space="preserve"> at 2391, paras. 120-21.</w:t>
      </w:r>
    </w:p>
  </w:footnote>
  <w:footnote w:id="5">
    <w:p w:rsidR="009F0013" w:rsidRPr="0063651B" w:rsidP="00515B8F">
      <w:pPr>
        <w:pStyle w:val="FootnoteText"/>
      </w:pPr>
      <w:r w:rsidRPr="00CD0DFC">
        <w:rPr>
          <w:rStyle w:val="FootnoteReference"/>
          <w:sz w:val="20"/>
        </w:rPr>
        <w:footnoteRef/>
      </w:r>
      <w:r w:rsidRPr="00CD0DFC">
        <w:t xml:space="preserve"> </w:t>
      </w:r>
      <w:r w:rsidRPr="00CD0DFC">
        <w:rPr>
          <w:i/>
          <w:iCs/>
        </w:rPr>
        <w:t>3.7 GHz</w:t>
      </w:r>
      <w:r w:rsidRPr="00CD0DFC">
        <w:rPr>
          <w:i/>
        </w:rPr>
        <w:t xml:space="preserve"> </w:t>
      </w:r>
      <w:r w:rsidRPr="002D63EB">
        <w:rPr>
          <w:i/>
          <w:iCs/>
        </w:rPr>
        <w:t>Repo</w:t>
      </w:r>
      <w:r w:rsidRPr="001967D6">
        <w:rPr>
          <w:i/>
          <w:iCs/>
        </w:rPr>
        <w:t xml:space="preserve">rt and </w:t>
      </w:r>
      <w:r w:rsidRPr="00FB6BEB">
        <w:rPr>
          <w:i/>
          <w:iCs/>
        </w:rPr>
        <w:t>Orde</w:t>
      </w:r>
      <w:r w:rsidRPr="002734B0">
        <w:rPr>
          <w:i/>
          <w:iCs/>
        </w:rPr>
        <w:t>r</w:t>
      </w:r>
      <w:r w:rsidRPr="002734B0">
        <w:t>, 35 FCC Rcd</w:t>
      </w:r>
      <w:r w:rsidRPr="002734B0">
        <w:rPr>
          <w:i/>
          <w:iCs/>
        </w:rPr>
        <w:t xml:space="preserve"> </w:t>
      </w:r>
      <w:r w:rsidRPr="002734B0">
        <w:t>at 239</w:t>
      </w:r>
      <w:r w:rsidRPr="0007566D">
        <w:t>1, pa</w:t>
      </w:r>
      <w:r w:rsidRPr="00BD0173">
        <w:t>ra. 1</w:t>
      </w:r>
      <w:r w:rsidRPr="005B3173">
        <w:t>16</w:t>
      </w:r>
      <w:r w:rsidRPr="0063651B">
        <w:t>.</w:t>
      </w:r>
    </w:p>
  </w:footnote>
  <w:footnote w:id="6">
    <w:p w:rsidR="009F0013" w:rsidRPr="00CA258C" w:rsidP="00515B8F">
      <w:pPr>
        <w:pStyle w:val="FootnoteText"/>
      </w:pPr>
      <w:r w:rsidRPr="00CD0DFC">
        <w:rPr>
          <w:rStyle w:val="FootnoteReference"/>
          <w:sz w:val="20"/>
        </w:rPr>
        <w:footnoteRef/>
      </w:r>
      <w:r w:rsidRPr="00CD0DFC">
        <w:t xml:space="preserve"> </w:t>
      </w:r>
      <w:r w:rsidRPr="00CD0DFC">
        <w:rPr>
          <w:i/>
          <w:iCs/>
        </w:rPr>
        <w:t>Id.</w:t>
      </w:r>
      <w:r w:rsidRPr="00CD0DFC">
        <w:t xml:space="preserve"> at 239</w:t>
      </w:r>
      <w:r w:rsidRPr="002D63EB">
        <w:t xml:space="preserve">1, </w:t>
      </w:r>
      <w:r w:rsidRPr="001967D6">
        <w:t>para. 117</w:t>
      </w:r>
      <w:r w:rsidRPr="00FB6BEB">
        <w:t>;</w:t>
      </w:r>
      <w:r w:rsidRPr="002734B0">
        <w:t xml:space="preserve"> 47 CFR </w:t>
      </w:r>
      <w:bookmarkStart w:id="1" w:name="_Hlk46956274"/>
      <w:r w:rsidRPr="002734B0">
        <w:t>§ </w:t>
      </w:r>
      <w:bookmarkEnd w:id="1"/>
      <w:r w:rsidRPr="002734B0">
        <w:t>27.</w:t>
      </w:r>
      <w:r w:rsidRPr="0007566D">
        <w:t>1411(b)(3) (defining incumbent earth stati</w:t>
      </w:r>
      <w:r w:rsidRPr="00BD0173">
        <w:t>ons)</w:t>
      </w:r>
      <w:r w:rsidRPr="00BD0173">
        <w:t>;</w:t>
      </w:r>
      <w:r w:rsidRPr="005B3173">
        <w:t xml:space="preserve"> 47 CFR § 2</w:t>
      </w:r>
      <w:r w:rsidRPr="0063651B">
        <w:t>5.</w:t>
      </w:r>
      <w:r w:rsidRPr="00D92D29">
        <w:t xml:space="preserve">121 </w:t>
      </w:r>
      <w:r w:rsidRPr="00997252">
        <w:t>(describing earth</w:t>
      </w:r>
      <w:r w:rsidRPr="005E29B7">
        <w:t xml:space="preserve"> station renewal requirements). </w:t>
      </w:r>
      <w:r w:rsidRPr="00732149">
        <w:t xml:space="preserve"> </w:t>
      </w:r>
      <w:r w:rsidRPr="00732149">
        <w:rPr>
          <w:i/>
          <w:iCs/>
        </w:rPr>
        <w:t>See also</w:t>
      </w:r>
      <w:r>
        <w:rPr>
          <w:i/>
          <w:iCs/>
        </w:rPr>
        <w:t xml:space="preserve"> August 3</w:t>
      </w:r>
      <w:r w:rsidRPr="00100DDB">
        <w:rPr>
          <w:i/>
          <w:iCs/>
        </w:rPr>
        <w:t xml:space="preserve"> Incu</w:t>
      </w:r>
      <w:r w:rsidRPr="00522132">
        <w:rPr>
          <w:i/>
          <w:iCs/>
        </w:rPr>
        <w:t xml:space="preserve">mbent Earth Station </w:t>
      </w:r>
      <w:r>
        <w:rPr>
          <w:i/>
          <w:iCs/>
        </w:rPr>
        <w:t>PN</w:t>
      </w:r>
      <w:r w:rsidRPr="009A3514">
        <w:t xml:space="preserve"> </w:t>
      </w:r>
      <w:r w:rsidRPr="00491DEF">
        <w:t>at 2.</w:t>
      </w:r>
      <w:r w:rsidRPr="00CA258C">
        <w:t xml:space="preserve"> </w:t>
      </w:r>
    </w:p>
  </w:footnote>
  <w:footnote w:id="7">
    <w:p w:rsidR="00064B0D" w:rsidRPr="00D92D29" w:rsidP="00064B0D">
      <w:pPr>
        <w:pStyle w:val="FootnoteText"/>
      </w:pPr>
      <w:r w:rsidRPr="00997252">
        <w:rPr>
          <w:rStyle w:val="FootnoteReference"/>
          <w:sz w:val="20"/>
        </w:rPr>
        <w:footnoteRef/>
      </w:r>
      <w:r w:rsidRPr="00CD0DFC">
        <w:t xml:space="preserve"> </w:t>
      </w:r>
      <w:r w:rsidRPr="002D63EB">
        <w:rPr>
          <w:i/>
          <w:iCs/>
        </w:rPr>
        <w:t>3.7 GHz</w:t>
      </w:r>
      <w:r w:rsidRPr="002D63EB">
        <w:rPr>
          <w:i/>
        </w:rPr>
        <w:t xml:space="preserve"> </w:t>
      </w:r>
      <w:r w:rsidRPr="001967D6">
        <w:rPr>
          <w:i/>
          <w:iCs/>
        </w:rPr>
        <w:t>Report and Order</w:t>
      </w:r>
      <w:r w:rsidRPr="001967D6">
        <w:t>, 35 FCC Rcd</w:t>
      </w:r>
      <w:r w:rsidRPr="00FB6BEB">
        <w:t xml:space="preserve"> at 239</w:t>
      </w:r>
      <w:r w:rsidRPr="002734B0">
        <w:t>3-94, par</w:t>
      </w:r>
      <w:r w:rsidRPr="00F26F13">
        <w:t>a. 122.</w:t>
      </w:r>
      <w:r w:rsidRPr="0007566D">
        <w:t xml:space="preserve">  </w:t>
      </w:r>
      <w:r w:rsidRPr="00BD0173">
        <w:t>Similarly, the Bureau is charged with</w:t>
      </w:r>
      <w:r w:rsidRPr="005B3173">
        <w:t xml:space="preserve"> assessing </w:t>
      </w:r>
      <w:r w:rsidRPr="0063651B">
        <w:t xml:space="preserve">whether </w:t>
      </w:r>
      <w:r w:rsidRPr="0063651B">
        <w:t>certifications were filed on a timely basis</w:t>
      </w:r>
      <w:r w:rsidRPr="00D92D29">
        <w:t>.</w:t>
      </w:r>
    </w:p>
  </w:footnote>
  <w:footnote w:id="8">
    <w:p w:rsidR="009F0013" w:rsidRPr="00997252" w:rsidP="002A4D8D">
      <w:pPr>
        <w:pStyle w:val="FootnoteText"/>
      </w:pPr>
      <w:r w:rsidRPr="00997252">
        <w:rPr>
          <w:rStyle w:val="FootnoteReference"/>
          <w:sz w:val="20"/>
        </w:rPr>
        <w:footnoteRef/>
      </w:r>
      <w:r w:rsidRPr="00CD0DFC">
        <w:t xml:space="preserve"> </w:t>
      </w:r>
      <w:r w:rsidRPr="002D63EB">
        <w:rPr>
          <w:i/>
          <w:iCs/>
        </w:rPr>
        <w:t>See Internatio</w:t>
      </w:r>
      <w:r w:rsidRPr="001967D6">
        <w:rPr>
          <w:i/>
          <w:iCs/>
        </w:rPr>
        <w:t xml:space="preserve">nal Bureau </w:t>
      </w:r>
      <w:r>
        <w:rPr>
          <w:i/>
          <w:iCs/>
        </w:rPr>
        <w:t>Releases</w:t>
      </w:r>
      <w:r w:rsidRPr="00FB6BEB">
        <w:rPr>
          <w:i/>
          <w:iCs/>
        </w:rPr>
        <w:t xml:space="preserve"> List of Incu</w:t>
      </w:r>
      <w:r w:rsidRPr="002734B0">
        <w:rPr>
          <w:i/>
          <w:iCs/>
        </w:rPr>
        <w:t xml:space="preserve">mbent Earth Stations in the 3.7-4.2 GHz Band in the Contiguous United </w:t>
      </w:r>
      <w:r w:rsidRPr="00F26F13">
        <w:rPr>
          <w:i/>
          <w:iCs/>
        </w:rPr>
        <w:t>S</w:t>
      </w:r>
      <w:r w:rsidRPr="0007566D">
        <w:rPr>
          <w:i/>
          <w:iCs/>
        </w:rPr>
        <w:t>tates</w:t>
      </w:r>
      <w:r w:rsidRPr="0007566D">
        <w:t xml:space="preserve">, </w:t>
      </w:r>
      <w:r w:rsidRPr="00BD0173">
        <w:t>Public Notice, DA 20-</w:t>
      </w:r>
      <w:r>
        <w:t>823</w:t>
      </w:r>
      <w:r w:rsidRPr="0063651B">
        <w:t xml:space="preserve"> (</w:t>
      </w:r>
      <w:r>
        <w:t>Aug.</w:t>
      </w:r>
      <w:r w:rsidRPr="00D92D29">
        <w:t xml:space="preserve"> </w:t>
      </w:r>
      <w:r>
        <w:t>3</w:t>
      </w:r>
      <w:r w:rsidRPr="00D92D29">
        <w:t xml:space="preserve">, 2020) </w:t>
      </w:r>
      <w:r w:rsidRPr="00997252">
        <w:t>(</w:t>
      </w:r>
      <w:r>
        <w:rPr>
          <w:i/>
          <w:iCs/>
        </w:rPr>
        <w:t>August 3</w:t>
      </w:r>
      <w:r w:rsidRPr="00997252">
        <w:rPr>
          <w:i/>
          <w:iCs/>
        </w:rPr>
        <w:t xml:space="preserve"> Incumbent Earth Station List</w:t>
      </w:r>
      <w:r>
        <w:rPr>
          <w:i/>
          <w:iCs/>
        </w:rPr>
        <w:t xml:space="preserve"> P</w:t>
      </w:r>
      <w:r w:rsidRPr="00997252">
        <w:rPr>
          <w:i/>
          <w:iCs/>
        </w:rPr>
        <w:t>N</w:t>
      </w:r>
      <w:r w:rsidRPr="00997252">
        <w:t xml:space="preserve">). </w:t>
      </w:r>
      <w:r w:rsidRPr="00E14A7D">
        <w:rPr>
          <w:color w:val="000000"/>
          <w:szCs w:val="22"/>
        </w:rPr>
        <w:t xml:space="preserve">  </w:t>
      </w:r>
    </w:p>
  </w:footnote>
  <w:footnote w:id="9">
    <w:p w:rsidR="00064B0D" w:rsidRPr="005B3173" w:rsidP="00064B0D">
      <w:pPr>
        <w:pStyle w:val="FootnoteText"/>
      </w:pPr>
      <w:r w:rsidRPr="00997252">
        <w:rPr>
          <w:rStyle w:val="FootnoteReference"/>
          <w:sz w:val="20"/>
        </w:rPr>
        <w:footnoteRef/>
      </w:r>
      <w:r w:rsidRPr="00CD0DFC">
        <w:t xml:space="preserve"> A l</w:t>
      </w:r>
      <w:r w:rsidRPr="002D63EB">
        <w:t xml:space="preserve">imited number of applications </w:t>
      </w:r>
      <w:r w:rsidRPr="001967D6">
        <w:t xml:space="preserve">that appear on the attached list </w:t>
      </w:r>
      <w:r w:rsidRPr="00FB6BEB">
        <w:t>remain pending because</w:t>
      </w:r>
      <w:r w:rsidRPr="002734B0">
        <w:t xml:space="preserve"> they appeared on </w:t>
      </w:r>
      <w:r>
        <w:t xml:space="preserve">a </w:t>
      </w:r>
      <w:r w:rsidRPr="002734B0">
        <w:t>Bureau</w:t>
      </w:r>
      <w:r>
        <w:t xml:space="preserve"> </w:t>
      </w:r>
      <w:r w:rsidRPr="00F26F13">
        <w:t>Accepted for Filing</w:t>
      </w:r>
      <w:r w:rsidRPr="0007566D">
        <w:t xml:space="preserve"> </w:t>
      </w:r>
      <w:r>
        <w:t>Public Notice</w:t>
      </w:r>
      <w:r w:rsidRPr="00BD0173">
        <w:t xml:space="preserve"> fewer than 30 days ago and </w:t>
      </w:r>
      <w:r w:rsidRPr="005B3173">
        <w:t xml:space="preserve">so are not yet ripe for </w:t>
      </w:r>
      <w:r>
        <w:t>final determinat</w:t>
      </w:r>
      <w:r>
        <w:t>ion</w:t>
      </w:r>
      <w:r w:rsidRPr="005B3173">
        <w:t xml:space="preserve">.  </w:t>
      </w:r>
    </w:p>
  </w:footnote>
  <w:footnote w:id="10">
    <w:p w:rsidR="009F0013" w:rsidRPr="00997252" w:rsidP="00E07A32">
      <w:pPr>
        <w:pStyle w:val="FootnoteText"/>
      </w:pPr>
      <w:r w:rsidRPr="00997252">
        <w:rPr>
          <w:rStyle w:val="FootnoteReference"/>
          <w:sz w:val="20"/>
        </w:rPr>
        <w:footnoteRef/>
      </w:r>
      <w:r w:rsidRPr="00CD0DFC">
        <w:t xml:space="preserve"> </w:t>
      </w:r>
      <w:r w:rsidRPr="002D63EB">
        <w:t>Any earth station</w:t>
      </w:r>
      <w:r w:rsidRPr="001967D6">
        <w:t xml:space="preserve"> registrations that f</w:t>
      </w:r>
      <w:r w:rsidRPr="00FB6BEB">
        <w:t xml:space="preserve">ail to qualify </w:t>
      </w:r>
      <w:r w:rsidRPr="002734B0">
        <w:t>for incumbent status will be remove</w:t>
      </w:r>
      <w:r w:rsidRPr="00F26F13">
        <w:t>d as an active</w:t>
      </w:r>
      <w:r w:rsidRPr="0007566D">
        <w:t xml:space="preserve"> registra</w:t>
      </w:r>
      <w:r w:rsidRPr="00BD0173">
        <w:t xml:space="preserve">tion from IBFS.  </w:t>
      </w:r>
      <w:r w:rsidRPr="005B3173">
        <w:rPr>
          <w:i/>
          <w:iCs/>
        </w:rPr>
        <w:t>See 3.7 GHz Report and Order</w:t>
      </w:r>
      <w:r w:rsidRPr="005B3173">
        <w:t xml:space="preserve">, 35 FCC Rcd at 2394, para. 123.  </w:t>
      </w:r>
    </w:p>
  </w:footnote>
  <w:footnote w:id="11">
    <w:p w:rsidR="009F0013" w:rsidRPr="00D92D29" w:rsidP="00E07A32">
      <w:pPr>
        <w:pStyle w:val="FootnoteText"/>
      </w:pPr>
      <w:r w:rsidRPr="00CD0DFC">
        <w:rPr>
          <w:rStyle w:val="FootnoteReference"/>
          <w:sz w:val="20"/>
        </w:rPr>
        <w:footnoteRef/>
      </w:r>
      <w:r w:rsidRPr="00CD0DFC">
        <w:t xml:space="preserve"> </w:t>
      </w:r>
      <w:r w:rsidRPr="002D63EB">
        <w:rPr>
          <w:i/>
          <w:iCs/>
        </w:rPr>
        <w:t xml:space="preserve">See </w:t>
      </w:r>
      <w:r w:rsidRPr="002D63EB">
        <w:t xml:space="preserve">Comments of </w:t>
      </w:r>
      <w:r w:rsidRPr="001967D6">
        <w:t>PSSI Global Services, L.</w:t>
      </w:r>
      <w:r w:rsidRPr="00FB6BEB">
        <w:t xml:space="preserve">L.C.at </w:t>
      </w:r>
      <w:r w:rsidRPr="002734B0">
        <w:t xml:space="preserve">3 </w:t>
      </w:r>
      <w:r w:rsidRPr="002734B0">
        <w:t>(filed July 16, 2020)</w:t>
      </w:r>
      <w:r w:rsidRPr="00F26F13">
        <w:t xml:space="preserve"> (listing </w:t>
      </w:r>
      <w:r w:rsidRPr="0007566D">
        <w:t>E110081</w:t>
      </w:r>
      <w:r w:rsidRPr="00BD0173">
        <w:t xml:space="preserve">, E130075, E920096, E080053, E090175, E080052, and </w:t>
      </w:r>
      <w:r w:rsidRPr="005B3173">
        <w:t>E980388).  Authorizations to transmit in the 5.925-6.425 GHz band are unaffected</w:t>
      </w:r>
      <w:r w:rsidRPr="0063651B">
        <w:t xml:space="preserve">. </w:t>
      </w:r>
    </w:p>
  </w:footnote>
  <w:footnote w:id="12">
    <w:p w:rsidR="009F0013" w:rsidRPr="001967D6" w:rsidP="00E07A32">
      <w:pPr>
        <w:pStyle w:val="FootnoteText"/>
      </w:pPr>
      <w:r w:rsidRPr="00CD0DFC">
        <w:rPr>
          <w:rStyle w:val="FootnoteReference"/>
          <w:sz w:val="20"/>
        </w:rPr>
        <w:footnoteRef/>
      </w:r>
      <w:r w:rsidRPr="00CD0DFC">
        <w:t xml:space="preserve"> </w:t>
      </w:r>
      <w:r w:rsidRPr="00004DBC">
        <w:rPr>
          <w:i/>
        </w:rPr>
        <w:t>See, e.g.</w:t>
      </w:r>
      <w:r w:rsidRPr="00C247B5">
        <w:rPr>
          <w:iCs/>
        </w:rPr>
        <w:t>,</w:t>
      </w:r>
      <w:r w:rsidRPr="002D63EB">
        <w:t xml:space="preserve"> </w:t>
      </w:r>
      <w:r>
        <w:t>Letter from Mark J. Palchick</w:t>
      </w:r>
      <w:r>
        <w:t xml:space="preserve">, Counsel for Massillon, to Marlene H. Dortch, Secretary, Federal Communications Commission (filed Oct. 14, 2020). </w:t>
      </w:r>
    </w:p>
  </w:footnote>
  <w:footnote w:id="13">
    <w:p w:rsidR="009F0013" w:rsidRPr="00997252" w:rsidP="00E07A32">
      <w:pPr>
        <w:pStyle w:val="FootnoteText"/>
        <w:rPr>
          <w:b/>
          <w:bCs/>
        </w:rPr>
      </w:pPr>
      <w:r w:rsidRPr="00E95C46">
        <w:rPr>
          <w:rStyle w:val="FootnoteReference"/>
          <w:sz w:val="20"/>
        </w:rPr>
        <w:footnoteRef/>
      </w:r>
      <w:r w:rsidRPr="00CD0DFC">
        <w:rPr>
          <w:i/>
          <w:iCs/>
        </w:rPr>
        <w:t xml:space="preserve"> </w:t>
      </w:r>
      <w:r w:rsidRPr="002D63EB">
        <w:rPr>
          <w:i/>
          <w:iCs/>
        </w:rPr>
        <w:t>See, e.g.,</w:t>
      </w:r>
      <w:r w:rsidRPr="001967D6">
        <w:t xml:space="preserve"> International Bureau Report </w:t>
      </w:r>
      <w:r w:rsidRPr="00FB6BEB">
        <w:t>No. SES-022</w:t>
      </w:r>
      <w:r>
        <w:t>95</w:t>
      </w:r>
      <w:r w:rsidRPr="002734B0">
        <w:t>, Satellite Communications Servic</w:t>
      </w:r>
      <w:r w:rsidRPr="00F26F13">
        <w:t>es Information Re: Action Taken (</w:t>
      </w:r>
      <w:r>
        <w:t>Oct.</w:t>
      </w:r>
      <w:r w:rsidRPr="00F26F13">
        <w:t xml:space="preserve"> 1, 20</w:t>
      </w:r>
      <w:r w:rsidRPr="0007566D">
        <w:t>2</w:t>
      </w:r>
      <w:r w:rsidRPr="00BD0173">
        <w:t>0); Inter</w:t>
      </w:r>
      <w:r w:rsidRPr="00BD0173">
        <w:t>natio</w:t>
      </w:r>
      <w:r w:rsidRPr="005B3173">
        <w:t>nal Bureau Report No. SES-022</w:t>
      </w:r>
      <w:r>
        <w:t>98</w:t>
      </w:r>
      <w:r w:rsidRPr="005B3173">
        <w:t xml:space="preserve">, Satellite Communications Services Information Re: Action Taken </w:t>
      </w:r>
      <w:r w:rsidRPr="0063651B">
        <w:t>(</w:t>
      </w:r>
      <w:r>
        <w:t>Oct. 7</w:t>
      </w:r>
      <w:r w:rsidRPr="00D92D29">
        <w:t>, 2020</w:t>
      </w:r>
      <w:r w:rsidRPr="00997252">
        <w:t>); and International Bureau Report No. SES-02</w:t>
      </w:r>
      <w:r>
        <w:t>309</w:t>
      </w:r>
      <w:r w:rsidRPr="00997252">
        <w:t>, Satellite Communications Services Information Re: Action Taken (</w:t>
      </w:r>
      <w:r>
        <w:t>Oct. 14</w:t>
      </w:r>
      <w:r w:rsidRPr="00997252">
        <w:t>, 2020).</w:t>
      </w:r>
      <w:r>
        <w:t xml:space="preserve"> </w:t>
      </w:r>
      <w:r w:rsidR="006501BC">
        <w:t xml:space="preserve"> </w:t>
      </w:r>
      <w:r w:rsidRPr="006501BC" w:rsidR="006501BC">
        <w:t>Where notices state that some, but not all, of the earth stations on a callsign are no longer operational, the Bureau has processed the notices by removing those earth stations as valid antennas under the callsign.</w:t>
      </w:r>
    </w:p>
  </w:footnote>
  <w:footnote w:id="14">
    <w:p w:rsidR="009541AB" w:rsidRPr="005E2C0D" w:rsidP="009541AB">
      <w:pPr>
        <w:spacing w:after="120"/>
      </w:pPr>
      <w:r>
        <w:rPr>
          <w:rStyle w:val="FootnoteReference"/>
        </w:rPr>
        <w:footnoteRef/>
      </w:r>
      <w:r>
        <w:t xml:space="preserve"> </w:t>
      </w:r>
      <w:r w:rsidRPr="00E14A7D">
        <w:rPr>
          <w:sz w:val="20"/>
        </w:rPr>
        <w:t>47 CFR § 25.115(b)(8)</w:t>
      </w:r>
      <w:r>
        <w:rPr>
          <w:sz w:val="20"/>
        </w:rPr>
        <w:t>.</w:t>
      </w:r>
    </w:p>
  </w:footnote>
  <w:footnote w:id="15">
    <w:p w:rsidR="009F0013" w:rsidRPr="00997252" w:rsidP="00B32581">
      <w:pPr>
        <w:widowControl/>
        <w:spacing w:after="120"/>
        <w:contextualSpacing/>
        <w:rPr>
          <w:snapToGrid/>
          <w:color w:val="000000"/>
          <w:kern w:val="0"/>
          <w:sz w:val="20"/>
        </w:rPr>
      </w:pPr>
      <w:r w:rsidRPr="00CD0DFC">
        <w:rPr>
          <w:rStyle w:val="FootnoteReference"/>
          <w:sz w:val="20"/>
        </w:rPr>
        <w:footnoteRef/>
      </w:r>
      <w:r w:rsidRPr="00CD0DFC">
        <w:rPr>
          <w:sz w:val="20"/>
        </w:rPr>
        <w:t xml:space="preserve"> </w:t>
      </w:r>
      <w:r w:rsidRPr="002D63EB">
        <w:rPr>
          <w:sz w:val="20"/>
        </w:rPr>
        <w:t>Certain C-</w:t>
      </w:r>
      <w:r>
        <w:rPr>
          <w:sz w:val="20"/>
        </w:rPr>
        <w:t>b</w:t>
      </w:r>
      <w:r w:rsidRPr="001967D6">
        <w:rPr>
          <w:sz w:val="20"/>
        </w:rPr>
        <w:t xml:space="preserve">and certifications </w:t>
      </w:r>
      <w:r w:rsidRPr="00FB6BEB">
        <w:rPr>
          <w:sz w:val="20"/>
        </w:rPr>
        <w:t xml:space="preserve">were timely </w:t>
      </w:r>
      <w:r w:rsidRPr="002734B0">
        <w:rPr>
          <w:sz w:val="20"/>
        </w:rPr>
        <w:t>filed in association with File Num</w:t>
      </w:r>
      <w:r w:rsidRPr="00F26F13">
        <w:rPr>
          <w:sz w:val="20"/>
        </w:rPr>
        <w:t>bers th</w:t>
      </w:r>
      <w:r w:rsidRPr="0007566D">
        <w:rPr>
          <w:sz w:val="20"/>
        </w:rPr>
        <w:t>at have</w:t>
      </w:r>
      <w:r w:rsidRPr="00BD0173">
        <w:rPr>
          <w:sz w:val="20"/>
        </w:rPr>
        <w:t xml:space="preserve"> since been superseded by later filings</w:t>
      </w:r>
      <w:r w:rsidRPr="005B3173">
        <w:rPr>
          <w:sz w:val="20"/>
        </w:rPr>
        <w:t>; in the list, those earth stations can be identified by the</w:t>
      </w:r>
      <w:r w:rsidRPr="0063651B">
        <w:rPr>
          <w:sz w:val="20"/>
        </w:rPr>
        <w:t xml:space="preserve"> subsequent File </w:t>
      </w:r>
      <w:r w:rsidRPr="00D92D29">
        <w:rPr>
          <w:sz w:val="20"/>
        </w:rPr>
        <w:t>Number</w:t>
      </w:r>
      <w:r w:rsidRPr="00997252">
        <w:rPr>
          <w:sz w:val="20"/>
        </w:rPr>
        <w:t xml:space="preserve">.  </w:t>
      </w:r>
      <w:r w:rsidRPr="00997252">
        <w:rPr>
          <w:snapToGrid/>
          <w:color w:val="000000"/>
          <w:kern w:val="0"/>
          <w:sz w:val="20"/>
        </w:rPr>
        <w:t xml:space="preserve">The status of an earth station antenna under the </w:t>
      </w:r>
      <w:r w:rsidRPr="00997252">
        <w:rPr>
          <w:i/>
          <w:iCs/>
          <w:snapToGrid/>
          <w:color w:val="000000"/>
          <w:kern w:val="0"/>
          <w:sz w:val="20"/>
        </w:rPr>
        <w:t>3.7</w:t>
      </w:r>
      <w:r w:rsidRPr="00997252">
        <w:rPr>
          <w:i/>
          <w:iCs/>
          <w:snapToGrid/>
          <w:color w:val="000000"/>
          <w:kern w:val="0"/>
          <w:sz w:val="20"/>
        </w:rPr>
        <w:t xml:space="preserve"> GHz Report and Order</w:t>
      </w:r>
      <w:r w:rsidRPr="00997252">
        <w:rPr>
          <w:snapToGrid/>
          <w:color w:val="000000"/>
          <w:kern w:val="0"/>
          <w:sz w:val="20"/>
        </w:rPr>
        <w:t xml:space="preserve"> pertains only to the reception of satellite transmissions on 3.7-4.2 GHz by fixed earth stations and transportable (temporary fixed) earth stations.  Authorizations to transmit and receive transmissions on other satellite frequencies,</w:t>
      </w:r>
      <w:r w:rsidRPr="00997252">
        <w:rPr>
          <w:snapToGrid/>
          <w:color w:val="000000"/>
          <w:kern w:val="0"/>
          <w:sz w:val="20"/>
        </w:rPr>
        <w:t xml:space="preserve"> including the 5.925-6.425 GHz portion of the C-Band, are unaffected.  Finally, under the terms of the </w:t>
      </w:r>
      <w:r w:rsidRPr="00997252">
        <w:rPr>
          <w:i/>
          <w:iCs/>
          <w:sz w:val="20"/>
        </w:rPr>
        <w:t>3.7 GHz Band Report and Order</w:t>
      </w:r>
      <w:r w:rsidRPr="00997252">
        <w:rPr>
          <w:snapToGrid/>
          <w:color w:val="000000"/>
          <w:kern w:val="0"/>
          <w:sz w:val="20"/>
        </w:rPr>
        <w:t>, authorizations to receive transmissions in 3.7-4.2 GHz for other Classes of Earth Stations (</w:t>
      </w:r>
      <w:r w:rsidRPr="00997252">
        <w:rPr>
          <w:i/>
          <w:iCs/>
          <w:snapToGrid/>
          <w:color w:val="000000"/>
          <w:kern w:val="0"/>
          <w:sz w:val="20"/>
        </w:rPr>
        <w:t>e.g.</w:t>
      </w:r>
      <w:r w:rsidRPr="00997252">
        <w:rPr>
          <w:snapToGrid/>
          <w:color w:val="000000"/>
          <w:kern w:val="0"/>
          <w:sz w:val="20"/>
        </w:rPr>
        <w:t>, Earth Stations on Vessel</w:t>
      </w:r>
      <w:r w:rsidRPr="00997252">
        <w:rPr>
          <w:snapToGrid/>
          <w:color w:val="000000"/>
          <w:kern w:val="0"/>
          <w:sz w:val="20"/>
        </w:rPr>
        <w:t xml:space="preserve">s, Blanket-Licensed Earth Stations) are not eligible to become incumbent earth stations.  </w:t>
      </w:r>
      <w:r w:rsidRPr="00997252">
        <w:rPr>
          <w:i/>
          <w:iCs/>
          <w:sz w:val="20"/>
        </w:rPr>
        <w:t>3.7 GHz</w:t>
      </w:r>
      <w:r w:rsidRPr="00997252">
        <w:rPr>
          <w:i/>
          <w:sz w:val="20"/>
        </w:rPr>
        <w:t xml:space="preserve"> </w:t>
      </w:r>
      <w:r w:rsidRPr="00997252">
        <w:rPr>
          <w:i/>
          <w:iCs/>
          <w:sz w:val="20"/>
        </w:rPr>
        <w:t>Report and Order</w:t>
      </w:r>
      <w:r w:rsidRPr="00997252">
        <w:rPr>
          <w:sz w:val="20"/>
        </w:rPr>
        <w:t>, 35 FCC Rcd</w:t>
      </w:r>
      <w:r w:rsidRPr="00997252">
        <w:rPr>
          <w:i/>
          <w:iCs/>
          <w:sz w:val="20"/>
        </w:rPr>
        <w:t xml:space="preserve"> </w:t>
      </w:r>
      <w:r w:rsidRPr="00997252">
        <w:rPr>
          <w:sz w:val="20"/>
        </w:rPr>
        <w:t>at 2391, paras. 122-23</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RPr="009838BC" w:rsidP="009838BC">
    <w:pPr>
      <w:tabs>
        <w:tab w:val="center" w:pos="4680"/>
        <w:tab w:val="right" w:pos="9360"/>
      </w:tabs>
    </w:pPr>
    <w:r w:rsidRPr="009838BC">
      <w:rPr>
        <w:b/>
      </w:rPr>
      <w:tab/>
      <w:t>Federal Communications Commission</w:t>
    </w:r>
    <w:r w:rsidRPr="009838BC">
      <w:rPr>
        <w:b/>
      </w:rPr>
      <w:tab/>
    </w:r>
    <w:r w:rsidR="00A815A3">
      <w:rPr>
        <w:b/>
      </w:rPr>
      <w:t>DA 12-1260</w:t>
    </w:r>
  </w:p>
  <w:p w:rsidR="009F0013"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F0013"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013" w:rsidP="009838BC">
                          <w:pPr>
                            <w:rPr>
                              <w:rFonts w:ascii="Arial" w:hAnsi="Arial"/>
                              <w:b/>
                            </w:rPr>
                          </w:pPr>
                          <w:r>
                            <w:rPr>
                              <w:rFonts w:ascii="Arial" w:hAnsi="Arial"/>
                              <w:b/>
                            </w:rPr>
                            <w:t>Federal Communications Commission</w:t>
                          </w:r>
                        </w:p>
                        <w:p w:rsidR="009F0013"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13"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F0013" w:rsidP="009838BC">
                    <w:pPr>
                      <w:rPr>
                        <w:rFonts w:ascii="Arial" w:hAnsi="Arial"/>
                        <w:b/>
                      </w:rPr>
                    </w:pPr>
                    <w:r>
                      <w:rPr>
                        <w:rFonts w:ascii="Arial" w:hAnsi="Arial"/>
                        <w:b/>
                      </w:rPr>
                      <w:t>Federal Communications Commission</w:t>
                    </w:r>
                  </w:p>
                  <w:p w:rsidR="009F0013"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13"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F0013"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013" w:rsidP="009838BC">
                          <w:pPr>
                            <w:spacing w:before="40"/>
                            <w:jc w:val="right"/>
                            <w:rPr>
                              <w:rFonts w:ascii="Arial" w:hAnsi="Arial"/>
                              <w:b/>
                              <w:sz w:val="16"/>
                            </w:rPr>
                          </w:pPr>
                          <w:r>
                            <w:rPr>
                              <w:rFonts w:ascii="Arial" w:hAnsi="Arial"/>
                              <w:b/>
                              <w:sz w:val="16"/>
                            </w:rPr>
                            <w:t xml:space="preserve">News Media Information 202 / </w:t>
                          </w:r>
                          <w:r>
                            <w:rPr>
                              <w:rFonts w:ascii="Arial" w:hAnsi="Arial"/>
                              <w:b/>
                              <w:sz w:val="16"/>
                            </w:rPr>
                            <w:t>418-0500</w:t>
                          </w:r>
                        </w:p>
                        <w:p w:rsidR="009F0013" w:rsidP="009838BC">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F0013"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F0013" w:rsidP="009838BC">
                    <w:pPr>
                      <w:spacing w:before="40"/>
                      <w:jc w:val="right"/>
                      <w:rPr>
                        <w:rFonts w:ascii="Arial" w:hAnsi="Arial"/>
                        <w:b/>
                        <w:sz w:val="16"/>
                      </w:rPr>
                    </w:pPr>
                    <w:r>
                      <w:rPr>
                        <w:rFonts w:ascii="Arial" w:hAnsi="Arial"/>
                        <w:b/>
                        <w:sz w:val="16"/>
                      </w:rPr>
                      <w:t xml:space="preserve">News Media Information 202 / </w:t>
                    </w:r>
                    <w:r>
                      <w:rPr>
                        <w:rFonts w:ascii="Arial" w:hAnsi="Arial"/>
                        <w:b/>
                        <w:sz w:val="16"/>
                      </w:rPr>
                      <w:t>418-0500</w:t>
                    </w:r>
                  </w:p>
                  <w:p w:rsidR="009F0013" w:rsidP="009838BC">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F0013" w:rsidP="009838BC">
                    <w:pPr>
                      <w:jc w:val="right"/>
                    </w:pPr>
                    <w:r>
                      <w:rPr>
                        <w:rFonts w:ascii="Arial" w:hAnsi="Arial"/>
                        <w:b/>
                        <w:sz w:val="16"/>
                      </w:rPr>
                      <w:t>TTY: 1-888-835-5322</w:t>
                    </w:r>
                  </w:p>
                </w:txbxContent>
              </v:textbox>
            </v:shape>
          </w:pict>
        </mc:Fallback>
      </mc:AlternateContent>
    </w:r>
  </w:p>
  <w:p w:rsidR="009F001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72D42"/>
    <w:multiLevelType w:val="hybridMultilevel"/>
    <w:tmpl w:val="F440B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9A0AC5"/>
    <w:multiLevelType w:val="hybridMultilevel"/>
    <w:tmpl w:val="9C64350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0"/>
      <w:numFmt w:val="bullet"/>
      <w:lvlText w:val="-"/>
      <w:lvlJc w:val="left"/>
      <w:pPr>
        <w:ind w:left="3240" w:hanging="360"/>
      </w:pPr>
      <w:rPr>
        <w:rFonts w:ascii="Times New Roman" w:eastAsia="Times New Roman" w:hAnsi="Times New Roman" w:cs="Times New Roman"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5343335"/>
    <w:multiLevelType w:val="hybridMultilevel"/>
    <w:tmpl w:val="21D4300C"/>
    <w:lvl w:ilvl="0">
      <w:start w:val="1"/>
      <w:numFmt w:val="decimal"/>
      <w:lvlText w:val="(%1)"/>
      <w:lvlJc w:val="left"/>
      <w:pPr>
        <w:ind w:left="1080" w:hanging="360"/>
      </w:pPr>
      <w:rPr>
        <w:rFonts w:hint="default"/>
        <w:color w:val="auto"/>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70D143E"/>
    <w:multiLevelType w:val="hybridMultilevel"/>
    <w:tmpl w:val="81B2F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9E75667"/>
    <w:multiLevelType w:val="multilevel"/>
    <w:tmpl w:val="D2B852F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B2F08C3"/>
    <w:multiLevelType w:val="hybridMultilevel"/>
    <w:tmpl w:val="9CCCD0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3D905F9"/>
    <w:multiLevelType w:val="hybridMultilevel"/>
    <w:tmpl w:val="44922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99A3B37"/>
    <w:multiLevelType w:val="hybridMultilevel"/>
    <w:tmpl w:val="EC82F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2B8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681117"/>
    <w:multiLevelType w:val="multilevel"/>
    <w:tmpl w:val="079C250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C547593"/>
    <w:multiLevelType w:val="hybridMultilevel"/>
    <w:tmpl w:val="AF08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4C1CC6"/>
    <w:multiLevelType w:val="hybridMultilevel"/>
    <w:tmpl w:val="7326E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B301239"/>
    <w:multiLevelType w:val="hybridMultilevel"/>
    <w:tmpl w:val="EF94C3BA"/>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1182925"/>
    <w:multiLevelType w:val="singleLevel"/>
    <w:tmpl w:val="1EBC6D50"/>
    <w:lvl w:ilvl="0">
      <w:start w:val="1"/>
      <w:numFmt w:val="decimal"/>
      <w:pStyle w:val="ParaNum"/>
      <w:lvlText w:val="%1."/>
      <w:lvlJc w:val="left"/>
      <w:pPr>
        <w:tabs>
          <w:tab w:val="num" w:pos="6750"/>
        </w:tabs>
        <w:ind w:left="5670" w:firstLine="720"/>
      </w:pPr>
      <w:rPr>
        <w:b w:val="0"/>
        <w:bCs w:val="0"/>
      </w:rPr>
    </w:lvl>
  </w:abstractNum>
  <w:abstractNum w:abstractNumId="21">
    <w:nsid w:val="694A164D"/>
    <w:multiLevelType w:val="hybridMultilevel"/>
    <w:tmpl w:val="5FA46E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6FC80982"/>
    <w:multiLevelType w:val="hybridMultilevel"/>
    <w:tmpl w:val="D4C07F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6FD17B7C"/>
    <w:multiLevelType w:val="hybridMultilevel"/>
    <w:tmpl w:val="BECA0300"/>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B9E315F"/>
    <w:multiLevelType w:val="multilevel"/>
    <w:tmpl w:val="09FA2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0"/>
  </w:num>
  <w:num w:numId="3">
    <w:abstractNumId w:val="11"/>
  </w:num>
  <w:num w:numId="4">
    <w:abstractNumId w:val="17"/>
  </w:num>
  <w:num w:numId="5">
    <w:abstractNumId w:val="10"/>
  </w:num>
  <w:num w:numId="6">
    <w:abstractNumId w:val="1"/>
  </w:num>
  <w:num w:numId="7">
    <w:abstractNumId w:val="2"/>
  </w:num>
  <w:num w:numId="8">
    <w:abstractNumId w:val="25"/>
  </w:num>
  <w:num w:numId="9">
    <w:abstractNumId w:val="7"/>
  </w:num>
  <w:num w:numId="10">
    <w:abstractNumId w:val="26"/>
  </w:num>
  <w:num w:numId="11">
    <w:abstractNumId w:val="15"/>
  </w:num>
  <w:num w:numId="12">
    <w:abstractNumId w:val="18"/>
  </w:num>
  <w:num w:numId="13">
    <w:abstractNumId w:val="16"/>
  </w:num>
  <w:num w:numId="14">
    <w:abstractNumId w:val="14"/>
  </w:num>
  <w:num w:numId="15">
    <w:abstractNumId w:val="5"/>
  </w:num>
  <w:num w:numId="16">
    <w:abstractNumId w:val="21"/>
  </w:num>
  <w:num w:numId="17">
    <w:abstractNumId w:val="6"/>
  </w:num>
  <w:num w:numId="18">
    <w:abstractNumId w:val="4"/>
  </w:num>
  <w:num w:numId="19">
    <w:abstractNumId w:val="23"/>
  </w:num>
  <w:num w:numId="20">
    <w:abstractNumId w:val="19"/>
  </w:num>
  <w:num w:numId="21">
    <w:abstractNumId w:val="3"/>
  </w:num>
  <w:num w:numId="22">
    <w:abstractNumId w:val="13"/>
  </w:num>
  <w:num w:numId="23">
    <w:abstractNumId w:val="8"/>
  </w:num>
  <w:num w:numId="24">
    <w:abstractNumId w:val="22"/>
  </w:num>
  <w:num w:numId="25">
    <w:abstractNumId w:val="12"/>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BC"/>
    <w:rsid w:val="00004DBC"/>
    <w:rsid w:val="00006BFF"/>
    <w:rsid w:val="000072CE"/>
    <w:rsid w:val="00013A8B"/>
    <w:rsid w:val="00014EEF"/>
    <w:rsid w:val="00017F6F"/>
    <w:rsid w:val="00021445"/>
    <w:rsid w:val="0003330D"/>
    <w:rsid w:val="00036039"/>
    <w:rsid w:val="00037F90"/>
    <w:rsid w:val="000412FB"/>
    <w:rsid w:val="000476D1"/>
    <w:rsid w:val="000566EC"/>
    <w:rsid w:val="00064B0D"/>
    <w:rsid w:val="00074326"/>
    <w:rsid w:val="0007566D"/>
    <w:rsid w:val="00075E0E"/>
    <w:rsid w:val="000875BF"/>
    <w:rsid w:val="00096D8C"/>
    <w:rsid w:val="000B54A9"/>
    <w:rsid w:val="000C053B"/>
    <w:rsid w:val="000C0B65"/>
    <w:rsid w:val="000D1514"/>
    <w:rsid w:val="000E2835"/>
    <w:rsid w:val="000E3D42"/>
    <w:rsid w:val="000E5884"/>
    <w:rsid w:val="00100DDB"/>
    <w:rsid w:val="00103244"/>
    <w:rsid w:val="00106D70"/>
    <w:rsid w:val="00117428"/>
    <w:rsid w:val="00117A3C"/>
    <w:rsid w:val="00122BD5"/>
    <w:rsid w:val="00123616"/>
    <w:rsid w:val="00123BB7"/>
    <w:rsid w:val="001266E5"/>
    <w:rsid w:val="00134D87"/>
    <w:rsid w:val="00150F09"/>
    <w:rsid w:val="00160B31"/>
    <w:rsid w:val="00167A2B"/>
    <w:rsid w:val="001808BA"/>
    <w:rsid w:val="0018467D"/>
    <w:rsid w:val="001918E9"/>
    <w:rsid w:val="001967D6"/>
    <w:rsid w:val="0019682D"/>
    <w:rsid w:val="00197120"/>
    <w:rsid w:val="001979D9"/>
    <w:rsid w:val="001A6A8A"/>
    <w:rsid w:val="001A728F"/>
    <w:rsid w:val="001B77E3"/>
    <w:rsid w:val="001C28FD"/>
    <w:rsid w:val="001C4E75"/>
    <w:rsid w:val="001D1992"/>
    <w:rsid w:val="001D539A"/>
    <w:rsid w:val="001D6BCF"/>
    <w:rsid w:val="001E01CA"/>
    <w:rsid w:val="001E0315"/>
    <w:rsid w:val="001E1196"/>
    <w:rsid w:val="002060D9"/>
    <w:rsid w:val="00206CDE"/>
    <w:rsid w:val="00207425"/>
    <w:rsid w:val="00211A04"/>
    <w:rsid w:val="0021786A"/>
    <w:rsid w:val="00226822"/>
    <w:rsid w:val="002302FE"/>
    <w:rsid w:val="002362C9"/>
    <w:rsid w:val="00240C1D"/>
    <w:rsid w:val="0024719C"/>
    <w:rsid w:val="0025073C"/>
    <w:rsid w:val="00252577"/>
    <w:rsid w:val="00253DBB"/>
    <w:rsid w:val="00253F3E"/>
    <w:rsid w:val="00254040"/>
    <w:rsid w:val="00260594"/>
    <w:rsid w:val="002734B0"/>
    <w:rsid w:val="00284F21"/>
    <w:rsid w:val="00285017"/>
    <w:rsid w:val="00296EE8"/>
    <w:rsid w:val="002A2D2E"/>
    <w:rsid w:val="002A3453"/>
    <w:rsid w:val="002A4D8D"/>
    <w:rsid w:val="002B251B"/>
    <w:rsid w:val="002B50D4"/>
    <w:rsid w:val="002B5464"/>
    <w:rsid w:val="002C035D"/>
    <w:rsid w:val="002D63EB"/>
    <w:rsid w:val="002F38E9"/>
    <w:rsid w:val="002F4977"/>
    <w:rsid w:val="0030692E"/>
    <w:rsid w:val="00343749"/>
    <w:rsid w:val="00344B46"/>
    <w:rsid w:val="00352DD0"/>
    <w:rsid w:val="00357D50"/>
    <w:rsid w:val="003719C7"/>
    <w:rsid w:val="00375353"/>
    <w:rsid w:val="003767D9"/>
    <w:rsid w:val="00391411"/>
    <w:rsid w:val="003925DC"/>
    <w:rsid w:val="00395C5B"/>
    <w:rsid w:val="0039607E"/>
    <w:rsid w:val="003B0550"/>
    <w:rsid w:val="003B3913"/>
    <w:rsid w:val="003B694F"/>
    <w:rsid w:val="003E4D52"/>
    <w:rsid w:val="003E7824"/>
    <w:rsid w:val="003F171C"/>
    <w:rsid w:val="00404A47"/>
    <w:rsid w:val="00412FC5"/>
    <w:rsid w:val="00416A55"/>
    <w:rsid w:val="00422276"/>
    <w:rsid w:val="004242F1"/>
    <w:rsid w:val="00426CD4"/>
    <w:rsid w:val="00440E02"/>
    <w:rsid w:val="00445A00"/>
    <w:rsid w:val="00451B0F"/>
    <w:rsid w:val="00454039"/>
    <w:rsid w:val="0046125F"/>
    <w:rsid w:val="00462762"/>
    <w:rsid w:val="004627A9"/>
    <w:rsid w:val="00472BE7"/>
    <w:rsid w:val="0048318E"/>
    <w:rsid w:val="00487524"/>
    <w:rsid w:val="00491DEF"/>
    <w:rsid w:val="00496106"/>
    <w:rsid w:val="00496C62"/>
    <w:rsid w:val="004A5890"/>
    <w:rsid w:val="004A794B"/>
    <w:rsid w:val="004B0230"/>
    <w:rsid w:val="004B36E5"/>
    <w:rsid w:val="004B52E1"/>
    <w:rsid w:val="004C12D0"/>
    <w:rsid w:val="004C2EE3"/>
    <w:rsid w:val="004C766B"/>
    <w:rsid w:val="004D78B8"/>
    <w:rsid w:val="004E0BD3"/>
    <w:rsid w:val="004E4A22"/>
    <w:rsid w:val="004F0CFB"/>
    <w:rsid w:val="00503250"/>
    <w:rsid w:val="00503B13"/>
    <w:rsid w:val="00511968"/>
    <w:rsid w:val="00515B8F"/>
    <w:rsid w:val="00515D24"/>
    <w:rsid w:val="00522132"/>
    <w:rsid w:val="0052784B"/>
    <w:rsid w:val="0053003F"/>
    <w:rsid w:val="00531598"/>
    <w:rsid w:val="00532813"/>
    <w:rsid w:val="005369D3"/>
    <w:rsid w:val="00545479"/>
    <w:rsid w:val="00546A85"/>
    <w:rsid w:val="0055451F"/>
    <w:rsid w:val="0055614C"/>
    <w:rsid w:val="005563A2"/>
    <w:rsid w:val="005A093E"/>
    <w:rsid w:val="005A3338"/>
    <w:rsid w:val="005B3049"/>
    <w:rsid w:val="005B3173"/>
    <w:rsid w:val="005C3CFC"/>
    <w:rsid w:val="005C463F"/>
    <w:rsid w:val="005C66BD"/>
    <w:rsid w:val="005C6DBB"/>
    <w:rsid w:val="005D191C"/>
    <w:rsid w:val="005E29B7"/>
    <w:rsid w:val="005E2C0D"/>
    <w:rsid w:val="005E484B"/>
    <w:rsid w:val="005F2D9E"/>
    <w:rsid w:val="005F325E"/>
    <w:rsid w:val="005F68EC"/>
    <w:rsid w:val="0060308D"/>
    <w:rsid w:val="00603851"/>
    <w:rsid w:val="00607BA5"/>
    <w:rsid w:val="00623A38"/>
    <w:rsid w:val="00626EB6"/>
    <w:rsid w:val="006353A3"/>
    <w:rsid w:val="0063651B"/>
    <w:rsid w:val="006409AB"/>
    <w:rsid w:val="006501BC"/>
    <w:rsid w:val="006540D8"/>
    <w:rsid w:val="00655D03"/>
    <w:rsid w:val="00661C77"/>
    <w:rsid w:val="006708AA"/>
    <w:rsid w:val="006727B7"/>
    <w:rsid w:val="006750AE"/>
    <w:rsid w:val="0068106B"/>
    <w:rsid w:val="00683EF3"/>
    <w:rsid w:val="00683F84"/>
    <w:rsid w:val="006A6780"/>
    <w:rsid w:val="006A6A81"/>
    <w:rsid w:val="006A73B5"/>
    <w:rsid w:val="006C02AD"/>
    <w:rsid w:val="006C65BC"/>
    <w:rsid w:val="006D0C1A"/>
    <w:rsid w:val="006D5D2B"/>
    <w:rsid w:val="006E22F7"/>
    <w:rsid w:val="006E26AF"/>
    <w:rsid w:val="006F2855"/>
    <w:rsid w:val="006F7393"/>
    <w:rsid w:val="0070224F"/>
    <w:rsid w:val="007064A1"/>
    <w:rsid w:val="007115F7"/>
    <w:rsid w:val="00713D1F"/>
    <w:rsid w:val="00723D0A"/>
    <w:rsid w:val="00732149"/>
    <w:rsid w:val="00735094"/>
    <w:rsid w:val="00742E2D"/>
    <w:rsid w:val="00754698"/>
    <w:rsid w:val="00756570"/>
    <w:rsid w:val="00777C18"/>
    <w:rsid w:val="00785689"/>
    <w:rsid w:val="00794DE5"/>
    <w:rsid w:val="0079754B"/>
    <w:rsid w:val="007A1E6D"/>
    <w:rsid w:val="007B4E8F"/>
    <w:rsid w:val="007E5842"/>
    <w:rsid w:val="007F0478"/>
    <w:rsid w:val="0081405E"/>
    <w:rsid w:val="00814214"/>
    <w:rsid w:val="0082032D"/>
    <w:rsid w:val="00822CE0"/>
    <w:rsid w:val="008377DC"/>
    <w:rsid w:val="00837C62"/>
    <w:rsid w:val="00841AB1"/>
    <w:rsid w:val="00845C1D"/>
    <w:rsid w:val="00847343"/>
    <w:rsid w:val="00847EB6"/>
    <w:rsid w:val="008529A2"/>
    <w:rsid w:val="00855D9D"/>
    <w:rsid w:val="00857BFB"/>
    <w:rsid w:val="00884A89"/>
    <w:rsid w:val="008A0E52"/>
    <w:rsid w:val="008A2ED1"/>
    <w:rsid w:val="008B666D"/>
    <w:rsid w:val="008C22FD"/>
    <w:rsid w:val="008C3457"/>
    <w:rsid w:val="008C39E7"/>
    <w:rsid w:val="008F0833"/>
    <w:rsid w:val="008F6F0E"/>
    <w:rsid w:val="0091001B"/>
    <w:rsid w:val="00910F12"/>
    <w:rsid w:val="0091384E"/>
    <w:rsid w:val="00916382"/>
    <w:rsid w:val="00920DF6"/>
    <w:rsid w:val="00926503"/>
    <w:rsid w:val="00930ECF"/>
    <w:rsid w:val="009333AF"/>
    <w:rsid w:val="00944CB3"/>
    <w:rsid w:val="009541AB"/>
    <w:rsid w:val="00974C03"/>
    <w:rsid w:val="009814D8"/>
    <w:rsid w:val="009838BC"/>
    <w:rsid w:val="00985B5C"/>
    <w:rsid w:val="0099471E"/>
    <w:rsid w:val="00997252"/>
    <w:rsid w:val="009A3514"/>
    <w:rsid w:val="009B3755"/>
    <w:rsid w:val="009B6DD1"/>
    <w:rsid w:val="009C4BD0"/>
    <w:rsid w:val="009C6C74"/>
    <w:rsid w:val="009F0013"/>
    <w:rsid w:val="00A10258"/>
    <w:rsid w:val="00A2038F"/>
    <w:rsid w:val="00A21CF6"/>
    <w:rsid w:val="00A2500C"/>
    <w:rsid w:val="00A32447"/>
    <w:rsid w:val="00A45943"/>
    <w:rsid w:val="00A45F4F"/>
    <w:rsid w:val="00A54C74"/>
    <w:rsid w:val="00A600A9"/>
    <w:rsid w:val="00A6076F"/>
    <w:rsid w:val="00A61C99"/>
    <w:rsid w:val="00A815A3"/>
    <w:rsid w:val="00A81F6E"/>
    <w:rsid w:val="00A866AC"/>
    <w:rsid w:val="00A9205A"/>
    <w:rsid w:val="00A938C0"/>
    <w:rsid w:val="00AA0D8B"/>
    <w:rsid w:val="00AA55B7"/>
    <w:rsid w:val="00AA5B9E"/>
    <w:rsid w:val="00AB2407"/>
    <w:rsid w:val="00AB53DF"/>
    <w:rsid w:val="00AD2EF9"/>
    <w:rsid w:val="00AD7FFA"/>
    <w:rsid w:val="00AF7275"/>
    <w:rsid w:val="00B07E5C"/>
    <w:rsid w:val="00B1114A"/>
    <w:rsid w:val="00B12B31"/>
    <w:rsid w:val="00B20363"/>
    <w:rsid w:val="00B25990"/>
    <w:rsid w:val="00B32581"/>
    <w:rsid w:val="00B326E3"/>
    <w:rsid w:val="00B33EE4"/>
    <w:rsid w:val="00B4201C"/>
    <w:rsid w:val="00B43E7F"/>
    <w:rsid w:val="00B50A99"/>
    <w:rsid w:val="00B538BE"/>
    <w:rsid w:val="00B55C33"/>
    <w:rsid w:val="00B56102"/>
    <w:rsid w:val="00B60546"/>
    <w:rsid w:val="00B64743"/>
    <w:rsid w:val="00B6637A"/>
    <w:rsid w:val="00B67B56"/>
    <w:rsid w:val="00B72A2C"/>
    <w:rsid w:val="00B811F7"/>
    <w:rsid w:val="00BA3ACB"/>
    <w:rsid w:val="00BA5DC6"/>
    <w:rsid w:val="00BA6196"/>
    <w:rsid w:val="00BC6D8C"/>
    <w:rsid w:val="00BC7152"/>
    <w:rsid w:val="00BD0173"/>
    <w:rsid w:val="00BD27EF"/>
    <w:rsid w:val="00BF33EF"/>
    <w:rsid w:val="00C016C3"/>
    <w:rsid w:val="00C16AF2"/>
    <w:rsid w:val="00C247B5"/>
    <w:rsid w:val="00C307E4"/>
    <w:rsid w:val="00C34006"/>
    <w:rsid w:val="00C426B1"/>
    <w:rsid w:val="00C45316"/>
    <w:rsid w:val="00C76AF7"/>
    <w:rsid w:val="00C82B6B"/>
    <w:rsid w:val="00C867BA"/>
    <w:rsid w:val="00C90D6A"/>
    <w:rsid w:val="00CA258C"/>
    <w:rsid w:val="00CB4B68"/>
    <w:rsid w:val="00CB5404"/>
    <w:rsid w:val="00CC5537"/>
    <w:rsid w:val="00CC673E"/>
    <w:rsid w:val="00CC701C"/>
    <w:rsid w:val="00CC72B6"/>
    <w:rsid w:val="00CD0DFC"/>
    <w:rsid w:val="00CE0340"/>
    <w:rsid w:val="00CF10B3"/>
    <w:rsid w:val="00CF4EDB"/>
    <w:rsid w:val="00D0218D"/>
    <w:rsid w:val="00D07109"/>
    <w:rsid w:val="00D07647"/>
    <w:rsid w:val="00D12DD7"/>
    <w:rsid w:val="00D16D81"/>
    <w:rsid w:val="00D216CD"/>
    <w:rsid w:val="00D2384C"/>
    <w:rsid w:val="00D24716"/>
    <w:rsid w:val="00D2796D"/>
    <w:rsid w:val="00D3216F"/>
    <w:rsid w:val="00D32293"/>
    <w:rsid w:val="00D56770"/>
    <w:rsid w:val="00D62A04"/>
    <w:rsid w:val="00D82FC3"/>
    <w:rsid w:val="00D84B11"/>
    <w:rsid w:val="00D87F66"/>
    <w:rsid w:val="00D92D29"/>
    <w:rsid w:val="00DA2529"/>
    <w:rsid w:val="00DA72D4"/>
    <w:rsid w:val="00DB130A"/>
    <w:rsid w:val="00DB3545"/>
    <w:rsid w:val="00DC10A1"/>
    <w:rsid w:val="00DC2A79"/>
    <w:rsid w:val="00DC655F"/>
    <w:rsid w:val="00DD4E6F"/>
    <w:rsid w:val="00DD69BA"/>
    <w:rsid w:val="00DD7EBD"/>
    <w:rsid w:val="00DF287A"/>
    <w:rsid w:val="00DF62B6"/>
    <w:rsid w:val="00E00126"/>
    <w:rsid w:val="00E07225"/>
    <w:rsid w:val="00E07A32"/>
    <w:rsid w:val="00E14A7D"/>
    <w:rsid w:val="00E155B7"/>
    <w:rsid w:val="00E24C6F"/>
    <w:rsid w:val="00E26C8B"/>
    <w:rsid w:val="00E52602"/>
    <w:rsid w:val="00E5409F"/>
    <w:rsid w:val="00E54A93"/>
    <w:rsid w:val="00E56B04"/>
    <w:rsid w:val="00E641FB"/>
    <w:rsid w:val="00E709EB"/>
    <w:rsid w:val="00E72728"/>
    <w:rsid w:val="00E77800"/>
    <w:rsid w:val="00E8667E"/>
    <w:rsid w:val="00E96425"/>
    <w:rsid w:val="00E972B2"/>
    <w:rsid w:val="00EB35F0"/>
    <w:rsid w:val="00EB4D71"/>
    <w:rsid w:val="00EC0185"/>
    <w:rsid w:val="00EC20A5"/>
    <w:rsid w:val="00ED2E84"/>
    <w:rsid w:val="00EE2B48"/>
    <w:rsid w:val="00EF73CD"/>
    <w:rsid w:val="00F021FA"/>
    <w:rsid w:val="00F02649"/>
    <w:rsid w:val="00F14692"/>
    <w:rsid w:val="00F17671"/>
    <w:rsid w:val="00F2549B"/>
    <w:rsid w:val="00F26E44"/>
    <w:rsid w:val="00F26F13"/>
    <w:rsid w:val="00F3689B"/>
    <w:rsid w:val="00F374F8"/>
    <w:rsid w:val="00F477C6"/>
    <w:rsid w:val="00F5196D"/>
    <w:rsid w:val="00F52B15"/>
    <w:rsid w:val="00F54B0B"/>
    <w:rsid w:val="00F574A1"/>
    <w:rsid w:val="00F57ACA"/>
    <w:rsid w:val="00F61B02"/>
    <w:rsid w:val="00F62E97"/>
    <w:rsid w:val="00F64209"/>
    <w:rsid w:val="00F70A4A"/>
    <w:rsid w:val="00F75C4A"/>
    <w:rsid w:val="00F76B4B"/>
    <w:rsid w:val="00F77DA2"/>
    <w:rsid w:val="00F81919"/>
    <w:rsid w:val="00F93BF5"/>
    <w:rsid w:val="00F96F63"/>
    <w:rsid w:val="00FB6BEB"/>
    <w:rsid w:val="00FC00ED"/>
    <w:rsid w:val="00FD06E0"/>
    <w:rsid w:val="00FD2943"/>
    <w:rsid w:val="00FD4649"/>
    <w:rsid w:val="00FD4AFF"/>
    <w:rsid w:val="00FE50BC"/>
    <w:rsid w:val="6D752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CDC6A0D-166E-4AF1-9581-75AF027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1080"/>
        <w:tab w:val="clear" w:pos="6750"/>
      </w:tabs>
      <w:spacing w:after="120"/>
      <w:ind w:left="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1"/>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15B8F"/>
    <w:rPr>
      <w:rFonts w:ascii="Segoe UI" w:hAnsi="Segoe UI" w:cs="Segoe UI"/>
      <w:sz w:val="18"/>
      <w:szCs w:val="18"/>
    </w:rPr>
  </w:style>
  <w:style w:type="character" w:customStyle="1" w:styleId="BalloonTextChar">
    <w:name w:val="Balloon Text Char"/>
    <w:link w:val="BalloonText"/>
    <w:uiPriority w:val="99"/>
    <w:semiHidden/>
    <w:rsid w:val="00515B8F"/>
    <w:rPr>
      <w:rFonts w:ascii="Segoe UI" w:hAnsi="Segoe UI" w:cs="Segoe UI"/>
      <w:snapToGrid w:val="0"/>
      <w:kern w:val="28"/>
      <w:sz w:val="18"/>
      <w:szCs w:val="18"/>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2 Char,Footnote Text Char2 Char"/>
    <w:link w:val="FootnoteText"/>
    <w:uiPriority w:val="99"/>
    <w:locked/>
    <w:rsid w:val="00515B8F"/>
  </w:style>
  <w:style w:type="character" w:customStyle="1" w:styleId="Heading1Char">
    <w:name w:val="Heading 1 Char"/>
    <w:link w:val="Heading1"/>
    <w:rsid w:val="00352DD0"/>
    <w:rPr>
      <w:rFonts w:ascii="Times New Roman Bold" w:hAnsi="Times New Roman Bold"/>
      <w:b/>
      <w:caps/>
      <w:snapToGrid w:val="0"/>
      <w:kern w:val="28"/>
      <w:sz w:val="22"/>
    </w:rPr>
  </w:style>
  <w:style w:type="character" w:customStyle="1" w:styleId="Heading2Char">
    <w:name w:val="Heading 2 Char"/>
    <w:link w:val="Heading2"/>
    <w:rsid w:val="00352DD0"/>
    <w:rPr>
      <w:b/>
      <w:snapToGrid w:val="0"/>
      <w:kern w:val="28"/>
      <w:sz w:val="22"/>
    </w:rPr>
  </w:style>
  <w:style w:type="character" w:customStyle="1" w:styleId="Heading3Char">
    <w:name w:val="Heading 3 Char"/>
    <w:link w:val="Heading3"/>
    <w:rsid w:val="00352DD0"/>
    <w:rPr>
      <w:b/>
      <w:snapToGrid w:val="0"/>
      <w:kern w:val="28"/>
      <w:sz w:val="22"/>
    </w:rPr>
  </w:style>
  <w:style w:type="character" w:customStyle="1" w:styleId="Heading4Char">
    <w:name w:val="Heading 4 Char"/>
    <w:link w:val="Heading4"/>
    <w:rsid w:val="00352DD0"/>
    <w:rPr>
      <w:b/>
      <w:snapToGrid w:val="0"/>
      <w:kern w:val="28"/>
      <w:sz w:val="22"/>
    </w:rPr>
  </w:style>
  <w:style w:type="character" w:customStyle="1" w:styleId="Heading5Char">
    <w:name w:val="Heading 5 Char"/>
    <w:link w:val="Heading5"/>
    <w:rsid w:val="00352DD0"/>
    <w:rPr>
      <w:b/>
      <w:snapToGrid w:val="0"/>
      <w:kern w:val="28"/>
      <w:sz w:val="22"/>
    </w:rPr>
  </w:style>
  <w:style w:type="character" w:customStyle="1" w:styleId="Heading6Char">
    <w:name w:val="Heading 6 Char"/>
    <w:link w:val="Heading6"/>
    <w:rsid w:val="00352DD0"/>
    <w:rPr>
      <w:b/>
      <w:snapToGrid w:val="0"/>
      <w:kern w:val="28"/>
      <w:sz w:val="22"/>
    </w:rPr>
  </w:style>
  <w:style w:type="character" w:customStyle="1" w:styleId="Heading7Char">
    <w:name w:val="Heading 7 Char"/>
    <w:link w:val="Heading7"/>
    <w:rsid w:val="00352DD0"/>
    <w:rPr>
      <w:b/>
      <w:snapToGrid w:val="0"/>
      <w:kern w:val="28"/>
      <w:sz w:val="22"/>
    </w:rPr>
  </w:style>
  <w:style w:type="character" w:customStyle="1" w:styleId="Heading8Char">
    <w:name w:val="Heading 8 Char"/>
    <w:link w:val="Heading8"/>
    <w:rsid w:val="00352DD0"/>
    <w:rPr>
      <w:b/>
      <w:snapToGrid w:val="0"/>
      <w:kern w:val="28"/>
      <w:sz w:val="22"/>
    </w:rPr>
  </w:style>
  <w:style w:type="character" w:customStyle="1" w:styleId="Heading9Char">
    <w:name w:val="Heading 9 Char"/>
    <w:link w:val="Heading9"/>
    <w:rsid w:val="00352DD0"/>
    <w:rPr>
      <w:b/>
      <w:snapToGrid w:val="0"/>
      <w:kern w:val="28"/>
      <w:sz w:val="22"/>
    </w:rPr>
  </w:style>
  <w:style w:type="character" w:customStyle="1" w:styleId="EndnoteTextChar">
    <w:name w:val="Endnote Text Char"/>
    <w:link w:val="EndnoteText"/>
    <w:semiHidden/>
    <w:rsid w:val="00352DD0"/>
    <w:rPr>
      <w:snapToGrid w:val="0"/>
      <w:kern w:val="28"/>
    </w:rPr>
  </w:style>
  <w:style w:type="character" w:customStyle="1" w:styleId="FootnoteTextChar">
    <w:name w:val="Footnote Text Char"/>
    <w:uiPriority w:val="99"/>
    <w:semiHidden/>
    <w:rsid w:val="00352DD0"/>
    <w:rPr>
      <w:snapToGrid w:val="0"/>
      <w:kern w:val="28"/>
      <w:lang w:eastAsia="en-US"/>
    </w:rPr>
  </w:style>
  <w:style w:type="character" w:customStyle="1" w:styleId="HeaderChar">
    <w:name w:val="Header Char"/>
    <w:link w:val="Header"/>
    <w:rsid w:val="00352DD0"/>
    <w:rPr>
      <w:rFonts w:ascii="Arial" w:hAnsi="Arial" w:cs="Arial"/>
      <w:b/>
      <w:snapToGrid w:val="0"/>
      <w:kern w:val="28"/>
      <w:sz w:val="96"/>
      <w:szCs w:val="96"/>
    </w:rPr>
  </w:style>
  <w:style w:type="character" w:styleId="CommentReference">
    <w:name w:val="annotation reference"/>
    <w:uiPriority w:val="99"/>
    <w:semiHidden/>
    <w:unhideWhenUsed/>
    <w:rsid w:val="00352DD0"/>
    <w:rPr>
      <w:sz w:val="16"/>
      <w:szCs w:val="16"/>
    </w:rPr>
  </w:style>
  <w:style w:type="paragraph" w:styleId="CommentText">
    <w:name w:val="annotation text"/>
    <w:basedOn w:val="Normal"/>
    <w:link w:val="CommentTextChar"/>
    <w:uiPriority w:val="99"/>
    <w:unhideWhenUsed/>
    <w:rsid w:val="00352DD0"/>
    <w:rPr>
      <w:sz w:val="20"/>
    </w:rPr>
  </w:style>
  <w:style w:type="character" w:customStyle="1" w:styleId="CommentTextChar">
    <w:name w:val="Comment Text Char"/>
    <w:link w:val="CommentText"/>
    <w:uiPriority w:val="99"/>
    <w:rsid w:val="00352DD0"/>
    <w:rPr>
      <w:snapToGrid w:val="0"/>
      <w:kern w:val="28"/>
    </w:rPr>
  </w:style>
  <w:style w:type="paragraph" w:customStyle="1" w:styleId="Paranum0">
    <w:name w:val="Paranum"/>
    <w:basedOn w:val="Normal"/>
    <w:uiPriority w:val="99"/>
    <w:rsid w:val="00352DD0"/>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352DD0"/>
    <w:rPr>
      <w:b/>
      <w:bCs/>
    </w:rPr>
  </w:style>
  <w:style w:type="character" w:customStyle="1" w:styleId="CommentSubjectChar">
    <w:name w:val="Comment Subject Char"/>
    <w:link w:val="CommentSubject"/>
    <w:uiPriority w:val="99"/>
    <w:semiHidden/>
    <w:rsid w:val="00352DD0"/>
    <w:rPr>
      <w:b/>
      <w:bCs/>
      <w:snapToGrid w:val="0"/>
      <w:kern w:val="28"/>
    </w:rPr>
  </w:style>
  <w:style w:type="character" w:customStyle="1" w:styleId="UnresolvedMention1">
    <w:name w:val="Unresolved Mention1"/>
    <w:uiPriority w:val="99"/>
    <w:semiHidden/>
    <w:unhideWhenUsed/>
    <w:rsid w:val="00352DD0"/>
    <w:rPr>
      <w:color w:val="605E5C"/>
      <w:shd w:val="clear" w:color="auto" w:fill="E1DFDD"/>
    </w:rPr>
  </w:style>
  <w:style w:type="paragraph" w:styleId="ListParagraph">
    <w:name w:val="List Paragraph"/>
    <w:basedOn w:val="Normal"/>
    <w:uiPriority w:val="34"/>
    <w:qFormat/>
    <w:rsid w:val="00352DD0"/>
    <w:pPr>
      <w:widowControl/>
      <w:spacing w:after="160" w:line="259" w:lineRule="auto"/>
      <w:ind w:left="720"/>
      <w:contextualSpacing/>
    </w:pPr>
    <w:rPr>
      <w:rFonts w:ascii="Calibri" w:eastAsia="Calibri" w:hAnsi="Calibri"/>
      <w:snapToGrid/>
      <w:kern w:val="0"/>
      <w:szCs w:val="22"/>
    </w:rPr>
  </w:style>
  <w:style w:type="paragraph" w:customStyle="1" w:styleId="TableParagraph">
    <w:name w:val="Table Paragraph"/>
    <w:basedOn w:val="Normal"/>
    <w:uiPriority w:val="1"/>
    <w:qFormat/>
    <w:rsid w:val="00352DD0"/>
    <w:pPr>
      <w:autoSpaceDE w:val="0"/>
      <w:autoSpaceDN w:val="0"/>
      <w:ind w:left="40"/>
    </w:pPr>
    <w:rPr>
      <w:rFonts w:ascii="Calibri" w:eastAsia="Calibri" w:hAnsi="Calibri" w:cs="Calibri"/>
      <w:snapToGrid/>
      <w:kern w:val="0"/>
      <w:szCs w:val="22"/>
      <w:lang w:bidi="en-US"/>
    </w:rPr>
  </w:style>
  <w:style w:type="paragraph" w:styleId="Revision">
    <w:name w:val="Revision"/>
    <w:hidden/>
    <w:uiPriority w:val="99"/>
    <w:semiHidden/>
    <w:rsid w:val="00352DD0"/>
    <w:rPr>
      <w:snapToGrid w:val="0"/>
      <w:kern w:val="28"/>
      <w:sz w:val="22"/>
    </w:rPr>
  </w:style>
  <w:style w:type="character" w:styleId="FollowedHyperlink">
    <w:name w:val="FollowedHyperlink"/>
    <w:uiPriority w:val="99"/>
    <w:semiHidden/>
    <w:unhideWhenUsed/>
    <w:rsid w:val="00352DD0"/>
    <w:rPr>
      <w:color w:val="954F72"/>
      <w:u w:val="single"/>
    </w:rPr>
  </w:style>
  <w:style w:type="paragraph" w:customStyle="1" w:styleId="xmsolistparagraph">
    <w:name w:val="x_msolistparagraph"/>
    <w:basedOn w:val="Normal"/>
    <w:rsid w:val="00352DD0"/>
    <w:pPr>
      <w:widowControl/>
      <w:ind w:left="720"/>
    </w:pPr>
    <w:rPr>
      <w:rFonts w:ascii="Calibri" w:eastAsia="Calibri" w:hAnsi="Calibri" w:cs="Calibri"/>
      <w:snapToGrid/>
      <w:kern w:val="0"/>
      <w:szCs w:val="22"/>
    </w:rPr>
  </w:style>
  <w:style w:type="paragraph" w:customStyle="1" w:styleId="xxmsolistparagraph">
    <w:name w:val="x_xmsolistparagraph"/>
    <w:basedOn w:val="Normal"/>
    <w:rsid w:val="00352DD0"/>
    <w:pPr>
      <w:widowControl/>
      <w:spacing w:before="100" w:beforeAutospacing="1" w:after="100" w:afterAutospacing="1"/>
    </w:pPr>
    <w:rPr>
      <w:snapToGrid/>
      <w:kern w:val="0"/>
      <w:sz w:val="24"/>
      <w:szCs w:val="24"/>
    </w:rPr>
  </w:style>
  <w:style w:type="paragraph" w:customStyle="1" w:styleId="Default">
    <w:name w:val="Default"/>
    <w:rsid w:val="00352DD0"/>
    <w:pPr>
      <w:autoSpaceDE w:val="0"/>
      <w:autoSpaceDN w:val="0"/>
      <w:adjustRightInd w:val="0"/>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