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00C82B6B" w14:paraId="32390F86" w14:textId="77777777">
      <w:pPr>
        <w:jc w:val="right"/>
        <w:rPr>
          <w:sz w:val="24"/>
        </w:rPr>
      </w:pPr>
      <w:bookmarkStart w:id="0" w:name="_GoBack"/>
      <w:bookmarkEnd w:id="0"/>
    </w:p>
    <w:p w:rsidR="00013A8B" w:rsidRPr="00B20363" w:rsidP="00013A8B" w14:paraId="521550BC" w14:textId="07A972F3">
      <w:pPr>
        <w:jc w:val="right"/>
        <w:rPr>
          <w:b/>
          <w:sz w:val="24"/>
        </w:rPr>
      </w:pPr>
      <w:r>
        <w:rPr>
          <w:b/>
          <w:sz w:val="24"/>
        </w:rPr>
        <w:t>DA</w:t>
      </w:r>
      <w:r w:rsidR="00EE1302">
        <w:rPr>
          <w:b/>
          <w:sz w:val="24"/>
        </w:rPr>
        <w:t xml:space="preserve"> </w:t>
      </w:r>
      <w:r w:rsidRPr="001B3771" w:rsidR="001B3771">
        <w:rPr>
          <w:b/>
          <w:sz w:val="24"/>
        </w:rPr>
        <w:t>20-1271</w:t>
      </w:r>
    </w:p>
    <w:p w:rsidR="00013A8B" w:rsidRPr="00B20363" w:rsidP="00013A8B" w14:paraId="16C719F6" w14:textId="23DFCDCE">
      <w:pPr>
        <w:spacing w:before="60"/>
        <w:jc w:val="right"/>
        <w:rPr>
          <w:b/>
          <w:sz w:val="24"/>
        </w:rPr>
      </w:pPr>
      <w:r>
        <w:rPr>
          <w:b/>
          <w:sz w:val="24"/>
        </w:rPr>
        <w:t xml:space="preserve">October </w:t>
      </w:r>
      <w:r w:rsidR="00836C3E">
        <w:rPr>
          <w:b/>
          <w:sz w:val="24"/>
        </w:rPr>
        <w:t>27</w:t>
      </w:r>
      <w:r w:rsidR="005C362F">
        <w:rPr>
          <w:b/>
          <w:sz w:val="24"/>
        </w:rPr>
        <w:t>, 2020</w:t>
      </w:r>
    </w:p>
    <w:p w:rsidR="00013A8B" w:rsidP="00013A8B" w14:paraId="6F3BA7CA" w14:textId="77777777">
      <w:pPr>
        <w:jc w:val="right"/>
        <w:rPr>
          <w:sz w:val="24"/>
        </w:rPr>
      </w:pPr>
    </w:p>
    <w:p w:rsidR="00013A8B" w:rsidRPr="00B20363" w:rsidP="00013A8B" w14:paraId="5EA0DDC7" w14:textId="3C9746CE">
      <w:pPr>
        <w:spacing w:after="240"/>
        <w:jc w:val="center"/>
        <w:rPr>
          <w:rFonts w:ascii="Times New Roman Bold" w:hAnsi="Times New Roman Bold"/>
          <w:b/>
          <w:caps/>
          <w:sz w:val="24"/>
        </w:rPr>
      </w:pPr>
      <w:r>
        <w:rPr>
          <w:rFonts w:ascii="Times New Roman Bold" w:hAnsi="Times New Roman Bold"/>
          <w:b/>
          <w:caps/>
          <w:sz w:val="24"/>
        </w:rPr>
        <w:t xml:space="preserve">Application </w:t>
      </w:r>
      <w:r w:rsidR="00265BB0">
        <w:rPr>
          <w:rFonts w:ascii="Times New Roman Bold" w:hAnsi="Times New Roman Bold"/>
          <w:b/>
          <w:caps/>
          <w:sz w:val="24"/>
        </w:rPr>
        <w:t>GRANTED</w:t>
      </w:r>
      <w:r>
        <w:rPr>
          <w:rFonts w:ascii="Times New Roman Bold" w:hAnsi="Times New Roman Bold"/>
          <w:b/>
          <w:caps/>
          <w:sz w:val="24"/>
        </w:rPr>
        <w:t xml:space="preserve"> for </w:t>
      </w:r>
      <w:r w:rsidR="00B86A74">
        <w:rPr>
          <w:rFonts w:ascii="Times New Roman Bold" w:hAnsi="Times New Roman Bold"/>
          <w:b/>
          <w:caps/>
          <w:sz w:val="24"/>
        </w:rPr>
        <w:t xml:space="preserve">assignment and </w:t>
      </w:r>
      <w:r>
        <w:rPr>
          <w:rFonts w:ascii="Times New Roman Bold" w:hAnsi="Times New Roman Bold"/>
          <w:b/>
          <w:caps/>
          <w:sz w:val="24"/>
        </w:rPr>
        <w:t xml:space="preserve">transfer of control </w:t>
      </w:r>
      <w:r w:rsidR="00B86A74">
        <w:rPr>
          <w:rFonts w:ascii="Times New Roman Bold" w:hAnsi="Times New Roman Bold"/>
          <w:b/>
          <w:caps/>
          <w:sz w:val="24"/>
        </w:rPr>
        <w:t xml:space="preserve">by </w:t>
      </w:r>
      <w:r w:rsidRPr="004B070B">
        <w:rPr>
          <w:rFonts w:ascii="Times New Roman Bold" w:hAnsi="Times New Roman Bold"/>
          <w:b/>
          <w:caps/>
          <w:sz w:val="24"/>
        </w:rPr>
        <w:t>WorldVu Satellites Limited, Debtor-in-Possession</w:t>
      </w:r>
    </w:p>
    <w:p w:rsidR="00013A8B" w:rsidP="00013A8B" w14:paraId="42B05E17" w14:textId="4CC1243B">
      <w:pPr>
        <w:jc w:val="center"/>
        <w:rPr>
          <w:b/>
          <w:sz w:val="24"/>
        </w:rPr>
      </w:pPr>
      <w:r>
        <w:rPr>
          <w:b/>
          <w:sz w:val="24"/>
        </w:rPr>
        <w:t>IB Docket No. 20-</w:t>
      </w:r>
      <w:r w:rsidR="00EE1F3F">
        <w:rPr>
          <w:b/>
          <w:sz w:val="24"/>
        </w:rPr>
        <w:t>290</w:t>
      </w:r>
    </w:p>
    <w:p w:rsidR="00881536" w:rsidP="00013A8B" w14:paraId="3178176A" w14:textId="77777777">
      <w:pPr>
        <w:jc w:val="center"/>
      </w:pPr>
    </w:p>
    <w:p w:rsidR="00CC18A3" w:rsidRPr="002B283C" w:rsidP="00013A8B" w14:paraId="0236C524" w14:textId="61130372">
      <w:pPr>
        <w:jc w:val="center"/>
        <w:rPr>
          <w:b/>
          <w:bCs/>
        </w:rPr>
      </w:pPr>
      <w:r w:rsidRPr="002B283C">
        <w:rPr>
          <w:b/>
          <w:bCs/>
        </w:rPr>
        <w:t xml:space="preserve">IBFS File Nos. SES-ASG-20200818-00891, SAT-MPL-20200818-00099, </w:t>
      </w:r>
    </w:p>
    <w:p w:rsidR="00CC18A3" w:rsidRPr="002B283C" w:rsidP="00013A8B" w14:paraId="2897BF0E" w14:textId="0E08C9EA">
      <w:pPr>
        <w:jc w:val="center"/>
        <w:rPr>
          <w:b/>
          <w:bCs/>
          <w:sz w:val="24"/>
        </w:rPr>
      </w:pPr>
      <w:r w:rsidRPr="002B283C">
        <w:rPr>
          <w:b/>
          <w:bCs/>
        </w:rPr>
        <w:t>and SAT-MPL-20200831-00101</w:t>
      </w:r>
    </w:p>
    <w:p w:rsidR="00F96F63" w:rsidP="00F96F63" w14:paraId="03167BA4" w14:textId="77777777">
      <w:pPr>
        <w:rPr>
          <w:sz w:val="24"/>
        </w:rPr>
      </w:pPr>
    </w:p>
    <w:p w:rsidR="00BA036D" w:rsidP="00CD3F4F" w14:paraId="03762050" w14:textId="10B17419">
      <w:pPr>
        <w:spacing w:after="120"/>
        <w:ind w:firstLine="720"/>
        <w:rPr>
          <w:szCs w:val="22"/>
        </w:rPr>
      </w:pPr>
      <w:r w:rsidRPr="005C362F">
        <w:rPr>
          <w:szCs w:val="22"/>
        </w:rPr>
        <w:t xml:space="preserve">By this Public Notice, the International Bureau </w:t>
      </w:r>
      <w:r w:rsidR="00265BB0">
        <w:rPr>
          <w:szCs w:val="22"/>
        </w:rPr>
        <w:t xml:space="preserve">grants the request of </w:t>
      </w:r>
      <w:r w:rsidRPr="005C362F">
        <w:rPr>
          <w:szCs w:val="22"/>
        </w:rPr>
        <w:t>WorldVu</w:t>
      </w:r>
      <w:r w:rsidRPr="005C362F">
        <w:rPr>
          <w:szCs w:val="22"/>
        </w:rPr>
        <w:t xml:space="preserve"> Satellites Limited, Debtor-in-Possession (</w:t>
      </w:r>
      <w:r w:rsidRPr="005C362F">
        <w:rPr>
          <w:szCs w:val="22"/>
        </w:rPr>
        <w:t>OneWeb</w:t>
      </w:r>
      <w:r w:rsidRPr="005C362F">
        <w:rPr>
          <w:szCs w:val="22"/>
        </w:rPr>
        <w:t xml:space="preserve"> DIP) and </w:t>
      </w:r>
      <w:r w:rsidRPr="005C362F">
        <w:rPr>
          <w:szCs w:val="22"/>
        </w:rPr>
        <w:t>BidCo</w:t>
      </w:r>
      <w:r w:rsidRPr="005C362F">
        <w:rPr>
          <w:szCs w:val="22"/>
        </w:rPr>
        <w:t xml:space="preserve"> Limited 100 (</w:t>
      </w:r>
      <w:r w:rsidRPr="005C362F">
        <w:rPr>
          <w:szCs w:val="22"/>
        </w:rPr>
        <w:t>BidCo</w:t>
      </w:r>
      <w:r w:rsidR="00F97CCF">
        <w:rPr>
          <w:szCs w:val="22"/>
        </w:rPr>
        <w:t>)</w:t>
      </w:r>
      <w:r w:rsidRPr="005C362F">
        <w:rPr>
          <w:szCs w:val="22"/>
        </w:rPr>
        <w:t xml:space="preserve"> </w:t>
      </w:r>
      <w:r w:rsidR="00F97CCF">
        <w:rPr>
          <w:szCs w:val="22"/>
        </w:rPr>
        <w:t>(</w:t>
      </w:r>
      <w:r w:rsidRPr="005C362F">
        <w:rPr>
          <w:szCs w:val="22"/>
        </w:rPr>
        <w:t>together</w:t>
      </w:r>
      <w:r>
        <w:rPr>
          <w:szCs w:val="22"/>
        </w:rPr>
        <w:t xml:space="preserve"> </w:t>
      </w:r>
      <w:r w:rsidRPr="005C362F">
        <w:rPr>
          <w:szCs w:val="22"/>
        </w:rPr>
        <w:t xml:space="preserve">with </w:t>
      </w:r>
      <w:r w:rsidRPr="005C362F">
        <w:rPr>
          <w:szCs w:val="22"/>
        </w:rPr>
        <w:t>OneWeb</w:t>
      </w:r>
      <w:r w:rsidRPr="005C362F">
        <w:rPr>
          <w:szCs w:val="22"/>
        </w:rPr>
        <w:t xml:space="preserve"> DIP, the Applicants)</w:t>
      </w:r>
      <w:r w:rsidR="001A13EF">
        <w:rPr>
          <w:szCs w:val="22"/>
        </w:rPr>
        <w:t xml:space="preserve"> </w:t>
      </w:r>
      <w:r w:rsidR="004454A8">
        <w:rPr>
          <w:szCs w:val="22"/>
        </w:rPr>
        <w:t xml:space="preserve">for Commission consent to the </w:t>
      </w:r>
      <w:r w:rsidR="00F97CCF">
        <w:rPr>
          <w:szCs w:val="22"/>
        </w:rPr>
        <w:t xml:space="preserve">assignment and </w:t>
      </w:r>
      <w:r w:rsidRPr="001A13EF" w:rsidR="00F97CCF">
        <w:rPr>
          <w:szCs w:val="22"/>
        </w:rPr>
        <w:t xml:space="preserve">transfer of control </w:t>
      </w:r>
      <w:r w:rsidR="00F97CCF">
        <w:rPr>
          <w:szCs w:val="22"/>
        </w:rPr>
        <w:t xml:space="preserve">of licenses and market access grants under a </w:t>
      </w:r>
      <w:r w:rsidRPr="00B86A74" w:rsidR="00F97CCF">
        <w:rPr>
          <w:szCs w:val="22"/>
        </w:rPr>
        <w:t>plan</w:t>
      </w:r>
      <w:r w:rsidR="00F97CCF">
        <w:rPr>
          <w:szCs w:val="22"/>
        </w:rPr>
        <w:t>ned</w:t>
      </w:r>
      <w:r w:rsidRPr="00B86A74" w:rsidR="00F97CCF">
        <w:rPr>
          <w:szCs w:val="22"/>
        </w:rPr>
        <w:t xml:space="preserve"> reorganization </w:t>
      </w:r>
      <w:r w:rsidR="00F97CCF">
        <w:rPr>
          <w:szCs w:val="22"/>
        </w:rPr>
        <w:t xml:space="preserve">of </w:t>
      </w:r>
      <w:r w:rsidR="00F97CCF">
        <w:rPr>
          <w:szCs w:val="22"/>
        </w:rPr>
        <w:t>OneWeb</w:t>
      </w:r>
      <w:r w:rsidR="00F97CCF">
        <w:rPr>
          <w:szCs w:val="22"/>
        </w:rPr>
        <w:t xml:space="preserve"> DIP and its emergence from Chapter 11 bankruptcy.</w:t>
      </w:r>
      <w:r>
        <w:rPr>
          <w:rStyle w:val="FootnoteReference"/>
          <w:szCs w:val="22"/>
        </w:rPr>
        <w:footnoteReference w:id="3"/>
      </w:r>
    </w:p>
    <w:p w:rsidR="00905EAF" w:rsidP="00905EAF" w14:paraId="0AE5DECA" w14:textId="1510230F">
      <w:pPr>
        <w:spacing w:after="120"/>
        <w:rPr>
          <w:szCs w:val="22"/>
        </w:rPr>
      </w:pPr>
      <w:r>
        <w:rPr>
          <w:szCs w:val="22"/>
        </w:rPr>
        <w:tab/>
      </w:r>
      <w:r w:rsidRPr="006159D3" w:rsidR="006159D3">
        <w:rPr>
          <w:szCs w:val="22"/>
        </w:rPr>
        <w:t>OneWeb</w:t>
      </w:r>
      <w:r w:rsidRPr="006159D3" w:rsidR="006159D3">
        <w:rPr>
          <w:szCs w:val="22"/>
        </w:rPr>
        <w:t xml:space="preserve"> </w:t>
      </w:r>
      <w:r w:rsidR="006159D3">
        <w:rPr>
          <w:szCs w:val="22"/>
        </w:rPr>
        <w:t xml:space="preserve">DIP </w:t>
      </w:r>
      <w:r w:rsidRPr="006159D3" w:rsidR="006159D3">
        <w:rPr>
          <w:szCs w:val="22"/>
        </w:rPr>
        <w:t xml:space="preserve">is a United Kingdom-based satellite </w:t>
      </w:r>
      <w:r w:rsidR="005978F5">
        <w:rPr>
          <w:szCs w:val="22"/>
        </w:rPr>
        <w:t>operator</w:t>
      </w:r>
      <w:r w:rsidR="00265BB0">
        <w:rPr>
          <w:szCs w:val="22"/>
        </w:rPr>
        <w:t xml:space="preserve">.  It </w:t>
      </w:r>
      <w:r w:rsidR="005978F5">
        <w:rPr>
          <w:szCs w:val="22"/>
        </w:rPr>
        <w:t>has been granted U.S. market access for a low-Earth orbit, broadband satellite system</w:t>
      </w:r>
      <w:r w:rsidR="00265BB0">
        <w:rPr>
          <w:szCs w:val="22"/>
        </w:rPr>
        <w:t xml:space="preserve"> and</w:t>
      </w:r>
      <w:r w:rsidR="005978F5">
        <w:rPr>
          <w:szCs w:val="22"/>
        </w:rPr>
        <w:t xml:space="preserve"> </w:t>
      </w:r>
      <w:r w:rsidR="000A5F66">
        <w:rPr>
          <w:szCs w:val="22"/>
        </w:rPr>
        <w:t xml:space="preserve">licenses for </w:t>
      </w:r>
      <w:r w:rsidR="005978F5">
        <w:rPr>
          <w:szCs w:val="22"/>
        </w:rPr>
        <w:t>associated earth station</w:t>
      </w:r>
      <w:r w:rsidR="0056337C">
        <w:rPr>
          <w:szCs w:val="22"/>
        </w:rPr>
        <w:t>s</w:t>
      </w:r>
      <w:r w:rsidR="008B38F6">
        <w:rPr>
          <w:szCs w:val="22"/>
        </w:rPr>
        <w:t>.</w:t>
      </w:r>
      <w:r>
        <w:rPr>
          <w:rStyle w:val="FootnoteReference"/>
          <w:szCs w:val="22"/>
        </w:rPr>
        <w:footnoteReference w:id="4"/>
      </w:r>
      <w:r w:rsidR="008B38F6">
        <w:rPr>
          <w:szCs w:val="22"/>
        </w:rPr>
        <w:t xml:space="preserve">  </w:t>
      </w:r>
      <w:r w:rsidR="005F45C8">
        <w:rPr>
          <w:szCs w:val="22"/>
        </w:rPr>
        <w:t>O</w:t>
      </w:r>
      <w:r w:rsidRPr="005F45C8" w:rsidR="005F45C8">
        <w:rPr>
          <w:szCs w:val="22"/>
        </w:rPr>
        <w:t xml:space="preserve">n March 27, 2020, </w:t>
      </w:r>
      <w:r w:rsidRPr="005F45C8" w:rsidR="005F45C8">
        <w:rPr>
          <w:szCs w:val="22"/>
        </w:rPr>
        <w:t>OneWeb</w:t>
      </w:r>
      <w:r w:rsidR="005F45C8">
        <w:rPr>
          <w:szCs w:val="22"/>
        </w:rPr>
        <w:t xml:space="preserve"> DIP</w:t>
      </w:r>
      <w:r w:rsidRPr="005F45C8" w:rsidR="005F45C8">
        <w:rPr>
          <w:szCs w:val="22"/>
        </w:rPr>
        <w:t xml:space="preserve"> and certain of its</w:t>
      </w:r>
      <w:r w:rsidR="005F45C8">
        <w:rPr>
          <w:szCs w:val="22"/>
        </w:rPr>
        <w:t xml:space="preserve"> </w:t>
      </w:r>
      <w:r w:rsidRPr="005F45C8" w:rsidR="005F45C8">
        <w:rPr>
          <w:szCs w:val="22"/>
        </w:rPr>
        <w:t>affiliates filed petitions for relief under Chapter 11 of Title 11 of the United States Code.</w:t>
      </w:r>
      <w:r>
        <w:rPr>
          <w:rStyle w:val="FootnoteReference"/>
          <w:szCs w:val="22"/>
        </w:rPr>
        <w:footnoteReference w:id="5"/>
      </w:r>
      <w:r w:rsidR="005F45C8">
        <w:rPr>
          <w:szCs w:val="22"/>
        </w:rPr>
        <w:t xml:space="preserve"> </w:t>
      </w:r>
      <w:r w:rsidRPr="005F45C8" w:rsidR="005F45C8">
        <w:rPr>
          <w:szCs w:val="22"/>
        </w:rPr>
        <w:t xml:space="preserve"> </w:t>
      </w:r>
      <w:r w:rsidRPr="005F45C8" w:rsidR="005F45C8">
        <w:rPr>
          <w:szCs w:val="22"/>
        </w:rPr>
        <w:t>BidCo</w:t>
      </w:r>
      <w:r w:rsidRPr="005F45C8" w:rsidR="005F45C8">
        <w:rPr>
          <w:szCs w:val="22"/>
        </w:rPr>
        <w:t xml:space="preserve"> emerged as the</w:t>
      </w:r>
      <w:r w:rsidR="005F45C8">
        <w:rPr>
          <w:szCs w:val="22"/>
        </w:rPr>
        <w:t xml:space="preserve"> </w:t>
      </w:r>
      <w:r w:rsidRPr="005F45C8" w:rsidR="005F45C8">
        <w:rPr>
          <w:szCs w:val="22"/>
        </w:rPr>
        <w:t xml:space="preserve">successful bidder to acquire all of the equity interests in </w:t>
      </w:r>
      <w:r w:rsidRPr="005F45C8" w:rsidR="005F45C8">
        <w:rPr>
          <w:szCs w:val="22"/>
        </w:rPr>
        <w:t>OneWeb</w:t>
      </w:r>
      <w:r w:rsidRPr="005F45C8" w:rsidR="005F45C8">
        <w:rPr>
          <w:szCs w:val="22"/>
        </w:rPr>
        <w:t xml:space="preserve"> </w:t>
      </w:r>
      <w:r w:rsidR="00571DD3">
        <w:rPr>
          <w:szCs w:val="22"/>
        </w:rPr>
        <w:t xml:space="preserve">DIP’s immediate parent company, </w:t>
      </w:r>
      <w:r w:rsidRPr="00571DD3" w:rsidR="00571DD3">
        <w:rPr>
          <w:szCs w:val="22"/>
        </w:rPr>
        <w:t>OneWeb</w:t>
      </w:r>
      <w:r w:rsidRPr="00571DD3" w:rsidR="00571DD3">
        <w:rPr>
          <w:szCs w:val="22"/>
        </w:rPr>
        <w:t xml:space="preserve"> Communications Limited</w:t>
      </w:r>
      <w:r w:rsidR="00333F35">
        <w:rPr>
          <w:szCs w:val="22"/>
        </w:rPr>
        <w:t>.</w:t>
      </w:r>
      <w:r>
        <w:rPr>
          <w:rStyle w:val="FootnoteReference"/>
          <w:szCs w:val="22"/>
        </w:rPr>
        <w:footnoteReference w:id="6"/>
      </w:r>
    </w:p>
    <w:p w:rsidR="00B21BD3" w:rsidRPr="00B21BD3" w:rsidP="00905EAF" w14:paraId="079E5C1B" w14:textId="3F750337">
      <w:pPr>
        <w:spacing w:after="120"/>
        <w:ind w:firstLine="720"/>
        <w:rPr>
          <w:szCs w:val="22"/>
        </w:rPr>
      </w:pPr>
      <w:r>
        <w:rPr>
          <w:szCs w:val="22"/>
        </w:rPr>
        <w:t xml:space="preserve">Upon completion of the transaction, </w:t>
      </w:r>
      <w:r w:rsidR="002548B0">
        <w:rPr>
          <w:szCs w:val="22"/>
        </w:rPr>
        <w:t xml:space="preserve">and </w:t>
      </w:r>
      <w:r>
        <w:rPr>
          <w:szCs w:val="22"/>
        </w:rPr>
        <w:t>i</w:t>
      </w:r>
      <w:r w:rsidR="007702D7">
        <w:rPr>
          <w:szCs w:val="22"/>
        </w:rPr>
        <w:t xml:space="preserve">n exchange for approximately </w:t>
      </w:r>
      <w:r w:rsidRPr="00AC6196" w:rsidR="007702D7">
        <w:rPr>
          <w:szCs w:val="22"/>
        </w:rPr>
        <w:t>$1 billion of</w:t>
      </w:r>
      <w:r w:rsidR="007702D7">
        <w:rPr>
          <w:szCs w:val="22"/>
        </w:rPr>
        <w:t xml:space="preserve"> </w:t>
      </w:r>
      <w:r w:rsidRPr="00AC6196" w:rsidR="007702D7">
        <w:rPr>
          <w:szCs w:val="22"/>
        </w:rPr>
        <w:t xml:space="preserve">equity commitments to </w:t>
      </w:r>
      <w:r w:rsidRPr="00AC6196" w:rsidR="007702D7">
        <w:rPr>
          <w:szCs w:val="22"/>
        </w:rPr>
        <w:t>BidCo</w:t>
      </w:r>
      <w:r w:rsidR="007702D7">
        <w:rPr>
          <w:szCs w:val="22"/>
        </w:rPr>
        <w:t xml:space="preserve">, </w:t>
      </w:r>
      <w:r w:rsidRPr="00AC6196" w:rsidR="007702D7">
        <w:rPr>
          <w:szCs w:val="22"/>
        </w:rPr>
        <w:t>Bharti Global Limited (Bharti)</w:t>
      </w:r>
      <w:r>
        <w:rPr>
          <w:rStyle w:val="FootnoteReference"/>
          <w:szCs w:val="22"/>
        </w:rPr>
        <w:footnoteReference w:id="7"/>
      </w:r>
      <w:r w:rsidRPr="00AC6196" w:rsidR="007702D7">
        <w:rPr>
          <w:szCs w:val="22"/>
        </w:rPr>
        <w:t xml:space="preserve"> and the United Kingdom’s Secretary of State for </w:t>
      </w:r>
      <w:r w:rsidRPr="00AC6196" w:rsidR="007702D7">
        <w:rPr>
          <w:szCs w:val="22"/>
        </w:rPr>
        <w:t>Business,</w:t>
      </w:r>
      <w:r w:rsidR="007702D7">
        <w:rPr>
          <w:szCs w:val="22"/>
        </w:rPr>
        <w:t xml:space="preserve"> </w:t>
      </w:r>
      <w:r w:rsidRPr="00AC6196" w:rsidR="007702D7">
        <w:rPr>
          <w:szCs w:val="22"/>
        </w:rPr>
        <w:t>Energy and Industrial Strategy, representing Her Majesty</w:t>
      </w:r>
      <w:r w:rsidR="007702D7">
        <w:rPr>
          <w:szCs w:val="22"/>
        </w:rPr>
        <w:t>’</w:t>
      </w:r>
      <w:r w:rsidRPr="00AC6196" w:rsidR="007702D7">
        <w:rPr>
          <w:szCs w:val="22"/>
        </w:rPr>
        <w:t>s Government (</w:t>
      </w:r>
      <w:r w:rsidR="007702D7">
        <w:rPr>
          <w:szCs w:val="22"/>
        </w:rPr>
        <w:t xml:space="preserve">UK Government) </w:t>
      </w:r>
      <w:r w:rsidR="00905EAF">
        <w:rPr>
          <w:szCs w:val="22"/>
        </w:rPr>
        <w:t>will</w:t>
      </w:r>
      <w:r w:rsidR="000A5F66">
        <w:rPr>
          <w:szCs w:val="22"/>
        </w:rPr>
        <w:t xml:space="preserve"> each</w:t>
      </w:r>
      <w:r w:rsidR="007702D7">
        <w:rPr>
          <w:szCs w:val="22"/>
        </w:rPr>
        <w:t xml:space="preserve"> </w:t>
      </w:r>
      <w:r w:rsidRPr="00AC6196" w:rsidR="007702D7">
        <w:rPr>
          <w:szCs w:val="22"/>
        </w:rPr>
        <w:t xml:space="preserve">directly and individually hold approximately </w:t>
      </w:r>
      <w:r w:rsidRPr="00DE5C3C" w:rsidR="00DE5C3C">
        <w:rPr>
          <w:szCs w:val="22"/>
        </w:rPr>
        <w:t>42.2</w:t>
      </w:r>
      <w:r w:rsidR="00484C3B">
        <w:rPr>
          <w:szCs w:val="22"/>
        </w:rPr>
        <w:t>%</w:t>
      </w:r>
      <w:r w:rsidR="00DE5C3C">
        <w:rPr>
          <w:szCs w:val="22"/>
        </w:rPr>
        <w:t xml:space="preserve"> </w:t>
      </w:r>
      <w:r w:rsidRPr="00AC6196" w:rsidR="007702D7">
        <w:rPr>
          <w:szCs w:val="22"/>
        </w:rPr>
        <w:t>of the</w:t>
      </w:r>
      <w:r w:rsidR="007702D7">
        <w:rPr>
          <w:szCs w:val="22"/>
        </w:rPr>
        <w:t xml:space="preserve"> </w:t>
      </w:r>
      <w:r w:rsidRPr="00AC6196" w:rsidR="007702D7">
        <w:rPr>
          <w:szCs w:val="22"/>
        </w:rPr>
        <w:t xml:space="preserve">voting equity of </w:t>
      </w:r>
      <w:r w:rsidRPr="00AC6196" w:rsidR="007702D7">
        <w:rPr>
          <w:szCs w:val="22"/>
        </w:rPr>
        <w:t>BidCo</w:t>
      </w:r>
      <w:r w:rsidRPr="00AC6196" w:rsidR="007702D7">
        <w:rPr>
          <w:szCs w:val="22"/>
        </w:rPr>
        <w:t xml:space="preserve">, and therefore indirectly and collectively hold approximately </w:t>
      </w:r>
      <w:r w:rsidRPr="00DE5C3C" w:rsidR="00DE5C3C">
        <w:rPr>
          <w:szCs w:val="22"/>
        </w:rPr>
        <w:t>85</w:t>
      </w:r>
      <w:r w:rsidR="00484C3B">
        <w:rPr>
          <w:szCs w:val="22"/>
        </w:rPr>
        <w:t>%</w:t>
      </w:r>
      <w:r w:rsidR="00DE5C3C">
        <w:rPr>
          <w:szCs w:val="22"/>
        </w:rPr>
        <w:t xml:space="preserve"> </w:t>
      </w:r>
      <w:r w:rsidRPr="00AC6196" w:rsidR="007702D7">
        <w:rPr>
          <w:szCs w:val="22"/>
        </w:rPr>
        <w:t>of</w:t>
      </w:r>
      <w:r w:rsidR="007702D7">
        <w:rPr>
          <w:szCs w:val="22"/>
        </w:rPr>
        <w:t xml:space="preserve"> </w:t>
      </w:r>
      <w:r w:rsidRPr="00AC6196" w:rsidR="007702D7">
        <w:rPr>
          <w:szCs w:val="22"/>
        </w:rPr>
        <w:t xml:space="preserve">the voting equity of </w:t>
      </w:r>
      <w:r w:rsidRPr="00AC6196" w:rsidR="007702D7">
        <w:rPr>
          <w:szCs w:val="22"/>
        </w:rPr>
        <w:t>OneWeb</w:t>
      </w:r>
      <w:r w:rsidRPr="00AC6196" w:rsidR="007702D7">
        <w:rPr>
          <w:szCs w:val="22"/>
        </w:rPr>
        <w:t xml:space="preserve"> Communications</w:t>
      </w:r>
      <w:r w:rsidR="0017218F">
        <w:rPr>
          <w:szCs w:val="22"/>
        </w:rPr>
        <w:t xml:space="preserve"> Limited</w:t>
      </w:r>
      <w:r w:rsidRPr="00AC6196" w:rsidR="007702D7">
        <w:rPr>
          <w:szCs w:val="22"/>
        </w:rPr>
        <w:t xml:space="preserve"> and </w:t>
      </w:r>
      <w:r w:rsidR="0020739A">
        <w:rPr>
          <w:szCs w:val="22"/>
        </w:rPr>
        <w:t xml:space="preserve">its wholly owned subsidiary, </w:t>
      </w:r>
      <w:r w:rsidR="007702D7">
        <w:rPr>
          <w:szCs w:val="22"/>
        </w:rPr>
        <w:t>the reorganized</w:t>
      </w:r>
      <w:r w:rsidRPr="00AC6196" w:rsidR="007702D7">
        <w:rPr>
          <w:szCs w:val="22"/>
        </w:rPr>
        <w:t xml:space="preserve"> </w:t>
      </w:r>
      <w:r w:rsidRPr="00AC6196" w:rsidR="007702D7">
        <w:rPr>
          <w:szCs w:val="22"/>
        </w:rPr>
        <w:t>OneWeb</w:t>
      </w:r>
      <w:r w:rsidRPr="00AC6196" w:rsidR="007702D7">
        <w:rPr>
          <w:szCs w:val="22"/>
        </w:rPr>
        <w:t>.</w:t>
      </w:r>
      <w:r>
        <w:rPr>
          <w:rStyle w:val="FootnoteReference"/>
          <w:szCs w:val="22"/>
        </w:rPr>
        <w:footnoteReference w:id="8"/>
      </w:r>
      <w:r w:rsidR="00DE5C3C">
        <w:rPr>
          <w:szCs w:val="22"/>
        </w:rPr>
        <w:t xml:space="preserve">  </w:t>
      </w:r>
      <w:r w:rsidR="00A356C0">
        <w:rPr>
          <w:szCs w:val="22"/>
        </w:rPr>
        <w:t>A</w:t>
      </w:r>
      <w:r w:rsidR="00DE5C3C">
        <w:rPr>
          <w:szCs w:val="22"/>
        </w:rPr>
        <w:t>ddition</w:t>
      </w:r>
      <w:r w:rsidR="00A356C0">
        <w:rPr>
          <w:szCs w:val="22"/>
        </w:rPr>
        <w:t>ally</w:t>
      </w:r>
      <w:r w:rsidR="00DE5C3C">
        <w:rPr>
          <w:szCs w:val="22"/>
        </w:rPr>
        <w:t xml:space="preserve">, </w:t>
      </w:r>
      <w:r w:rsidRPr="00DE5C3C" w:rsidR="00DE5C3C">
        <w:rPr>
          <w:szCs w:val="22"/>
        </w:rPr>
        <w:t>SoftBank Group Corp.</w:t>
      </w:r>
      <w:r w:rsidR="00DE5C3C">
        <w:rPr>
          <w:szCs w:val="22"/>
        </w:rPr>
        <w:t xml:space="preserve"> (SoftBank), an existing secured creditor of </w:t>
      </w:r>
      <w:r w:rsidR="00DE5C3C">
        <w:rPr>
          <w:szCs w:val="22"/>
        </w:rPr>
        <w:t>OneWeb</w:t>
      </w:r>
      <w:r w:rsidR="00DE5C3C">
        <w:rPr>
          <w:szCs w:val="22"/>
        </w:rPr>
        <w:t xml:space="preserve"> DIP, </w:t>
      </w:r>
      <w:r w:rsidR="005762A6">
        <w:rPr>
          <w:szCs w:val="22"/>
        </w:rPr>
        <w:t xml:space="preserve">will hold </w:t>
      </w:r>
      <w:r w:rsidRPr="00DE5C3C" w:rsidR="005762A6">
        <w:rPr>
          <w:szCs w:val="22"/>
        </w:rPr>
        <w:t>an approximately 12.3</w:t>
      </w:r>
      <w:r w:rsidR="00484C3B">
        <w:rPr>
          <w:szCs w:val="22"/>
        </w:rPr>
        <w:t>%</w:t>
      </w:r>
      <w:r w:rsidR="005762A6">
        <w:rPr>
          <w:szCs w:val="22"/>
        </w:rPr>
        <w:t xml:space="preserve"> </w:t>
      </w:r>
      <w:r w:rsidRPr="00DE5C3C" w:rsidR="005762A6">
        <w:rPr>
          <w:szCs w:val="22"/>
        </w:rPr>
        <w:t xml:space="preserve">voting interest in </w:t>
      </w:r>
      <w:r w:rsidRPr="00DE5C3C" w:rsidR="005762A6">
        <w:rPr>
          <w:szCs w:val="22"/>
        </w:rPr>
        <w:t>BidCo</w:t>
      </w:r>
      <w:r w:rsidR="005762A6">
        <w:rPr>
          <w:szCs w:val="22"/>
        </w:rPr>
        <w:t xml:space="preserve"> and, indirectly, the reorganized </w:t>
      </w:r>
      <w:r w:rsidR="005762A6">
        <w:rPr>
          <w:szCs w:val="22"/>
        </w:rPr>
        <w:t>OneWeb</w:t>
      </w:r>
      <w:r w:rsidR="005762A6">
        <w:rPr>
          <w:szCs w:val="22"/>
        </w:rPr>
        <w:t>.</w:t>
      </w:r>
      <w:r>
        <w:rPr>
          <w:rStyle w:val="FootnoteReference"/>
          <w:szCs w:val="22"/>
        </w:rPr>
        <w:footnoteReference w:id="9"/>
      </w:r>
      <w:r w:rsidR="005762A6">
        <w:rPr>
          <w:szCs w:val="22"/>
        </w:rPr>
        <w:t xml:space="preserve">  </w:t>
      </w:r>
    </w:p>
    <w:p w:rsidR="00905EAF" w:rsidP="00135759" w14:paraId="711EA580" w14:textId="3177F6E8">
      <w:pPr>
        <w:spacing w:after="120"/>
        <w:rPr>
          <w:szCs w:val="22"/>
        </w:rPr>
      </w:pPr>
      <w:r>
        <w:rPr>
          <w:szCs w:val="22"/>
        </w:rPr>
        <w:tab/>
      </w:r>
      <w:r>
        <w:rPr>
          <w:szCs w:val="22"/>
        </w:rPr>
        <w:t>The Application was placed on public notice on September 2, 2020.</w:t>
      </w:r>
      <w:r>
        <w:rPr>
          <w:rStyle w:val="FootnoteReference"/>
          <w:szCs w:val="22"/>
        </w:rPr>
        <w:footnoteReference w:id="10"/>
      </w:r>
      <w:r>
        <w:rPr>
          <w:szCs w:val="22"/>
        </w:rPr>
        <w:t xml:space="preserve">  No comments were filed.</w:t>
      </w:r>
    </w:p>
    <w:p w:rsidR="005762A6" w:rsidP="009A23CC" w14:paraId="5F489386" w14:textId="5B53A88F">
      <w:pPr>
        <w:spacing w:after="120"/>
        <w:ind w:firstLine="720"/>
        <w:rPr>
          <w:szCs w:val="22"/>
        </w:rPr>
      </w:pPr>
      <w:r>
        <w:rPr>
          <w:szCs w:val="22"/>
        </w:rPr>
        <w:t xml:space="preserve">After review of the Application, the International Bureau concludes that the Applicants are qualified to hold Commission licenses, that the proposed assignments and transfer of control do not </w:t>
      </w:r>
      <w:r w:rsidRPr="009A23CC">
        <w:rPr>
          <w:szCs w:val="22"/>
        </w:rPr>
        <w:t>raise competitive concerns</w:t>
      </w:r>
      <w:r>
        <w:rPr>
          <w:szCs w:val="22"/>
        </w:rPr>
        <w:t xml:space="preserve">, and that there are no issues </w:t>
      </w:r>
      <w:r w:rsidRPr="009A23CC">
        <w:rPr>
          <w:szCs w:val="22"/>
        </w:rPr>
        <w:t>related to</w:t>
      </w:r>
      <w:r>
        <w:rPr>
          <w:szCs w:val="22"/>
        </w:rPr>
        <w:t xml:space="preserve"> </w:t>
      </w:r>
      <w:r w:rsidRPr="009A23CC">
        <w:rPr>
          <w:szCs w:val="22"/>
        </w:rPr>
        <w:t xml:space="preserve">national security, law enforcement, foreign policy, </w:t>
      </w:r>
      <w:r w:rsidR="00431C1A">
        <w:rPr>
          <w:szCs w:val="22"/>
        </w:rPr>
        <w:t>or</w:t>
      </w:r>
      <w:r w:rsidRPr="009A23CC">
        <w:rPr>
          <w:szCs w:val="22"/>
        </w:rPr>
        <w:t xml:space="preserve"> trade policy.</w:t>
      </w:r>
      <w:r>
        <w:rPr>
          <w:rStyle w:val="FootnoteReference"/>
          <w:szCs w:val="22"/>
        </w:rPr>
        <w:footnoteReference w:id="11"/>
      </w:r>
      <w:r>
        <w:rPr>
          <w:szCs w:val="22"/>
        </w:rPr>
        <w:t xml:space="preserve">  The Bureau further concludes that grant of the Application will </w:t>
      </w:r>
      <w:r w:rsidRPr="009A23CC">
        <w:rPr>
          <w:szCs w:val="22"/>
        </w:rPr>
        <w:t>serve the public interest, convenience, and necessity</w:t>
      </w:r>
      <w:r>
        <w:rPr>
          <w:szCs w:val="22"/>
        </w:rPr>
        <w:t xml:space="preserve"> by permitting </w:t>
      </w:r>
      <w:r w:rsidRPr="004878A2">
        <w:rPr>
          <w:szCs w:val="22"/>
        </w:rPr>
        <w:t>OneWeb</w:t>
      </w:r>
      <w:r w:rsidRPr="004878A2">
        <w:rPr>
          <w:szCs w:val="22"/>
        </w:rPr>
        <w:t xml:space="preserve"> </w:t>
      </w:r>
      <w:r>
        <w:rPr>
          <w:szCs w:val="22"/>
        </w:rPr>
        <w:t xml:space="preserve">DIP </w:t>
      </w:r>
      <w:r w:rsidRPr="004878A2">
        <w:rPr>
          <w:szCs w:val="22"/>
        </w:rPr>
        <w:t>to exit Chapter 11 bankruptcy, facilitat</w:t>
      </w:r>
      <w:r>
        <w:rPr>
          <w:szCs w:val="22"/>
        </w:rPr>
        <w:t>ing</w:t>
      </w:r>
      <w:r w:rsidRPr="004878A2">
        <w:rPr>
          <w:szCs w:val="22"/>
        </w:rPr>
        <w:t xml:space="preserve"> access to new, secured financing, and strengthen</w:t>
      </w:r>
      <w:r>
        <w:rPr>
          <w:szCs w:val="22"/>
        </w:rPr>
        <w:t>ing</w:t>
      </w:r>
      <w:r w:rsidRPr="004878A2">
        <w:rPr>
          <w:szCs w:val="22"/>
        </w:rPr>
        <w:t xml:space="preserve"> its ability to compete in</w:t>
      </w:r>
      <w:r>
        <w:rPr>
          <w:szCs w:val="22"/>
        </w:rPr>
        <w:t xml:space="preserve"> </w:t>
      </w:r>
      <w:r w:rsidRPr="004878A2">
        <w:rPr>
          <w:szCs w:val="22"/>
        </w:rPr>
        <w:t xml:space="preserve">the marketplace for </w:t>
      </w:r>
      <w:r>
        <w:rPr>
          <w:szCs w:val="22"/>
        </w:rPr>
        <w:t xml:space="preserve">satellite </w:t>
      </w:r>
      <w:r w:rsidRPr="004878A2">
        <w:rPr>
          <w:szCs w:val="22"/>
        </w:rPr>
        <w:t>connectivity services</w:t>
      </w:r>
      <w:r>
        <w:rPr>
          <w:szCs w:val="22"/>
        </w:rPr>
        <w:t>.</w:t>
      </w:r>
      <w:r w:rsidR="00454E20">
        <w:rPr>
          <w:szCs w:val="22"/>
        </w:rPr>
        <w:t xml:space="preserve">  The Bureau therefore grants the Application.</w:t>
      </w:r>
    </w:p>
    <w:p w:rsidR="00636E90" w:rsidP="00A018DC" w14:paraId="7CB9A291" w14:textId="70F14A3F">
      <w:pPr>
        <w:autoSpaceDE w:val="0"/>
        <w:autoSpaceDN w:val="0"/>
        <w:adjustRightInd w:val="0"/>
        <w:spacing w:after="120"/>
        <w:rPr>
          <w:szCs w:val="22"/>
        </w:rPr>
      </w:pPr>
      <w:r>
        <w:rPr>
          <w:szCs w:val="22"/>
        </w:rPr>
        <w:tab/>
      </w:r>
      <w:r w:rsidR="00905EAF">
        <w:rPr>
          <w:szCs w:val="22"/>
        </w:rPr>
        <w:t>Action by the Chief, International Bureau</w:t>
      </w:r>
      <w:r w:rsidR="00906B2B">
        <w:rPr>
          <w:szCs w:val="22"/>
        </w:rPr>
        <w:t>.</w:t>
      </w:r>
    </w:p>
    <w:p w:rsidR="00906B2B" w:rsidP="00906B2B" w14:paraId="789E9D58" w14:textId="77777777">
      <w:pPr>
        <w:rPr>
          <w:b/>
          <w:szCs w:val="22"/>
        </w:rPr>
      </w:pPr>
    </w:p>
    <w:p w:rsidR="00636E90" w:rsidP="00906B2B" w14:paraId="78071ECB" w14:textId="0A35B339">
      <w:pPr>
        <w:jc w:val="center"/>
        <w:rPr>
          <w:b/>
          <w:szCs w:val="22"/>
        </w:rPr>
      </w:pPr>
      <w:r w:rsidRPr="00906B2B">
        <w:rPr>
          <w:b/>
          <w:szCs w:val="22"/>
        </w:rPr>
        <w:t>– FCC –</w:t>
      </w:r>
    </w:p>
    <w:p w:rsidR="00CC18A3" w14:paraId="7C5A28E8" w14:textId="5B6460D4">
      <w:pPr>
        <w:widowControl/>
        <w:rPr>
          <w:b/>
          <w:szCs w:val="22"/>
        </w:rPr>
      </w:pPr>
      <w:r>
        <w:rPr>
          <w:b/>
          <w:szCs w:val="22"/>
        </w:rPr>
        <w:br w:type="page"/>
      </w:r>
    </w:p>
    <w:p w:rsidR="00CC18A3" w:rsidP="00906B2B" w14:paraId="34E383F3" w14:textId="06B4A72B">
      <w:pPr>
        <w:jc w:val="center"/>
        <w:rPr>
          <w:b/>
          <w:szCs w:val="22"/>
        </w:rPr>
      </w:pPr>
      <w:r>
        <w:rPr>
          <w:b/>
          <w:szCs w:val="22"/>
        </w:rPr>
        <w:t>A</w:t>
      </w:r>
      <w:r w:rsidR="009E7535">
        <w:rPr>
          <w:b/>
          <w:szCs w:val="22"/>
        </w:rPr>
        <w:t>ttachment</w:t>
      </w:r>
    </w:p>
    <w:p w:rsidR="00CC18A3" w:rsidP="00906B2B" w14:paraId="4B542848" w14:textId="769A2AF1">
      <w:pPr>
        <w:jc w:val="center"/>
        <w:rPr>
          <w:b/>
          <w:szCs w:val="22"/>
        </w:rPr>
      </w:pPr>
    </w:p>
    <w:p w:rsidR="00CC18A3" w:rsidP="00906B2B" w14:paraId="136E691F" w14:textId="2B48427E">
      <w:pPr>
        <w:jc w:val="center"/>
        <w:rPr>
          <w:bCs/>
          <w:szCs w:val="22"/>
        </w:rPr>
      </w:pPr>
      <w:r>
        <w:rPr>
          <w:b/>
          <w:szCs w:val="22"/>
        </w:rPr>
        <w:t xml:space="preserve">List of all licenses </w:t>
      </w:r>
      <w:r w:rsidR="007E7400">
        <w:rPr>
          <w:b/>
          <w:szCs w:val="22"/>
        </w:rPr>
        <w:t xml:space="preserve">and </w:t>
      </w:r>
      <w:r w:rsidR="002B21E5">
        <w:rPr>
          <w:b/>
          <w:szCs w:val="22"/>
        </w:rPr>
        <w:t xml:space="preserve">space station market access </w:t>
      </w:r>
      <w:r w:rsidR="007E7400">
        <w:rPr>
          <w:b/>
          <w:szCs w:val="22"/>
        </w:rPr>
        <w:t xml:space="preserve">grants </w:t>
      </w:r>
      <w:r w:rsidR="00083D74">
        <w:rPr>
          <w:b/>
          <w:szCs w:val="22"/>
        </w:rPr>
        <w:t>subject to the consent to transfer</w:t>
      </w:r>
    </w:p>
    <w:p w:rsidR="00CC18A3" w:rsidP="001A6890" w14:paraId="0D79D12A" w14:textId="32760943">
      <w:pPr>
        <w:jc w:val="center"/>
        <w:rPr>
          <w:b/>
          <w:szCs w:val="22"/>
        </w:rPr>
      </w:pPr>
    </w:p>
    <w:p w:rsidR="001A6890" w:rsidP="001A6890" w14:paraId="754E1AF1" w14:textId="77777777">
      <w:pPr>
        <w:jc w:val="center"/>
        <w:rPr>
          <w:b/>
          <w:szCs w:val="22"/>
        </w:rPr>
      </w:pPr>
    </w:p>
    <w:tbl>
      <w:tblPr>
        <w:tblStyle w:val="TableGrid"/>
        <w:tblW w:w="0" w:type="auto"/>
        <w:tblLook w:val="04A0"/>
      </w:tblPr>
      <w:tblGrid>
        <w:gridCol w:w="4675"/>
        <w:gridCol w:w="4675"/>
      </w:tblGrid>
      <w:tr w14:paraId="2E95E7DE" w14:textId="77777777" w:rsidTr="001A6890">
        <w:tblPrEx>
          <w:tblW w:w="0" w:type="auto"/>
          <w:tblLook w:val="04A0"/>
        </w:tblPrEx>
        <w:tc>
          <w:tcPr>
            <w:tcW w:w="4675" w:type="dxa"/>
          </w:tcPr>
          <w:p w:rsidR="001A6890" w:rsidP="002B283C" w14:paraId="3903B69E" w14:textId="62186883">
            <w:pPr>
              <w:jc w:val="center"/>
              <w:rPr>
                <w:b/>
                <w:szCs w:val="22"/>
              </w:rPr>
            </w:pPr>
            <w:r>
              <w:rPr>
                <w:b/>
                <w:szCs w:val="22"/>
              </w:rPr>
              <w:t>Call Sign</w:t>
            </w:r>
          </w:p>
        </w:tc>
        <w:tc>
          <w:tcPr>
            <w:tcW w:w="4675" w:type="dxa"/>
          </w:tcPr>
          <w:p w:rsidR="001A6890" w:rsidP="002B283C" w14:paraId="5E81A4A3" w14:textId="5EE1E1CC">
            <w:pPr>
              <w:jc w:val="center"/>
              <w:rPr>
                <w:b/>
                <w:szCs w:val="22"/>
              </w:rPr>
            </w:pPr>
            <w:r>
              <w:rPr>
                <w:b/>
                <w:szCs w:val="22"/>
              </w:rPr>
              <w:t>IBFS File Number</w:t>
            </w:r>
          </w:p>
        </w:tc>
      </w:tr>
      <w:tr w14:paraId="3AC1058C" w14:textId="77777777" w:rsidTr="002B283C">
        <w:tblPrEx>
          <w:tblW w:w="0" w:type="auto"/>
          <w:tblLook w:val="04A0"/>
        </w:tblPrEx>
        <w:trPr>
          <w:trHeight w:val="350"/>
        </w:trPr>
        <w:tc>
          <w:tcPr>
            <w:tcW w:w="9350" w:type="dxa"/>
            <w:gridSpan w:val="2"/>
            <w:tcBorders>
              <w:bottom w:val="single" w:sz="4" w:space="0" w:color="auto"/>
            </w:tcBorders>
          </w:tcPr>
          <w:p w:rsidR="001A6890" w:rsidP="002B283C" w14:paraId="6AB19C2B" w14:textId="676721B5">
            <w:pPr>
              <w:jc w:val="center"/>
              <w:rPr>
                <w:b/>
                <w:szCs w:val="22"/>
              </w:rPr>
            </w:pPr>
            <w:r>
              <w:rPr>
                <w:b/>
                <w:szCs w:val="22"/>
              </w:rPr>
              <w:t xml:space="preserve">Space Station </w:t>
            </w:r>
            <w:r w:rsidR="007E7400">
              <w:rPr>
                <w:b/>
                <w:szCs w:val="22"/>
              </w:rPr>
              <w:t>Market Access Grants</w:t>
            </w:r>
          </w:p>
        </w:tc>
      </w:tr>
      <w:tr w14:paraId="2D462FCF" w14:textId="77777777" w:rsidTr="001A6890">
        <w:tblPrEx>
          <w:tblW w:w="0" w:type="auto"/>
          <w:tblLook w:val="04A0"/>
        </w:tblPrEx>
        <w:tc>
          <w:tcPr>
            <w:tcW w:w="4675" w:type="dxa"/>
          </w:tcPr>
          <w:p w:rsidR="001A6890" w:rsidP="002B283C" w14:paraId="534CF967" w14:textId="504A4433">
            <w:pPr>
              <w:jc w:val="center"/>
              <w:rPr>
                <w:b/>
                <w:szCs w:val="22"/>
              </w:rPr>
            </w:pPr>
            <w:r>
              <w:t xml:space="preserve">S2963 </w:t>
            </w:r>
          </w:p>
        </w:tc>
        <w:tc>
          <w:tcPr>
            <w:tcW w:w="4675" w:type="dxa"/>
          </w:tcPr>
          <w:p w:rsidR="001A6890" w:rsidRPr="002B283C" w:rsidP="002B283C" w14:paraId="4B08D7A8" w14:textId="511E4EFA">
            <w:pPr>
              <w:jc w:val="center"/>
              <w:rPr>
                <w:bCs/>
                <w:szCs w:val="22"/>
              </w:rPr>
            </w:pPr>
            <w:r>
              <w:rPr>
                <w:bCs/>
                <w:szCs w:val="22"/>
              </w:rPr>
              <w:t>SAT-LOI-20160428-00041</w:t>
            </w:r>
          </w:p>
        </w:tc>
      </w:tr>
      <w:tr w14:paraId="474162BF" w14:textId="77777777" w:rsidTr="001A6890">
        <w:tblPrEx>
          <w:tblW w:w="0" w:type="auto"/>
          <w:tblLook w:val="04A0"/>
        </w:tblPrEx>
        <w:tc>
          <w:tcPr>
            <w:tcW w:w="4675" w:type="dxa"/>
          </w:tcPr>
          <w:p w:rsidR="001A6890" w:rsidRPr="002B283C" w:rsidP="002B283C" w14:paraId="78A4E1A0" w14:textId="7A84FCCF">
            <w:pPr>
              <w:jc w:val="center"/>
              <w:rPr>
                <w:bCs/>
                <w:szCs w:val="22"/>
              </w:rPr>
            </w:pPr>
            <w:r w:rsidRPr="007E7400">
              <w:rPr>
                <w:bCs/>
                <w:szCs w:val="22"/>
              </w:rPr>
              <w:t>S2994</w:t>
            </w:r>
          </w:p>
        </w:tc>
        <w:tc>
          <w:tcPr>
            <w:tcW w:w="4675" w:type="dxa"/>
          </w:tcPr>
          <w:p w:rsidR="00B84316" w:rsidRPr="002B283C" w:rsidP="002B283C" w14:paraId="6870B7A0" w14:textId="12E76075">
            <w:pPr>
              <w:jc w:val="center"/>
              <w:rPr>
                <w:bCs/>
                <w:szCs w:val="22"/>
              </w:rPr>
            </w:pPr>
            <w:r>
              <w:rPr>
                <w:bCs/>
                <w:szCs w:val="22"/>
              </w:rPr>
              <w:t>SAT-LOI-2017</w:t>
            </w:r>
            <w:r>
              <w:t>0301-00031</w:t>
            </w:r>
          </w:p>
        </w:tc>
      </w:tr>
      <w:tr w14:paraId="02A0FFE3" w14:textId="77777777" w:rsidTr="002B283C">
        <w:tblPrEx>
          <w:tblW w:w="0" w:type="auto"/>
          <w:tblLook w:val="04A0"/>
        </w:tblPrEx>
        <w:trPr>
          <w:trHeight w:val="278"/>
        </w:trPr>
        <w:tc>
          <w:tcPr>
            <w:tcW w:w="9350" w:type="dxa"/>
            <w:gridSpan w:val="2"/>
          </w:tcPr>
          <w:p w:rsidR="00B84316" w:rsidRPr="00B84316" w:rsidP="00B84316" w14:paraId="1E56CA70" w14:textId="3E9D1F41">
            <w:pPr>
              <w:jc w:val="center"/>
              <w:rPr>
                <w:b/>
                <w:szCs w:val="22"/>
              </w:rPr>
            </w:pPr>
            <w:r>
              <w:rPr>
                <w:b/>
                <w:szCs w:val="22"/>
              </w:rPr>
              <w:t>Earth Station Authorizations</w:t>
            </w:r>
          </w:p>
        </w:tc>
      </w:tr>
      <w:tr w14:paraId="4CC36A4E" w14:textId="77777777" w:rsidTr="001A6890">
        <w:tblPrEx>
          <w:tblW w:w="0" w:type="auto"/>
          <w:tblLook w:val="04A0"/>
        </w:tblPrEx>
        <w:tc>
          <w:tcPr>
            <w:tcW w:w="4675" w:type="dxa"/>
          </w:tcPr>
          <w:p w:rsidR="00B84316" w:rsidP="001A6890" w14:paraId="10DDF2ED" w14:textId="4B2660D0">
            <w:pPr>
              <w:jc w:val="center"/>
              <w:rPr>
                <w:bCs/>
                <w:szCs w:val="22"/>
              </w:rPr>
            </w:pPr>
            <w:r>
              <w:t>E180620</w:t>
            </w:r>
          </w:p>
        </w:tc>
        <w:tc>
          <w:tcPr>
            <w:tcW w:w="4675" w:type="dxa"/>
          </w:tcPr>
          <w:p w:rsidR="00B84316" w:rsidP="002B283C" w14:paraId="2DBD2865" w14:textId="474B87F5">
            <w:pPr>
              <w:jc w:val="center"/>
              <w:rPr>
                <w:bCs/>
                <w:szCs w:val="22"/>
              </w:rPr>
            </w:pPr>
            <w:r>
              <w:t>SES-LIC-20180604-01082</w:t>
            </w:r>
          </w:p>
        </w:tc>
      </w:tr>
      <w:tr w14:paraId="1298778D" w14:textId="77777777" w:rsidTr="001A6890">
        <w:tblPrEx>
          <w:tblW w:w="0" w:type="auto"/>
          <w:tblLook w:val="04A0"/>
        </w:tblPrEx>
        <w:tc>
          <w:tcPr>
            <w:tcW w:w="4675" w:type="dxa"/>
          </w:tcPr>
          <w:p w:rsidR="00B84316" w:rsidP="001A6890" w14:paraId="2F4B6B5D" w14:textId="1A5CEB06">
            <w:pPr>
              <w:jc w:val="center"/>
              <w:rPr>
                <w:bCs/>
                <w:szCs w:val="22"/>
              </w:rPr>
            </w:pPr>
            <w:r>
              <w:t>E181293</w:t>
            </w:r>
          </w:p>
        </w:tc>
        <w:tc>
          <w:tcPr>
            <w:tcW w:w="4675" w:type="dxa"/>
          </w:tcPr>
          <w:p w:rsidR="00B84316" w:rsidP="002B283C" w14:paraId="7B62A673" w14:textId="37AB92A1">
            <w:pPr>
              <w:jc w:val="center"/>
              <w:rPr>
                <w:bCs/>
                <w:szCs w:val="22"/>
              </w:rPr>
            </w:pPr>
            <w:r>
              <w:t>SES-LIC-20180727-02075</w:t>
            </w:r>
          </w:p>
        </w:tc>
      </w:tr>
      <w:tr w14:paraId="11E172A2" w14:textId="77777777" w:rsidTr="001A6890">
        <w:tblPrEx>
          <w:tblW w:w="0" w:type="auto"/>
          <w:tblLook w:val="04A0"/>
        </w:tblPrEx>
        <w:tc>
          <w:tcPr>
            <w:tcW w:w="4675" w:type="dxa"/>
          </w:tcPr>
          <w:p w:rsidR="00B84316" w:rsidP="001A6890" w14:paraId="1FC65D84" w14:textId="79B10863">
            <w:pPr>
              <w:jc w:val="center"/>
              <w:rPr>
                <w:bCs/>
                <w:szCs w:val="22"/>
              </w:rPr>
            </w:pPr>
            <w:r>
              <w:t>E181294</w:t>
            </w:r>
          </w:p>
        </w:tc>
        <w:tc>
          <w:tcPr>
            <w:tcW w:w="4675" w:type="dxa"/>
          </w:tcPr>
          <w:p w:rsidR="00B84316" w:rsidP="002B283C" w14:paraId="17FE4D20" w14:textId="4C24EF0C">
            <w:pPr>
              <w:jc w:val="center"/>
              <w:rPr>
                <w:bCs/>
                <w:szCs w:val="22"/>
              </w:rPr>
            </w:pPr>
            <w:r>
              <w:t>SES-LIC-20180727-02076</w:t>
            </w:r>
          </w:p>
        </w:tc>
      </w:tr>
    </w:tbl>
    <w:p w:rsidR="001A6890" w14:paraId="05016EC9" w14:textId="0DCC7734">
      <w:pPr>
        <w:rPr>
          <w:b/>
          <w:szCs w:val="22"/>
        </w:rPr>
      </w:pPr>
    </w:p>
    <w:p w:rsidR="002B21E5" w14:paraId="7805B504" w14:textId="77777777">
      <w:pPr>
        <w:rPr>
          <w:b/>
          <w:szCs w:val="22"/>
        </w:rPr>
      </w:pPr>
    </w:p>
    <w:p w:rsidR="002B21E5" w:rsidP="002B283C" w14:paraId="72B14441" w14:textId="182F0A8C">
      <w:pPr>
        <w:jc w:val="center"/>
        <w:rPr>
          <w:b/>
          <w:szCs w:val="22"/>
        </w:rPr>
      </w:pPr>
      <w:r>
        <w:rPr>
          <w:b/>
          <w:szCs w:val="22"/>
        </w:rPr>
        <w:t xml:space="preserve">List of all pending </w:t>
      </w:r>
      <w:r>
        <w:rPr>
          <w:b/>
          <w:szCs w:val="22"/>
        </w:rPr>
        <w:t>OneWeb</w:t>
      </w:r>
      <w:r>
        <w:rPr>
          <w:b/>
          <w:szCs w:val="22"/>
        </w:rPr>
        <w:t xml:space="preserve"> applications subject to the consent to transfer</w:t>
      </w:r>
    </w:p>
    <w:p w:rsidR="002B21E5" w14:paraId="6A0CDABC" w14:textId="0DFE6453">
      <w:pPr>
        <w:rPr>
          <w:b/>
          <w:szCs w:val="22"/>
        </w:rPr>
      </w:pPr>
    </w:p>
    <w:p w:rsidR="002B21E5" w14:paraId="735B8004" w14:textId="77777777">
      <w:pPr>
        <w:rPr>
          <w:b/>
          <w:szCs w:val="22"/>
        </w:rPr>
      </w:pPr>
    </w:p>
    <w:tbl>
      <w:tblPr>
        <w:tblStyle w:val="TableGrid"/>
        <w:tblW w:w="0" w:type="auto"/>
        <w:tblLook w:val="04A0"/>
      </w:tblPr>
      <w:tblGrid>
        <w:gridCol w:w="4675"/>
        <w:gridCol w:w="4675"/>
      </w:tblGrid>
      <w:tr w14:paraId="0A8ECF46" w14:textId="77777777" w:rsidTr="002B21E5">
        <w:tblPrEx>
          <w:tblW w:w="0" w:type="auto"/>
          <w:tblLook w:val="04A0"/>
        </w:tblPrEx>
        <w:tc>
          <w:tcPr>
            <w:tcW w:w="4675" w:type="dxa"/>
          </w:tcPr>
          <w:p w:rsidR="002B21E5" w:rsidP="002B283C" w14:paraId="0FE30729" w14:textId="4F7FBA48">
            <w:pPr>
              <w:jc w:val="center"/>
              <w:rPr>
                <w:b/>
                <w:szCs w:val="22"/>
              </w:rPr>
            </w:pPr>
            <w:r>
              <w:rPr>
                <w:b/>
                <w:szCs w:val="22"/>
              </w:rPr>
              <w:t>Call Sign</w:t>
            </w:r>
          </w:p>
        </w:tc>
        <w:tc>
          <w:tcPr>
            <w:tcW w:w="4675" w:type="dxa"/>
          </w:tcPr>
          <w:p w:rsidR="002B21E5" w:rsidP="002B283C" w14:paraId="13965D87" w14:textId="721A39D0">
            <w:pPr>
              <w:jc w:val="center"/>
              <w:rPr>
                <w:b/>
                <w:szCs w:val="22"/>
              </w:rPr>
            </w:pPr>
            <w:r>
              <w:rPr>
                <w:b/>
                <w:szCs w:val="22"/>
              </w:rPr>
              <w:t>IBFS File Number</w:t>
            </w:r>
          </w:p>
        </w:tc>
      </w:tr>
      <w:tr w14:paraId="1E75097A" w14:textId="77777777" w:rsidTr="002B283C">
        <w:tblPrEx>
          <w:tblW w:w="0" w:type="auto"/>
          <w:tblLook w:val="04A0"/>
        </w:tblPrEx>
        <w:trPr>
          <w:trHeight w:val="368"/>
        </w:trPr>
        <w:tc>
          <w:tcPr>
            <w:tcW w:w="9350" w:type="dxa"/>
            <w:gridSpan w:val="2"/>
          </w:tcPr>
          <w:p w:rsidR="006229B9" w:rsidRPr="006229B9" w:rsidP="002B283C" w14:paraId="0FCBF4A5" w14:textId="605DB037">
            <w:pPr>
              <w:jc w:val="center"/>
              <w:rPr>
                <w:b/>
                <w:szCs w:val="22"/>
              </w:rPr>
            </w:pPr>
            <w:r w:rsidRPr="002B283C">
              <w:rPr>
                <w:b/>
                <w:szCs w:val="22"/>
              </w:rPr>
              <w:t>Space Station Market Access Request</w:t>
            </w:r>
          </w:p>
        </w:tc>
      </w:tr>
      <w:tr w14:paraId="65A9F532" w14:textId="77777777" w:rsidTr="002B21E5">
        <w:tblPrEx>
          <w:tblW w:w="0" w:type="auto"/>
          <w:tblLook w:val="04A0"/>
        </w:tblPrEx>
        <w:tc>
          <w:tcPr>
            <w:tcW w:w="4675" w:type="dxa"/>
          </w:tcPr>
          <w:p w:rsidR="006229B9" w:rsidRPr="002B283C" w:rsidP="002B283C" w14:paraId="0AF95541" w14:textId="11478537">
            <w:pPr>
              <w:jc w:val="center"/>
              <w:rPr>
                <w:bCs/>
                <w:szCs w:val="22"/>
              </w:rPr>
            </w:pPr>
            <w:r w:rsidRPr="002B21E5">
              <w:rPr>
                <w:bCs/>
                <w:szCs w:val="22"/>
              </w:rPr>
              <w:t>S2963</w:t>
            </w:r>
          </w:p>
        </w:tc>
        <w:tc>
          <w:tcPr>
            <w:tcW w:w="4675" w:type="dxa"/>
          </w:tcPr>
          <w:p w:rsidR="006229B9" w:rsidRPr="002B283C" w:rsidP="002B283C" w14:paraId="1A48607A" w14:textId="2A142EEE">
            <w:pPr>
              <w:jc w:val="center"/>
              <w:rPr>
                <w:bCs/>
                <w:szCs w:val="22"/>
              </w:rPr>
            </w:pPr>
            <w:r w:rsidRPr="002B21E5">
              <w:rPr>
                <w:bCs/>
                <w:szCs w:val="22"/>
              </w:rPr>
              <w:t>SAT-MPL-20200526-00062</w:t>
            </w:r>
          </w:p>
        </w:tc>
      </w:tr>
      <w:tr w14:paraId="1D681B53" w14:textId="77777777" w:rsidTr="002B283C">
        <w:tblPrEx>
          <w:tblW w:w="0" w:type="auto"/>
          <w:tblLook w:val="04A0"/>
        </w:tblPrEx>
        <w:trPr>
          <w:trHeight w:val="368"/>
        </w:trPr>
        <w:tc>
          <w:tcPr>
            <w:tcW w:w="9350" w:type="dxa"/>
            <w:gridSpan w:val="2"/>
          </w:tcPr>
          <w:p w:rsidR="006229B9" w:rsidRPr="006229B9" w:rsidP="002B283C" w14:paraId="0FE9F4FC" w14:textId="4755598E">
            <w:pPr>
              <w:jc w:val="center"/>
              <w:rPr>
                <w:b/>
                <w:szCs w:val="22"/>
              </w:rPr>
            </w:pPr>
            <w:r w:rsidRPr="002B283C">
              <w:rPr>
                <w:b/>
                <w:szCs w:val="22"/>
              </w:rPr>
              <w:t>Earth Station License Applications</w:t>
            </w:r>
          </w:p>
        </w:tc>
      </w:tr>
      <w:tr w14:paraId="5975B387" w14:textId="77777777" w:rsidTr="002B21E5">
        <w:tblPrEx>
          <w:tblW w:w="0" w:type="auto"/>
          <w:tblLook w:val="04A0"/>
        </w:tblPrEx>
        <w:tc>
          <w:tcPr>
            <w:tcW w:w="4675" w:type="dxa"/>
          </w:tcPr>
          <w:p w:rsidR="006229B9" w:rsidRPr="002B283C" w:rsidP="002B283C" w14:paraId="3DED0656" w14:textId="62DF46FB">
            <w:pPr>
              <w:jc w:val="center"/>
              <w:rPr>
                <w:bCs/>
                <w:szCs w:val="22"/>
              </w:rPr>
            </w:pPr>
            <w:r w:rsidRPr="00411326">
              <w:rPr>
                <w:bCs/>
                <w:szCs w:val="22"/>
              </w:rPr>
              <w:t>E190759</w:t>
            </w:r>
          </w:p>
        </w:tc>
        <w:tc>
          <w:tcPr>
            <w:tcW w:w="4675" w:type="dxa"/>
          </w:tcPr>
          <w:p w:rsidR="006229B9" w:rsidRPr="002B283C" w:rsidP="002B283C" w14:paraId="4918DA26" w14:textId="2F0B4632">
            <w:pPr>
              <w:jc w:val="center"/>
              <w:rPr>
                <w:bCs/>
                <w:szCs w:val="22"/>
              </w:rPr>
            </w:pPr>
            <w:r w:rsidRPr="00411326">
              <w:rPr>
                <w:bCs/>
                <w:szCs w:val="22"/>
              </w:rPr>
              <w:t>SES-LIC-20190930-01237</w:t>
            </w:r>
          </w:p>
        </w:tc>
      </w:tr>
      <w:tr w14:paraId="5F638C73" w14:textId="77777777" w:rsidTr="002B21E5">
        <w:tblPrEx>
          <w:tblW w:w="0" w:type="auto"/>
          <w:tblLook w:val="04A0"/>
        </w:tblPrEx>
        <w:tc>
          <w:tcPr>
            <w:tcW w:w="4675" w:type="dxa"/>
          </w:tcPr>
          <w:p w:rsidR="006229B9" w:rsidRPr="002B283C" w:rsidP="002B283C" w14:paraId="13752613" w14:textId="6E6E5B0E">
            <w:pPr>
              <w:jc w:val="center"/>
              <w:rPr>
                <w:bCs/>
                <w:szCs w:val="22"/>
              </w:rPr>
            </w:pPr>
            <w:r w:rsidRPr="002B21E5">
              <w:rPr>
                <w:bCs/>
                <w:szCs w:val="22"/>
              </w:rPr>
              <w:t>E190236</w:t>
            </w:r>
          </w:p>
        </w:tc>
        <w:tc>
          <w:tcPr>
            <w:tcW w:w="4675" w:type="dxa"/>
          </w:tcPr>
          <w:p w:rsidR="006229B9" w:rsidRPr="002B283C" w:rsidP="002B283C" w14:paraId="10426D30" w14:textId="404C6E90">
            <w:pPr>
              <w:jc w:val="center"/>
              <w:rPr>
                <w:bCs/>
                <w:szCs w:val="22"/>
              </w:rPr>
            </w:pPr>
            <w:r w:rsidRPr="002B21E5">
              <w:rPr>
                <w:bCs/>
                <w:szCs w:val="22"/>
              </w:rPr>
              <w:t>SES-LIC-20190422-00538</w:t>
            </w:r>
          </w:p>
        </w:tc>
      </w:tr>
      <w:tr w14:paraId="2D304882" w14:textId="77777777" w:rsidTr="002B21E5">
        <w:tblPrEx>
          <w:tblW w:w="0" w:type="auto"/>
          <w:tblLook w:val="04A0"/>
        </w:tblPrEx>
        <w:tc>
          <w:tcPr>
            <w:tcW w:w="4675" w:type="dxa"/>
          </w:tcPr>
          <w:p w:rsidR="006229B9" w:rsidRPr="002B283C" w:rsidP="002B283C" w14:paraId="090FF298" w14:textId="0AF9422F">
            <w:pPr>
              <w:jc w:val="center"/>
              <w:rPr>
                <w:bCs/>
                <w:szCs w:val="22"/>
              </w:rPr>
            </w:pPr>
            <w:r w:rsidRPr="002B21E5">
              <w:rPr>
                <w:bCs/>
                <w:szCs w:val="22"/>
              </w:rPr>
              <w:t>E190727</w:t>
            </w:r>
          </w:p>
        </w:tc>
        <w:tc>
          <w:tcPr>
            <w:tcW w:w="4675" w:type="dxa"/>
          </w:tcPr>
          <w:p w:rsidR="006229B9" w:rsidRPr="002B283C" w:rsidP="002B283C" w14:paraId="43DA6A64" w14:textId="41F09F62">
            <w:pPr>
              <w:jc w:val="center"/>
              <w:rPr>
                <w:bCs/>
                <w:szCs w:val="22"/>
              </w:rPr>
            </w:pPr>
            <w:r w:rsidRPr="002B21E5">
              <w:rPr>
                <w:bCs/>
                <w:szCs w:val="22"/>
              </w:rPr>
              <w:t>SES-LIC-20190930-01217</w:t>
            </w:r>
          </w:p>
        </w:tc>
      </w:tr>
      <w:tr w14:paraId="7B24120F" w14:textId="77777777" w:rsidTr="002B21E5">
        <w:tblPrEx>
          <w:tblW w:w="0" w:type="auto"/>
          <w:tblLook w:val="04A0"/>
        </w:tblPrEx>
        <w:tc>
          <w:tcPr>
            <w:tcW w:w="4675" w:type="dxa"/>
          </w:tcPr>
          <w:p w:rsidR="006229B9" w:rsidRPr="002B283C" w:rsidP="002B283C" w14:paraId="305A7653" w14:textId="1939E067">
            <w:pPr>
              <w:jc w:val="center"/>
              <w:rPr>
                <w:bCs/>
                <w:szCs w:val="22"/>
              </w:rPr>
            </w:pPr>
            <w:r w:rsidRPr="002B21E5">
              <w:rPr>
                <w:bCs/>
                <w:szCs w:val="22"/>
              </w:rPr>
              <w:t>E191337</w:t>
            </w:r>
          </w:p>
        </w:tc>
        <w:tc>
          <w:tcPr>
            <w:tcW w:w="4675" w:type="dxa"/>
          </w:tcPr>
          <w:p w:rsidR="006229B9" w:rsidRPr="002B283C" w:rsidP="002B283C" w14:paraId="197A127D" w14:textId="4CED9E36">
            <w:pPr>
              <w:jc w:val="center"/>
              <w:rPr>
                <w:bCs/>
                <w:szCs w:val="22"/>
              </w:rPr>
            </w:pPr>
            <w:r w:rsidRPr="002B21E5">
              <w:rPr>
                <w:bCs/>
                <w:szCs w:val="22"/>
              </w:rPr>
              <w:t>SES-LIC-20191203-01624</w:t>
            </w:r>
          </w:p>
        </w:tc>
      </w:tr>
    </w:tbl>
    <w:p w:rsidR="002B21E5" w:rsidRPr="00906B2B" w:rsidP="002B283C" w14:paraId="781FBA49" w14:textId="77777777">
      <w:pPr>
        <w:rPr>
          <w:b/>
          <w:szCs w:val="22"/>
        </w:rPr>
      </w:pPr>
    </w:p>
    <w:sectPr w:rsidSect="000E5884">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E95CE2F"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4139F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BAED8D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FF86BF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327A" w14:paraId="3F54CEA5" w14:textId="77777777">
      <w:r>
        <w:separator/>
      </w:r>
    </w:p>
  </w:footnote>
  <w:footnote w:type="continuationSeparator" w:id="1">
    <w:p w:rsidR="0018327A" w14:paraId="10860F67" w14:textId="77777777">
      <w:pPr>
        <w:rPr>
          <w:sz w:val="20"/>
        </w:rPr>
      </w:pPr>
      <w:r>
        <w:rPr>
          <w:sz w:val="20"/>
        </w:rPr>
        <w:t xml:space="preserve">(Continued from previous page)  </w:t>
      </w:r>
      <w:r>
        <w:rPr>
          <w:sz w:val="20"/>
        </w:rPr>
        <w:separator/>
      </w:r>
    </w:p>
  </w:footnote>
  <w:footnote w:type="continuationNotice" w:id="2">
    <w:p w:rsidR="0018327A" w:rsidP="00910F12" w14:paraId="4865DA38" w14:textId="77777777">
      <w:pPr>
        <w:jc w:val="right"/>
        <w:rPr>
          <w:sz w:val="20"/>
        </w:rPr>
      </w:pPr>
      <w:r>
        <w:rPr>
          <w:sz w:val="20"/>
        </w:rPr>
        <w:t>(continued….)</w:t>
      </w:r>
    </w:p>
  </w:footnote>
  <w:footnote w:id="3">
    <w:p w:rsidR="004454A8" w:rsidP="004454A8" w14:paraId="56352B27" w14:textId="783895C3">
      <w:pPr>
        <w:pStyle w:val="FootnoteText"/>
      </w:pPr>
      <w:r>
        <w:rPr>
          <w:rStyle w:val="FootnoteReference"/>
        </w:rPr>
        <w:footnoteRef/>
      </w:r>
      <w:r>
        <w:t xml:space="preserve"> </w:t>
      </w:r>
      <w:r w:rsidRPr="001A13EF">
        <w:rPr>
          <w:i/>
          <w:iCs/>
        </w:rPr>
        <w:t>See</w:t>
      </w:r>
      <w:r>
        <w:t xml:space="preserve"> </w:t>
      </w:r>
      <w:r w:rsidRPr="001A13EF">
        <w:rPr>
          <w:i/>
          <w:iCs/>
        </w:rPr>
        <w:t xml:space="preserve">Proposed Change of Ownership of the </w:t>
      </w:r>
      <w:r w:rsidRPr="001A13EF">
        <w:rPr>
          <w:i/>
          <w:iCs/>
        </w:rPr>
        <w:t>OneWeb</w:t>
      </w:r>
      <w:r w:rsidRPr="001A13EF">
        <w:rPr>
          <w:i/>
          <w:iCs/>
        </w:rPr>
        <w:t xml:space="preserve"> System</w:t>
      </w:r>
      <w:r>
        <w:t>, IBFS File No</w:t>
      </w:r>
      <w:r w:rsidR="001D59EE">
        <w:t>s</w:t>
      </w:r>
      <w:r>
        <w:t xml:space="preserve">. </w:t>
      </w:r>
      <w:r w:rsidRPr="00FD3EB7">
        <w:t>SES-ASG-20200818-00891</w:t>
      </w:r>
      <w:r w:rsidR="00DC0747">
        <w:t>,</w:t>
      </w:r>
      <w:r>
        <w:t xml:space="preserve"> </w:t>
      </w:r>
      <w:r w:rsidRPr="00636E90">
        <w:t>SAT-MPL-20200818-00099</w:t>
      </w:r>
      <w:r>
        <w:t xml:space="preserve">, </w:t>
      </w:r>
      <w:r w:rsidR="00265BB0">
        <w:t xml:space="preserve">and </w:t>
      </w:r>
      <w:r w:rsidRPr="00DE5C3C" w:rsidR="00DE5C3C">
        <w:t>SAT-M</w:t>
      </w:r>
      <w:r w:rsidR="00EF10CE">
        <w:t>PL</w:t>
      </w:r>
      <w:r w:rsidRPr="00DE5C3C" w:rsidR="00DE5C3C">
        <w:t>-20200831-00101</w:t>
      </w:r>
      <w:r w:rsidRPr="00FD3EB7">
        <w:t xml:space="preserve"> </w:t>
      </w:r>
      <w:r>
        <w:t>(filed Aug. 1</w:t>
      </w:r>
      <w:r w:rsidR="00265BB0">
        <w:t>8 and 31</w:t>
      </w:r>
      <w:r>
        <w:t xml:space="preserve">, 2020) (Application); </w:t>
      </w:r>
      <w:r w:rsidRPr="004F6886">
        <w:rPr>
          <w:rFonts w:eastAsia="Calibri"/>
        </w:rPr>
        <w:t>47 U.S.C. §</w:t>
      </w:r>
      <w:r w:rsidR="001D59EE">
        <w:rPr>
          <w:rFonts w:eastAsia="Calibri"/>
        </w:rPr>
        <w:t> </w:t>
      </w:r>
      <w:r w:rsidRPr="004F6886">
        <w:rPr>
          <w:rFonts w:eastAsia="Calibri"/>
        </w:rPr>
        <w:t>310</w:t>
      </w:r>
      <w:r>
        <w:rPr>
          <w:rFonts w:eastAsia="Calibri"/>
        </w:rPr>
        <w:t xml:space="preserve">(d); </w:t>
      </w:r>
      <w:r w:rsidRPr="00021F2D">
        <w:t>47 CFR §§</w:t>
      </w:r>
      <w:r w:rsidR="00F56EA4">
        <w:t> </w:t>
      </w:r>
      <w:r>
        <w:t>25.119, 25.137(g).</w:t>
      </w:r>
    </w:p>
  </w:footnote>
  <w:footnote w:id="4">
    <w:p w:rsidR="005978F5" w:rsidP="00135759" w14:paraId="50C54B16" w14:textId="1EA562D4">
      <w:pPr>
        <w:pStyle w:val="FootnoteText"/>
      </w:pPr>
      <w:r>
        <w:rPr>
          <w:rStyle w:val="FootnoteReference"/>
        </w:rPr>
        <w:footnoteRef/>
      </w:r>
      <w:r>
        <w:t xml:space="preserve"> Application</w:t>
      </w:r>
      <w:r w:rsidR="00F56EA4">
        <w:t xml:space="preserve"> </w:t>
      </w:r>
      <w:r w:rsidR="00F56EA4">
        <w:t>Exh</w:t>
      </w:r>
      <w:r w:rsidR="00F56EA4">
        <w:t>. A (Aug. 31 Update)</w:t>
      </w:r>
      <w:r>
        <w:t>, Attach. A.</w:t>
      </w:r>
      <w:r w:rsidR="00135759">
        <w:t xml:space="preserve"> </w:t>
      </w:r>
      <w:r w:rsidR="00667076">
        <w:t xml:space="preserve"> </w:t>
      </w:r>
      <w:r w:rsidRPr="00454E20" w:rsidR="00454E20">
        <w:t xml:space="preserve">The Applicants request that any disposition of the Application include authority for </w:t>
      </w:r>
      <w:r w:rsidRPr="00454E20" w:rsidR="00454E20">
        <w:t>BidCo</w:t>
      </w:r>
      <w:r w:rsidRPr="00454E20" w:rsidR="00454E20">
        <w:t xml:space="preserve"> to acquire control of any authorizations issued to </w:t>
      </w:r>
      <w:r w:rsidRPr="00454E20" w:rsidR="00454E20">
        <w:t>OneWeb</w:t>
      </w:r>
      <w:r w:rsidRPr="00454E20" w:rsidR="00454E20">
        <w:t xml:space="preserve"> DIP while the transaction is pending before the Commission.  </w:t>
      </w:r>
      <w:r w:rsidRPr="00454E20" w:rsidR="00454E20">
        <w:rPr>
          <w:i/>
          <w:iCs/>
        </w:rPr>
        <w:t>Id.</w:t>
      </w:r>
      <w:r w:rsidR="00135759">
        <w:t xml:space="preserve"> </w:t>
      </w:r>
      <w:r w:rsidR="00454E20">
        <w:t xml:space="preserve"> One earth station license (call sign </w:t>
      </w:r>
      <w:r w:rsidRPr="00454E20" w:rsidR="00454E20">
        <w:t>E181294</w:t>
      </w:r>
      <w:r w:rsidR="00454E20">
        <w:t>) was granted during the pendency of the Application and is included in the consent given here.</w:t>
      </w:r>
      <w:r w:rsidR="00083D74">
        <w:t xml:space="preserve">  </w:t>
      </w:r>
      <w:r w:rsidR="00454E20">
        <w:t xml:space="preserve">In addition, </w:t>
      </w:r>
      <w:r w:rsidR="00265BB0">
        <w:t>OneWeb</w:t>
      </w:r>
      <w:r w:rsidR="00265BB0">
        <w:t xml:space="preserve"> DIP holds experimental licenses that are the subject of separate action.</w:t>
      </w:r>
      <w:r w:rsidR="00990018">
        <w:t xml:space="preserve">  All licenses included in this consent are listed in the A</w:t>
      </w:r>
      <w:r w:rsidR="004F3381">
        <w:t>ppendix</w:t>
      </w:r>
      <w:r w:rsidR="00990018">
        <w:t xml:space="preserve"> to this Public Notice.  </w:t>
      </w:r>
    </w:p>
  </w:footnote>
  <w:footnote w:id="5">
    <w:p w:rsidR="005F45C8" w:rsidP="005F45C8" w14:paraId="6052F415" w14:textId="77777777">
      <w:pPr>
        <w:pStyle w:val="FootnoteText"/>
      </w:pPr>
      <w:r>
        <w:rPr>
          <w:rStyle w:val="FootnoteReference"/>
        </w:rPr>
        <w:footnoteRef/>
      </w:r>
      <w:r>
        <w:t xml:space="preserve"> </w:t>
      </w:r>
      <w:r w:rsidRPr="00F21E80" w:rsidR="00F21E80">
        <w:rPr>
          <w:i/>
          <w:iCs/>
        </w:rPr>
        <w:t>Id</w:t>
      </w:r>
      <w:r w:rsidRPr="00F21E80">
        <w:rPr>
          <w:i/>
          <w:iCs/>
        </w:rPr>
        <w:t>.</w:t>
      </w:r>
      <w:r>
        <w:t xml:space="preserve">  </w:t>
      </w:r>
      <w:r w:rsidR="00333F35">
        <w:t xml:space="preserve">Commission approval was granted for the assignment of licenses to </w:t>
      </w:r>
      <w:r w:rsidR="00333F35">
        <w:t>OneWeb</w:t>
      </w:r>
      <w:r w:rsidR="00333F35">
        <w:t xml:space="preserve"> DIP in bankruptcy. </w:t>
      </w:r>
      <w:r>
        <w:t xml:space="preserve"> </w:t>
      </w:r>
      <w:r w:rsidRPr="005F45C8">
        <w:rPr>
          <w:i/>
          <w:iCs/>
        </w:rPr>
        <w:t>See, e.g.</w:t>
      </w:r>
      <w:r w:rsidRPr="00836C3E">
        <w:t>,</w:t>
      </w:r>
      <w:r w:rsidRPr="005F45C8">
        <w:rPr>
          <w:i/>
          <w:iCs/>
        </w:rPr>
        <w:t xml:space="preserve"> Satellite Communications Services Information: Actions Taken</w:t>
      </w:r>
      <w:r>
        <w:t>, Public Notice, Report No. SES-02258 at 1 (rel. Apr. 15, 2020).</w:t>
      </w:r>
    </w:p>
  </w:footnote>
  <w:footnote w:id="6">
    <w:p w:rsidR="005F45C8" w14:paraId="696AA09E" w14:textId="77777777">
      <w:pPr>
        <w:pStyle w:val="FootnoteText"/>
      </w:pPr>
      <w:r>
        <w:rPr>
          <w:rStyle w:val="FootnoteReference"/>
        </w:rPr>
        <w:footnoteRef/>
      </w:r>
      <w:r>
        <w:t xml:space="preserve"> Application at 2.</w:t>
      </w:r>
    </w:p>
  </w:footnote>
  <w:footnote w:id="7">
    <w:p w:rsidR="007702D7" w:rsidP="007702D7" w14:paraId="3AA0C92E" w14:textId="07E86DDC">
      <w:pPr>
        <w:pStyle w:val="FootnoteText"/>
      </w:pPr>
      <w:r>
        <w:rPr>
          <w:rStyle w:val="FootnoteReference"/>
        </w:rPr>
        <w:footnoteRef/>
      </w:r>
      <w:r>
        <w:t xml:space="preserve"> Bharti is an Indian conglomerate with diversified interests in the telecommunications, insurance, real estate, hospitality, and technology sectors.  It is an existing indirect investor in </w:t>
      </w:r>
      <w:r>
        <w:t>OneWeb</w:t>
      </w:r>
      <w:r>
        <w:t xml:space="preserve"> with a 5.1</w:t>
      </w:r>
      <w:r w:rsidR="00484C3B">
        <w:t>%</w:t>
      </w:r>
      <w:r w:rsidR="002548B0">
        <w:t xml:space="preserve"> </w:t>
      </w:r>
      <w:r>
        <w:t xml:space="preserve">voting interest.  Bharti Airtel Limited, which shares common Bharti Mittal family shareholders with Bharti, is the third largest mobile operator in the world, with over 425 million customers.  </w:t>
      </w:r>
      <w:r w:rsidRPr="0056337C" w:rsidR="0056337C">
        <w:rPr>
          <w:i/>
          <w:iCs/>
        </w:rPr>
        <w:t>Id.</w:t>
      </w:r>
      <w:r>
        <w:t xml:space="preserve"> at 3.</w:t>
      </w:r>
    </w:p>
  </w:footnote>
  <w:footnote w:id="8">
    <w:p w:rsidR="003321CE" w:rsidP="003321CE" w14:paraId="4552C63F" w14:textId="77777777">
      <w:pPr>
        <w:pStyle w:val="FootnoteText"/>
      </w:pPr>
      <w:r>
        <w:rPr>
          <w:rStyle w:val="FootnoteReference"/>
        </w:rPr>
        <w:footnoteRef/>
      </w:r>
      <w:r>
        <w:t xml:space="preserve"> On July 27, 2020</w:t>
      </w:r>
      <w:r w:rsidR="002548B0">
        <w:t>,</w:t>
      </w:r>
      <w:r>
        <w:t xml:space="preserve"> Hughes Network Systems, LLC, an existing investor in </w:t>
      </w:r>
      <w:r>
        <w:t>OneWeb</w:t>
      </w:r>
      <w:r>
        <w:t xml:space="preserve"> with a 2.6</w:t>
      </w:r>
      <w:r w:rsidR="002548B0">
        <w:t xml:space="preserve"> percent</w:t>
      </w:r>
      <w:r>
        <w:t xml:space="preserve"> voting interest, announced an agreement in principle to invest $50 million in </w:t>
      </w:r>
      <w:r>
        <w:t>BidCo</w:t>
      </w:r>
      <w:r>
        <w:t>.</w:t>
      </w:r>
      <w:r w:rsidR="00135759">
        <w:t xml:space="preserve"> </w:t>
      </w:r>
      <w:r>
        <w:t xml:space="preserve"> The terms of Hughes’ investment </w:t>
      </w:r>
      <w:r w:rsidR="00135759">
        <w:t>have</w:t>
      </w:r>
      <w:r>
        <w:t xml:space="preserve"> not been finalized. </w:t>
      </w:r>
      <w:r w:rsidR="002548B0">
        <w:t xml:space="preserve"> The Applicants state that </w:t>
      </w:r>
      <w:r>
        <w:t xml:space="preserve">Hughes’ investment, </w:t>
      </w:r>
      <w:r w:rsidR="006D03CD">
        <w:t>if</w:t>
      </w:r>
      <w:r>
        <w:t xml:space="preserve"> consummated, </w:t>
      </w:r>
      <w:r w:rsidR="00135759">
        <w:t>would</w:t>
      </w:r>
      <w:r>
        <w:t xml:space="preserve"> not have a meaningful impact on Bharti and </w:t>
      </w:r>
      <w:r w:rsidR="002548B0">
        <w:t>the UK Government’s</w:t>
      </w:r>
      <w:r>
        <w:t xml:space="preserve"> beneficial interests and voting percentages. </w:t>
      </w:r>
      <w:r w:rsidR="002548B0">
        <w:t xml:space="preserve"> </w:t>
      </w:r>
      <w:r w:rsidRPr="0056337C" w:rsidR="0056337C">
        <w:rPr>
          <w:i/>
          <w:iCs/>
        </w:rPr>
        <w:t>Id.</w:t>
      </w:r>
      <w:r w:rsidR="002548B0">
        <w:t xml:space="preserve"> at 2, n.9.</w:t>
      </w:r>
    </w:p>
  </w:footnote>
  <w:footnote w:id="9">
    <w:p w:rsidR="005762A6" w:rsidP="005762A6" w14:paraId="2ACE4BA2" w14:textId="308A371F">
      <w:pPr>
        <w:pStyle w:val="FootnoteText"/>
      </w:pPr>
      <w:r>
        <w:rPr>
          <w:rStyle w:val="FootnoteReference"/>
        </w:rPr>
        <w:footnoteRef/>
      </w:r>
      <w:r>
        <w:t xml:space="preserve"> </w:t>
      </w:r>
      <w:r w:rsidRPr="004219A3">
        <w:rPr>
          <w:i/>
          <w:iCs/>
        </w:rPr>
        <w:t>Id.</w:t>
      </w:r>
      <w:r>
        <w:t xml:space="preserve"> at 5.  SoftBank currently holds </w:t>
      </w:r>
      <w:r w:rsidRPr="00FC2E17">
        <w:t>37.41</w:t>
      </w:r>
      <w:r>
        <w:t xml:space="preserve"> percent</w:t>
      </w:r>
      <w:r w:rsidRPr="00FC2E17">
        <w:t xml:space="preserve"> of the equity in </w:t>
      </w:r>
      <w:r w:rsidRPr="00FC2E17">
        <w:t>OneWeb</w:t>
      </w:r>
      <w:r>
        <w:t xml:space="preserve"> DIP.  </w:t>
      </w:r>
      <w:r w:rsidRPr="0079631B">
        <w:rPr>
          <w:i/>
          <w:iCs/>
        </w:rPr>
        <w:t>Id.</w:t>
      </w:r>
      <w:r>
        <w:t xml:space="preserve"> at 4.</w:t>
      </w:r>
    </w:p>
  </w:footnote>
  <w:footnote w:id="10">
    <w:p w:rsidR="00905EAF" w14:paraId="624801E3" w14:textId="2D7CF075">
      <w:pPr>
        <w:pStyle w:val="FootnoteText"/>
      </w:pPr>
      <w:r>
        <w:rPr>
          <w:rStyle w:val="FootnoteReference"/>
        </w:rPr>
        <w:footnoteRef/>
      </w:r>
      <w:r>
        <w:t xml:space="preserve"> </w:t>
      </w:r>
      <w:r w:rsidRPr="009A23CC" w:rsidR="009A23CC">
        <w:rPr>
          <w:i/>
          <w:iCs/>
        </w:rPr>
        <w:t xml:space="preserve">Applications Filed for Assignment and Transfer of Control by </w:t>
      </w:r>
      <w:r w:rsidRPr="009A23CC" w:rsidR="009A23CC">
        <w:rPr>
          <w:i/>
          <w:iCs/>
        </w:rPr>
        <w:t>WorldVu</w:t>
      </w:r>
      <w:r w:rsidRPr="009A23CC" w:rsidR="009A23CC">
        <w:rPr>
          <w:i/>
          <w:iCs/>
        </w:rPr>
        <w:t xml:space="preserve"> Satellites Limited, Debtor-In-Possession</w:t>
      </w:r>
      <w:r w:rsidR="009A23CC">
        <w:t xml:space="preserve">, Public Notice, </w:t>
      </w:r>
      <w:r w:rsidRPr="009A23CC" w:rsidR="009A23CC">
        <w:t>DA 20-1015</w:t>
      </w:r>
      <w:r w:rsidR="005762A6">
        <w:t xml:space="preserve">, </w:t>
      </w:r>
      <w:r w:rsidRPr="005762A6" w:rsidR="005762A6">
        <w:t>2020 WL 5346841</w:t>
      </w:r>
      <w:r w:rsidR="009A23CC">
        <w:t xml:space="preserve"> </w:t>
      </w:r>
      <w:r w:rsidR="00495319">
        <w:t>(IB and OET Sept. 2, 2020)</w:t>
      </w:r>
      <w:r w:rsidR="00B17747">
        <w:t>.</w:t>
      </w:r>
    </w:p>
  </w:footnote>
  <w:footnote w:id="11">
    <w:p w:rsidR="00FE7BFB" w14:paraId="63B6DD9C" w14:textId="2C0FB075">
      <w:pPr>
        <w:pStyle w:val="FootnoteText"/>
      </w:pPr>
      <w:r>
        <w:rPr>
          <w:rStyle w:val="FootnoteReference"/>
        </w:rPr>
        <w:footnoteRef/>
      </w:r>
      <w:r>
        <w:t xml:space="preserve"> Accordingly, the Bureau concludes that </w:t>
      </w:r>
      <w:r w:rsidRPr="00FE7BFB">
        <w:t xml:space="preserve">the planned change in ownership will not adversely affect any of the considerations made when the </w:t>
      </w:r>
      <w:r>
        <w:t>OneWeb</w:t>
      </w:r>
      <w:r>
        <w:t xml:space="preserve"> DIP </w:t>
      </w:r>
      <w:r w:rsidRPr="00FE7BFB">
        <w:t xml:space="preserve">satellite systems were granted market access.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3771" w14:paraId="4824AD7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B254BE8" w14:textId="0AAB982B">
    <w:pPr>
      <w:tabs>
        <w:tab w:val="center" w:pos="4680"/>
        <w:tab w:val="right" w:pos="9360"/>
      </w:tabs>
    </w:pPr>
    <w:r w:rsidRPr="009838BC">
      <w:rPr>
        <w:b/>
      </w:rPr>
      <w:tab/>
      <w:t>Federal Communications Commission</w:t>
    </w:r>
    <w:r w:rsidRPr="009838BC">
      <w:rPr>
        <w:b/>
      </w:rPr>
      <w:tab/>
    </w:r>
    <w:r w:rsidR="008B350F">
      <w:rPr>
        <w:b/>
      </w:rPr>
      <w:t xml:space="preserve">DA </w:t>
    </w:r>
    <w:r w:rsidRPr="001B3771" w:rsidR="001B3771">
      <w:rPr>
        <w:b/>
      </w:rPr>
      <w:t>20-1271</w:t>
    </w:r>
  </w:p>
  <w:p w:rsidR="009838BC" w:rsidRPr="009838BC" w:rsidP="009838BC" w14:paraId="00DDCA7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57AD0022"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FAE75F2"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5847E9E1">
                          <w:pPr>
                            <w:rPr>
                              <w:rFonts w:ascii="Arial" w:hAnsi="Arial"/>
                              <w:b/>
                            </w:rPr>
                          </w:pPr>
                          <w:r>
                            <w:rPr>
                              <w:rFonts w:ascii="Arial" w:hAnsi="Arial"/>
                              <w:b/>
                            </w:rPr>
                            <w:t>Federal Communications Commission</w:t>
                          </w:r>
                        </w:p>
                        <w:p w:rsidR="009838BC" w:rsidP="009838BC" w14:textId="27BB5210">
                          <w:pPr>
                            <w:rPr>
                              <w:rFonts w:ascii="Arial" w:hAnsi="Arial"/>
                              <w:b/>
                            </w:rPr>
                          </w:pPr>
                          <w:r>
                            <w:rPr>
                              <w:rFonts w:ascii="Arial" w:hAnsi="Arial"/>
                              <w:b/>
                            </w:rPr>
                            <w:t xml:space="preserve">45 </w:t>
                          </w:r>
                          <w:r w:rsidR="00200C54">
                            <w:rPr>
                              <w:rFonts w:ascii="Arial" w:hAnsi="Arial"/>
                              <w:b/>
                            </w:rPr>
                            <w:t>L S</w:t>
                          </w:r>
                          <w:r>
                            <w:rPr>
                              <w:rFonts w:ascii="Arial" w:hAnsi="Arial"/>
                              <w:b/>
                            </w:rPr>
                            <w:t>t</w:t>
                          </w:r>
                          <w:r w:rsidR="00200C54">
                            <w:rPr>
                              <w:rFonts w:ascii="Arial" w:hAnsi="Arial"/>
                              <w:b/>
                            </w:rPr>
                            <w:t>reet</w:t>
                          </w:r>
                          <w:r>
                            <w:rPr>
                              <w:rFonts w:ascii="Arial" w:hAnsi="Arial"/>
                              <w:b/>
                            </w:rPr>
                            <w:t xml:space="preserve">, </w:t>
                          </w:r>
                          <w:r w:rsidR="00200C54">
                            <w:rPr>
                              <w:rFonts w:ascii="Arial" w:hAnsi="Arial"/>
                              <w:b/>
                            </w:rPr>
                            <w:t>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582C08D2" w14:textId="5847E9E1">
                    <w:pPr>
                      <w:rPr>
                        <w:rFonts w:ascii="Arial" w:hAnsi="Arial"/>
                        <w:b/>
                      </w:rPr>
                    </w:pPr>
                    <w:r>
                      <w:rPr>
                        <w:rFonts w:ascii="Arial" w:hAnsi="Arial"/>
                        <w:b/>
                      </w:rPr>
                      <w:t>Federal Communications Commission</w:t>
                    </w:r>
                  </w:p>
                  <w:p w:rsidR="009838BC" w:rsidP="009838BC" w14:paraId="2C5B49B7" w14:textId="27BB5210">
                    <w:pPr>
                      <w:rPr>
                        <w:rFonts w:ascii="Arial" w:hAnsi="Arial"/>
                        <w:b/>
                      </w:rPr>
                    </w:pPr>
                    <w:r>
                      <w:rPr>
                        <w:rFonts w:ascii="Arial" w:hAnsi="Arial"/>
                        <w:b/>
                      </w:rPr>
                      <w:t xml:space="preserve">45 </w:t>
                    </w:r>
                    <w:r w:rsidR="00200C54">
                      <w:rPr>
                        <w:rFonts w:ascii="Arial" w:hAnsi="Arial"/>
                        <w:b/>
                      </w:rPr>
                      <w:t>L S</w:t>
                    </w:r>
                    <w:r>
                      <w:rPr>
                        <w:rFonts w:ascii="Arial" w:hAnsi="Arial"/>
                        <w:b/>
                      </w:rPr>
                      <w:t>t</w:t>
                    </w:r>
                    <w:r w:rsidR="00200C54">
                      <w:rPr>
                        <w:rFonts w:ascii="Arial" w:hAnsi="Arial"/>
                        <w:b/>
                      </w:rPr>
                      <w:t>reet</w:t>
                    </w:r>
                    <w:r>
                      <w:rPr>
                        <w:rFonts w:ascii="Arial" w:hAnsi="Arial"/>
                        <w:b/>
                      </w:rPr>
                      <w:t xml:space="preserve">, </w:t>
                    </w:r>
                    <w:r w:rsidR="00200C54">
                      <w:rPr>
                        <w:rFonts w:ascii="Arial" w:hAnsi="Arial"/>
                        <w:b/>
                      </w:rPr>
                      <w:t>N.E.</w:t>
                    </w:r>
                  </w:p>
                  <w:p w:rsidR="009838BC" w:rsidP="009838BC" w14:paraId="4527BAC3"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38461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42EFAA11"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1C93506C" w14:textId="77777777">
                    <w:pPr>
                      <w:spacing w:before="40"/>
                      <w:jc w:val="right"/>
                      <w:rPr>
                        <w:rFonts w:ascii="Arial" w:hAnsi="Arial"/>
                        <w:b/>
                        <w:sz w:val="16"/>
                      </w:rPr>
                    </w:pPr>
                    <w:r>
                      <w:rPr>
                        <w:rFonts w:ascii="Arial" w:hAnsi="Arial"/>
                        <w:b/>
                        <w:sz w:val="16"/>
                      </w:rPr>
                      <w:t>News Media Information 202 / 418-0500</w:t>
                    </w:r>
                  </w:p>
                  <w:p w:rsidR="009838BC" w:rsidP="009838BC" w14:paraId="5A810764"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23055E19" w14:textId="77777777">
                    <w:pPr>
                      <w:jc w:val="right"/>
                    </w:pPr>
                    <w:r>
                      <w:rPr>
                        <w:rFonts w:ascii="Arial" w:hAnsi="Arial"/>
                        <w:b/>
                        <w:sz w:val="16"/>
                      </w:rPr>
                      <w:t>TTY: 1-888-835-5322</w:t>
                    </w:r>
                  </w:p>
                </w:txbxContent>
              </v:textbox>
            </v:shape>
          </w:pict>
        </mc:Fallback>
      </mc:AlternateContent>
    </w:r>
  </w:p>
  <w:p w:rsidR="006F7393" w:rsidRPr="009838BC" w:rsidP="009838BC" w14:paraId="7F5C304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059305A"/>
    <w:multiLevelType w:val="multilevel"/>
    <w:tmpl w:val="73CCD07E"/>
    <w:lvl w:ilvl="0">
      <w:start w:val="1"/>
      <w:numFmt w:val="bullet"/>
      <w:lvlText w:val=""/>
      <w:lvlJc w:val="left"/>
      <w:pPr>
        <w:tabs>
          <w:tab w:val="num" w:pos="720"/>
        </w:tabs>
        <w:ind w:left="720" w:hanging="360"/>
      </w:pPr>
      <w:rPr>
        <w:rFonts w:ascii="Wingdings" w:hAnsi="Wingdings" w:hint="default"/>
        <w:sz w:val="20"/>
      </w:rPr>
    </w:lvl>
    <w:lvl w:ilvl="1">
      <w:start w:val="0"/>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11"/>
    <w:rsid w:val="000072CE"/>
    <w:rsid w:val="00013A8B"/>
    <w:rsid w:val="00021445"/>
    <w:rsid w:val="00021F2D"/>
    <w:rsid w:val="00036039"/>
    <w:rsid w:val="00037F90"/>
    <w:rsid w:val="00083D74"/>
    <w:rsid w:val="000875BF"/>
    <w:rsid w:val="00096D8C"/>
    <w:rsid w:val="00096FFA"/>
    <w:rsid w:val="000A5F66"/>
    <w:rsid w:val="000B5ED4"/>
    <w:rsid w:val="000C0B65"/>
    <w:rsid w:val="000D2723"/>
    <w:rsid w:val="000E3D42"/>
    <w:rsid w:val="000E5884"/>
    <w:rsid w:val="001063E0"/>
    <w:rsid w:val="00122BD5"/>
    <w:rsid w:val="00135759"/>
    <w:rsid w:val="00163815"/>
    <w:rsid w:val="00166C22"/>
    <w:rsid w:val="0017218F"/>
    <w:rsid w:val="0018327A"/>
    <w:rsid w:val="001979D9"/>
    <w:rsid w:val="001A13EF"/>
    <w:rsid w:val="001A6890"/>
    <w:rsid w:val="001B3771"/>
    <w:rsid w:val="001D59EE"/>
    <w:rsid w:val="001D6BCF"/>
    <w:rsid w:val="001E01CA"/>
    <w:rsid w:val="00200C54"/>
    <w:rsid w:val="002060D9"/>
    <w:rsid w:val="0020739A"/>
    <w:rsid w:val="00222050"/>
    <w:rsid w:val="00226822"/>
    <w:rsid w:val="002548B0"/>
    <w:rsid w:val="00260594"/>
    <w:rsid w:val="00265BB0"/>
    <w:rsid w:val="00285017"/>
    <w:rsid w:val="002A2D2E"/>
    <w:rsid w:val="002B21E5"/>
    <w:rsid w:val="002B283C"/>
    <w:rsid w:val="003321CE"/>
    <w:rsid w:val="00333F35"/>
    <w:rsid w:val="00343749"/>
    <w:rsid w:val="00357D50"/>
    <w:rsid w:val="0036754C"/>
    <w:rsid w:val="003751FE"/>
    <w:rsid w:val="003925DC"/>
    <w:rsid w:val="003B0550"/>
    <w:rsid w:val="003B694F"/>
    <w:rsid w:val="003D4403"/>
    <w:rsid w:val="003E5468"/>
    <w:rsid w:val="003F171C"/>
    <w:rsid w:val="00407862"/>
    <w:rsid w:val="00411326"/>
    <w:rsid w:val="00412FC5"/>
    <w:rsid w:val="004149FA"/>
    <w:rsid w:val="004219A3"/>
    <w:rsid w:val="00422276"/>
    <w:rsid w:val="004242F1"/>
    <w:rsid w:val="00431C1A"/>
    <w:rsid w:val="00444740"/>
    <w:rsid w:val="004454A8"/>
    <w:rsid w:val="00445A00"/>
    <w:rsid w:val="00451B0F"/>
    <w:rsid w:val="00454E20"/>
    <w:rsid w:val="0046125F"/>
    <w:rsid w:val="00484C3B"/>
    <w:rsid w:val="00487524"/>
    <w:rsid w:val="004878A2"/>
    <w:rsid w:val="00495319"/>
    <w:rsid w:val="00496106"/>
    <w:rsid w:val="004A3625"/>
    <w:rsid w:val="004B070B"/>
    <w:rsid w:val="004C12D0"/>
    <w:rsid w:val="004C2EE3"/>
    <w:rsid w:val="004C581D"/>
    <w:rsid w:val="004D64F6"/>
    <w:rsid w:val="004E0FC0"/>
    <w:rsid w:val="004E4A22"/>
    <w:rsid w:val="004E7E40"/>
    <w:rsid w:val="004F3381"/>
    <w:rsid w:val="004F6886"/>
    <w:rsid w:val="00511968"/>
    <w:rsid w:val="0055614C"/>
    <w:rsid w:val="00557EB7"/>
    <w:rsid w:val="0056337C"/>
    <w:rsid w:val="00571DD3"/>
    <w:rsid w:val="005762A6"/>
    <w:rsid w:val="005978F5"/>
    <w:rsid w:val="005C362F"/>
    <w:rsid w:val="005F45C8"/>
    <w:rsid w:val="005F5BF2"/>
    <w:rsid w:val="00607BA5"/>
    <w:rsid w:val="006159D3"/>
    <w:rsid w:val="006229B9"/>
    <w:rsid w:val="00626EB6"/>
    <w:rsid w:val="00630C76"/>
    <w:rsid w:val="006353A3"/>
    <w:rsid w:val="00636E90"/>
    <w:rsid w:val="00650418"/>
    <w:rsid w:val="00655D03"/>
    <w:rsid w:val="00660F88"/>
    <w:rsid w:val="00662409"/>
    <w:rsid w:val="00667076"/>
    <w:rsid w:val="00683F84"/>
    <w:rsid w:val="006906C6"/>
    <w:rsid w:val="0069555B"/>
    <w:rsid w:val="006A044B"/>
    <w:rsid w:val="006A6A81"/>
    <w:rsid w:val="006D03CD"/>
    <w:rsid w:val="006E26AF"/>
    <w:rsid w:val="006F7393"/>
    <w:rsid w:val="0070224F"/>
    <w:rsid w:val="007115F7"/>
    <w:rsid w:val="00716865"/>
    <w:rsid w:val="0075380E"/>
    <w:rsid w:val="007702D7"/>
    <w:rsid w:val="00785689"/>
    <w:rsid w:val="00793060"/>
    <w:rsid w:val="0079631B"/>
    <w:rsid w:val="0079754B"/>
    <w:rsid w:val="007A1E6D"/>
    <w:rsid w:val="007C2C36"/>
    <w:rsid w:val="007E7400"/>
    <w:rsid w:val="007F424E"/>
    <w:rsid w:val="007F5BB8"/>
    <w:rsid w:val="007F7DEF"/>
    <w:rsid w:val="00822CE0"/>
    <w:rsid w:val="00836C3E"/>
    <w:rsid w:val="00837C62"/>
    <w:rsid w:val="00841AB1"/>
    <w:rsid w:val="00853B4B"/>
    <w:rsid w:val="00881536"/>
    <w:rsid w:val="00893063"/>
    <w:rsid w:val="008B350F"/>
    <w:rsid w:val="008B38F6"/>
    <w:rsid w:val="008C22FD"/>
    <w:rsid w:val="008C5BA0"/>
    <w:rsid w:val="008F2BF5"/>
    <w:rsid w:val="008F6FB5"/>
    <w:rsid w:val="00905EAF"/>
    <w:rsid w:val="00906B2B"/>
    <w:rsid w:val="00910F12"/>
    <w:rsid w:val="00926503"/>
    <w:rsid w:val="00930ECF"/>
    <w:rsid w:val="00936DE5"/>
    <w:rsid w:val="009838BC"/>
    <w:rsid w:val="00990018"/>
    <w:rsid w:val="009A23CC"/>
    <w:rsid w:val="009E7535"/>
    <w:rsid w:val="00A018DC"/>
    <w:rsid w:val="00A356C0"/>
    <w:rsid w:val="00A45F4F"/>
    <w:rsid w:val="00A600A9"/>
    <w:rsid w:val="00A866AC"/>
    <w:rsid w:val="00A94A6F"/>
    <w:rsid w:val="00AA55B7"/>
    <w:rsid w:val="00AA5B9E"/>
    <w:rsid w:val="00AB2407"/>
    <w:rsid w:val="00AB53DF"/>
    <w:rsid w:val="00AC6196"/>
    <w:rsid w:val="00AD7AA2"/>
    <w:rsid w:val="00AE7A1F"/>
    <w:rsid w:val="00B07E5C"/>
    <w:rsid w:val="00B17747"/>
    <w:rsid w:val="00B20363"/>
    <w:rsid w:val="00B219B8"/>
    <w:rsid w:val="00B21BD3"/>
    <w:rsid w:val="00B326E3"/>
    <w:rsid w:val="00B43EBD"/>
    <w:rsid w:val="00B6048F"/>
    <w:rsid w:val="00B811F7"/>
    <w:rsid w:val="00B84316"/>
    <w:rsid w:val="00B86A74"/>
    <w:rsid w:val="00BA036D"/>
    <w:rsid w:val="00BA5DC6"/>
    <w:rsid w:val="00BA6196"/>
    <w:rsid w:val="00BC6D8C"/>
    <w:rsid w:val="00C16AF2"/>
    <w:rsid w:val="00C23CD3"/>
    <w:rsid w:val="00C34006"/>
    <w:rsid w:val="00C426B1"/>
    <w:rsid w:val="00C540F3"/>
    <w:rsid w:val="00C82B6B"/>
    <w:rsid w:val="00C90D6A"/>
    <w:rsid w:val="00C929B6"/>
    <w:rsid w:val="00CC00DC"/>
    <w:rsid w:val="00CC18A3"/>
    <w:rsid w:val="00CC72B6"/>
    <w:rsid w:val="00CD3F4F"/>
    <w:rsid w:val="00CE42B4"/>
    <w:rsid w:val="00D0218D"/>
    <w:rsid w:val="00D216CD"/>
    <w:rsid w:val="00D30AA2"/>
    <w:rsid w:val="00D4317D"/>
    <w:rsid w:val="00D44387"/>
    <w:rsid w:val="00DA2529"/>
    <w:rsid w:val="00DB130A"/>
    <w:rsid w:val="00DC0747"/>
    <w:rsid w:val="00DC10A1"/>
    <w:rsid w:val="00DC655F"/>
    <w:rsid w:val="00DD7EBD"/>
    <w:rsid w:val="00DE5C3C"/>
    <w:rsid w:val="00DF62B6"/>
    <w:rsid w:val="00E07225"/>
    <w:rsid w:val="00E155B7"/>
    <w:rsid w:val="00E44144"/>
    <w:rsid w:val="00E5409F"/>
    <w:rsid w:val="00E750DA"/>
    <w:rsid w:val="00E83111"/>
    <w:rsid w:val="00E92C92"/>
    <w:rsid w:val="00E95F73"/>
    <w:rsid w:val="00EC0185"/>
    <w:rsid w:val="00EE1302"/>
    <w:rsid w:val="00EE1F3F"/>
    <w:rsid w:val="00EE5061"/>
    <w:rsid w:val="00EF10CE"/>
    <w:rsid w:val="00F021FA"/>
    <w:rsid w:val="00F21E80"/>
    <w:rsid w:val="00F30127"/>
    <w:rsid w:val="00F56EA4"/>
    <w:rsid w:val="00F57ACA"/>
    <w:rsid w:val="00F62E97"/>
    <w:rsid w:val="00F64209"/>
    <w:rsid w:val="00F93BF5"/>
    <w:rsid w:val="00F96F63"/>
    <w:rsid w:val="00F97CCF"/>
    <w:rsid w:val="00FC2E17"/>
    <w:rsid w:val="00FD3EB7"/>
    <w:rsid w:val="00FE7B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FF055E3-A1BB-49ED-BBF4-5A891971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uiPriority w:val="99"/>
    <w:qFormat/>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NoSpacing">
    <w:name w:val="No Spacing"/>
    <w:uiPriority w:val="1"/>
    <w:qFormat/>
    <w:rsid w:val="005C362F"/>
    <w:rPr>
      <w:sz w:val="22"/>
    </w:rPr>
  </w:style>
  <w:style w:type="paragraph" w:styleId="BalloonText">
    <w:name w:val="Balloon Text"/>
    <w:basedOn w:val="Normal"/>
    <w:link w:val="BalloonTextChar"/>
    <w:uiPriority w:val="99"/>
    <w:semiHidden/>
    <w:unhideWhenUsed/>
    <w:rsid w:val="00630C76"/>
    <w:rPr>
      <w:rFonts w:ascii="Segoe UI" w:hAnsi="Segoe UI" w:cs="Segoe UI"/>
      <w:sz w:val="18"/>
      <w:szCs w:val="18"/>
    </w:rPr>
  </w:style>
  <w:style w:type="character" w:customStyle="1" w:styleId="BalloonTextChar">
    <w:name w:val="Balloon Text Char"/>
    <w:link w:val="BalloonText"/>
    <w:uiPriority w:val="99"/>
    <w:semiHidden/>
    <w:rsid w:val="00630C76"/>
    <w:rPr>
      <w:rFonts w:ascii="Segoe UI" w:hAnsi="Segoe UI" w:cs="Segoe UI"/>
      <w:snapToGrid w:val="0"/>
      <w:kern w:val="28"/>
      <w:sz w:val="18"/>
      <w:szCs w:val="18"/>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uiPriority w:val="99"/>
    <w:rsid w:val="00636E90"/>
  </w:style>
  <w:style w:type="paragraph" w:styleId="ListParagraph">
    <w:name w:val="List Paragraph"/>
    <w:basedOn w:val="Normal"/>
    <w:uiPriority w:val="34"/>
    <w:qFormat/>
    <w:rsid w:val="00636E90"/>
    <w:pPr>
      <w:widowControl/>
      <w:ind w:left="720"/>
    </w:pPr>
    <w:rPr>
      <w:snapToGrid/>
      <w:kern w:val="0"/>
    </w:rPr>
  </w:style>
  <w:style w:type="character" w:styleId="CommentReference">
    <w:name w:val="annotation reference"/>
    <w:uiPriority w:val="99"/>
    <w:semiHidden/>
    <w:unhideWhenUsed/>
    <w:rsid w:val="000A5F66"/>
    <w:rPr>
      <w:sz w:val="16"/>
      <w:szCs w:val="16"/>
    </w:rPr>
  </w:style>
  <w:style w:type="paragraph" w:styleId="CommentText">
    <w:name w:val="annotation text"/>
    <w:basedOn w:val="Normal"/>
    <w:link w:val="CommentTextChar"/>
    <w:uiPriority w:val="99"/>
    <w:semiHidden/>
    <w:unhideWhenUsed/>
    <w:rsid w:val="000A5F66"/>
    <w:rPr>
      <w:sz w:val="20"/>
    </w:rPr>
  </w:style>
  <w:style w:type="character" w:customStyle="1" w:styleId="CommentTextChar">
    <w:name w:val="Comment Text Char"/>
    <w:link w:val="CommentText"/>
    <w:uiPriority w:val="99"/>
    <w:semiHidden/>
    <w:rsid w:val="000A5F66"/>
    <w:rPr>
      <w:snapToGrid w:val="0"/>
      <w:kern w:val="28"/>
    </w:rPr>
  </w:style>
  <w:style w:type="paragraph" w:styleId="CommentSubject">
    <w:name w:val="annotation subject"/>
    <w:basedOn w:val="CommentText"/>
    <w:next w:val="CommentText"/>
    <w:link w:val="CommentSubjectChar"/>
    <w:uiPriority w:val="99"/>
    <w:semiHidden/>
    <w:unhideWhenUsed/>
    <w:rsid w:val="000A5F66"/>
    <w:rPr>
      <w:b/>
      <w:bCs/>
    </w:rPr>
  </w:style>
  <w:style w:type="character" w:customStyle="1" w:styleId="CommentSubjectChar">
    <w:name w:val="Comment Subject Char"/>
    <w:link w:val="CommentSubject"/>
    <w:uiPriority w:val="99"/>
    <w:semiHidden/>
    <w:rsid w:val="000A5F66"/>
    <w:rPr>
      <w:b/>
      <w:bCs/>
      <w:snapToGrid w:val="0"/>
      <w:kern w:val="28"/>
    </w:rPr>
  </w:style>
  <w:style w:type="character" w:customStyle="1" w:styleId="UnresolvedMention">
    <w:name w:val="Unresolved Mention"/>
    <w:uiPriority w:val="99"/>
    <w:semiHidden/>
    <w:unhideWhenUsed/>
    <w:rsid w:val="00F30127"/>
    <w:rPr>
      <w:color w:val="605E5C"/>
      <w:shd w:val="clear" w:color="auto" w:fill="E1DFDD"/>
    </w:rPr>
  </w:style>
  <w:style w:type="table" w:styleId="TableGrid">
    <w:name w:val="Table Grid"/>
    <w:basedOn w:val="TableNormal"/>
    <w:uiPriority w:val="59"/>
    <w:rsid w:val="001A6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