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682001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449EFCF" w14:textId="77777777">
      <w:pPr>
        <w:pStyle w:val="StyleBoldCentered"/>
      </w:pPr>
      <w:r>
        <w:t>F</w:t>
      </w:r>
      <w:r>
        <w:rPr>
          <w:caps w:val="0"/>
        </w:rPr>
        <w:t>ederal Communications Commission</w:t>
      </w:r>
    </w:p>
    <w:p w:rsidR="004C2EE3" w:rsidP="00096D8C" w14:paraId="4381AB4B" w14:textId="77777777">
      <w:pPr>
        <w:pStyle w:val="StyleBoldCentered"/>
      </w:pPr>
      <w:r>
        <w:rPr>
          <w:caps w:val="0"/>
        </w:rPr>
        <w:t>Washington, D.C. 20554</w:t>
      </w:r>
    </w:p>
    <w:p w:rsidR="004C2EE3" w:rsidP="0070224F" w14:paraId="609546F1" w14:textId="77777777"/>
    <w:p w:rsidR="004C2EE3" w:rsidP="0070224F" w14:paraId="59CF7E91" w14:textId="77777777"/>
    <w:tbl>
      <w:tblPr>
        <w:tblW w:w="9576" w:type="dxa"/>
        <w:tblLayout w:type="fixed"/>
        <w:tblLook w:val="0000"/>
      </w:tblPr>
      <w:tblGrid>
        <w:gridCol w:w="4698"/>
        <w:gridCol w:w="630"/>
        <w:gridCol w:w="4248"/>
      </w:tblGrid>
      <w:tr w14:paraId="273A9926" w14:textId="77777777" w:rsidTr="001D462C">
        <w:tblPrEx>
          <w:tblW w:w="9576" w:type="dxa"/>
          <w:tblLayout w:type="fixed"/>
          <w:tblLook w:val="0000"/>
        </w:tblPrEx>
        <w:tc>
          <w:tcPr>
            <w:tcW w:w="4698" w:type="dxa"/>
          </w:tcPr>
          <w:p w:rsidR="00D10C93" w:rsidRPr="00DD51BC" w:rsidP="001D462C" w14:paraId="0837538D" w14:textId="77777777">
            <w:pPr>
              <w:tabs>
                <w:tab w:val="center" w:pos="4680"/>
              </w:tabs>
              <w:suppressAutoHyphens/>
              <w:rPr>
                <w:spacing w:val="-2"/>
              </w:rPr>
            </w:pPr>
            <w:r w:rsidRPr="00DD51BC">
              <w:rPr>
                <w:spacing w:val="-2"/>
              </w:rPr>
              <w:t>In the Matter of</w:t>
            </w:r>
          </w:p>
          <w:p w:rsidR="00D10C93" w:rsidRPr="00DD51BC" w:rsidP="001D462C" w14:paraId="4D8CF7A7" w14:textId="77777777">
            <w:pPr>
              <w:tabs>
                <w:tab w:val="center" w:pos="4680"/>
              </w:tabs>
              <w:suppressAutoHyphens/>
              <w:rPr>
                <w:spacing w:val="-2"/>
              </w:rPr>
            </w:pPr>
          </w:p>
          <w:p w:rsidR="00D10C93" w:rsidP="001D462C" w14:paraId="34059AAF" w14:textId="77777777">
            <w:pPr>
              <w:tabs>
                <w:tab w:val="center" w:pos="4680"/>
              </w:tabs>
              <w:suppressAutoHyphens/>
              <w:rPr>
                <w:szCs w:val="24"/>
              </w:rPr>
            </w:pPr>
            <w:r w:rsidRPr="00646748">
              <w:rPr>
                <w:szCs w:val="24"/>
              </w:rPr>
              <w:t>US South Communications, Inc.</w:t>
            </w:r>
          </w:p>
          <w:p w:rsidR="00D10C93" w:rsidRPr="00646748" w:rsidP="001D462C" w14:paraId="560BFD52" w14:textId="77777777">
            <w:pPr>
              <w:tabs>
                <w:tab w:val="center" w:pos="4680"/>
              </w:tabs>
              <w:suppressAutoHyphens/>
              <w:rPr>
                <w:spacing w:val="-2"/>
              </w:rPr>
            </w:pPr>
            <w:r w:rsidRPr="00452483">
              <w:rPr>
                <w:szCs w:val="24"/>
              </w:rPr>
              <w:t xml:space="preserve">d/b/a US South &amp; </w:t>
            </w:r>
            <w:r w:rsidRPr="00452483">
              <w:rPr>
                <w:szCs w:val="24"/>
              </w:rPr>
              <w:t>IWCOMM</w:t>
            </w:r>
            <w:r w:rsidRPr="00646748">
              <w:rPr>
                <w:szCs w:val="24"/>
              </w:rPr>
              <w:t xml:space="preserve"> </w:t>
            </w:r>
          </w:p>
        </w:tc>
        <w:tc>
          <w:tcPr>
            <w:tcW w:w="630" w:type="dxa"/>
          </w:tcPr>
          <w:p w:rsidR="00D10C93" w:rsidRPr="00DD51BC" w:rsidP="001D462C" w14:paraId="25021326" w14:textId="77777777">
            <w:pPr>
              <w:tabs>
                <w:tab w:val="center" w:pos="4680"/>
              </w:tabs>
              <w:suppressAutoHyphens/>
              <w:rPr>
                <w:b/>
                <w:spacing w:val="-2"/>
              </w:rPr>
            </w:pPr>
            <w:r w:rsidRPr="00DD51BC">
              <w:rPr>
                <w:b/>
                <w:spacing w:val="-2"/>
              </w:rPr>
              <w:t>)</w:t>
            </w:r>
          </w:p>
          <w:p w:rsidR="00D10C93" w:rsidRPr="00DD51BC" w:rsidP="001D462C" w14:paraId="5BA562E8" w14:textId="77777777">
            <w:pPr>
              <w:tabs>
                <w:tab w:val="center" w:pos="4680"/>
              </w:tabs>
              <w:suppressAutoHyphens/>
              <w:rPr>
                <w:b/>
                <w:spacing w:val="-2"/>
              </w:rPr>
            </w:pPr>
            <w:r w:rsidRPr="00DD51BC">
              <w:rPr>
                <w:b/>
                <w:spacing w:val="-2"/>
              </w:rPr>
              <w:t>)</w:t>
            </w:r>
          </w:p>
          <w:p w:rsidR="00D10C93" w:rsidRPr="00DD51BC" w:rsidP="001D462C" w14:paraId="72D050C5" w14:textId="77777777">
            <w:pPr>
              <w:tabs>
                <w:tab w:val="center" w:pos="4680"/>
              </w:tabs>
              <w:suppressAutoHyphens/>
              <w:rPr>
                <w:b/>
                <w:spacing w:val="-2"/>
              </w:rPr>
            </w:pPr>
            <w:r w:rsidRPr="00DD51BC">
              <w:rPr>
                <w:b/>
                <w:spacing w:val="-2"/>
              </w:rPr>
              <w:t>)</w:t>
            </w:r>
          </w:p>
          <w:p w:rsidR="00D10C93" w:rsidRPr="00DD51BC" w:rsidP="001D462C" w14:paraId="3CB78463" w14:textId="77777777">
            <w:pPr>
              <w:tabs>
                <w:tab w:val="center" w:pos="4680"/>
              </w:tabs>
              <w:suppressAutoHyphens/>
              <w:rPr>
                <w:b/>
                <w:spacing w:val="-2"/>
              </w:rPr>
            </w:pPr>
            <w:r w:rsidRPr="00DD51BC">
              <w:rPr>
                <w:b/>
                <w:spacing w:val="-2"/>
              </w:rPr>
              <w:t>)</w:t>
            </w:r>
          </w:p>
          <w:p w:rsidR="00D10C93" w:rsidRPr="00DD51BC" w:rsidP="001D462C" w14:paraId="675E9651" w14:textId="77777777">
            <w:pPr>
              <w:tabs>
                <w:tab w:val="center" w:pos="4680"/>
              </w:tabs>
              <w:suppressAutoHyphens/>
              <w:rPr>
                <w:b/>
                <w:spacing w:val="-2"/>
              </w:rPr>
            </w:pPr>
            <w:r w:rsidRPr="00DD51BC">
              <w:rPr>
                <w:b/>
                <w:spacing w:val="-2"/>
              </w:rPr>
              <w:t>)</w:t>
            </w:r>
          </w:p>
          <w:p w:rsidR="00D10C93" w:rsidRPr="00DD51BC" w:rsidP="001D462C" w14:paraId="32B97ECA" w14:textId="77777777">
            <w:pPr>
              <w:tabs>
                <w:tab w:val="center" w:pos="4680"/>
              </w:tabs>
              <w:suppressAutoHyphens/>
              <w:spacing w:after="240"/>
              <w:rPr>
                <w:b/>
                <w:spacing w:val="-2"/>
              </w:rPr>
            </w:pPr>
          </w:p>
        </w:tc>
        <w:tc>
          <w:tcPr>
            <w:tcW w:w="4248" w:type="dxa"/>
          </w:tcPr>
          <w:p w:rsidR="00D10C93" w:rsidRPr="00DD51BC" w:rsidP="001D462C" w14:paraId="1141CB4D" w14:textId="77777777">
            <w:pPr>
              <w:tabs>
                <w:tab w:val="center" w:pos="4680"/>
              </w:tabs>
              <w:suppressAutoHyphens/>
              <w:rPr>
                <w:spacing w:val="-2"/>
              </w:rPr>
            </w:pPr>
          </w:p>
          <w:p w:rsidR="00D10C93" w:rsidRPr="00DD51BC" w:rsidP="001D462C" w14:paraId="2420FA21" w14:textId="77777777">
            <w:pPr>
              <w:pStyle w:val="TOAHeading"/>
              <w:tabs>
                <w:tab w:val="center" w:pos="4680"/>
                <w:tab w:val="clear" w:pos="9360"/>
              </w:tabs>
              <w:rPr>
                <w:spacing w:val="-2"/>
              </w:rPr>
            </w:pPr>
          </w:p>
          <w:p w:rsidR="00D10C93" w:rsidRPr="00DD51BC" w:rsidP="001D462C" w14:paraId="20287D76" w14:textId="77777777">
            <w:pPr>
              <w:tabs>
                <w:tab w:val="center" w:pos="4680"/>
              </w:tabs>
              <w:suppressAutoHyphens/>
              <w:rPr>
                <w:spacing w:val="-2"/>
              </w:rPr>
            </w:pPr>
            <w:r w:rsidRPr="00DD51BC">
              <w:rPr>
                <w:spacing w:val="-2"/>
              </w:rPr>
              <w:t>File No.:  EB-IHD-20-0003053</w:t>
            </w:r>
            <w:r>
              <w:rPr>
                <w:spacing w:val="-2"/>
              </w:rPr>
              <w:t>7</w:t>
            </w:r>
          </w:p>
          <w:p w:rsidR="00D10C93" w:rsidRPr="00DD51BC" w:rsidP="001D462C" w14:paraId="4C61D78E" w14:textId="77777777">
            <w:pPr>
              <w:tabs>
                <w:tab w:val="center" w:pos="4680"/>
              </w:tabs>
              <w:suppressAutoHyphens/>
              <w:rPr>
                <w:spacing w:val="-2"/>
              </w:rPr>
            </w:pPr>
            <w:r w:rsidRPr="00DD51BC">
              <w:rPr>
                <w:spacing w:val="-2"/>
              </w:rPr>
              <w:t>NAL</w:t>
            </w:r>
            <w:r w:rsidRPr="00DD51BC">
              <w:rPr>
                <w:spacing w:val="-2"/>
              </w:rPr>
              <w:t xml:space="preserve">/Account No.:  </w:t>
            </w:r>
            <w:r w:rsidRPr="00ED7F08">
              <w:t>202132080010</w:t>
            </w:r>
          </w:p>
          <w:p w:rsidR="00D10C93" w:rsidRPr="00DD51BC" w:rsidP="001D462C" w14:paraId="60974B8F" w14:textId="77777777">
            <w:pPr>
              <w:tabs>
                <w:tab w:val="center" w:pos="4680"/>
              </w:tabs>
              <w:suppressAutoHyphens/>
              <w:rPr>
                <w:spacing w:val="-2"/>
              </w:rPr>
            </w:pPr>
            <w:r w:rsidRPr="00DD51BC">
              <w:rPr>
                <w:spacing w:val="-2"/>
              </w:rPr>
              <w:t>FRN</w:t>
            </w:r>
            <w:r w:rsidRPr="00DD51BC">
              <w:rPr>
                <w:spacing w:val="-2"/>
              </w:rPr>
              <w:t>:  00</w:t>
            </w:r>
            <w:r>
              <w:rPr>
                <w:spacing w:val="-2"/>
              </w:rPr>
              <w:t>03747490</w:t>
            </w:r>
            <w:r w:rsidRPr="00DD51BC">
              <w:rPr>
                <w:spacing w:val="-2"/>
              </w:rPr>
              <w:t xml:space="preserve">  </w:t>
            </w:r>
          </w:p>
        </w:tc>
      </w:tr>
    </w:tbl>
    <w:p w:rsidR="00D10C93" w:rsidRPr="00921828" w:rsidP="00D10C93" w14:paraId="0E120560" w14:textId="77777777">
      <w:pPr>
        <w:pStyle w:val="StyleBoldCentered"/>
        <w:spacing w:after="480"/>
        <w:rPr>
          <w:rFonts w:ascii="Times New Roman" w:hAnsi="Times New Roman"/>
        </w:rPr>
      </w:pPr>
      <w:r w:rsidRPr="00921828">
        <w:rPr>
          <w:rFonts w:ascii="Times New Roman" w:hAnsi="Times New Roman"/>
        </w:rPr>
        <w:t>NOTICE OF APPARENT LIABILITY FOR FORFEITURE</w:t>
      </w:r>
    </w:p>
    <w:p w:rsidR="00D10C93" w:rsidRPr="00921828" w:rsidP="00D10C93" w14:paraId="6464DAB0" w14:textId="77777777">
      <w:pPr>
        <w:tabs>
          <w:tab w:val="left" w:pos="720"/>
          <w:tab w:val="right" w:pos="9360"/>
        </w:tabs>
        <w:suppressAutoHyphens/>
        <w:spacing w:after="240"/>
        <w:rPr>
          <w:spacing w:val="-2"/>
        </w:rPr>
      </w:pPr>
      <w:r w:rsidRPr="00921828">
        <w:rPr>
          <w:b/>
          <w:spacing w:val="-2"/>
        </w:rPr>
        <w:t xml:space="preserve">Adopted:  </w:t>
      </w:r>
      <w:r>
        <w:rPr>
          <w:b/>
          <w:spacing w:val="-2"/>
        </w:rPr>
        <w:t>November 2, 2020</w:t>
      </w:r>
      <w:r w:rsidRPr="00921828">
        <w:rPr>
          <w:b/>
          <w:spacing w:val="-2"/>
        </w:rPr>
        <w:tab/>
        <w:t xml:space="preserve">Released:  </w:t>
      </w:r>
      <w:r>
        <w:rPr>
          <w:b/>
          <w:spacing w:val="-2"/>
        </w:rPr>
        <w:t>November 2, 2020</w:t>
      </w:r>
    </w:p>
    <w:p w:rsidR="00D10C93" w:rsidP="00D10C93" w14:paraId="0C266F3A" w14:textId="77777777">
      <w:pPr>
        <w:spacing w:after="240"/>
        <w:rPr>
          <w:spacing w:val="-2"/>
        </w:rPr>
      </w:pPr>
      <w:r w:rsidRPr="00921828">
        <w:t xml:space="preserve">By the </w:t>
      </w:r>
      <w:r>
        <w:rPr>
          <w:spacing w:val="-2"/>
        </w:rPr>
        <w:t>Enforcement Bureau</w:t>
      </w:r>
      <w:r w:rsidRPr="00921828">
        <w:rPr>
          <w:spacing w:val="-2"/>
        </w:rPr>
        <w:t>:</w:t>
      </w:r>
    </w:p>
    <w:p w:rsidR="00D10C93" w:rsidP="00D10C93" w14:paraId="3985BD04" w14:textId="77777777">
      <w:pPr>
        <w:pStyle w:val="TOCTitle"/>
      </w:pPr>
      <w:bookmarkStart w:id="0" w:name="TOChere"/>
      <w:r>
        <w:t>Table of Contents</w:t>
      </w:r>
    </w:p>
    <w:p w:rsidR="00D10C93" w:rsidRPr="003F6B24" w:rsidP="00D10C93" w14:paraId="5AB11E17" w14:textId="77777777">
      <w:pPr>
        <w:pStyle w:val="Paratitle"/>
      </w:pPr>
      <w:r w:rsidRPr="003F6B24">
        <w:t>Heading</w:t>
      </w:r>
      <w:r w:rsidRPr="003F6B24">
        <w:tab/>
        <w:t>Paragraph #</w:t>
      </w:r>
      <w:bookmarkStart w:id="1" w:name="start_here"/>
      <w:bookmarkEnd w:id="1"/>
    </w:p>
    <w:p w:rsidR="00D10C93" w:rsidRPr="004230CB" w:rsidP="00D10C93" w14:paraId="57DC37D0" w14:textId="77777777">
      <w:pPr>
        <w:pStyle w:val="TOC1"/>
        <w:rPr>
          <w:caps w:val="0"/>
        </w:rPr>
      </w:pPr>
      <w:r w:rsidRPr="004230CB">
        <w:t>I.</w:t>
      </w:r>
      <w:r w:rsidRPr="004230CB">
        <w:rPr>
          <w:caps w:val="0"/>
        </w:rPr>
        <w:tab/>
      </w:r>
      <w:r w:rsidRPr="004230CB">
        <w:t>INTRODUCTION</w:t>
      </w:r>
      <w:r w:rsidRPr="004230CB">
        <w:tab/>
        <w:t>1</w:t>
      </w:r>
    </w:p>
    <w:p w:rsidR="00D10C93" w:rsidRPr="004230CB" w:rsidP="00D10C93" w14:paraId="36561023" w14:textId="77777777">
      <w:pPr>
        <w:pStyle w:val="TOC1"/>
        <w:rPr>
          <w:caps w:val="0"/>
        </w:rPr>
      </w:pPr>
      <w:r w:rsidRPr="004230CB">
        <w:t>II.</w:t>
      </w:r>
      <w:r w:rsidRPr="004230CB">
        <w:rPr>
          <w:caps w:val="0"/>
        </w:rPr>
        <w:tab/>
      </w:r>
      <w:r w:rsidRPr="004230CB">
        <w:t>BACKGROUND</w:t>
      </w:r>
      <w:r w:rsidRPr="004230CB">
        <w:tab/>
        <w:t>2</w:t>
      </w:r>
    </w:p>
    <w:p w:rsidR="00D10C93" w:rsidRPr="004230CB" w:rsidP="00D10C93" w14:paraId="1EB5E5EF" w14:textId="77777777">
      <w:pPr>
        <w:pStyle w:val="TOC2"/>
        <w:tabs>
          <w:tab w:val="left" w:pos="360"/>
        </w:tabs>
      </w:pPr>
      <w:r w:rsidRPr="004230CB">
        <w:t>A.</w:t>
      </w:r>
      <w:r w:rsidRPr="004230CB">
        <w:tab/>
        <w:t>Legal Framework</w:t>
      </w:r>
      <w:r w:rsidRPr="004230CB">
        <w:tab/>
        <w:t>2</w:t>
      </w:r>
    </w:p>
    <w:p w:rsidR="00D10C93" w:rsidRPr="004230CB" w:rsidP="00C473A8" w14:paraId="4342C5C9" w14:textId="77777777">
      <w:pPr>
        <w:pStyle w:val="TOC2"/>
        <w:tabs>
          <w:tab w:val="left" w:pos="360"/>
        </w:tabs>
      </w:pPr>
      <w:r w:rsidRPr="004230CB">
        <w:t>B.</w:t>
      </w:r>
      <w:r w:rsidRPr="004230CB">
        <w:tab/>
      </w:r>
      <w:r w:rsidRPr="004230CB">
        <w:rPr>
          <w:bCs/>
        </w:rPr>
        <w:t>Factual Background</w:t>
      </w:r>
      <w:r w:rsidRPr="004230CB">
        <w:tab/>
        <w:t>6</w:t>
      </w:r>
    </w:p>
    <w:p w:rsidR="00D10C93" w:rsidRPr="004230CB" w:rsidP="00D10C93" w14:paraId="73AA8031" w14:textId="77777777">
      <w:pPr>
        <w:pStyle w:val="TOC1"/>
        <w:rPr>
          <w:caps w:val="0"/>
        </w:rPr>
      </w:pPr>
      <w:r w:rsidRPr="004230CB">
        <w:t>III.</w:t>
      </w:r>
      <w:r w:rsidRPr="004230CB">
        <w:rPr>
          <w:caps w:val="0"/>
        </w:rPr>
        <w:tab/>
      </w:r>
      <w:r w:rsidRPr="004230CB">
        <w:t>DISCUSSION</w:t>
      </w:r>
      <w:r w:rsidRPr="004230CB">
        <w:tab/>
        <w:t>13</w:t>
      </w:r>
    </w:p>
    <w:p w:rsidR="00D10C93" w:rsidRPr="004230CB" w:rsidP="00D10C93" w14:paraId="6F04BF46" w14:textId="77777777">
      <w:pPr>
        <w:pStyle w:val="TOC2"/>
        <w:tabs>
          <w:tab w:val="left" w:pos="360"/>
        </w:tabs>
      </w:pPr>
      <w:r w:rsidRPr="004230CB">
        <w:t>A.</w:t>
      </w:r>
      <w:r w:rsidRPr="004230CB">
        <w:tab/>
        <w:t>US South Apparently Violated a Commission Rule Repeatedly by Failing to Timely Provide USAC Documents Supporting the Company’s Worksheets</w:t>
      </w:r>
      <w:r w:rsidRPr="004230CB">
        <w:tab/>
        <w:t>13</w:t>
      </w:r>
    </w:p>
    <w:p w:rsidR="00D10C93" w:rsidRPr="004230CB" w:rsidP="00D10C93" w14:paraId="242ADACA" w14:textId="77777777">
      <w:pPr>
        <w:pStyle w:val="TOC2"/>
        <w:tabs>
          <w:tab w:val="left" w:pos="360"/>
        </w:tabs>
      </w:pPr>
      <w:r w:rsidRPr="004230CB">
        <w:t>B.</w:t>
      </w:r>
      <w:r w:rsidRPr="004230CB">
        <w:tab/>
      </w:r>
      <w:r w:rsidRPr="004230CB">
        <w:rPr>
          <w:bCs/>
        </w:rPr>
        <w:t>US South is Responsible for the Failures of its Agent to Provide Documentation Supporting the Company’s Worksheets</w:t>
      </w:r>
      <w:r w:rsidRPr="004230CB">
        <w:tab/>
        <w:t>15</w:t>
      </w:r>
    </w:p>
    <w:p w:rsidR="00D10C93" w:rsidRPr="004230CB" w:rsidP="00D10C93" w14:paraId="1B1842B0" w14:textId="77777777">
      <w:pPr>
        <w:pStyle w:val="TOC2"/>
        <w:tabs>
          <w:tab w:val="left" w:pos="360"/>
        </w:tabs>
      </w:pPr>
      <w:r w:rsidRPr="004230CB">
        <w:t>C.</w:t>
      </w:r>
      <w:r w:rsidRPr="004230CB">
        <w:tab/>
        <w:t>Proposed Forfeiture</w:t>
      </w:r>
      <w:r w:rsidRPr="004230CB">
        <w:tab/>
        <w:t>17</w:t>
      </w:r>
    </w:p>
    <w:p w:rsidR="00D10C93" w:rsidP="00D10C93" w14:paraId="0CC32279" w14:textId="77777777">
      <w:pPr>
        <w:pStyle w:val="TOC1"/>
      </w:pPr>
      <w:r w:rsidRPr="004230CB">
        <w:t>IV.</w:t>
      </w:r>
      <w:r w:rsidRPr="004230CB">
        <w:rPr>
          <w:caps w:val="0"/>
        </w:rPr>
        <w:tab/>
      </w:r>
      <w:r w:rsidRPr="004230CB">
        <w:t>ordering clauses</w:t>
      </w:r>
      <w:r w:rsidRPr="004230CB">
        <w:tab/>
        <w:t>24</w:t>
      </w:r>
    </w:p>
    <w:p w:rsidR="00D10C93" w:rsidRPr="004230CB" w:rsidP="00D10C93" w14:paraId="350E28D7" w14:textId="77777777"/>
    <w:p w:rsidR="00D10C93" w:rsidRPr="00921828" w:rsidP="00D10C93" w14:paraId="7B419260" w14:textId="77777777">
      <w:pPr>
        <w:pStyle w:val="Heading1"/>
        <w:widowControl/>
        <w:rPr>
          <w:rFonts w:ascii="Times New Roman" w:hAnsi="Times New Roman"/>
        </w:rPr>
      </w:pPr>
      <w:bookmarkStart w:id="2" w:name="_Toc54009876"/>
      <w:bookmarkEnd w:id="0"/>
      <w:r w:rsidRPr="00921828">
        <w:rPr>
          <w:rFonts w:ascii="Times New Roman" w:hAnsi="Times New Roman"/>
        </w:rPr>
        <w:t>INTRODUCTION</w:t>
      </w:r>
      <w:bookmarkEnd w:id="2"/>
    </w:p>
    <w:p w:rsidR="00D10C93" w:rsidRPr="00921828" w:rsidP="00D10C93" w14:paraId="1D9957A6" w14:textId="77777777">
      <w:pPr>
        <w:pStyle w:val="ParaNum"/>
        <w:widowControl/>
      </w:pPr>
      <w:r>
        <w:t>The Universal Service Fund (USF) is a key component of the Federal Communications Commission’s efforts to promote universal service to all Americans.  The Federal Communications Commission (FCC or Commission) has directed the Universal Service Administrative Company (</w:t>
      </w:r>
      <w:r>
        <w:t>USAC</w:t>
      </w:r>
      <w:r>
        <w:t xml:space="preserve">) to administer the collection and disbursement of the USF.  </w:t>
      </w:r>
      <w:r>
        <w:t>USAC</w:t>
      </w:r>
      <w:r>
        <w:t>, in turn, relies on information filed by telecommunications service providers and certain</w:t>
      </w:r>
      <w:r w:rsidRPr="00FE300B">
        <w:t xml:space="preserve"> </w:t>
      </w:r>
      <w:r>
        <w:t xml:space="preserve">telecommunications providers (collectively, service providers) to fairly and accurately determine service providers’ contributions responsibilities.  To ensure that the information submitted to </w:t>
      </w:r>
      <w:r>
        <w:t>USAC</w:t>
      </w:r>
      <w:r>
        <w:t xml:space="preserve"> by service providers is complete, timely, and accurate, the Commission’s rules grant </w:t>
      </w:r>
      <w:r w:rsidRPr="00921828">
        <w:t>USAC</w:t>
      </w:r>
      <w:r w:rsidRPr="00921828">
        <w:t xml:space="preserve"> the authority to verify any </w:t>
      </w:r>
      <w:r>
        <w:t xml:space="preserve">such </w:t>
      </w:r>
      <w:r w:rsidRPr="00921828">
        <w:t>information</w:t>
      </w:r>
      <w:r>
        <w:t xml:space="preserve"> and require service providers to maintain records to allow such verification.  Service providers also are required to submit those records to </w:t>
      </w:r>
      <w:r>
        <w:t>USAC</w:t>
      </w:r>
      <w:r>
        <w:t xml:space="preserve"> and the Commission upon demand.  Failure to submit required information, or failure to maintain and provide the records needed to verify that information, undermines the Commission’s efforts to fairly and effectively maintain the USF.  In this case, </w:t>
      </w:r>
      <w:r w:rsidRPr="00452483">
        <w:rPr>
          <w:szCs w:val="24"/>
        </w:rPr>
        <w:t xml:space="preserve">US South Communications, Inc. d/b/a US South &amp; </w:t>
      </w:r>
      <w:r w:rsidRPr="00452483">
        <w:rPr>
          <w:szCs w:val="24"/>
        </w:rPr>
        <w:t>IWCOMM</w:t>
      </w:r>
      <w:r>
        <w:rPr>
          <w:spacing w:val="-2"/>
        </w:rPr>
        <w:t xml:space="preserve"> </w:t>
      </w:r>
      <w:r w:rsidRPr="00921828">
        <w:t>(</w:t>
      </w:r>
      <w:r>
        <w:rPr>
          <w:spacing w:val="-2"/>
        </w:rPr>
        <w:t>US South</w:t>
      </w:r>
      <w:r w:rsidRPr="00921828">
        <w:rPr>
          <w:spacing w:val="-2"/>
        </w:rPr>
        <w:t xml:space="preserve"> </w:t>
      </w:r>
      <w:r w:rsidRPr="00921828">
        <w:t>or Company)</w:t>
      </w:r>
      <w:r>
        <w:t xml:space="preserve"> </w:t>
      </w:r>
      <w:r w:rsidRPr="00921828">
        <w:t xml:space="preserve">apparently failed </w:t>
      </w:r>
      <w:r>
        <w:t>repeatedly</w:t>
      </w:r>
      <w:r w:rsidRPr="00921828">
        <w:t xml:space="preserve"> to </w:t>
      </w:r>
      <w:r>
        <w:t xml:space="preserve">timely </w:t>
      </w:r>
      <w:r w:rsidRPr="00921828">
        <w:t xml:space="preserve">respond to </w:t>
      </w:r>
      <w:r>
        <w:t>directives</w:t>
      </w:r>
      <w:r w:rsidRPr="00921828">
        <w:t xml:space="preserve"> from </w:t>
      </w:r>
      <w:r w:rsidRPr="00921828">
        <w:t>USAC</w:t>
      </w:r>
      <w:r>
        <w:t xml:space="preserve"> </w:t>
      </w:r>
      <w:r w:rsidRPr="00921828">
        <w:t xml:space="preserve">to </w:t>
      </w:r>
      <w:r w:rsidRPr="00921828">
        <w:rPr>
          <w:color w:val="000000"/>
          <w:shd w:val="clear" w:color="auto" w:fill="FFFFFF"/>
        </w:rPr>
        <w:t>provide records t</w:t>
      </w:r>
      <w:r>
        <w:rPr>
          <w:color w:val="000000"/>
          <w:shd w:val="clear" w:color="auto" w:fill="FFFFFF"/>
        </w:rPr>
        <w:t>hat</w:t>
      </w:r>
      <w:r w:rsidRPr="00921828">
        <w:rPr>
          <w:color w:val="000000"/>
          <w:shd w:val="clear" w:color="auto" w:fill="FFFFFF"/>
        </w:rPr>
        <w:t xml:space="preserve"> justify </w:t>
      </w:r>
      <w:r>
        <w:rPr>
          <w:color w:val="000000"/>
          <w:shd w:val="clear" w:color="auto" w:fill="FFFFFF"/>
        </w:rPr>
        <w:t xml:space="preserve">financial and other </w:t>
      </w:r>
      <w:r w:rsidRPr="00921828">
        <w:rPr>
          <w:color w:val="000000"/>
          <w:shd w:val="clear" w:color="auto" w:fill="FFFFFF"/>
        </w:rPr>
        <w:t xml:space="preserve">information reported in </w:t>
      </w:r>
      <w:r>
        <w:rPr>
          <w:color w:val="000000"/>
          <w:shd w:val="clear" w:color="auto" w:fill="FFFFFF"/>
        </w:rPr>
        <w:t xml:space="preserve">its 2018 and 2019 </w:t>
      </w:r>
      <w:r w:rsidRPr="00921828">
        <w:rPr>
          <w:color w:val="000000"/>
          <w:shd w:val="clear" w:color="auto" w:fill="FFFFFF"/>
        </w:rPr>
        <w:t xml:space="preserve">Telecommunications Reporting </w:t>
      </w:r>
      <w:r w:rsidRPr="00A462E0">
        <w:rPr>
          <w:color w:val="000000"/>
          <w:shd w:val="clear" w:color="auto" w:fill="FFFFFF"/>
        </w:rPr>
        <w:t>Worksheets (Worksheets)</w:t>
      </w:r>
      <w:r w:rsidRPr="00A462E0">
        <w:t xml:space="preserve">.  We therefore </w:t>
      </w:r>
      <w:r w:rsidRPr="00A462E0">
        <w:t>propose in this Notice of Apparent Liability for Forfeiture (</w:t>
      </w:r>
      <w:r w:rsidRPr="00A462E0">
        <w:t>NAL</w:t>
      </w:r>
      <w:r w:rsidRPr="00A462E0">
        <w:t xml:space="preserve">) a penalty of </w:t>
      </w:r>
      <w:r w:rsidRPr="00A462E0">
        <w:rPr>
          <w:color w:val="000000"/>
        </w:rPr>
        <w:t>$</w:t>
      </w:r>
      <w:r w:rsidRPr="00A462E0">
        <w:t>75,000</w:t>
      </w:r>
      <w:r w:rsidRPr="00A462E0">
        <w:rPr>
          <w:color w:val="FF0000"/>
        </w:rPr>
        <w:t xml:space="preserve"> </w:t>
      </w:r>
      <w:r w:rsidRPr="00A462E0">
        <w:t xml:space="preserve">against </w:t>
      </w:r>
      <w:r w:rsidRPr="00A462E0">
        <w:rPr>
          <w:spacing w:val="-2"/>
        </w:rPr>
        <w:t>US South</w:t>
      </w:r>
      <w:r w:rsidRPr="00A462E0">
        <w:t xml:space="preserve"> for its apparent failure to </w:t>
      </w:r>
      <w:r>
        <w:t>timely provide the supporting documentation</w:t>
      </w:r>
      <w:r w:rsidRPr="00921828">
        <w:t xml:space="preserve">.      </w:t>
      </w:r>
    </w:p>
    <w:p w:rsidR="00D10C93" w:rsidRPr="007F63F7" w:rsidP="00D10C93" w14:paraId="1EC44F00" w14:textId="77777777">
      <w:pPr>
        <w:pStyle w:val="Heading1"/>
        <w:widowControl/>
        <w:rPr>
          <w:rFonts w:ascii="Times New Roman" w:hAnsi="Times New Roman"/>
        </w:rPr>
      </w:pPr>
      <w:bookmarkStart w:id="3" w:name="_Toc54009877"/>
      <w:r w:rsidRPr="00921828">
        <w:rPr>
          <w:rFonts w:ascii="Times New Roman" w:hAnsi="Times New Roman"/>
        </w:rPr>
        <w:t>BACKGROUND</w:t>
      </w:r>
      <w:bookmarkEnd w:id="3"/>
    </w:p>
    <w:p w:rsidR="00D10C93" w:rsidRPr="007F63F7" w:rsidP="00D10C93" w14:paraId="6C1788B7" w14:textId="77777777">
      <w:pPr>
        <w:pStyle w:val="Heading2"/>
        <w:widowControl/>
      </w:pPr>
      <w:bookmarkStart w:id="4" w:name="_Toc54009878"/>
      <w:r w:rsidRPr="007F63F7">
        <w:t>Legal Framework</w:t>
      </w:r>
      <w:bookmarkEnd w:id="4"/>
    </w:p>
    <w:p w:rsidR="00D10C93" w:rsidRPr="00921828" w:rsidP="00D10C93" w14:paraId="5DE4CCE4" w14:textId="77777777">
      <w:pPr>
        <w:pStyle w:val="ParaNum"/>
        <w:widowControl/>
      </w:pPr>
      <w:r w:rsidRPr="007F63F7">
        <w:t>The Communications</w:t>
      </w:r>
      <w:r w:rsidRPr="00921828">
        <w:t xml:space="preserve"> Act of 1934, as amended (Act)</w:t>
      </w:r>
      <w:r>
        <w:t>,</w:t>
      </w:r>
      <w:r w:rsidRPr="00921828">
        <w:t xml:space="preserve"> codifie</w:t>
      </w:r>
      <w:r>
        <w:t>s</w:t>
      </w:r>
      <w:r w:rsidRPr="00921828">
        <w:t xml:space="preserve"> Congress’s historical commitment to promote universal service to ensure that consumers in all regions of the nation have access to affordable, quality telecommunications services.  In particular, section 254(d) of the Act requires, among other things, that “[e]very telecommunications carrier [providing] interstate telecommunications services . . . contribute, on an equitable and nondiscriminatory basis, to the specific, predictable, and sufficient mechanisms established by the Commission to preserve and advance universal service.”</w:t>
      </w:r>
      <w:r>
        <w:rPr>
          <w:rStyle w:val="FootnoteReference"/>
          <w:sz w:val="22"/>
        </w:rPr>
        <w:footnoteReference w:id="3"/>
      </w:r>
      <w:r w:rsidRPr="00921828">
        <w:t xml:space="preserve">  In implementing this Congressional mandate, the Commission directed all telecommunications carriers providing interstate telecommunications services and certain other providers of interstate telecommunications</w:t>
      </w:r>
      <w:r>
        <w:t xml:space="preserve">, including interconnected Voice over Internet Protocol </w:t>
      </w:r>
      <w:r w:rsidRPr="003E565B">
        <w:t xml:space="preserve">(VoIP) </w:t>
      </w:r>
      <w:r>
        <w:t>providers,</w:t>
      </w:r>
      <w:r w:rsidRPr="00921828">
        <w:t xml:space="preserve"> to contribute to the USF based upon their interstate and international end-user telecommunications revenues.</w:t>
      </w:r>
      <w:r>
        <w:rPr>
          <w:rStyle w:val="FootnoteReference"/>
          <w:sz w:val="22"/>
        </w:rPr>
        <w:footnoteReference w:id="4"/>
      </w:r>
      <w:r w:rsidRPr="00921828">
        <w:t xml:space="preserve">  When </w:t>
      </w:r>
      <w:r>
        <w:t>service</w:t>
      </w:r>
      <w:r w:rsidRPr="00921828">
        <w:t xml:space="preserve"> providers fail to pay their share of obligations to the USF, they undermine the Congressional mandates embodied in </w:t>
      </w:r>
      <w:r>
        <w:t>s</w:t>
      </w:r>
      <w:r w:rsidRPr="00921828">
        <w:t>ection 254(d) of the Act.</w:t>
      </w:r>
      <w:r>
        <w:rPr>
          <w:rStyle w:val="FootnoteReference"/>
        </w:rPr>
        <w:footnoteReference w:id="5"/>
      </w:r>
      <w:r w:rsidRPr="00921828">
        <w:t xml:space="preserve">  Delinquent contributors </w:t>
      </w:r>
      <w:r>
        <w:t xml:space="preserve">also </w:t>
      </w:r>
      <w:r w:rsidRPr="00921828">
        <w:t xml:space="preserve">obtain an unfair competitive advantage over companies that comply with the universal service provisions of the Act and the </w:t>
      </w:r>
      <w:r>
        <w:t>Commission’s r</w:t>
      </w:r>
      <w:r w:rsidRPr="00921828">
        <w:t>ules.</w:t>
      </w:r>
      <w:r>
        <w:rPr>
          <w:rStyle w:val="FootnoteReference"/>
        </w:rPr>
        <w:footnoteReference w:id="6"/>
      </w:r>
      <w:r w:rsidRPr="00921828">
        <w:t xml:space="preserve">  </w:t>
      </w:r>
      <w:r>
        <w:t xml:space="preserve">Because an equitable contribution scheme relies on accurate information, the Commission, through </w:t>
      </w:r>
      <w:r>
        <w:t>USAC</w:t>
      </w:r>
      <w:r>
        <w:t xml:space="preserve">, must be </w:t>
      </w:r>
      <w:r w:rsidRPr="00921828">
        <w:t xml:space="preserve">able to verify </w:t>
      </w:r>
      <w:r>
        <w:t xml:space="preserve">that each service provider is </w:t>
      </w:r>
      <w:r w:rsidRPr="00921828">
        <w:t xml:space="preserve">compliant with the </w:t>
      </w:r>
      <w:r>
        <w:t>Commission’s r</w:t>
      </w:r>
      <w:r w:rsidRPr="00921828">
        <w:t>ules</w:t>
      </w:r>
      <w:r>
        <w:t xml:space="preserve">, including being able to review documents that support the accuracy of information provided to </w:t>
      </w:r>
      <w:r>
        <w:t>USAC</w:t>
      </w:r>
      <w:r>
        <w:t xml:space="preserve"> and the Commission</w:t>
      </w:r>
      <w:r>
        <w:rPr>
          <w:color w:val="000000"/>
          <w:shd w:val="clear" w:color="auto" w:fill="FFFFFF"/>
        </w:rPr>
        <w:t>.</w:t>
      </w:r>
      <w:r>
        <w:rPr>
          <w:rStyle w:val="FootnoteReference"/>
          <w:shd w:val="clear" w:color="auto" w:fill="FFFFFF"/>
        </w:rPr>
        <w:footnoteReference w:id="7"/>
      </w:r>
      <w:r>
        <w:rPr>
          <w:color w:val="000000"/>
          <w:shd w:val="clear" w:color="auto" w:fill="FFFFFF"/>
        </w:rPr>
        <w:t xml:space="preserve">  Thus, a service provider failing to comply with  </w:t>
      </w:r>
      <w:r>
        <w:t xml:space="preserve">reasonable information requests from the Commission or </w:t>
      </w:r>
      <w:r>
        <w:t>USAC</w:t>
      </w:r>
      <w:r>
        <w:t xml:space="preserve"> </w:t>
      </w:r>
      <w:r w:rsidRPr="00921828">
        <w:t>frustrates Congress’</w:t>
      </w:r>
      <w:r>
        <w:t>s</w:t>
      </w:r>
      <w:r w:rsidRPr="00921828">
        <w:t xml:space="preserve"> policy objective to ensure the equitable and non-discriminatory distribution of universal service costs among all </w:t>
      </w:r>
      <w:r>
        <w:t>service</w:t>
      </w:r>
      <w:r w:rsidRPr="00921828">
        <w:t xml:space="preserve"> providers.</w:t>
      </w:r>
      <w:r>
        <w:rPr>
          <w:rStyle w:val="FootnoteReference"/>
          <w:sz w:val="22"/>
        </w:rPr>
        <w:footnoteReference w:id="8"/>
      </w:r>
    </w:p>
    <w:p w:rsidR="00D10C93" w:rsidRPr="00921828" w:rsidP="00D10C93" w14:paraId="2D951CC6" w14:textId="77777777">
      <w:pPr>
        <w:pStyle w:val="ParaNum"/>
        <w:widowControl/>
      </w:pPr>
      <w:r w:rsidRPr="00921828">
        <w:t xml:space="preserve">The Commission has established specific procedures to administer the </w:t>
      </w:r>
      <w:r>
        <w:t>USF</w:t>
      </w:r>
      <w:r w:rsidRPr="00921828">
        <w:t xml:space="preserve">.  Each </w:t>
      </w:r>
      <w:r>
        <w:t>service</w:t>
      </w:r>
      <w:r w:rsidRPr="00921828">
        <w:t xml:space="preserve"> provider </w:t>
      </w:r>
      <w:r>
        <w:t xml:space="preserve">required to contribute to the USF </w:t>
      </w:r>
      <w:r w:rsidRPr="00921828">
        <w:t>is required to file annually an FCC Form 499-A, also known as the Annual Telecommunications Reporting Worksheet (Annual Worksheet),</w:t>
      </w:r>
      <w:r>
        <w:rPr>
          <w:rStyle w:val="FootnoteReference"/>
          <w:sz w:val="22"/>
        </w:rPr>
        <w:footnoteReference w:id="9"/>
      </w:r>
      <w:r w:rsidRPr="00921828">
        <w:t xml:space="preserve"> and, with certain exceptions, to file quarterly an FCC Form 499-Q, also known as the Quarterly Telecommunications Reporting Worksheet (Quarterly Worksheet).</w:t>
      </w:r>
      <w:r>
        <w:rPr>
          <w:rStyle w:val="FootnoteReference"/>
          <w:sz w:val="22"/>
        </w:rPr>
        <w:footnoteReference w:id="10"/>
      </w:r>
      <w:r w:rsidRPr="00921828">
        <w:t xml:space="preserve">  </w:t>
      </w:r>
      <w:r w:rsidRPr="00921828">
        <w:t>USAC</w:t>
      </w:r>
      <w:r w:rsidRPr="00921828">
        <w:t xml:space="preserve"> uses the revenue projections submitted on the </w:t>
      </w:r>
      <w:r w:rsidRPr="00921828">
        <w:t xml:space="preserve">Quarterly Worksheets to determine each </w:t>
      </w:r>
      <w:r>
        <w:t xml:space="preserve">service </w:t>
      </w:r>
      <w:r w:rsidRPr="00921828">
        <w:t>provider’s monthly universal service contribution amount.</w:t>
      </w:r>
      <w:r>
        <w:rPr>
          <w:rStyle w:val="FootnoteReference"/>
          <w:sz w:val="22"/>
        </w:rPr>
        <w:footnoteReference w:id="11"/>
      </w:r>
      <w:r w:rsidRPr="00921828">
        <w:t xml:space="preserve">  The </w:t>
      </w:r>
      <w:r>
        <w:t>Commission’s r</w:t>
      </w:r>
      <w:r w:rsidRPr="00921828">
        <w:t xml:space="preserve">ules explicitly warn </w:t>
      </w:r>
      <w:r>
        <w:t>service providers</w:t>
      </w:r>
      <w:r w:rsidRPr="00921828">
        <w:t xml:space="preserve"> that failure to timely file forms or submit timely USF payments potentially subjects them to enforcement action.</w:t>
      </w:r>
      <w:r>
        <w:rPr>
          <w:rStyle w:val="FootnoteReference"/>
          <w:sz w:val="22"/>
        </w:rPr>
        <w:footnoteReference w:id="12"/>
      </w:r>
      <w:r w:rsidRPr="00921828">
        <w:t xml:space="preserve">  </w:t>
      </w:r>
      <w:r>
        <w:t>The Commission’s r</w:t>
      </w:r>
      <w:r w:rsidRPr="00921828">
        <w:t xml:space="preserve">ules </w:t>
      </w:r>
      <w:r>
        <w:t>also require that the information contained in the forms must be truthful and that the USF payments must be accurate.</w:t>
      </w:r>
      <w:r>
        <w:rPr>
          <w:rStyle w:val="FootnoteReference"/>
        </w:rPr>
        <w:footnoteReference w:id="13"/>
      </w:r>
    </w:p>
    <w:p w:rsidR="00D10C93" w:rsidRPr="00921828" w:rsidP="00D10C93" w14:paraId="4C7D9884" w14:textId="77777777">
      <w:pPr>
        <w:pStyle w:val="ParaNum"/>
        <w:widowControl/>
      </w:pPr>
      <w:r>
        <w:t>In order to further the goals of truthfulness and accuracy, s</w:t>
      </w:r>
      <w:r w:rsidRPr="00921828">
        <w:t xml:space="preserve">ection 54.711(a) of the </w:t>
      </w:r>
      <w:r>
        <w:t>Commission’s r</w:t>
      </w:r>
      <w:r w:rsidRPr="00921828">
        <w:t xml:space="preserve">ules provides that </w:t>
      </w:r>
      <w:r w:rsidRPr="00921828">
        <w:t>USAC</w:t>
      </w:r>
      <w:r w:rsidRPr="00921828">
        <w:t xml:space="preserve"> has the authority to verify any information contained in Annual and Quarterly Worksheets.</w:t>
      </w:r>
      <w:r>
        <w:rPr>
          <w:rStyle w:val="FootnoteReference"/>
          <w:sz w:val="22"/>
        </w:rPr>
        <w:footnoteReference w:id="14"/>
      </w:r>
      <w:r w:rsidRPr="00921828">
        <w:t xml:space="preserve">  Filers are required to maintain records and documentation to justify the information reported in the Worksheets, including the methodology used to determine revenue projections, for </w:t>
      </w:r>
      <w:r>
        <w:t xml:space="preserve">a period of </w:t>
      </w:r>
      <w:r w:rsidRPr="00921828">
        <w:t xml:space="preserve">three years and to provide it to the Commission or </w:t>
      </w:r>
      <w:r w:rsidRPr="00921828">
        <w:t>USAC</w:t>
      </w:r>
      <w:r w:rsidRPr="00921828">
        <w:t xml:space="preserve"> upon request.</w:t>
      </w:r>
      <w:r>
        <w:rPr>
          <w:rStyle w:val="FootnoteReference"/>
          <w:sz w:val="22"/>
        </w:rPr>
        <w:footnoteReference w:id="15"/>
      </w:r>
      <w:r w:rsidRPr="00921828">
        <w:t xml:space="preserve">  The recordkeeping requirement is necessary to ensure that contributors report correct information on the Worksheets.</w:t>
      </w:r>
      <w:r>
        <w:rPr>
          <w:rStyle w:val="FootnoteReference"/>
          <w:sz w:val="22"/>
        </w:rPr>
        <w:footnoteReference w:id="16"/>
      </w:r>
      <w:r w:rsidRPr="00921828">
        <w:t xml:space="preserve">  The Commission and </w:t>
      </w:r>
      <w:r w:rsidRPr="00921828">
        <w:t>USAC</w:t>
      </w:r>
      <w:r w:rsidRPr="00921828">
        <w:t xml:space="preserve"> may review records and documentation underlying revenue reported on </w:t>
      </w:r>
      <w:r>
        <w:t xml:space="preserve">a </w:t>
      </w:r>
      <w:r w:rsidRPr="00921828">
        <w:t>contributor</w:t>
      </w:r>
      <w:r>
        <w:t>’s</w:t>
      </w:r>
      <w:r w:rsidRPr="00921828">
        <w:t xml:space="preserve"> Worksheets to determine whether </w:t>
      </w:r>
      <w:r>
        <w:t xml:space="preserve">the </w:t>
      </w:r>
      <w:r w:rsidRPr="00921828">
        <w:t xml:space="preserve">contributor </w:t>
      </w:r>
      <w:r>
        <w:t>is</w:t>
      </w:r>
      <w:r w:rsidRPr="00921828">
        <w:t xml:space="preserve"> properly reporting revenue, and thus contributing </w:t>
      </w:r>
      <w:r>
        <w:t xml:space="preserve">its </w:t>
      </w:r>
      <w:r w:rsidRPr="00921828">
        <w:t>fair share to the costs of the universal service program.</w:t>
      </w:r>
      <w:r>
        <w:rPr>
          <w:rStyle w:val="FootnoteReference"/>
        </w:rPr>
        <w:footnoteReference w:id="17"/>
      </w:r>
      <w:r w:rsidRPr="00921828">
        <w:t xml:space="preserve">  </w:t>
      </w:r>
      <w:r w:rsidRPr="00921828">
        <w:rPr>
          <w:color w:val="3D3D3D"/>
          <w:shd w:val="clear" w:color="auto" w:fill="FFFFFF"/>
        </w:rPr>
        <w:t> </w:t>
      </w:r>
    </w:p>
    <w:p w:rsidR="00D10C93" w:rsidRPr="00F1213C" w:rsidP="00D10C93" w14:paraId="0950EFD3" w14:textId="77777777">
      <w:pPr>
        <w:pStyle w:val="ParaNum"/>
        <w:widowControl/>
      </w:pPr>
      <w:r w:rsidRPr="00921828">
        <w:t>USAC</w:t>
      </w:r>
      <w:r w:rsidRPr="00921828">
        <w:t>,</w:t>
      </w:r>
      <w:r>
        <w:t xml:space="preserve"> </w:t>
      </w:r>
      <w:r w:rsidRPr="00E30254">
        <w:t xml:space="preserve">administrators of other programs </w:t>
      </w:r>
      <w:r>
        <w:t>governed by</w:t>
      </w:r>
      <w:r w:rsidRPr="00E30254">
        <w:t xml:space="preserve"> the Act</w:t>
      </w:r>
      <w:r w:rsidRPr="00921828">
        <w:t>,</w:t>
      </w:r>
      <w:r>
        <w:t xml:space="preserve"> and the Commission</w:t>
      </w:r>
      <w:r w:rsidRPr="00921828">
        <w:t xml:space="preserve"> rely on the Worksheets service providers file to determine liability for, and subsequent billing and collection of, payments for the USF and other important federal </w:t>
      </w:r>
      <w:r>
        <w:t>payment mechanisms arising out of the Act</w:t>
      </w:r>
      <w:r w:rsidRPr="00921828">
        <w:t>.</w:t>
      </w:r>
      <w:r>
        <w:rPr>
          <w:rStyle w:val="FootnoteReference"/>
        </w:rPr>
        <w:footnoteReference w:id="18"/>
      </w:r>
      <w:r w:rsidRPr="00921828">
        <w:t xml:space="preserve">  </w:t>
      </w:r>
      <w:r>
        <w:t>The a</w:t>
      </w:r>
      <w:r w:rsidRPr="00921828">
        <w:t xml:space="preserve">ccuracy </w:t>
      </w:r>
      <w:r>
        <w:t>of</w:t>
      </w:r>
      <w:r w:rsidRPr="00921828">
        <w:t xml:space="preserve"> the Worksheets is therefore vital.  </w:t>
      </w:r>
      <w:r w:rsidRPr="003403C5">
        <w:t xml:space="preserve">The Commission or </w:t>
      </w:r>
      <w:r w:rsidRPr="003403C5">
        <w:t>USAC</w:t>
      </w:r>
      <w:r w:rsidRPr="003403C5">
        <w:t xml:space="preserve"> can verify the accuracy of a service provider’s Worksheet by analyzing supporting documents in the service provider’s files</w:t>
      </w:r>
      <w:r w:rsidRPr="00921828">
        <w:t xml:space="preserve">.  </w:t>
      </w:r>
      <w:r w:rsidRPr="003403C5">
        <w:t>The failure of a service provider to maintain, and pro</w:t>
      </w:r>
      <w:r w:rsidRPr="0023784B">
        <w:t xml:space="preserve">vide </w:t>
      </w:r>
      <w:r w:rsidRPr="00876F19">
        <w:t xml:space="preserve">to the Commission or </w:t>
      </w:r>
      <w:r w:rsidRPr="00876F19">
        <w:t>USAC</w:t>
      </w:r>
      <w:r w:rsidRPr="00876F19">
        <w:t xml:space="preserve"> upon </w:t>
      </w:r>
      <w:r w:rsidRPr="00F337CB">
        <w:t>request</w:t>
      </w:r>
      <w:r w:rsidRPr="003403C5">
        <w:t xml:space="preserve">, records and documentation supporting its Worksheets thwarts the Commission’s ability to verify reported revenue, </w:t>
      </w:r>
      <w:r w:rsidRPr="00876F19">
        <w:t xml:space="preserve">which could </w:t>
      </w:r>
      <w:r w:rsidRPr="00F337CB">
        <w:t xml:space="preserve">result in a smaller base of USF contributions revenues than would otherwise have </w:t>
      </w:r>
      <w:r w:rsidRPr="00F337CB">
        <w:t xml:space="preserve">been </w:t>
      </w:r>
      <w:r>
        <w:t>reported</w:t>
      </w:r>
      <w:r w:rsidRPr="00921828">
        <w:t xml:space="preserve">.  </w:t>
      </w:r>
      <w:r>
        <w:t>R</w:t>
      </w:r>
      <w:r w:rsidRPr="003403C5">
        <w:t xml:space="preserve">esponding to </w:t>
      </w:r>
      <w:r w:rsidRPr="003403C5">
        <w:t>USAC</w:t>
      </w:r>
      <w:r w:rsidRPr="003403C5">
        <w:t xml:space="preserve"> verification direc</w:t>
      </w:r>
      <w:r w:rsidRPr="0023784B">
        <w:t>tives</w:t>
      </w:r>
      <w:r w:rsidRPr="00876F19">
        <w:t xml:space="preserve"> and maint</w:t>
      </w:r>
      <w:r w:rsidRPr="00F337CB">
        <w:t xml:space="preserve">aining and submitting documentation to </w:t>
      </w:r>
      <w:r w:rsidRPr="00F337CB">
        <w:t>USAC</w:t>
      </w:r>
      <w:r>
        <w:t xml:space="preserve"> upon request</w:t>
      </w:r>
      <w:r w:rsidRPr="00F337CB">
        <w:t xml:space="preserve"> is </w:t>
      </w:r>
      <w:r>
        <w:t xml:space="preserve">therefore necessary to ensure the integrity of </w:t>
      </w:r>
      <w:r w:rsidRPr="00F337CB">
        <w:t>the USF,</w:t>
      </w:r>
      <w:r>
        <w:t xml:space="preserve"> and</w:t>
      </w:r>
      <w:r w:rsidRPr="00F337CB">
        <w:t xml:space="preserve"> a contributor’s failure to comply with these verification functions can impede the very purpose for which Congress enacted section 254(d) – to ensure that every required contributor to the USF</w:t>
      </w:r>
      <w:r w:rsidRPr="002D71B8">
        <w:t xml:space="preserve"> “contribute[s], on an equitable and nondiscriminatory basis, to the specific, predictable, and sufficient mechanisms established by the Commission to preserve and advance universal service.”</w:t>
      </w:r>
      <w:r>
        <w:rPr>
          <w:rStyle w:val="FootnoteReference"/>
          <w:sz w:val="22"/>
        </w:rPr>
        <w:footnoteReference w:id="19"/>
      </w:r>
      <w:r w:rsidRPr="00921828">
        <w:t xml:space="preserve">  </w:t>
      </w:r>
      <w:r w:rsidRPr="003403C5">
        <w:t xml:space="preserve">The effect on </w:t>
      </w:r>
      <w:r w:rsidRPr="00E30254">
        <w:t>other programs arising under the Ac</w:t>
      </w:r>
      <w:r>
        <w:t xml:space="preserve">t </w:t>
      </w:r>
      <w:r w:rsidRPr="003403C5">
        <w:t>that rely on assessments of the Worksheets is similar</w:t>
      </w:r>
      <w:r w:rsidRPr="00921828">
        <w:t xml:space="preserve">.  </w:t>
      </w:r>
      <w:r w:rsidRPr="003403C5">
        <w:t xml:space="preserve">Indeed, a service </w:t>
      </w:r>
      <w:r w:rsidRPr="0023784B">
        <w:t>pro</w:t>
      </w:r>
      <w:r w:rsidRPr="00876F19">
        <w:t xml:space="preserve">vider that </w:t>
      </w:r>
      <w:r w:rsidRPr="00F337CB">
        <w:t xml:space="preserve">impedes the Commission and </w:t>
      </w:r>
      <w:r w:rsidRPr="00F337CB">
        <w:t>USAC</w:t>
      </w:r>
      <w:r w:rsidRPr="00F337CB">
        <w:t xml:space="preserve"> from verifying the revenue information submitted in its Worksheets can evade its federal obligations to fully contribute toward the vital programs linked to the reporting obligations</w:t>
      </w:r>
      <w:r w:rsidRPr="00921828">
        <w:t>.</w:t>
      </w:r>
      <w:r>
        <w:t xml:space="preserve">  </w:t>
      </w:r>
      <w:r w:rsidRPr="00F337CB">
        <w:t>As a consequence of</w:t>
      </w:r>
      <w:r w:rsidRPr="00F337CB">
        <w:t xml:space="preserve"> this evasion, other service providers shoulder an unfair burden of the USF</w:t>
      </w:r>
      <w:r w:rsidRPr="002D71B8">
        <w:t xml:space="preserve"> and other federal regulatory programs</w:t>
      </w:r>
      <w:r w:rsidRPr="00A879E6">
        <w:t xml:space="preserve"> </w:t>
      </w:r>
      <w:r w:rsidRPr="00E30254">
        <w:t>arising under the Ac</w:t>
      </w:r>
      <w:r>
        <w:t>t.</w:t>
      </w:r>
    </w:p>
    <w:p w:rsidR="00D10C93" w:rsidRPr="00F1213C" w:rsidP="00D10C93" w14:paraId="010D2C66" w14:textId="77777777">
      <w:pPr>
        <w:pStyle w:val="Heading2"/>
        <w:widowControl/>
      </w:pPr>
      <w:bookmarkStart w:id="8" w:name="_Toc54009879"/>
      <w:r w:rsidRPr="00F1213C">
        <w:rPr>
          <w:bCs/>
        </w:rPr>
        <w:t>Factual Background</w:t>
      </w:r>
      <w:bookmarkEnd w:id="8"/>
    </w:p>
    <w:p w:rsidR="00D10C93" w:rsidP="00D10C93" w14:paraId="716D081D" w14:textId="77777777">
      <w:pPr>
        <w:pStyle w:val="ParaNum"/>
        <w:widowControl/>
      </w:pPr>
      <w:r w:rsidRPr="00F1213C">
        <w:t>US South was formed as a Georgia corporation in 1994 and re-domesticated in Colorado in 2009.</w:t>
      </w:r>
      <w:r>
        <w:rPr>
          <w:rStyle w:val="FootnoteReference"/>
          <w:sz w:val="22"/>
        </w:rPr>
        <w:footnoteReference w:id="20"/>
      </w:r>
      <w:r w:rsidRPr="00F1213C">
        <w:t xml:space="preserve">  The Company is a wholly owned subsidiary of HI</w:t>
      </w:r>
      <w:r w:rsidRPr="007A1326">
        <w:t xml:space="preserve"> Technology Corp</w:t>
      </w:r>
      <w:r>
        <w:t xml:space="preserve">. (f/k/a </w:t>
      </w:r>
      <w:r>
        <w:t>InComm</w:t>
      </w:r>
      <w:r>
        <w:t xml:space="preserve"> Holdings, Inc.).</w:t>
      </w:r>
      <w:r>
        <w:rPr>
          <w:rStyle w:val="FootnoteReference"/>
        </w:rPr>
        <w:footnoteReference w:id="21"/>
      </w:r>
      <w:r>
        <w:t xml:space="preserve">  US South is based in Atlanta, Georgia and is authorized to do business in all 50 states and the District of Columbia.</w:t>
      </w:r>
      <w:r>
        <w:rPr>
          <w:rStyle w:val="FootnoteReference"/>
        </w:rPr>
        <w:footnoteReference w:id="22"/>
      </w:r>
      <w:r>
        <w:t xml:space="preserve">  US South has Commission authority under section 214 of the Act to provide facilities-based and resold domestic and international telecommunications services.</w:t>
      </w:r>
      <w:r>
        <w:rPr>
          <w:rStyle w:val="FootnoteReference"/>
        </w:rPr>
        <w:footnoteReference w:id="23"/>
      </w:r>
      <w:r>
        <w:t xml:space="preserve">  The Company is registered with the Commission as a toll reseller and “provides wholesale long distance calling services to telecommunications carrier customers (domestic and international termination for carrier customers).”</w:t>
      </w:r>
      <w:r>
        <w:rPr>
          <w:rStyle w:val="FootnoteReference"/>
        </w:rPr>
        <w:footnoteReference w:id="24"/>
      </w:r>
      <w:r>
        <w:t xml:space="preserve">  </w:t>
      </w:r>
    </w:p>
    <w:p w:rsidR="00D10C93" w:rsidRPr="007F377B" w:rsidP="00D10C93" w14:paraId="7EDD302D" w14:textId="77777777">
      <w:pPr>
        <w:pStyle w:val="ParaNum"/>
        <w:widowControl/>
      </w:pPr>
      <w:r w:rsidRPr="009C7680">
        <w:t xml:space="preserve">After originally filing its 2018 Annual Worksheet on March 30, 2018, US South filed a revised Worksheet on March 28, 2019, making substantial changes to its reported revenues for </w:t>
      </w:r>
      <w:r>
        <w:t>the 2017 calendar year.</w:t>
      </w:r>
      <w:r>
        <w:rPr>
          <w:rStyle w:val="FootnoteReference"/>
          <w:sz w:val="22"/>
        </w:rPr>
        <w:footnoteReference w:id="25"/>
      </w:r>
      <w:r>
        <w:t xml:space="preserve">  Between </w:t>
      </w:r>
      <w:r w:rsidRPr="00AC65E6">
        <w:t>April 15, 2019</w:t>
      </w:r>
      <w:r>
        <w:t xml:space="preserve">, and </w:t>
      </w:r>
      <w:r w:rsidRPr="00AE2907">
        <w:t xml:space="preserve">June </w:t>
      </w:r>
      <w:r>
        <w:t xml:space="preserve">4, 2020, </w:t>
      </w:r>
      <w:r>
        <w:t>USAC</w:t>
      </w:r>
      <w:r>
        <w:t xml:space="preserve"> repeatedly directed US South to submit documentation supporting the Company’s reported revenues, initially</w:t>
      </w:r>
      <w:r w:rsidRPr="00817FC5">
        <w:t xml:space="preserve"> </w:t>
      </w:r>
      <w:r>
        <w:t xml:space="preserve">to support US South’s </w:t>
      </w:r>
      <w:r>
        <w:t xml:space="preserve">revision to the 2018 Annual Worksheet, and later for US South’s </w:t>
      </w:r>
      <w:r w:rsidRPr="00817FC5">
        <w:t>2019 Annual Worksheet</w:t>
      </w:r>
      <w:r>
        <w:t xml:space="preserve">.  </w:t>
      </w:r>
      <w:r>
        <w:t>USAC’s</w:t>
      </w:r>
      <w:r>
        <w:t xml:space="preserve"> directives were communicated to both US South employees and a US South consultant.</w:t>
      </w:r>
      <w:r>
        <w:rPr>
          <w:rStyle w:val="FootnoteReference"/>
        </w:rPr>
        <w:footnoteReference w:id="26"/>
      </w:r>
      <w:r>
        <w:t xml:space="preserve">  </w:t>
      </w:r>
    </w:p>
    <w:p w:rsidR="00D10C93" w:rsidP="00D10C93" w14:paraId="068E2C75" w14:textId="77777777">
      <w:pPr>
        <w:pStyle w:val="ParaNum"/>
        <w:widowControl/>
      </w:pPr>
      <w:r w:rsidRPr="006B1EC2">
        <w:rPr>
          <w:i/>
          <w:iCs/>
        </w:rPr>
        <w:t>First</w:t>
      </w:r>
      <w:r>
        <w:t>, o</w:t>
      </w:r>
      <w:r w:rsidRPr="00AC65E6">
        <w:t xml:space="preserve">n April 15, 2019, </w:t>
      </w:r>
      <w:r w:rsidRPr="00AC65E6">
        <w:t>USAC</w:t>
      </w:r>
      <w:r w:rsidRPr="00AC65E6">
        <w:t xml:space="preserve"> informed US South that</w:t>
      </w:r>
      <w:r>
        <w:t xml:space="preserve"> </w:t>
      </w:r>
      <w:r w:rsidRPr="00680A35">
        <w:t xml:space="preserve">the projection of </w:t>
      </w:r>
      <w:r w:rsidRPr="00D33E9B">
        <w:t xml:space="preserve">revenue in the Quarterly Worksheets due November 1, 2016, and February 1, May 1, and August 1, 2017 substantially </w:t>
      </w:r>
      <w:r>
        <w:t>varied from</w:t>
      </w:r>
      <w:r w:rsidRPr="00D33E9B">
        <w:t xml:space="preserve"> revenue reported in the revised 2018 Annual Worksheet and there was a large </w:t>
      </w:r>
      <w:r>
        <w:t>change</w:t>
      </w:r>
      <w:r w:rsidRPr="00D33E9B">
        <w:t xml:space="preserve"> in the revenues</w:t>
      </w:r>
      <w:r>
        <w:t xml:space="preserve"> reported in the revised 2018 Annual Worksheet</w:t>
      </w:r>
      <w:r w:rsidRPr="00D33E9B">
        <w:t>.</w:t>
      </w:r>
      <w:r>
        <w:rPr>
          <w:rStyle w:val="FootnoteReference"/>
        </w:rPr>
        <w:footnoteReference w:id="27"/>
      </w:r>
      <w:r w:rsidRPr="00D33E9B">
        <w:t xml:space="preserve">  </w:t>
      </w:r>
      <w:r w:rsidRPr="00D33E9B">
        <w:t>USAC</w:t>
      </w:r>
      <w:r w:rsidRPr="00D33E9B">
        <w:t xml:space="preserve"> therefore directed US South</w:t>
      </w:r>
      <w:r w:rsidRPr="000B5464">
        <w:t xml:space="preserve"> to submit documentation that supported these revisions to the 2018 Annual Worksheet.</w:t>
      </w:r>
      <w:r>
        <w:rPr>
          <w:rStyle w:val="FootnoteReference"/>
          <w:sz w:val="22"/>
        </w:rPr>
        <w:footnoteReference w:id="28"/>
      </w:r>
      <w:r w:rsidRPr="00D33E9B">
        <w:t xml:space="preserve">  The deadline for US South to respond was April 22, 2019</w:t>
      </w:r>
      <w:r w:rsidRPr="000B5464">
        <w:t>.</w:t>
      </w:r>
      <w:r>
        <w:rPr>
          <w:rStyle w:val="FootnoteReference"/>
        </w:rPr>
        <w:footnoteReference w:id="29"/>
      </w:r>
      <w:r w:rsidRPr="000B5464">
        <w:t xml:space="preserve">  US South did not respond</w:t>
      </w:r>
      <w:r w:rsidRPr="00665815">
        <w:t xml:space="preserve"> by the deadline</w:t>
      </w:r>
      <w:r>
        <w:t>.</w:t>
      </w:r>
      <w:r>
        <w:rPr>
          <w:rStyle w:val="FootnoteReference"/>
        </w:rPr>
        <w:footnoteReference w:id="30"/>
      </w:r>
      <w:r>
        <w:t xml:space="preserve">  </w:t>
      </w:r>
    </w:p>
    <w:p w:rsidR="00D10C93" w:rsidRPr="001124CC" w:rsidP="00D10C93" w14:paraId="174C2C98" w14:textId="77777777">
      <w:pPr>
        <w:pStyle w:val="ParaNum"/>
        <w:widowControl/>
      </w:pPr>
      <w:r w:rsidRPr="00B44A76">
        <w:rPr>
          <w:i/>
          <w:iCs/>
        </w:rPr>
        <w:t>Second</w:t>
      </w:r>
      <w:r>
        <w:t>, o</w:t>
      </w:r>
      <w:r w:rsidRPr="00B44A76">
        <w:t>n</w:t>
      </w:r>
      <w:r w:rsidRPr="001124CC">
        <w:t xml:space="preserve"> July 1, 2019, </w:t>
      </w:r>
      <w:r w:rsidRPr="001124CC">
        <w:t>USAC</w:t>
      </w:r>
      <w:r w:rsidRPr="001124CC">
        <w:t xml:space="preserve"> directed US South to provide </w:t>
      </w:r>
      <w:bookmarkStart w:id="10" w:name="_Hlk40188836"/>
      <w:bookmarkStart w:id="11" w:name="_Hlk46503094"/>
      <w:r w:rsidRPr="00101702">
        <w:t>reseller</w:t>
      </w:r>
      <w:bookmarkEnd w:id="10"/>
      <w:r w:rsidRPr="001124CC">
        <w:t xml:space="preserve"> documentation</w:t>
      </w:r>
      <w:r w:rsidRPr="00E847FC">
        <w:t xml:space="preserve"> </w:t>
      </w:r>
      <w:bookmarkEnd w:id="11"/>
      <w:r w:rsidRPr="001124CC">
        <w:t>supporting</w:t>
      </w:r>
      <w:r>
        <w:t xml:space="preserve"> the </w:t>
      </w:r>
      <w:r w:rsidRPr="00876BD4">
        <w:t xml:space="preserve">Company’s </w:t>
      </w:r>
      <w:r>
        <w:t>2018 Annual Worksheet</w:t>
      </w:r>
      <w:r w:rsidRPr="001124CC">
        <w:t>.</w:t>
      </w:r>
      <w:r>
        <w:rPr>
          <w:rStyle w:val="FootnoteReference"/>
        </w:rPr>
        <w:footnoteReference w:id="31"/>
      </w:r>
      <w:r w:rsidRPr="001124CC">
        <w:t xml:space="preserve">  </w:t>
      </w:r>
      <w:r>
        <w:t xml:space="preserve">On September 5, 2019, after </w:t>
      </w:r>
      <w:r w:rsidRPr="001124CC">
        <w:t>US South did not respond</w:t>
      </w:r>
      <w:r>
        <w:t xml:space="preserve"> to </w:t>
      </w:r>
      <w:r>
        <w:t>USAC’s</w:t>
      </w:r>
      <w:r>
        <w:t xml:space="preserve"> July 1 directive</w:t>
      </w:r>
      <w:r w:rsidRPr="001124CC">
        <w:t xml:space="preserve">, </w:t>
      </w:r>
      <w:r w:rsidRPr="001124CC">
        <w:t>USAC</w:t>
      </w:r>
      <w:r w:rsidRPr="001124CC">
        <w:t xml:space="preserve"> </w:t>
      </w:r>
      <w:r>
        <w:t xml:space="preserve">again instructed US South to provide the documentation, and in a separate communication on the same date also directed US South to provide </w:t>
      </w:r>
      <w:r w:rsidRPr="001124CC">
        <w:t>support</w:t>
      </w:r>
      <w:r>
        <w:t xml:space="preserve">ing </w:t>
      </w:r>
      <w:r w:rsidRPr="00101702">
        <w:t>reseller</w:t>
      </w:r>
      <w:r w:rsidRPr="001124CC">
        <w:t xml:space="preserve"> documentation</w:t>
      </w:r>
      <w:r>
        <w:t xml:space="preserve"> for the 2019 Annual Worksheet</w:t>
      </w:r>
      <w:r w:rsidRPr="001124CC">
        <w:t>.</w:t>
      </w:r>
      <w:r>
        <w:rPr>
          <w:rStyle w:val="FootnoteReference"/>
        </w:rPr>
        <w:footnoteReference w:id="32"/>
      </w:r>
      <w:r w:rsidRPr="001124CC">
        <w:t xml:space="preserve">  </w:t>
      </w:r>
      <w:r w:rsidRPr="001124CC">
        <w:t>USAC</w:t>
      </w:r>
      <w:r>
        <w:t xml:space="preserve"> </w:t>
      </w:r>
      <w:r w:rsidRPr="001124CC">
        <w:t xml:space="preserve">informed US South that </w:t>
      </w:r>
      <w:r>
        <w:t>“</w:t>
      </w:r>
      <w:r w:rsidRPr="001124CC">
        <w:t>the failure to resolve the outstanding issue</w:t>
      </w:r>
      <w:r>
        <w:t>s</w:t>
      </w:r>
      <w:r w:rsidRPr="001124CC">
        <w:t xml:space="preserve"> concerning the 2018 Annual Worksheet</w:t>
      </w:r>
      <w:r>
        <w:t xml:space="preserve"> </w:t>
      </w:r>
      <w:r w:rsidRPr="001124CC">
        <w:t>may result in a referral to the FCC Enforcement Bureau.”</w:t>
      </w:r>
      <w:r>
        <w:rPr>
          <w:rStyle w:val="FootnoteReference"/>
        </w:rPr>
        <w:footnoteReference w:id="33"/>
      </w:r>
      <w:r w:rsidRPr="001124CC">
        <w:t xml:space="preserve">  </w:t>
      </w:r>
      <w:r>
        <w:t>W</w:t>
      </w:r>
      <w:r w:rsidRPr="001124CC">
        <w:t xml:space="preserve">ith regard to the 2019 Annual Worksheet, </w:t>
      </w:r>
      <w:r w:rsidRPr="001124CC">
        <w:t>USAC</w:t>
      </w:r>
      <w:r>
        <w:t xml:space="preserve"> </w:t>
      </w:r>
      <w:r w:rsidRPr="001124CC">
        <w:t xml:space="preserve">informed US South that </w:t>
      </w:r>
      <w:r w:rsidRPr="00B90FB3">
        <w:t xml:space="preserve">the projection </w:t>
      </w:r>
      <w:r w:rsidRPr="000B5464">
        <w:t xml:space="preserve">of revenue in the Quarterly Worksheets due November 1, 2017, and February 1, May 1, and August 1, 2018 substantially </w:t>
      </w:r>
      <w:r>
        <w:t>varied from</w:t>
      </w:r>
      <w:r w:rsidRPr="000B5464">
        <w:t xml:space="preserve"> revenue reported on the 2019 Annual Worksheet, and </w:t>
      </w:r>
      <w:r w:rsidRPr="000B5464">
        <w:t>USAC</w:t>
      </w:r>
      <w:r w:rsidRPr="000B5464">
        <w:t xml:space="preserve"> directed US South to provide documentation supporting the projection of revenues in the Quarterly Worksheets.</w:t>
      </w:r>
      <w:r>
        <w:rPr>
          <w:rStyle w:val="FootnoteReference"/>
        </w:rPr>
        <w:footnoteReference w:id="34"/>
      </w:r>
      <w:r w:rsidRPr="000B5464">
        <w:t xml:space="preserve">  The deadline to respond to these directives was September 12, 2019, but again the Company did not respond by the</w:t>
      </w:r>
      <w:r>
        <w:t xml:space="preserve"> deadline</w:t>
      </w:r>
      <w:r w:rsidRPr="001124CC">
        <w:t>.</w:t>
      </w:r>
      <w:r>
        <w:rPr>
          <w:rStyle w:val="FootnoteReference"/>
        </w:rPr>
        <w:footnoteReference w:id="35"/>
      </w:r>
      <w:r w:rsidRPr="001124CC">
        <w:t xml:space="preserve">  </w:t>
      </w:r>
    </w:p>
    <w:p w:rsidR="00D10C93" w:rsidRPr="00BE3ADC" w:rsidP="00D10C93" w14:paraId="60577D83" w14:textId="77777777">
      <w:pPr>
        <w:pStyle w:val="ParaNum"/>
        <w:widowControl/>
      </w:pPr>
      <w:r>
        <w:rPr>
          <w:i/>
          <w:iCs/>
        </w:rPr>
        <w:t>Third</w:t>
      </w:r>
      <w:r>
        <w:t>, in light of that failure to respond, o</w:t>
      </w:r>
      <w:r w:rsidRPr="00EC53DD">
        <w:t xml:space="preserve">n October 23, 2019, </w:t>
      </w:r>
      <w:r w:rsidRPr="00EC53DD">
        <w:t>USAC</w:t>
      </w:r>
      <w:r w:rsidRPr="00EC53DD">
        <w:t xml:space="preserve"> informed US South </w:t>
      </w:r>
      <w:r>
        <w:t>that the Company</w:t>
      </w:r>
      <w:r w:rsidRPr="00EC53DD">
        <w:t xml:space="preserve"> had still not provided </w:t>
      </w:r>
      <w:r w:rsidRPr="00BE3ADC">
        <w:t>the documentation supporting the 2018 or 2019 Annual Worksheets.</w:t>
      </w:r>
      <w:r>
        <w:rPr>
          <w:rStyle w:val="FootnoteReference"/>
          <w:sz w:val="22"/>
        </w:rPr>
        <w:footnoteReference w:id="36"/>
      </w:r>
      <w:r w:rsidRPr="00BE3ADC">
        <w:t xml:space="preserve">  </w:t>
      </w:r>
      <w:r w:rsidRPr="00BE3ADC">
        <w:t>USAC</w:t>
      </w:r>
      <w:r w:rsidRPr="00BE3ADC">
        <w:t xml:space="preserve"> provided US South another deadline, November 5, 2019, for US South to provide the supporting documentation for the 2019 Annual Worksheet, and informed US South it was “</w:t>
      </w:r>
      <w:r w:rsidRPr="00BE3ADC">
        <w:rPr>
          <w:color w:val="000000"/>
        </w:rPr>
        <w:t xml:space="preserve">important </w:t>
      </w:r>
      <w:r w:rsidRPr="00BE3ADC">
        <w:rPr>
          <w:color w:val="000000"/>
        </w:rPr>
        <w:t>to resolve the outstanding issue in order to avoid a referral of [the 2019 Annual Worksheet] to the FCC Enforcement Bureau</w:t>
      </w:r>
      <w:r w:rsidRPr="00BE3ADC">
        <w:t>.”</w:t>
      </w:r>
      <w:r>
        <w:rPr>
          <w:rStyle w:val="FootnoteReference"/>
          <w:sz w:val="22"/>
        </w:rPr>
        <w:footnoteReference w:id="37"/>
      </w:r>
      <w:r w:rsidRPr="00BE3ADC">
        <w:t xml:space="preserve">  Again, US South did not respond by the deadline.</w:t>
      </w:r>
      <w:r>
        <w:rPr>
          <w:rStyle w:val="FootnoteReference"/>
          <w:sz w:val="22"/>
        </w:rPr>
        <w:footnoteReference w:id="38"/>
      </w:r>
      <w:r w:rsidRPr="00BE3ADC">
        <w:t xml:space="preserve">  </w:t>
      </w:r>
    </w:p>
    <w:p w:rsidR="00D10C93" w:rsidP="00D10C93" w14:paraId="1776F092" w14:textId="77777777">
      <w:pPr>
        <w:pStyle w:val="ParaNum"/>
        <w:widowControl/>
      </w:pPr>
      <w:r w:rsidRPr="00BE3ADC">
        <w:t xml:space="preserve">On November 6, 2019, </w:t>
      </w:r>
      <w:r w:rsidRPr="00BE3ADC">
        <w:t>USAC</w:t>
      </w:r>
      <w:r w:rsidRPr="00BE3ADC">
        <w:t xml:space="preserve"> referred US South to the Bureau for investigation into the Company’s apparent non-compliance with section</w:t>
      </w:r>
      <w:r w:rsidRPr="006D0CA1">
        <w:t xml:space="preserve"> 54.711(a) of the </w:t>
      </w:r>
      <w:r>
        <w:t>Commission’s r</w:t>
      </w:r>
      <w:r w:rsidRPr="006D0CA1">
        <w:t>ules, which require</w:t>
      </w:r>
      <w:r>
        <w:t>s</w:t>
      </w:r>
      <w:r w:rsidRPr="006D0CA1">
        <w:t xml:space="preserve"> contributors to </w:t>
      </w:r>
      <w:r>
        <w:t>“maintain records and documentation to justify information reported in the [Worksheets], including the methodology used to determine projections, . . . and shall provide such records and documentation to . . . the Administrator upon request.”</w:t>
      </w:r>
      <w:r>
        <w:rPr>
          <w:rStyle w:val="FootnoteReference"/>
        </w:rPr>
        <w:footnoteReference w:id="39"/>
      </w:r>
      <w:r>
        <w:t xml:space="preserve">  T</w:t>
      </w:r>
      <w:r w:rsidRPr="006F3D40">
        <w:t xml:space="preserve">he Bureau issued </w:t>
      </w:r>
      <w:r>
        <w:t>an</w:t>
      </w:r>
      <w:r w:rsidRPr="006F3D40">
        <w:t xml:space="preserve"> </w:t>
      </w:r>
      <w:r w:rsidRPr="006F3D40">
        <w:t>LOI</w:t>
      </w:r>
      <w:r w:rsidRPr="006F3D40">
        <w:t xml:space="preserve"> to US South concerning </w:t>
      </w:r>
      <w:r>
        <w:t>the Company</w:t>
      </w:r>
      <w:r w:rsidRPr="006F3D40">
        <w:t xml:space="preserve">’s compliance with </w:t>
      </w:r>
      <w:r>
        <w:t xml:space="preserve">these </w:t>
      </w:r>
      <w:r w:rsidRPr="006F3D40">
        <w:t>filing</w:t>
      </w:r>
      <w:r>
        <w:t xml:space="preserve"> </w:t>
      </w:r>
      <w:r w:rsidRPr="006F3D40">
        <w:t>requirements arising under the Act and the Commission’s rules</w:t>
      </w:r>
      <w:r>
        <w:t xml:space="preserve"> o</w:t>
      </w:r>
      <w:r w:rsidRPr="006F3D40">
        <w:t>n January 24, 2020.</w:t>
      </w:r>
      <w:r>
        <w:rPr>
          <w:rStyle w:val="FootnoteReference"/>
          <w:sz w:val="22"/>
        </w:rPr>
        <w:footnoteReference w:id="40"/>
      </w:r>
      <w:r w:rsidRPr="006F3D40">
        <w:t xml:space="preserve">  </w:t>
      </w:r>
    </w:p>
    <w:p w:rsidR="00D10C93" w:rsidRPr="000C4F6E" w:rsidP="00D10C93" w14:paraId="48F7CCAF" w14:textId="3C960CBD">
      <w:pPr>
        <w:pStyle w:val="ParaNum"/>
        <w:widowControl/>
      </w:pPr>
      <w:r w:rsidRPr="006F3D40">
        <w:t xml:space="preserve">US South responded to the </w:t>
      </w:r>
      <w:r w:rsidRPr="006F3D40">
        <w:t>LOI</w:t>
      </w:r>
      <w:r w:rsidRPr="006F3D40">
        <w:t xml:space="preserve"> on March 10, 2020.</w:t>
      </w:r>
      <w:r>
        <w:rPr>
          <w:rStyle w:val="FootnoteReference"/>
          <w:sz w:val="22"/>
        </w:rPr>
        <w:footnoteReference w:id="41"/>
      </w:r>
      <w:r w:rsidRPr="006F3D40">
        <w:t xml:space="preserve">  US South stated that it relied on a consultant to respond on its behalf to </w:t>
      </w:r>
      <w:r w:rsidRPr="006F3D40">
        <w:t>USAC’s</w:t>
      </w:r>
      <w:r w:rsidRPr="006F3D40">
        <w:t xml:space="preserve"> directives concerning the 2018 and 2019 Annual Worksheets.</w:t>
      </w:r>
      <w:r>
        <w:rPr>
          <w:rStyle w:val="FootnoteReference"/>
        </w:rPr>
        <w:footnoteReference w:id="42"/>
      </w:r>
      <w:r w:rsidRPr="006F3D40">
        <w:t xml:space="preserve">  US South acknowledged that the consultant failed to respond on US South’s behalf to “a number” of </w:t>
      </w:r>
      <w:r w:rsidRPr="006F3D40">
        <w:t>USAC</w:t>
      </w:r>
      <w:r w:rsidRPr="006F3D40">
        <w:t xml:space="preserve"> directives and US South acknowledged it “should have taken a more active role”</w:t>
      </w:r>
      <w:r>
        <w:t xml:space="preserve"> and  “</w:t>
      </w:r>
      <w:r w:rsidRPr="00A7663A">
        <w:t>regrets that it was overly reliant on [i</w:t>
      </w:r>
      <w:r>
        <w:t>ts</w:t>
      </w:r>
      <w:r w:rsidRPr="00A7663A">
        <w:t xml:space="preserve"> consultant’s] guidance pertaining to </w:t>
      </w:r>
      <w:r w:rsidRPr="00A7663A">
        <w:t>USAC’s</w:t>
      </w:r>
      <w:r w:rsidRPr="00A7663A">
        <w:t xml:space="preserve"> inquiries.”</w:t>
      </w:r>
      <w:r>
        <w:rPr>
          <w:rStyle w:val="FootnoteReference"/>
        </w:rPr>
        <w:footnoteReference w:id="43"/>
      </w:r>
      <w:r w:rsidRPr="006F3D40">
        <w:t xml:space="preserve">  </w:t>
      </w:r>
      <w:r w:rsidR="00075F5D">
        <w:t>With respect to</w:t>
      </w:r>
      <w:r w:rsidRPr="006F3D40" w:rsidR="00075F5D">
        <w:t xml:space="preserve"> </w:t>
      </w:r>
      <w:r w:rsidRPr="006F3D40">
        <w:t>USAC</w:t>
      </w:r>
      <w:r w:rsidR="007823D2">
        <w:t>’s</w:t>
      </w:r>
      <w:r w:rsidRPr="006F3D40">
        <w:t xml:space="preserve"> repeated direct</w:t>
      </w:r>
      <w:r w:rsidR="007823D2">
        <w:t>ions</w:t>
      </w:r>
      <w:r w:rsidR="00B62767">
        <w:t xml:space="preserve"> to</w:t>
      </w:r>
      <w:r w:rsidRPr="006F3D40">
        <w:t xml:space="preserve"> US South to provide supporting documentation for the 2018 and 2019 Annual Worksheets, US South stated that its consultant “apparently failed to realize that it has failed to address” </w:t>
      </w:r>
      <w:r w:rsidR="00B62767">
        <w:t>those</w:t>
      </w:r>
      <w:r w:rsidRPr="006F3D40">
        <w:t xml:space="preserve"> directives, and thus US South’s representative “did not take any action in response to </w:t>
      </w:r>
      <w:r w:rsidRPr="006F3D40">
        <w:t>USAC’s</w:t>
      </w:r>
      <w:r w:rsidRPr="006F3D40">
        <w:t xml:space="preserve"> follow-</w:t>
      </w:r>
      <w:r w:rsidRPr="000C4F6E">
        <w:t>up notices.”</w:t>
      </w:r>
      <w:r>
        <w:rPr>
          <w:rStyle w:val="FootnoteReference"/>
        </w:rPr>
        <w:footnoteReference w:id="44"/>
      </w:r>
      <w:r w:rsidRPr="000C4F6E">
        <w:t xml:space="preserve">  Between April 6 and June </w:t>
      </w:r>
      <w:r>
        <w:t>4</w:t>
      </w:r>
      <w:r w:rsidRPr="000C4F6E">
        <w:t xml:space="preserve">, 2020, </w:t>
      </w:r>
      <w:r w:rsidRPr="000C4F6E">
        <w:t>USAC</w:t>
      </w:r>
      <w:r w:rsidRPr="000C4F6E">
        <w:t xml:space="preserve"> requested additional documentation supporting the Worksheets, and US South provided the requested documentation.</w:t>
      </w:r>
      <w:r>
        <w:rPr>
          <w:rStyle w:val="FootnoteReference"/>
        </w:rPr>
        <w:footnoteReference w:id="45"/>
      </w:r>
      <w:r w:rsidRPr="000C4F6E">
        <w:t xml:space="preserve">     </w:t>
      </w:r>
    </w:p>
    <w:p w:rsidR="00D10C93" w:rsidRPr="000C4F6E" w:rsidP="00D10C93" w14:paraId="65741F87" w14:textId="77777777">
      <w:pPr>
        <w:pStyle w:val="Heading1"/>
        <w:widowControl/>
        <w:rPr>
          <w:rFonts w:ascii="Times New Roman" w:hAnsi="Times New Roman"/>
        </w:rPr>
      </w:pPr>
      <w:bookmarkStart w:id="12" w:name="_Toc54009882"/>
      <w:r w:rsidRPr="000C4F6E">
        <w:rPr>
          <w:rFonts w:ascii="Times New Roman" w:hAnsi="Times New Roman"/>
        </w:rPr>
        <w:t>DISCUSSION</w:t>
      </w:r>
      <w:bookmarkEnd w:id="12"/>
    </w:p>
    <w:p w:rsidR="00D10C93" w:rsidRPr="000C4F6E" w:rsidP="00D10C93" w14:paraId="32EA6299" w14:textId="77777777">
      <w:pPr>
        <w:pStyle w:val="Heading2"/>
      </w:pPr>
      <w:bookmarkStart w:id="13" w:name="_Toc54009883"/>
      <w:r w:rsidRPr="000C4F6E">
        <w:t xml:space="preserve">US South Apparently Violated a Commission Rule Repeatedly by Failing to Timely Provide </w:t>
      </w:r>
      <w:r w:rsidRPr="000C4F6E">
        <w:t>USAC</w:t>
      </w:r>
      <w:r w:rsidRPr="000C4F6E">
        <w:t xml:space="preserve"> Documents Supporting the Company’s Worksheets</w:t>
      </w:r>
      <w:bookmarkEnd w:id="13"/>
      <w:r w:rsidRPr="000C4F6E">
        <w:t xml:space="preserve">   </w:t>
      </w:r>
    </w:p>
    <w:p w:rsidR="00D10C93" w:rsidP="00D10C93" w14:paraId="64D55847" w14:textId="77777777">
      <w:pPr>
        <w:pStyle w:val="ParaNum"/>
        <w:keepNext/>
        <w:widowControl/>
      </w:pPr>
      <w:r w:rsidRPr="000C4F6E">
        <w:t>Based on evidence developed through the Bureau’s investigation, the Company apparently, willfully and repeatedly violated section</w:t>
      </w:r>
      <w:r>
        <w:t xml:space="preserve"> </w:t>
      </w:r>
      <w:r w:rsidRPr="00921828">
        <w:t xml:space="preserve">54.711(a) of the </w:t>
      </w:r>
      <w:r>
        <w:t>Commission’s r</w:t>
      </w:r>
      <w:r w:rsidRPr="00921828">
        <w:t xml:space="preserve">ules </w:t>
      </w:r>
      <w:r>
        <w:t>by</w:t>
      </w:r>
      <w:r w:rsidRPr="00921828">
        <w:t xml:space="preserve"> failing to timely</w:t>
      </w:r>
      <w:r>
        <w:t xml:space="preserve"> </w:t>
      </w:r>
      <w:r w:rsidRPr="00921828">
        <w:t xml:space="preserve">respond to </w:t>
      </w:r>
      <w:r w:rsidRPr="00921828">
        <w:t>USAC</w:t>
      </w:r>
      <w:r w:rsidRPr="00921828">
        <w:t xml:space="preserve"> </w:t>
      </w:r>
      <w:r>
        <w:t>directives</w:t>
      </w:r>
      <w:r w:rsidRPr="00921828">
        <w:t xml:space="preserve"> </w:t>
      </w:r>
      <w:r>
        <w:t>concerning verification of t</w:t>
      </w:r>
      <w:r w:rsidRPr="00921828">
        <w:t>he Company’s Worksheets.</w:t>
      </w:r>
      <w:r>
        <w:rPr>
          <w:vertAlign w:val="superscript"/>
        </w:rPr>
        <w:footnoteReference w:id="46"/>
      </w:r>
      <w:r w:rsidRPr="00921828">
        <w:t xml:space="preserve">  Specifically,</w:t>
      </w:r>
      <w:r>
        <w:t xml:space="preserve"> US South apparently failed to submit timely responses to </w:t>
      </w:r>
      <w:r>
        <w:t>USAC</w:t>
      </w:r>
      <w:r>
        <w:t xml:space="preserve"> verification directives by three separate due dates:  April 22, September 12, and November 5, 2019.</w:t>
      </w:r>
    </w:p>
    <w:p w:rsidR="00D10C93" w:rsidRPr="003E1E96" w:rsidP="00D10C93" w14:paraId="67A88DAF" w14:textId="77777777">
      <w:pPr>
        <w:pStyle w:val="ParaNum"/>
        <w:widowControl/>
      </w:pPr>
      <w:r w:rsidRPr="00945F2F">
        <w:t>As the Commission observed in another USF enforcement action,</w:t>
      </w:r>
      <w:r>
        <w:rPr>
          <w:rStyle w:val="FootnoteReference"/>
          <w:sz w:val="22"/>
        </w:rPr>
        <w:footnoteReference w:id="47"/>
      </w:r>
      <w:r w:rsidRPr="00945F2F">
        <w:t xml:space="preserve"> “the size and scope of the universal service and [other federal regulatory] programs impose a monumental burden on the </w:t>
      </w:r>
      <w:r w:rsidRPr="00945F2F">
        <w:t xml:space="preserve">Commission [and] </w:t>
      </w:r>
      <w:r w:rsidRPr="00945F2F">
        <w:t>USAC</w:t>
      </w:r>
      <w:r w:rsidRPr="00945F2F">
        <w:t xml:space="preserve"> . . . to verify that each and every carrier has complied with the revenue reporting requirements.  By necessity, the Commission and the other entities must rely on carriers’ compliance with our rules.”</w:t>
      </w:r>
      <w:r>
        <w:rPr>
          <w:rStyle w:val="FootnoteReference"/>
          <w:sz w:val="22"/>
        </w:rPr>
        <w:footnoteReference w:id="48"/>
      </w:r>
      <w:r w:rsidRPr="00945F2F">
        <w:t xml:space="preserve">  To assist the Commission and </w:t>
      </w:r>
      <w:r w:rsidRPr="00945F2F">
        <w:t>USAC</w:t>
      </w:r>
      <w:r w:rsidRPr="00945F2F">
        <w:t xml:space="preserve"> in this endeavor, the document retention and production rules were adopted to ensure the accuracy of Worksheets and as a result ensure that compliance with USF contributions requirements could be established.</w:t>
      </w:r>
      <w:r>
        <w:rPr>
          <w:rStyle w:val="FootnoteReference"/>
          <w:sz w:val="22"/>
        </w:rPr>
        <w:footnoteReference w:id="49"/>
      </w:r>
      <w:r w:rsidRPr="00945F2F">
        <w:t xml:space="preserve">  </w:t>
      </w:r>
      <w:r w:rsidRPr="00F778D7">
        <w:t>USAC’s</w:t>
      </w:r>
      <w:r w:rsidRPr="00F778D7">
        <w:t xml:space="preserve"> ability to </w:t>
      </w:r>
      <w:r>
        <w:t xml:space="preserve">promptly </w:t>
      </w:r>
      <w:r w:rsidRPr="00F778D7">
        <w:t xml:space="preserve">verify the accuracy of Worksheets is </w:t>
      </w:r>
      <w:r>
        <w:t>fundamental</w:t>
      </w:r>
      <w:r w:rsidRPr="00F778D7">
        <w:t xml:space="preserve"> to implementing the Congressional directive to ensure </w:t>
      </w:r>
      <w:r>
        <w:t xml:space="preserve">timely administration of the Commission’s responsibility for </w:t>
      </w:r>
      <w:r w:rsidRPr="00F778D7">
        <w:t xml:space="preserve">the equitable and non-discriminatory distribution of universal service costs among all </w:t>
      </w:r>
      <w:r>
        <w:t>service</w:t>
      </w:r>
      <w:r w:rsidRPr="00F778D7">
        <w:t xml:space="preserve"> providers.  </w:t>
      </w:r>
      <w:r w:rsidRPr="00023923">
        <w:t>Prompt compliance with the document production requirements is necessary to ensure that Worksheets and that USF contributions based on the Worksheets are accurate</w:t>
      </w:r>
      <w:r>
        <w:t>,</w:t>
      </w:r>
      <w:r w:rsidRPr="00023923">
        <w:t xml:space="preserve"> and that other contributors are not unfairly paying higher contributions to the USF.</w:t>
      </w:r>
      <w:r w:rsidRPr="00F778D7">
        <w:t xml:space="preserve">  A USF contributor must timely respond to every </w:t>
      </w:r>
      <w:r>
        <w:t>directive</w:t>
      </w:r>
      <w:r w:rsidRPr="00F778D7">
        <w:t xml:space="preserve"> by </w:t>
      </w:r>
      <w:r w:rsidRPr="00F778D7">
        <w:t>USAC</w:t>
      </w:r>
      <w:r w:rsidRPr="00F778D7">
        <w:t xml:space="preserve"> </w:t>
      </w:r>
      <w:r>
        <w:t>to provide</w:t>
      </w:r>
      <w:r w:rsidRPr="00F778D7">
        <w:t xml:space="preserve"> documentation</w:t>
      </w:r>
      <w:r w:rsidRPr="00051399">
        <w:t xml:space="preserve"> </w:t>
      </w:r>
      <w:r>
        <w:t>supporting the information reported in its Worksheets</w:t>
      </w:r>
      <w:r w:rsidRPr="00F778D7">
        <w:t xml:space="preserve">.  That </w:t>
      </w:r>
      <w:r w:rsidRPr="00F778D7">
        <w:t>USAC</w:t>
      </w:r>
      <w:r w:rsidRPr="00F778D7">
        <w:t xml:space="preserve"> may follow up an inadequate response with additional directives and deadline</w:t>
      </w:r>
      <w:r>
        <w:t>s</w:t>
      </w:r>
      <w:r w:rsidRPr="00F778D7">
        <w:t xml:space="preserve"> does not excuse any </w:t>
      </w:r>
      <w:r>
        <w:t>contributor</w:t>
      </w:r>
      <w:r w:rsidRPr="00F778D7">
        <w:t xml:space="preserve"> from its obligation to </w:t>
      </w:r>
      <w:bookmarkStart w:id="14" w:name="_Hlk41659915"/>
      <w:r w:rsidRPr="00F778D7">
        <w:t>timely</w:t>
      </w:r>
      <w:r>
        <w:t>,</w:t>
      </w:r>
      <w:r w:rsidRPr="00F778D7">
        <w:t xml:space="preserve"> fully</w:t>
      </w:r>
      <w:r>
        <w:t xml:space="preserve"> and accurately</w:t>
      </w:r>
      <w:bookmarkEnd w:id="14"/>
      <w:r w:rsidRPr="00F778D7">
        <w:t xml:space="preserve"> </w:t>
      </w:r>
      <w:r>
        <w:t xml:space="preserve">respond </w:t>
      </w:r>
      <w:r w:rsidRPr="00F778D7">
        <w:t>in every instance.</w:t>
      </w:r>
      <w:r>
        <w:rPr>
          <w:rStyle w:val="FootnoteReference"/>
        </w:rPr>
        <w:footnoteReference w:id="50"/>
      </w:r>
      <w:r w:rsidRPr="00F778D7">
        <w:t xml:space="preserve">  More importantly, the Commission and </w:t>
      </w:r>
      <w:r w:rsidRPr="00F778D7">
        <w:t>USAC</w:t>
      </w:r>
      <w:r w:rsidRPr="00F778D7">
        <w:t xml:space="preserve"> should not have to make multiple requests, or wait multiple months, to obtain the documentation we need to verify the </w:t>
      </w:r>
      <w:r w:rsidRPr="003E1E96">
        <w:t>accuracy of Worksheets.  We consider each individual failure to fully respond by a deadline a separate violation of section 54.711(a) of the Commission’s rules.</w:t>
      </w:r>
      <w:r>
        <w:rPr>
          <w:rStyle w:val="FootnoteReference"/>
          <w:sz w:val="22"/>
        </w:rPr>
        <w:footnoteReference w:id="51"/>
      </w:r>
    </w:p>
    <w:p w:rsidR="00D10C93" w:rsidRPr="003E1E96" w:rsidP="00D10C93" w14:paraId="48505002" w14:textId="77777777">
      <w:pPr>
        <w:pStyle w:val="Heading2"/>
        <w:widowControl/>
      </w:pPr>
      <w:bookmarkStart w:id="15" w:name="_Toc54009884"/>
      <w:r w:rsidRPr="003E1E96">
        <w:rPr>
          <w:bCs/>
        </w:rPr>
        <w:t>US South is Responsible for the Failure</w:t>
      </w:r>
      <w:r>
        <w:rPr>
          <w:bCs/>
        </w:rPr>
        <w:t>s</w:t>
      </w:r>
      <w:r w:rsidRPr="003E1E96">
        <w:rPr>
          <w:bCs/>
        </w:rPr>
        <w:t xml:space="preserve"> of its Agent to Provide Documentation Supporting the Company’s Worksheets</w:t>
      </w:r>
      <w:bookmarkEnd w:id="15"/>
    </w:p>
    <w:p w:rsidR="00D10C93" w:rsidRPr="005C5BBE" w:rsidP="00D10C93" w14:paraId="4C1A49F9" w14:textId="77777777">
      <w:pPr>
        <w:pStyle w:val="ParaNum"/>
        <w:widowControl/>
      </w:pPr>
      <w:r w:rsidRPr="003E1E96">
        <w:t xml:space="preserve">The Company’s defense that its consultant failed to respond on a timely basis to </w:t>
      </w:r>
      <w:r w:rsidRPr="003E1E96">
        <w:t>USAC’s</w:t>
      </w:r>
      <w:r w:rsidRPr="003E1E96">
        <w:t xml:space="preserve"> repeated directives is unpersuasive.</w:t>
      </w:r>
      <w:r>
        <w:t xml:space="preserve">  </w:t>
      </w:r>
      <w:r w:rsidRPr="002C4CDF">
        <w:t xml:space="preserve">Ultimately, the responsibility to timely respond to </w:t>
      </w:r>
      <w:r w:rsidRPr="002C4CDF">
        <w:t>USAC</w:t>
      </w:r>
      <w:r w:rsidRPr="002C4CDF">
        <w:t xml:space="preserve"> inquiries rest</w:t>
      </w:r>
      <w:r>
        <w:t>s</w:t>
      </w:r>
      <w:r w:rsidRPr="002C4CDF">
        <w:t xml:space="preserve"> with the Company. </w:t>
      </w:r>
      <w:r>
        <w:t xml:space="preserve"> </w:t>
      </w:r>
      <w:r>
        <w:t>USAC</w:t>
      </w:r>
      <w:r>
        <w:t xml:space="preserve"> clearly informed both US South and its consultant on multiple occasions that the Company had failed to provide </w:t>
      </w:r>
      <w:r>
        <w:t>USAC</w:t>
      </w:r>
      <w:r>
        <w:t xml:space="preserve"> with the documentation needed to verify the 2018 and 2019 Annual Worksheets.</w:t>
      </w:r>
      <w:r>
        <w:rPr>
          <w:rStyle w:val="FootnoteReference"/>
        </w:rPr>
        <w:footnoteReference w:id="52"/>
      </w:r>
      <w:r>
        <w:t xml:space="preserve">  All filers must possess the documentation to support the accuracy of Worksheets at the time of the filing, and provide the information to the Commission and </w:t>
      </w:r>
      <w:r>
        <w:t>USAC</w:t>
      </w:r>
      <w:r>
        <w:t xml:space="preserve"> when directed.  </w:t>
      </w:r>
      <w:bookmarkStart w:id="16" w:name="_Hlk44497608"/>
      <w:r w:rsidRPr="00C86748">
        <w:t>This obligation</w:t>
      </w:r>
      <w:r>
        <w:t xml:space="preserve"> is clearly stated in the Commission’s rules and orders, and in the instructions to the Worksheets, and has been the subject of prior enforcement efforts</w:t>
      </w:r>
      <w:bookmarkEnd w:id="16"/>
      <w:r w:rsidRPr="00724C5B">
        <w:t>.</w:t>
      </w:r>
      <w:r>
        <w:rPr>
          <w:rStyle w:val="FootnoteReference"/>
          <w:sz w:val="22"/>
        </w:rPr>
        <w:footnoteReference w:id="53"/>
      </w:r>
      <w:r w:rsidRPr="00724C5B">
        <w:t xml:space="preserve">  </w:t>
      </w:r>
      <w:r>
        <w:t>The Act provides, and the Commission has held, that licensees and other entities regulated by the Commission are responsible for the acts or omissions of their agents.</w:t>
      </w:r>
      <w:r>
        <w:rPr>
          <w:rStyle w:val="FootnoteReference"/>
        </w:rPr>
        <w:footnoteReference w:id="54"/>
      </w:r>
      <w:r>
        <w:t xml:space="preserve">  </w:t>
      </w:r>
      <w:r w:rsidRPr="004B0F4B">
        <w:t xml:space="preserve">Although </w:t>
      </w:r>
      <w:r w:rsidRPr="004B0F4B">
        <w:t>USAC</w:t>
      </w:r>
      <w:r w:rsidRPr="004B0F4B">
        <w:t xml:space="preserve"> could have chosen to send its directives only to </w:t>
      </w:r>
      <w:r w:rsidRPr="004B0F4B">
        <w:t xml:space="preserve">US South’s consultant, who was identified to </w:t>
      </w:r>
      <w:r w:rsidRPr="004B0F4B">
        <w:t>USAC</w:t>
      </w:r>
      <w:r w:rsidRPr="004B0F4B">
        <w:t xml:space="preserve"> as US South’s representative</w:t>
      </w:r>
      <w:r>
        <w:t xml:space="preserve"> with regards to the Company’s Worksheets</w:t>
      </w:r>
      <w:r w:rsidRPr="004B0F4B">
        <w:t xml:space="preserve">, </w:t>
      </w:r>
      <w:r w:rsidRPr="004B0F4B">
        <w:t>USAC’s</w:t>
      </w:r>
      <w:r w:rsidRPr="004B0F4B">
        <w:t xml:space="preserve"> directives were addressed to US South’s consultant and to employees or officers of US South.  </w:t>
      </w:r>
      <w:r>
        <w:t xml:space="preserve">Whether US South chooses to respond to </w:t>
      </w:r>
      <w:r>
        <w:t>USAC’s</w:t>
      </w:r>
      <w:r>
        <w:t xml:space="preserve"> directives to submit supporting documentation through an officer or employee of the Company, or through its outside consultant, it is irrelevant to assessing US South’s compliance with section 54.711(a) of the Commission’s rules.    </w:t>
      </w:r>
    </w:p>
    <w:p w:rsidR="00D10C93" w:rsidRPr="008B25E9" w:rsidP="00D10C93" w14:paraId="2794A8DB" w14:textId="77777777">
      <w:pPr>
        <w:pStyle w:val="ParaNum"/>
        <w:widowControl/>
      </w:pPr>
      <w:r w:rsidRPr="00921828">
        <w:t>We thus find that the Company apparently</w:t>
      </w:r>
      <w:r>
        <w:t>,</w:t>
      </w:r>
      <w:r w:rsidRPr="00921828">
        <w:t xml:space="preserve"> willfully and repeatedly violated section 54.711(a) of the </w:t>
      </w:r>
      <w:r>
        <w:t>Commission’s rules</w:t>
      </w:r>
      <w:r w:rsidRPr="00921828">
        <w:t xml:space="preserve"> by failing to timely</w:t>
      </w:r>
      <w:r>
        <w:t xml:space="preserve"> </w:t>
      </w:r>
      <w:r w:rsidRPr="00921828">
        <w:t xml:space="preserve">respond to </w:t>
      </w:r>
      <w:r w:rsidRPr="00921828">
        <w:t>USAC</w:t>
      </w:r>
      <w:r w:rsidRPr="00921828">
        <w:t xml:space="preserve"> </w:t>
      </w:r>
      <w:r>
        <w:t>directives</w:t>
      </w:r>
      <w:r w:rsidRPr="00921828">
        <w:t xml:space="preserve"> </w:t>
      </w:r>
      <w:r>
        <w:t>to provide documentation supporting the accuracy</w:t>
      </w:r>
      <w:r w:rsidRPr="00921828">
        <w:t xml:space="preserve"> of the Company’s Worksheets.  </w:t>
      </w:r>
      <w:r>
        <w:t xml:space="preserve">Specifically, US South failed to submit timely responses to </w:t>
      </w:r>
      <w:r w:rsidRPr="008B25E9">
        <w:t>USAC</w:t>
      </w:r>
      <w:r w:rsidRPr="008B25E9">
        <w:t xml:space="preserve"> directives due on three separate occasions:  </w:t>
      </w:r>
      <w:bookmarkStart w:id="19" w:name="_Hlk42086599"/>
      <w:r w:rsidRPr="008B25E9">
        <w:t xml:space="preserve">April 22, September 12, </w:t>
      </w:r>
      <w:bookmarkEnd w:id="19"/>
      <w:r w:rsidRPr="008B25E9">
        <w:t xml:space="preserve">and November 5, 2019.  </w:t>
      </w:r>
    </w:p>
    <w:p w:rsidR="00D10C93" w:rsidRPr="008B25E9" w:rsidP="00D10C93" w14:paraId="0D1E9368" w14:textId="77777777">
      <w:pPr>
        <w:pStyle w:val="Heading2"/>
        <w:widowControl/>
      </w:pPr>
      <w:bookmarkStart w:id="20" w:name="_Toc54009885"/>
      <w:r w:rsidRPr="008B25E9">
        <w:t>P</w:t>
      </w:r>
      <w:r>
        <w:t>roposed</w:t>
      </w:r>
      <w:r w:rsidRPr="008B25E9">
        <w:t xml:space="preserve"> F</w:t>
      </w:r>
      <w:r>
        <w:t>orfeiture</w:t>
      </w:r>
      <w:bookmarkEnd w:id="20"/>
      <w:r w:rsidRPr="008B25E9">
        <w:t xml:space="preserve">  </w:t>
      </w:r>
    </w:p>
    <w:p w:rsidR="00D10C93" w:rsidRPr="00921828" w:rsidP="00D10C93" w14:paraId="6909B8F2" w14:textId="77777777">
      <w:pPr>
        <w:pStyle w:val="ParaNum"/>
        <w:widowControl/>
      </w:pPr>
      <w:r w:rsidRPr="008B25E9">
        <w:t>Section 503(b) of the Act authorizes the Commission to impose a forfeiture against any entity that “willfully or repeatedly fail[s] to comply</w:t>
      </w:r>
      <w:r w:rsidRPr="00921828">
        <w:t xml:space="preserve"> with any of the provisions of [the Act] or of any rule, regulation, or order issued by the Commission.”</w:t>
      </w:r>
      <w:r>
        <w:rPr>
          <w:vertAlign w:val="superscript"/>
        </w:rPr>
        <w:footnoteReference w:id="55"/>
      </w:r>
      <w:r w:rsidRPr="00921828">
        <w:t xml:space="preserve">  For the violations at issue here, section 503(b)(2)(B) of the Act authorizes us to assess a forfeiture against a telecommunications carrier such as the Company of up to $204,892 for each violation or each day of a continuing violation, up to a statutory maximum of $2,048,915 for a single act or failure to act.</w:t>
      </w:r>
      <w:r>
        <w:rPr>
          <w:vertAlign w:val="superscript"/>
        </w:rPr>
        <w:footnoteReference w:id="56"/>
      </w:r>
      <w:r w:rsidRPr="00921828">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color w:val="000000"/>
          <w:sz w:val="22"/>
        </w:rPr>
        <w:footnoteReference w:id="57"/>
      </w:r>
      <w:r w:rsidRPr="00921828">
        <w:rPr>
          <w:spacing w:val="-2"/>
        </w:rPr>
        <w:t xml:space="preserve">  </w:t>
      </w:r>
      <w:r w:rsidRPr="00921828">
        <w:t>In addition, the Commission has established forfeiture guidelines, which establish base penalties for certain violations and identify criteria to consider when determining the appropriate penalty in any given case.</w:t>
      </w:r>
      <w:r>
        <w:rPr>
          <w:rStyle w:val="FootnoteReference"/>
          <w:color w:val="000000"/>
          <w:sz w:val="22"/>
        </w:rPr>
        <w:footnoteReference w:id="58"/>
      </w:r>
      <w:r w:rsidRPr="00921828">
        <w:t xml:space="preserve">  </w:t>
      </w:r>
    </w:p>
    <w:p w:rsidR="00D10C93" w:rsidP="00D10C93" w14:paraId="350916A6" w14:textId="77777777">
      <w:pPr>
        <w:pStyle w:val="ParaNum"/>
        <w:widowControl/>
        <w:tabs>
          <w:tab w:val="num" w:pos="1080"/>
          <w:tab w:val="clear" w:pos="1440"/>
        </w:tabs>
      </w:pPr>
      <w:r w:rsidRPr="00921828">
        <w:t>The Commission may adopt upward or downward adjustments to forfeitures when appropriate.</w:t>
      </w:r>
      <w:r>
        <w:rPr>
          <w:vertAlign w:val="superscript"/>
        </w:rPr>
        <w:footnoteReference w:id="59"/>
      </w:r>
      <w:r w:rsidRPr="00921828">
        <w:t xml:space="preserve">  Under </w:t>
      </w:r>
      <w:r>
        <w:t xml:space="preserve">section 1.80 of </w:t>
      </w:r>
      <w:r w:rsidRPr="00921828">
        <w:t xml:space="preserve">the </w:t>
      </w:r>
      <w:r>
        <w:t>Commission’s rules</w:t>
      </w:r>
      <w:r w:rsidRPr="00921828">
        <w:t>, we may adjust a forfeiture upward for egregious misconduct, ability to pay and relative disincentive, an intentional violation, substantial harm, prior violations of Commission requirements, substantial economic gain, or repeated or continuous violations.</w:t>
      </w:r>
      <w:bookmarkStart w:id="22" w:name="_Ref442436591"/>
      <w:r>
        <w:rPr>
          <w:rStyle w:val="FootnoteReference"/>
          <w:color w:val="000000"/>
          <w:sz w:val="22"/>
        </w:rPr>
        <w:footnoteReference w:id="60"/>
      </w:r>
      <w:bookmarkEnd w:id="22"/>
      <w:r w:rsidRPr="00921828">
        <w:t xml:space="preserve">  We may adjust a forfeiture downward for a minor violation, good faith or voluntary </w:t>
      </w:r>
      <w:r w:rsidRPr="00921828">
        <w:t>disclosure, a history of overall compliance, or an inability to pay.</w:t>
      </w:r>
      <w:bookmarkStart w:id="23" w:name="_Ref442436610"/>
      <w:r>
        <w:rPr>
          <w:rStyle w:val="FootnoteReference"/>
          <w:sz w:val="22"/>
        </w:rPr>
        <w:footnoteReference w:id="61"/>
      </w:r>
      <w:bookmarkEnd w:id="23"/>
      <w:r w:rsidRPr="00921828">
        <w:t xml:space="preserve">  The</w:t>
      </w:r>
      <w:r>
        <w:t xml:space="preserve"> forfeiture guidelines listed in section 1.80 of the</w:t>
      </w:r>
      <w:r w:rsidRPr="00921828">
        <w:t xml:space="preserve"> </w:t>
      </w:r>
      <w:r>
        <w:t>Commission’s rules</w:t>
      </w:r>
      <w:r w:rsidRPr="00921828">
        <w:t xml:space="preserve"> specifically “are intended as a guide for frequently recurring violations” and not “a complete or exhaustive list of violations.”</w:t>
      </w:r>
      <w:r>
        <w:rPr>
          <w:rStyle w:val="FootnoteReference"/>
          <w:sz w:val="22"/>
        </w:rPr>
        <w:footnoteReference w:id="62"/>
      </w:r>
      <w:r w:rsidRPr="00921828">
        <w:t xml:space="preserve">  Section 1.80 of the </w:t>
      </w:r>
      <w:r>
        <w:t>Commission’s rules</w:t>
      </w:r>
      <w:r w:rsidRPr="00921828">
        <w:t xml:space="preserve"> does not specify base forfeitures for the failure to timely, fully and accurately respond to </w:t>
      </w:r>
      <w:r w:rsidRPr="00921828">
        <w:t>USAC</w:t>
      </w:r>
      <w:r w:rsidRPr="00921828">
        <w:t xml:space="preserve"> </w:t>
      </w:r>
      <w:r>
        <w:t>directives</w:t>
      </w:r>
      <w:r w:rsidRPr="00921828">
        <w:t xml:space="preserve"> to </w:t>
      </w:r>
      <w:r>
        <w:t>submit documentation to support</w:t>
      </w:r>
      <w:r w:rsidRPr="00921828">
        <w:t xml:space="preserve"> </w:t>
      </w:r>
      <w:r>
        <w:t xml:space="preserve">the accuracy of </w:t>
      </w:r>
      <w:r w:rsidRPr="00921828">
        <w:t xml:space="preserve">a contributor’s Worksheets.  </w:t>
      </w:r>
    </w:p>
    <w:p w:rsidR="00D10C93" w:rsidRPr="00676755" w:rsidP="00D10C93" w14:paraId="38B6A603" w14:textId="77777777">
      <w:pPr>
        <w:pStyle w:val="ParaNum"/>
        <w:widowControl/>
      </w:pPr>
      <w:r w:rsidRPr="00921828">
        <w:t>S</w:t>
      </w:r>
      <w:r w:rsidRPr="00921828">
        <w:rPr>
          <w:color w:val="000000"/>
        </w:rPr>
        <w:t>ection 503(b)(6)(B) of the Act provides that no forfeiture penalty shall be imposed if “the violation charged occurred more than 1 year prior to the date of issuance of the required notice or notice of apparent liability.”</w:t>
      </w:r>
      <w:r>
        <w:rPr>
          <w:rStyle w:val="FootnoteReference"/>
          <w:sz w:val="22"/>
        </w:rPr>
        <w:footnoteReference w:id="63"/>
      </w:r>
      <w:r w:rsidRPr="00921828">
        <w:rPr>
          <w:color w:val="000000"/>
        </w:rPr>
        <w:t xml:space="preserve">  </w:t>
      </w:r>
      <w:r>
        <w:t xml:space="preserve">In this case, we propose a forfeiture for the </w:t>
      </w:r>
      <w:r w:rsidRPr="00921828">
        <w:t>Company</w:t>
      </w:r>
      <w:r>
        <w:t>’s</w:t>
      </w:r>
      <w:r w:rsidRPr="00921828">
        <w:t xml:space="preserve"> </w:t>
      </w:r>
      <w:r>
        <w:t xml:space="preserve">apparent </w:t>
      </w:r>
      <w:r w:rsidRPr="00921828">
        <w:t>fail</w:t>
      </w:r>
      <w:r>
        <w:t>ure</w:t>
      </w:r>
      <w:r w:rsidRPr="00921828">
        <w:t xml:space="preserve"> to submit </w:t>
      </w:r>
      <w:r>
        <w:t xml:space="preserve">a </w:t>
      </w:r>
      <w:r w:rsidRPr="00921828">
        <w:t xml:space="preserve">timely and complete response to </w:t>
      </w:r>
      <w:r w:rsidRPr="00921828">
        <w:t>USAC</w:t>
      </w:r>
      <w:r>
        <w:t>’s</w:t>
      </w:r>
      <w:r w:rsidRPr="00921828">
        <w:t xml:space="preserve"> </w:t>
      </w:r>
      <w:r>
        <w:t xml:space="preserve">directives by November 5, 2019.    </w:t>
      </w:r>
    </w:p>
    <w:p w:rsidR="00D10C93" w:rsidRPr="00921828" w:rsidP="00D10C93" w14:paraId="520B9469" w14:textId="77777777">
      <w:pPr>
        <w:pStyle w:val="ParaNum"/>
        <w:widowControl/>
      </w:pPr>
      <w:r w:rsidRPr="00921828">
        <w:t xml:space="preserve">The Bureau has previously imposed a $50,000 forfeiture for a contributor’s failure under section 54.711(a) of the </w:t>
      </w:r>
      <w:r>
        <w:t>Commission’s rules</w:t>
      </w:r>
      <w:r w:rsidRPr="00921828">
        <w:t xml:space="preserve"> to maintain documentation that supports revenues reported on Worksheets, and provide it to the Commission upon request.</w:t>
      </w:r>
      <w:r>
        <w:rPr>
          <w:rStyle w:val="FootnoteReference"/>
          <w:sz w:val="22"/>
        </w:rPr>
        <w:footnoteReference w:id="64"/>
      </w:r>
      <w:r>
        <w:t xml:space="preserve">  As we have recently found in similar enforcement actions,</w:t>
      </w:r>
      <w:r>
        <w:rPr>
          <w:rStyle w:val="FootnoteReference"/>
        </w:rPr>
        <w:footnoteReference w:id="65"/>
      </w:r>
      <w:r>
        <w:t xml:space="preserve"> w</w:t>
      </w:r>
      <w:r w:rsidRPr="00C86748">
        <w:t xml:space="preserve">e </w:t>
      </w:r>
      <w:r>
        <w:t xml:space="preserve">find the violations in this case to be analogous, and </w:t>
      </w:r>
      <w:r w:rsidRPr="00724C5B">
        <w:t xml:space="preserve">propose a $50,000 </w:t>
      </w:r>
      <w:r>
        <w:t xml:space="preserve">base forfeiture against the Company for its failure to </w:t>
      </w:r>
      <w:r w:rsidRPr="00921828">
        <w:t xml:space="preserve">submit </w:t>
      </w:r>
      <w:r>
        <w:t xml:space="preserve">a </w:t>
      </w:r>
      <w:r w:rsidRPr="00921828">
        <w:t xml:space="preserve">timely response to </w:t>
      </w:r>
      <w:r w:rsidRPr="00921828">
        <w:t>USAC</w:t>
      </w:r>
      <w:r>
        <w:t>’s</w:t>
      </w:r>
      <w:r w:rsidRPr="00921828">
        <w:t xml:space="preserve"> </w:t>
      </w:r>
      <w:r>
        <w:t>directives by November 5, 2019</w:t>
      </w:r>
      <w:r w:rsidRPr="00921828">
        <w:t xml:space="preserve">. </w:t>
      </w:r>
    </w:p>
    <w:p w:rsidR="00D10C93" w:rsidRPr="00921828" w:rsidP="00D10C93" w14:paraId="21495963" w14:textId="77777777">
      <w:pPr>
        <w:pStyle w:val="ParaNum"/>
        <w:widowControl/>
      </w:pPr>
      <w:r w:rsidRPr="00921828">
        <w:t xml:space="preserve">In assessing a forfeiture amount, we consider the nature, extent and gravity of the failure to comply with </w:t>
      </w:r>
      <w:r w:rsidRPr="00921828">
        <w:t>USAC</w:t>
      </w:r>
      <w:r w:rsidRPr="00921828">
        <w:t xml:space="preserve"> verification functions to be very serious.</w:t>
      </w:r>
      <w:r>
        <w:rPr>
          <w:rStyle w:val="FootnoteReference"/>
          <w:color w:val="000000"/>
          <w:sz w:val="22"/>
        </w:rPr>
        <w:footnoteReference w:id="66"/>
      </w:r>
      <w:r w:rsidRPr="00921828">
        <w:t xml:space="preserve">  </w:t>
      </w:r>
      <w:r w:rsidRPr="00921828">
        <w:t>USAC’s</w:t>
      </w:r>
      <w:r w:rsidRPr="00921828">
        <w:t xml:space="preserve"> verification of Worksheets is a vital component of ensuring the integrity of the </w:t>
      </w:r>
      <w:r>
        <w:t>USF</w:t>
      </w:r>
      <w:r w:rsidRPr="00921828">
        <w:t>.  We have also considered the degree of the Company’s culpability.</w:t>
      </w:r>
      <w:r>
        <w:rPr>
          <w:rStyle w:val="FootnoteReference"/>
          <w:sz w:val="22"/>
        </w:rPr>
        <w:footnoteReference w:id="67"/>
      </w:r>
      <w:r w:rsidRPr="00921828">
        <w:t xml:space="preserve">  Contributors have an important obligation to comply with </w:t>
      </w:r>
      <w:r w:rsidRPr="00921828">
        <w:t>USAC</w:t>
      </w:r>
      <w:r w:rsidRPr="00921828">
        <w:t xml:space="preserve"> verification functions, and the Company is thus highly culpable for the apparent failure</w:t>
      </w:r>
      <w:r>
        <w:t>s</w:t>
      </w:r>
      <w:r w:rsidRPr="00921828">
        <w:t xml:space="preserve"> to respond to </w:t>
      </w:r>
      <w:r w:rsidRPr="00921828">
        <w:t>USAC</w:t>
      </w:r>
      <w:r w:rsidRPr="00921828">
        <w:t xml:space="preserve"> verification </w:t>
      </w:r>
      <w:r>
        <w:t>directives</w:t>
      </w:r>
      <w:r w:rsidRPr="00921828">
        <w:t>, which were repeated in this case.</w:t>
      </w:r>
      <w:r>
        <w:t xml:space="preserve">  </w:t>
      </w:r>
    </w:p>
    <w:p w:rsidR="00D10C93" w:rsidRPr="00921828" w:rsidP="00D10C93" w14:paraId="15F6EB42" w14:textId="77777777">
      <w:pPr>
        <w:pStyle w:val="ParaNum"/>
        <w:widowControl/>
      </w:pPr>
      <w:r w:rsidRPr="00921828">
        <w:t xml:space="preserve">Section 1.80 of the </w:t>
      </w:r>
      <w:r>
        <w:t>Commission’s r</w:t>
      </w:r>
      <w:r w:rsidRPr="00921828">
        <w:t>ules provides for an upward adjustment to forfeiture amounts for prior violations of any FCC requirements and for repeated or continuous violations.</w:t>
      </w:r>
      <w:r>
        <w:rPr>
          <w:rStyle w:val="FootnoteReference"/>
          <w:sz w:val="22"/>
        </w:rPr>
        <w:footnoteReference w:id="68"/>
      </w:r>
      <w:r w:rsidRPr="00921828">
        <w:t xml:space="preserve">  </w:t>
      </w:r>
      <w:r>
        <w:t>W</w:t>
      </w:r>
      <w:r w:rsidRPr="00921828">
        <w:t>e</w:t>
      </w:r>
      <w:r>
        <w:t xml:space="preserve"> </w:t>
      </w:r>
      <w:r w:rsidRPr="00921828">
        <w:t xml:space="preserve">apply an upward adjustment of </w:t>
      </w:r>
      <w:r>
        <w:t xml:space="preserve">$25,000, </w:t>
      </w:r>
      <w:r w:rsidRPr="00921828">
        <w:t>50</w:t>
      </w:r>
      <w:r>
        <w:t xml:space="preserve">% </w:t>
      </w:r>
      <w:r w:rsidRPr="00921828">
        <w:t xml:space="preserve">of the </w:t>
      </w:r>
      <w:r>
        <w:t>proposed</w:t>
      </w:r>
      <w:r w:rsidRPr="00921828">
        <w:t xml:space="preserve"> </w:t>
      </w:r>
      <w:r>
        <w:t xml:space="preserve">base </w:t>
      </w:r>
      <w:r w:rsidRPr="00921828">
        <w:t>forfeiture</w:t>
      </w:r>
      <w:r>
        <w:t xml:space="preserve">, because of the repeated nature of the Company’s apparent violations, including the Company’s apparent failures to respond to </w:t>
      </w:r>
      <w:r>
        <w:t>USAC’s</w:t>
      </w:r>
      <w:r>
        <w:t xml:space="preserve"> directives to provide documentation by the April 22, September 12, and November 5, 2019, deadlines</w:t>
      </w:r>
      <w:r w:rsidRPr="00921828">
        <w:t>.</w:t>
      </w:r>
      <w:r>
        <w:rPr>
          <w:rStyle w:val="FootnoteReference"/>
        </w:rPr>
        <w:footnoteReference w:id="69"/>
      </w:r>
      <w:r>
        <w:t xml:space="preserve">  </w:t>
      </w:r>
      <w:r w:rsidRPr="0006085A">
        <w:t xml:space="preserve">We thus propose a total forfeiture of $75,000 against the Company, which includes a $50,000 </w:t>
      </w:r>
      <w:r>
        <w:t xml:space="preserve">base </w:t>
      </w:r>
      <w:r w:rsidRPr="0006085A">
        <w:t xml:space="preserve">forfeiture for failing to submit </w:t>
      </w:r>
      <w:r>
        <w:t>supporting</w:t>
      </w:r>
      <w:r w:rsidRPr="0006085A">
        <w:t xml:space="preserve"> documentation in response to </w:t>
      </w:r>
      <w:r w:rsidRPr="0006085A">
        <w:t>USAC’s</w:t>
      </w:r>
      <w:r w:rsidRPr="0006085A">
        <w:t xml:space="preserve"> directives </w:t>
      </w:r>
      <w:r w:rsidRPr="0006085A">
        <w:t>by</w:t>
      </w:r>
      <w:r>
        <w:t xml:space="preserve"> November 5</w:t>
      </w:r>
      <w:r w:rsidRPr="0006085A">
        <w:t>, 2019, and an upward adjustment of $25,000 for the Company</w:t>
      </w:r>
      <w:bookmarkStart w:id="24" w:name="_GoBack"/>
      <w:bookmarkEnd w:id="24"/>
      <w:r w:rsidRPr="0006085A">
        <w:t xml:space="preserve">’s repeated failures to comply with </w:t>
      </w:r>
      <w:r w:rsidRPr="0006085A">
        <w:t>USAC</w:t>
      </w:r>
      <w:r>
        <w:t>’</w:t>
      </w:r>
      <w:r w:rsidRPr="0006085A">
        <w:t>s</w:t>
      </w:r>
      <w:r w:rsidRPr="0006085A">
        <w:t xml:space="preserve"> directives</w:t>
      </w:r>
      <w:r>
        <w:t>.</w:t>
      </w:r>
      <w:r w:rsidRPr="00921828">
        <w:t xml:space="preserve"> </w:t>
      </w:r>
    </w:p>
    <w:p w:rsidR="00D10C93" w:rsidRPr="00921828" w:rsidP="00D10C93" w14:paraId="3CABF09C" w14:textId="77777777">
      <w:pPr>
        <w:pStyle w:val="ParaNum"/>
        <w:widowControl/>
      </w:pPr>
      <w:r w:rsidRPr="00921828">
        <w:t xml:space="preserve">Consistent with the Act and the </w:t>
      </w:r>
      <w:bookmarkStart w:id="25" w:name="_Hlk46488868"/>
      <w:r>
        <w:t>Commission’s r</w:t>
      </w:r>
      <w:r w:rsidRPr="00921828">
        <w:t>ules</w:t>
      </w:r>
      <w:bookmarkEnd w:id="25"/>
      <w:r w:rsidRPr="00921828">
        <w:t>,</w:t>
      </w:r>
      <w:r>
        <w:rPr>
          <w:rStyle w:val="FootnoteReference"/>
          <w:sz w:val="22"/>
        </w:rPr>
        <w:footnoteReference w:id="70"/>
      </w:r>
      <w:r w:rsidRPr="00921828">
        <w:t xml:space="preserve"> we have exercised our discretion and considered the specific circumstances related to the Company and the violations it apparently committed, and we therefore find the Company apparently liable for a forfeiture of </w:t>
      </w:r>
      <w:r>
        <w:t>seventy-five</w:t>
      </w:r>
      <w:r w:rsidRPr="00921828">
        <w:t xml:space="preserve"> thousand dollars ($</w:t>
      </w:r>
      <w:r>
        <w:t>75</w:t>
      </w:r>
      <w:r w:rsidRPr="00921828">
        <w:t xml:space="preserve">,000) for its </w:t>
      </w:r>
      <w:r>
        <w:t xml:space="preserve">apparent, </w:t>
      </w:r>
      <w:r w:rsidRPr="00921828">
        <w:t xml:space="preserve">willful and repeated failures to timely and fully respond to </w:t>
      </w:r>
      <w:r w:rsidRPr="00921828">
        <w:t>USAC’s</w:t>
      </w:r>
      <w:r w:rsidRPr="00921828">
        <w:t xml:space="preserve"> </w:t>
      </w:r>
      <w:r>
        <w:t>directives</w:t>
      </w:r>
      <w:r w:rsidRPr="00921828">
        <w:t xml:space="preserve"> </w:t>
      </w:r>
      <w:r>
        <w:t>to provide documentation to</w:t>
      </w:r>
      <w:r w:rsidRPr="00921828">
        <w:t xml:space="preserve"> </w:t>
      </w:r>
      <w:r>
        <w:t>verify</w:t>
      </w:r>
      <w:r w:rsidRPr="00921828">
        <w:t xml:space="preserve"> the Company’s </w:t>
      </w:r>
      <w:r>
        <w:t xml:space="preserve">Annual </w:t>
      </w:r>
      <w:r w:rsidRPr="00921828">
        <w:t>Worksheet</w:t>
      </w:r>
      <w:r>
        <w:t>s</w:t>
      </w:r>
      <w:r w:rsidRPr="00921828">
        <w:rPr>
          <w:lang w:eastAsia="zh-HK"/>
        </w:rPr>
        <w:t>.</w:t>
      </w:r>
      <w:r>
        <w:rPr>
          <w:rStyle w:val="FootnoteReference"/>
        </w:rPr>
        <w:footnoteReference w:id="71"/>
      </w:r>
    </w:p>
    <w:p w:rsidR="00D10C93" w:rsidRPr="00921828" w:rsidP="00D10C93" w14:paraId="2B3A5BE7" w14:textId="77777777">
      <w:pPr>
        <w:pStyle w:val="Heading1"/>
        <w:widowControl/>
        <w:rPr>
          <w:rFonts w:ascii="Times New Roman" w:hAnsi="Times New Roman"/>
        </w:rPr>
      </w:pPr>
      <w:bookmarkStart w:id="26" w:name="_Toc54009886"/>
      <w:r w:rsidRPr="00921828">
        <w:rPr>
          <w:rFonts w:ascii="Times New Roman" w:hAnsi="Times New Roman"/>
        </w:rPr>
        <w:t>ordering clauses</w:t>
      </w:r>
      <w:bookmarkEnd w:id="26"/>
    </w:p>
    <w:p w:rsidR="00D10C93" w:rsidRPr="00921828" w:rsidP="00D10C93" w14:paraId="78E46E7A" w14:textId="53DE9560">
      <w:pPr>
        <w:pStyle w:val="ParaNum"/>
        <w:widowControl/>
      </w:pPr>
      <w:r w:rsidRPr="00921828">
        <w:t xml:space="preserve">Accordingly, </w:t>
      </w:r>
      <w:r w:rsidRPr="00921828">
        <w:rPr>
          <w:b/>
        </w:rPr>
        <w:t xml:space="preserve">IT IS ORDERED </w:t>
      </w:r>
      <w:r w:rsidRPr="00921828">
        <w:t xml:space="preserve">that, pursuant to </w:t>
      </w:r>
      <w:r>
        <w:t>s</w:t>
      </w:r>
      <w:r w:rsidRPr="00921828">
        <w:t xml:space="preserve">ection 503(b) of the Act, and </w:t>
      </w:r>
      <w:r>
        <w:t xml:space="preserve">section </w:t>
      </w:r>
      <w:r w:rsidRPr="00921828">
        <w:t xml:space="preserve">1.80 of the </w:t>
      </w:r>
      <w:r>
        <w:t>Commission’s r</w:t>
      </w:r>
      <w:r w:rsidRPr="00921828">
        <w:t>ules,</w:t>
      </w:r>
      <w:r>
        <w:rPr>
          <w:vertAlign w:val="superscript"/>
        </w:rPr>
        <w:footnoteReference w:id="72"/>
      </w:r>
      <w:r w:rsidRPr="00921828">
        <w:t xml:space="preserve"> </w:t>
      </w:r>
      <w:r w:rsidRPr="00452483">
        <w:rPr>
          <w:szCs w:val="24"/>
        </w:rPr>
        <w:t xml:space="preserve">US South Communications, Inc. d/b/a US South &amp; </w:t>
      </w:r>
      <w:r w:rsidRPr="00452483">
        <w:rPr>
          <w:szCs w:val="24"/>
        </w:rPr>
        <w:t>IWCOMM</w:t>
      </w:r>
      <w:r w:rsidRPr="00C548A5">
        <w:rPr>
          <w:spacing w:val="-2"/>
        </w:rPr>
        <w:t xml:space="preserve"> </w:t>
      </w:r>
      <w:r w:rsidRPr="00921828">
        <w:t xml:space="preserve">is hereby </w:t>
      </w:r>
      <w:r w:rsidRPr="00921828">
        <w:rPr>
          <w:b/>
        </w:rPr>
        <w:t xml:space="preserve">NOTIFIED </w:t>
      </w:r>
      <w:r w:rsidRPr="00921828">
        <w:t xml:space="preserve">of this </w:t>
      </w:r>
      <w:r w:rsidRPr="00921828">
        <w:rPr>
          <w:b/>
        </w:rPr>
        <w:t xml:space="preserve">APPARENT LIABILITY FOR A FORFEITURE </w:t>
      </w:r>
      <w:r w:rsidRPr="00921828">
        <w:t xml:space="preserve">in the amount of </w:t>
      </w:r>
      <w:r>
        <w:t>seventy-five</w:t>
      </w:r>
      <w:r w:rsidRPr="00921828">
        <w:t xml:space="preserve"> thousand dollars (</w:t>
      </w:r>
      <w:r>
        <w:t>$75</w:t>
      </w:r>
      <w:r w:rsidRPr="00921828">
        <w:t>,000) for apparently</w:t>
      </w:r>
      <w:r>
        <w:t>,</w:t>
      </w:r>
      <w:r w:rsidRPr="00921828">
        <w:t xml:space="preserve"> willfully and repeatedly violating </w:t>
      </w:r>
      <w:r w:rsidR="008777F6">
        <w:t>s</w:t>
      </w:r>
      <w:r w:rsidRPr="00921828">
        <w:t xml:space="preserve">ection 54.711(a) of the </w:t>
      </w:r>
      <w:r>
        <w:t>Commission’s r</w:t>
      </w:r>
      <w:r w:rsidRPr="00921828">
        <w:t>ules.</w:t>
      </w:r>
      <w:r>
        <w:rPr>
          <w:vertAlign w:val="superscript"/>
        </w:rPr>
        <w:footnoteReference w:id="73"/>
      </w:r>
      <w:r w:rsidRPr="00921828">
        <w:t xml:space="preserve"> </w:t>
      </w:r>
    </w:p>
    <w:p w:rsidR="00D10C93" w:rsidRPr="00921828" w:rsidP="00D10C93" w14:paraId="6E6F3C0C" w14:textId="77777777">
      <w:pPr>
        <w:pStyle w:val="ParaNum"/>
        <w:widowControl/>
        <w:rPr>
          <w:spacing w:val="-2"/>
        </w:rPr>
      </w:pPr>
      <w:r w:rsidRPr="00921828">
        <w:rPr>
          <w:b/>
        </w:rPr>
        <w:t>IT IS FURTHER ORDERED</w:t>
      </w:r>
      <w:r w:rsidRPr="00921828">
        <w:t xml:space="preserve"> that, pursuant to section 1.80 of the </w:t>
      </w:r>
      <w:r>
        <w:t>Commission’s r</w:t>
      </w:r>
      <w:r w:rsidRPr="00921828">
        <w:t>ules,</w:t>
      </w:r>
      <w:r>
        <w:rPr>
          <w:vertAlign w:val="superscript"/>
        </w:rPr>
        <w:footnoteReference w:id="74"/>
      </w:r>
      <w:r w:rsidRPr="00921828">
        <w:t xml:space="preserve"> within thirty (30) calendar days of the release date of this Notice of Apparent Liability for Forfeiture, </w:t>
      </w:r>
      <w:r w:rsidRPr="00452483">
        <w:rPr>
          <w:szCs w:val="24"/>
        </w:rPr>
        <w:t xml:space="preserve">US South Communications, Inc. d/b/a US South &amp; </w:t>
      </w:r>
      <w:r w:rsidRPr="00452483">
        <w:rPr>
          <w:szCs w:val="24"/>
        </w:rPr>
        <w:t>IWCOMM</w:t>
      </w:r>
      <w:r w:rsidRPr="00921828">
        <w:t xml:space="preserve"> </w:t>
      </w:r>
      <w:r w:rsidRPr="00921828">
        <w:rPr>
          <w:b/>
        </w:rPr>
        <w:t>SHALL PAY</w:t>
      </w:r>
      <w:r w:rsidRPr="00921828">
        <w:t xml:space="preserve"> the full amount of the proposed forfeiture or </w:t>
      </w:r>
      <w:r w:rsidRPr="00921828">
        <w:rPr>
          <w:b/>
        </w:rPr>
        <w:t>SHALL FILE</w:t>
      </w:r>
      <w:r w:rsidRPr="00921828">
        <w:t xml:space="preserve"> a written statement seeking reduction or cancellation of the proposed forfeiture consistent with paragraph </w:t>
      </w:r>
      <w:r w:rsidRPr="00077737">
        <w:t>28</w:t>
      </w:r>
      <w:r w:rsidRPr="00921828">
        <w:t xml:space="preserve"> below.</w:t>
      </w:r>
    </w:p>
    <w:p w:rsidR="00D10C93" w:rsidRPr="00921828" w:rsidP="00D10C93" w14:paraId="3C5F90C5" w14:textId="77777777">
      <w:pPr>
        <w:pStyle w:val="ParaNum"/>
        <w:widowControl/>
      </w:pPr>
      <w:r w:rsidRPr="00452483">
        <w:rPr>
          <w:szCs w:val="24"/>
        </w:rPr>
        <w:t xml:space="preserve">US South Communications, Inc. d/b/a US South &amp; </w:t>
      </w:r>
      <w:r w:rsidRPr="00452483">
        <w:rPr>
          <w:szCs w:val="24"/>
        </w:rPr>
        <w:t>IWCOMM</w:t>
      </w:r>
      <w:r w:rsidRPr="00C548A5">
        <w:rPr>
          <w:spacing w:val="-2"/>
        </w:rPr>
        <w:t xml:space="preserve"> </w:t>
      </w:r>
      <w:r w:rsidRPr="00921828">
        <w:rPr>
          <w:rFonts w:eastAsia="MS Mincho"/>
        </w:rPr>
        <w:t xml:space="preserve">shall send </w:t>
      </w:r>
      <w:r w:rsidRPr="00921828">
        <w:t xml:space="preserve">electronic notification of payment to David Janas, Enforcement Bureau, Federal Communications Commission, at </w:t>
      </w:r>
      <w:hyperlink r:id="rId5" w:history="1">
        <w:r w:rsidRPr="00921828">
          <w:rPr>
            <w:rStyle w:val="Hyperlink"/>
          </w:rPr>
          <w:t>David.Janas@fcc.gov</w:t>
        </w:r>
      </w:hyperlink>
      <w:r w:rsidRPr="00921828">
        <w:t xml:space="preserve"> on the date said payment is made.  Payment of the forfeiture must be made by credit card, ACH (Automated Clearing House) debit from a bank account using the Commission’s Fee Filer (the Commission’s online payment system),</w:t>
      </w:r>
      <w:r>
        <w:rPr>
          <w:rStyle w:val="FootnoteReference"/>
          <w:sz w:val="22"/>
        </w:rPr>
        <w:footnoteReference w:id="75"/>
      </w:r>
      <w:r w:rsidRPr="00921828">
        <w:t xml:space="preserve"> or by wire transfer.  The Commission no longer accepts forfeiture payments by check or money order.  Below are instructions that payors should follow based on the form of payment selected:</w:t>
      </w:r>
      <w:r>
        <w:rPr>
          <w:vertAlign w:val="superscript"/>
        </w:rPr>
        <w:footnoteReference w:id="76"/>
      </w:r>
      <w:r w:rsidRPr="00921828">
        <w:t xml:space="preserve"> </w:t>
      </w:r>
    </w:p>
    <w:p w:rsidR="00D10C93" w:rsidRPr="00921828" w:rsidP="00D10C93" w14:paraId="3941AB83" w14:textId="77777777">
      <w:pPr>
        <w:pStyle w:val="ParaNum"/>
        <w:widowControl/>
        <w:numPr>
          <w:ilvl w:val="0"/>
          <w:numId w:val="15"/>
        </w:numPr>
        <w:tabs>
          <w:tab w:val="num" w:pos="1080"/>
        </w:tabs>
        <w:autoSpaceDE w:val="0"/>
        <w:autoSpaceDN w:val="0"/>
        <w:adjustRightInd w:val="0"/>
      </w:pPr>
      <w:r w:rsidRPr="00921828">
        <w:rPr>
          <w:rFonts w:eastAsia="MS Mincho"/>
        </w:rPr>
        <w:t xml:space="preserve"> Payment by wire transfer must be made to ABA Number 021030004, receiving bank </w:t>
      </w:r>
      <w:r w:rsidRPr="00921828">
        <w:rPr>
          <w:rFonts w:eastAsia="MS Mincho"/>
        </w:rPr>
        <w:t>TREAS</w:t>
      </w:r>
      <w:r w:rsidRPr="00921828">
        <w:rPr>
          <w:rFonts w:eastAsia="MS Mincho"/>
        </w:rPr>
        <w:t xml:space="preserve">/NYC, and Account Number 27000001.  A completed Form 159 must be faxed to the Federal Communications Commission at 202-418-2843 or e-mailed to </w:t>
      </w:r>
      <w:hyperlink r:id="rId6" w:history="1">
        <w:r w:rsidRPr="00921828">
          <w:rPr>
            <w:rStyle w:val="Hyperlink"/>
            <w:rFonts w:eastAsia="MS Mincho"/>
          </w:rPr>
          <w:t>RROGWireFaxes@fcc.gov</w:t>
        </w:r>
      </w:hyperlink>
      <w:r w:rsidRPr="00921828">
        <w:rPr>
          <w:rFonts w:eastAsia="MS Mincho"/>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921828">
        <w:rPr>
          <w:rFonts w:eastAsia="MS Mincho"/>
        </w:rPr>
        <w:t>FORF</w:t>
      </w:r>
      <w:r w:rsidRPr="00921828">
        <w:rPr>
          <w:rFonts w:eastAsia="MS Mincho"/>
        </w:rPr>
        <w:t xml:space="preserve">” in block number 24A (payment type code), and enter in block number 11 the </w:t>
      </w:r>
      <w:r w:rsidRPr="00921828">
        <w:rPr>
          <w:rFonts w:eastAsia="MS Mincho"/>
        </w:rPr>
        <w:t>FRN</w:t>
      </w:r>
      <w:r w:rsidRPr="00921828">
        <w:rPr>
          <w:rFonts w:eastAsia="MS Mincho"/>
        </w:rPr>
        <w:t xml:space="preserve">(s) captioned above (Payor </w:t>
      </w:r>
      <w:r w:rsidRPr="00921828">
        <w:rPr>
          <w:rFonts w:eastAsia="MS Mincho"/>
        </w:rPr>
        <w:t>FRN</w:t>
      </w:r>
      <w:r w:rsidRPr="00921828">
        <w:rPr>
          <w:rFonts w:eastAsia="MS Mincho"/>
        </w:rPr>
        <w:t>).</w:t>
      </w:r>
      <w:r>
        <w:rPr>
          <w:rStyle w:val="FootnoteReference"/>
          <w:rFonts w:eastAsia="MS Mincho"/>
          <w:sz w:val="22"/>
        </w:rPr>
        <w:footnoteReference w:id="77"/>
      </w:r>
      <w:r w:rsidRPr="00921828">
        <w:rPr>
          <w:rFonts w:eastAsia="MS Mincho"/>
        </w:rPr>
        <w:t xml:space="preserve">  For additional </w:t>
      </w:r>
      <w:r w:rsidRPr="00921828">
        <w:rPr>
          <w:rFonts w:eastAsia="MS Mincho"/>
        </w:rPr>
        <w:t xml:space="preserve">detail and wire transfer instructions, go to </w:t>
      </w:r>
      <w:hyperlink r:id="rId7" w:history="1">
        <w:r w:rsidRPr="00921828">
          <w:rPr>
            <w:rStyle w:val="Hyperlink"/>
            <w:rFonts w:eastAsia="MS Mincho"/>
          </w:rPr>
          <w:t>https://www.fcc.gov/licensingdatabases/fees/wire-transfer</w:t>
        </w:r>
      </w:hyperlink>
      <w:r w:rsidRPr="00921828">
        <w:rPr>
          <w:rFonts w:eastAsia="MS Mincho"/>
        </w:rPr>
        <w:t xml:space="preserve">. </w:t>
      </w:r>
    </w:p>
    <w:p w:rsidR="00D10C93" w:rsidRPr="00921828" w:rsidP="00D10C93" w14:paraId="275D812E" w14:textId="77777777">
      <w:pPr>
        <w:pStyle w:val="ParaNum"/>
        <w:widowControl/>
        <w:numPr>
          <w:ilvl w:val="0"/>
          <w:numId w:val="15"/>
        </w:numPr>
        <w:tabs>
          <w:tab w:val="num" w:pos="1080"/>
        </w:tabs>
        <w:autoSpaceDE w:val="0"/>
        <w:autoSpaceDN w:val="0"/>
        <w:adjustRightInd w:val="0"/>
      </w:pPr>
      <w:r w:rsidRPr="00921828">
        <w:rPr>
          <w:rFonts w:eastAsia="MS Mincho"/>
        </w:rPr>
        <w:t xml:space="preserve">Payment by credit card must be made by using the Commission’s Fee Filer website at </w:t>
      </w:r>
      <w:r w:rsidRPr="006A1160">
        <w:rPr>
          <w:rStyle w:val="Hyperlink"/>
          <w:rFonts w:eastAsia="MS Mincho"/>
        </w:rPr>
        <w:t>https://apps.fcc.gov/FeeFiler/login.cfm</w:t>
      </w:r>
      <w:r w:rsidRPr="00921828">
        <w:rPr>
          <w:rFonts w:eastAsia="MS Mincho"/>
        </w:rPr>
        <w:t xml:space="preserve">.  To pay by credit card, log-in using the </w:t>
      </w:r>
      <w:r w:rsidRPr="00921828">
        <w:rPr>
          <w:rFonts w:eastAsia="MS Mincho"/>
        </w:rPr>
        <w:t>FRN</w:t>
      </w:r>
      <w:r w:rsidRPr="00921828">
        <w:rPr>
          <w:rFonts w:eastAsia="MS Mincho"/>
        </w:rPr>
        <w:t xml:space="preserve"> captioned above.  If payment must be split across </w:t>
      </w:r>
      <w:r w:rsidRPr="00921828">
        <w:rPr>
          <w:rFonts w:eastAsia="MS Mincho"/>
        </w:rPr>
        <w:t>FRNs</w:t>
      </w:r>
      <w:r w:rsidRPr="00921828">
        <w:rPr>
          <w:rFonts w:eastAsia="MS Mincho"/>
        </w:rPr>
        <w:t xml:space="preserve">, complete this process for each </w:t>
      </w:r>
      <w:r w:rsidRPr="00921828">
        <w:rPr>
          <w:rFonts w:eastAsia="MS Mincho"/>
        </w:rPr>
        <w:t>FRN</w:t>
      </w:r>
      <w:r w:rsidRPr="00921828">
        <w:rPr>
          <w:rFonts w:eastAsia="MS Mincho"/>
        </w:rPr>
        <w:t xml:space="preserve">.  Next, select “Pay bills” on the Fee Filer Menu, and select the bill number associated with the </w:t>
      </w:r>
      <w:r w:rsidRPr="00921828">
        <w:rPr>
          <w:rFonts w:eastAsia="MS Mincho"/>
        </w:rPr>
        <w:t>NAL</w:t>
      </w:r>
      <w:r w:rsidRPr="00921828">
        <w:rPr>
          <w:rFonts w:eastAsia="MS Mincho"/>
        </w:rPr>
        <w:t xml:space="preserve"> Account – the bill number is the </w:t>
      </w:r>
      <w:r w:rsidRPr="00921828">
        <w:rPr>
          <w:rFonts w:eastAsia="MS Mincho"/>
        </w:rPr>
        <w:t>NAL</w:t>
      </w:r>
      <w:r w:rsidRPr="00921828">
        <w:rPr>
          <w:rFonts w:eastAsia="MS Mincho"/>
        </w:rPr>
        <w:t xml:space="preserve"> Account number with the first two digits excluded – and then choose the “Pay by Credit Card” option.  Please note that there is a $24,999.99 limit on credit card transactions.</w:t>
      </w:r>
    </w:p>
    <w:p w:rsidR="00D10C93" w:rsidRPr="00921828" w:rsidP="00D10C93" w14:paraId="49318B37" w14:textId="77777777">
      <w:pPr>
        <w:pStyle w:val="ParaNum"/>
        <w:widowControl/>
        <w:numPr>
          <w:ilvl w:val="0"/>
          <w:numId w:val="15"/>
        </w:numPr>
        <w:tabs>
          <w:tab w:val="num" w:pos="1080"/>
        </w:tabs>
        <w:autoSpaceDE w:val="0"/>
        <w:autoSpaceDN w:val="0"/>
        <w:adjustRightInd w:val="0"/>
      </w:pPr>
      <w:r w:rsidRPr="00921828">
        <w:rPr>
          <w:rFonts w:eastAsia="MS Mincho"/>
        </w:rPr>
        <w:t xml:space="preserve">Payment by ACH must be made by using the Commission’s Fee Filer website at </w:t>
      </w:r>
      <w:hyperlink r:id="rId8" w:history="1">
        <w:r w:rsidRPr="009D332E">
          <w:rPr>
            <w:rStyle w:val="Hyperlink"/>
            <w:rFonts w:eastAsia="MS Mincho"/>
          </w:rPr>
          <w:t>https://apps.fcc.gov/FeeFiler/login.cfm</w:t>
        </w:r>
      </w:hyperlink>
      <w:r w:rsidRPr="00921828">
        <w:rPr>
          <w:rFonts w:eastAsia="MS Mincho"/>
        </w:rPr>
        <w:t xml:space="preserve">.  To pay by ACH, log in using the </w:t>
      </w:r>
      <w:r w:rsidRPr="00921828">
        <w:rPr>
          <w:rFonts w:eastAsia="MS Mincho"/>
        </w:rPr>
        <w:t>FRN</w:t>
      </w:r>
      <w:r w:rsidRPr="00921828">
        <w:rPr>
          <w:rFonts w:eastAsia="MS Mincho"/>
        </w:rPr>
        <w:t xml:space="preserve"> captioned above.  If payment must be split across </w:t>
      </w:r>
      <w:r w:rsidRPr="00921828">
        <w:rPr>
          <w:rFonts w:eastAsia="MS Mincho"/>
        </w:rPr>
        <w:t>FRNs</w:t>
      </w:r>
      <w:r w:rsidRPr="00921828">
        <w:rPr>
          <w:rFonts w:eastAsia="MS Mincho"/>
        </w:rPr>
        <w:t xml:space="preserve">, complete this process for each </w:t>
      </w:r>
      <w:r w:rsidRPr="00921828">
        <w:rPr>
          <w:rFonts w:eastAsia="MS Mincho"/>
        </w:rPr>
        <w:t>FRN</w:t>
      </w:r>
      <w:r w:rsidRPr="00921828">
        <w:rPr>
          <w:rFonts w:eastAsia="MS Mincho"/>
        </w:rPr>
        <w:t xml:space="preserve">.  Next, select “Pay bills” on the Fee Filer Menu and then select the bill number associated to the </w:t>
      </w:r>
      <w:r w:rsidRPr="00921828">
        <w:rPr>
          <w:rFonts w:eastAsia="MS Mincho"/>
        </w:rPr>
        <w:t>NAL</w:t>
      </w:r>
      <w:r w:rsidRPr="00921828">
        <w:rPr>
          <w:rFonts w:eastAsia="MS Mincho"/>
        </w:rPr>
        <w:t xml:space="preserve"> Account – the bill number is the </w:t>
      </w:r>
      <w:r w:rsidRPr="00921828">
        <w:rPr>
          <w:rFonts w:eastAsia="MS Mincho"/>
        </w:rPr>
        <w:t>NAL</w:t>
      </w:r>
      <w:r w:rsidRPr="00921828">
        <w:rPr>
          <w:rFonts w:eastAsia="MS Mincho"/>
        </w:rPr>
        <w:t xml:space="preserv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DD51BC">
        <w:rPr>
          <w:rFonts w:eastAsia="MS Mincho"/>
          <w:color w:val="000000"/>
        </w:rPr>
        <w:t>.</w:t>
      </w:r>
    </w:p>
    <w:p w:rsidR="00D10C93" w:rsidP="00D10C93" w14:paraId="0CB69E17" w14:textId="77777777">
      <w:pPr>
        <w:pStyle w:val="ParaNum"/>
        <w:widowControl/>
      </w:pPr>
      <w:bookmarkStart w:id="27" w:name="_Hlk41388985"/>
      <w:r w:rsidRPr="00921828">
        <w:rPr>
          <w:rFonts w:eastAsia="MS Mincho"/>
        </w:rPr>
        <w:t xml:space="preserve">Any request for making full payment over time under an installment plan should be sent to Chief Financial Officer—Financial Operations, Federal Communications Commission, </w:t>
      </w:r>
      <w:r w:rsidRPr="00A0608B">
        <w:t>45 L Street, N.E., Washington, D</w:t>
      </w:r>
      <w:r w:rsidR="00B37295">
        <w:t>.</w:t>
      </w:r>
      <w:r w:rsidRPr="00A0608B">
        <w:t>C</w:t>
      </w:r>
      <w:r w:rsidR="00B37295">
        <w:t>.</w:t>
      </w:r>
      <w:r w:rsidRPr="00A0608B">
        <w:t xml:space="preserve"> 20554</w:t>
      </w:r>
      <w:r>
        <w:t>,</w:t>
      </w:r>
      <w:r w:rsidRPr="001A7AA0">
        <w:t xml:space="preserve"> and e-mailed to Scott Radcliffe, Revenue &amp; Receivables Operations Group, FCC Office of the Managing Director, at </w:t>
      </w:r>
      <w:hyperlink r:id="rId9" w:history="1">
        <w:r w:rsidRPr="006B62D9">
          <w:rPr>
            <w:rStyle w:val="Hyperlink"/>
          </w:rPr>
          <w:t>Scott.Radcliffe@fcc.gov</w:t>
        </w:r>
      </w:hyperlink>
      <w:r>
        <w:rPr>
          <w:rStyle w:val="Hyperlink"/>
          <w:color w:val="auto"/>
          <w:u w:val="none"/>
        </w:rPr>
        <w:t>.</w:t>
      </w:r>
      <w:r>
        <w:rPr>
          <w:rFonts w:eastAsia="MS Mincho"/>
          <w:vertAlign w:val="superscript"/>
        </w:rPr>
        <w:footnoteReference w:id="78"/>
      </w:r>
      <w:r w:rsidRPr="00526EBF">
        <w:t xml:space="preserve">  </w:t>
      </w:r>
      <w:r w:rsidRPr="00921828">
        <w:rPr>
          <w:rFonts w:eastAsia="MS Mincho"/>
        </w:rPr>
        <w:t>If you have questions regarding payment procedures, please contact the Financial Operations Group Help Desk by phone, 1-877-480-3201, or by e</w:t>
      </w:r>
      <w:r w:rsidRPr="00921828">
        <w:rPr>
          <w:rFonts w:eastAsia="MS Mincho"/>
        </w:rPr>
        <w:noBreakHyphen/>
        <w:t xml:space="preserve">mail, </w:t>
      </w:r>
      <w:hyperlink r:id="rId10" w:history="1">
        <w:r w:rsidRPr="00921828">
          <w:rPr>
            <w:rStyle w:val="Hyperlink"/>
            <w:rFonts w:eastAsia="MS Mincho"/>
          </w:rPr>
          <w:t>ARINQUIRIES@fcc.gov</w:t>
        </w:r>
      </w:hyperlink>
      <w:bookmarkEnd w:id="27"/>
      <w:r w:rsidRPr="00921828">
        <w:t>.</w:t>
      </w:r>
    </w:p>
    <w:p w:rsidR="00D10C93" w:rsidP="00D10C93" w14:paraId="54DB9B6A" w14:textId="387C8D17">
      <w:pPr>
        <w:pStyle w:val="ParaNum"/>
        <w:widowControl/>
      </w:pPr>
      <w:r w:rsidRPr="00736E6A">
        <w:t xml:space="preserve">The written statement seeking reduction or cancellation of the proposed forfeiture, if any, must include a detailed factual statement supported by appropriate documentation and affidavits pursuant to </w:t>
      </w:r>
      <w:r w:rsidR="00A2063E">
        <w:t>s</w:t>
      </w:r>
      <w:r w:rsidRPr="00736E6A">
        <w:t>ections 1.16 and 1.80(f)(3) of the Commission’s rules.</w:t>
      </w:r>
      <w:r>
        <w:rPr>
          <w:vertAlign w:val="superscript"/>
        </w:rPr>
        <w:footnoteReference w:id="79"/>
      </w:r>
      <w:r w:rsidRPr="00736E6A">
        <w:t xml:space="preserve">  The written statement must be mailed to Jeffrey J. Gee, Chief, Investigations and Hearings Division, Enforcement Bureau, Federal Communications Commission, 45 L Street, N.E., Washington, D</w:t>
      </w:r>
      <w:r w:rsidR="00B37295">
        <w:t>.</w:t>
      </w:r>
      <w:r w:rsidRPr="00736E6A">
        <w:t>C</w:t>
      </w:r>
      <w:r w:rsidR="00B37295">
        <w:t>.</w:t>
      </w:r>
      <w:r w:rsidRPr="00736E6A">
        <w:t xml:space="preserve"> 20554, and must include the </w:t>
      </w:r>
      <w:r w:rsidRPr="00736E6A">
        <w:t>NAL</w:t>
      </w:r>
      <w:r w:rsidRPr="00736E6A">
        <w:t>/Acct. No. referenced in the caption.  The written statement shall also be e-mailed to Jeffrey J. Gee</w:t>
      </w:r>
      <w:r w:rsidRPr="00736E6A">
        <w:rPr>
          <w:color w:val="000000"/>
        </w:rPr>
        <w:t xml:space="preserve"> at </w:t>
      </w:r>
      <w:hyperlink r:id="rId11" w:history="1">
        <w:r w:rsidRPr="00736E6A">
          <w:rPr>
            <w:rStyle w:val="Hyperlink"/>
          </w:rPr>
          <w:t>Jeffrey.Gee@fcc.gov</w:t>
        </w:r>
      </w:hyperlink>
      <w:r w:rsidRPr="00736E6A">
        <w:t xml:space="preserve"> </w:t>
      </w:r>
      <w:r w:rsidRPr="00736E6A">
        <w:rPr>
          <w:color w:val="000000"/>
        </w:rPr>
        <w:t xml:space="preserve">and to David Janas at </w:t>
      </w:r>
      <w:hyperlink r:id="rId5" w:history="1">
        <w:r w:rsidRPr="00736E6A">
          <w:rPr>
            <w:rStyle w:val="Hyperlink"/>
          </w:rPr>
          <w:t>David.Janas@fcc.gov</w:t>
        </w:r>
      </w:hyperlink>
      <w:r w:rsidRPr="00736E6A">
        <w:t xml:space="preserve">.  </w:t>
      </w:r>
    </w:p>
    <w:p w:rsidR="00D10C93" w:rsidP="00D10C93" w14:paraId="07E62128" w14:textId="3806DD77">
      <w:pPr>
        <w:pStyle w:val="ParaNum"/>
        <w:widowControl/>
      </w:pPr>
      <w:r w:rsidRPr="00736E6A">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or (3) some other reliable and objective documentation that accurately reflects the petitioner’s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vertAlign w:val="superscript"/>
        </w:rPr>
        <w:footnoteReference w:id="80"/>
      </w:r>
      <w:r w:rsidRPr="00736E6A">
        <w:t xml:space="preserve"> </w:t>
      </w:r>
    </w:p>
    <w:p w:rsidR="00CC7FC0" w:rsidP="00CC7FC0" w14:paraId="7A6AE9FB" w14:textId="600387A5">
      <w:pPr>
        <w:pStyle w:val="ParaNum"/>
        <w:widowControl/>
        <w:numPr>
          <w:ilvl w:val="0"/>
          <w:numId w:val="0"/>
        </w:numPr>
        <w:ind w:firstLine="720"/>
      </w:pPr>
    </w:p>
    <w:p w:rsidR="00CC7FC0" w:rsidRPr="00736E6A" w:rsidP="00CC7FC0" w14:paraId="0277B111" w14:textId="77777777">
      <w:pPr>
        <w:pStyle w:val="ParaNum"/>
        <w:widowControl/>
        <w:numPr>
          <w:ilvl w:val="0"/>
          <w:numId w:val="0"/>
        </w:numPr>
        <w:ind w:firstLine="720"/>
      </w:pPr>
    </w:p>
    <w:p w:rsidR="00D10C93" w:rsidRPr="00D73120" w:rsidP="00D10C93" w14:paraId="2292A15F" w14:textId="77777777">
      <w:pPr>
        <w:pStyle w:val="ParaNum"/>
        <w:keepNext/>
        <w:widowControl/>
        <w:spacing w:after="0"/>
      </w:pPr>
      <w:r w:rsidRPr="00D73120">
        <w:rPr>
          <w:b/>
        </w:rPr>
        <w:t>IT IS FURTHER ORDERED</w:t>
      </w:r>
      <w:r w:rsidRPr="00D73120">
        <w:t xml:space="preserve"> that a copy of this Notice of Apparent Liability for Forfeiture and Order shall be sent by certified mail, return receipt requested, and first-class mail to Jacqueline Neff, </w:t>
      </w:r>
      <w:r w:rsidRPr="00D73120">
        <w:t>Marashlian</w:t>
      </w:r>
      <w:r w:rsidRPr="00D73120">
        <w:t xml:space="preserve"> &amp; Donahue, </w:t>
      </w:r>
      <w:r w:rsidRPr="00D73120">
        <w:t>PLLC</w:t>
      </w:r>
      <w:r w:rsidRPr="00D73120">
        <w:t xml:space="preserve">, Counsel to </w:t>
      </w:r>
      <w:r w:rsidRPr="00D73120">
        <w:rPr>
          <w:szCs w:val="24"/>
        </w:rPr>
        <w:t xml:space="preserve">US South Communications, Inc. d/b/a US South &amp; </w:t>
      </w:r>
      <w:r w:rsidRPr="00D73120">
        <w:rPr>
          <w:szCs w:val="24"/>
        </w:rPr>
        <w:t>IWCOMM</w:t>
      </w:r>
      <w:r w:rsidRPr="00D73120">
        <w:rPr>
          <w:szCs w:val="24"/>
        </w:rPr>
        <w:t xml:space="preserve">, 1420 Spring Hill Road, Suite 401, McLean, Virginia 22102, and by e-mail to </w:t>
      </w:r>
      <w:hyperlink r:id="rId12" w:history="1">
        <w:r w:rsidRPr="00D73120">
          <w:rPr>
            <w:rStyle w:val="Hyperlink"/>
            <w:szCs w:val="24"/>
          </w:rPr>
          <w:t>jrn@commlawgroup.com</w:t>
        </w:r>
      </w:hyperlink>
      <w:r w:rsidRPr="00D73120">
        <w:t xml:space="preserve">. </w:t>
      </w:r>
    </w:p>
    <w:p w:rsidR="00D10C93" w:rsidRPr="00921828" w:rsidP="00D10C93" w14:paraId="6E4588EF" w14:textId="77777777">
      <w:pPr>
        <w:pStyle w:val="PlainText"/>
        <w:keepNext/>
        <w:spacing w:before="480" w:after="0" w:line="240" w:lineRule="auto"/>
        <w:rPr>
          <w:rFonts w:ascii="Times New Roman" w:hAnsi="Times New Roman" w:cs="Times New Roman"/>
          <w:sz w:val="22"/>
          <w:szCs w:val="22"/>
        </w:rPr>
      </w:pPr>
      <w:r w:rsidRPr="00921828">
        <w:rPr>
          <w:rFonts w:ascii="Times New Roman" w:hAnsi="Times New Roman" w:cs="Times New Roman"/>
          <w:sz w:val="22"/>
          <w:szCs w:val="22"/>
        </w:rPr>
        <w:t xml:space="preserve">  </w:t>
      </w:r>
      <w:r w:rsidRPr="00921828">
        <w:rPr>
          <w:rFonts w:ascii="Times New Roman" w:hAnsi="Times New Roman" w:cs="Times New Roman"/>
          <w:sz w:val="22"/>
          <w:szCs w:val="22"/>
        </w:rPr>
        <w:tab/>
      </w:r>
      <w:r w:rsidRPr="00921828">
        <w:rPr>
          <w:rFonts w:ascii="Times New Roman" w:hAnsi="Times New Roman" w:cs="Times New Roman"/>
          <w:sz w:val="22"/>
          <w:szCs w:val="22"/>
        </w:rPr>
        <w:tab/>
      </w:r>
      <w:r w:rsidRPr="00921828">
        <w:rPr>
          <w:rFonts w:ascii="Times New Roman" w:hAnsi="Times New Roman" w:cs="Times New Roman"/>
          <w:sz w:val="22"/>
          <w:szCs w:val="22"/>
        </w:rPr>
        <w:tab/>
      </w:r>
      <w:r w:rsidRPr="00921828">
        <w:rPr>
          <w:rFonts w:ascii="Times New Roman" w:hAnsi="Times New Roman" w:cs="Times New Roman"/>
          <w:sz w:val="22"/>
          <w:szCs w:val="22"/>
        </w:rPr>
        <w:tab/>
      </w:r>
      <w:r w:rsidRPr="00921828">
        <w:rPr>
          <w:rFonts w:ascii="Times New Roman" w:hAnsi="Times New Roman" w:cs="Times New Roman"/>
          <w:sz w:val="22"/>
          <w:szCs w:val="22"/>
        </w:rPr>
        <w:tab/>
      </w:r>
      <w:r w:rsidRPr="00921828">
        <w:rPr>
          <w:rFonts w:ascii="Times New Roman" w:hAnsi="Times New Roman" w:cs="Times New Roman"/>
          <w:sz w:val="22"/>
          <w:szCs w:val="22"/>
        </w:rPr>
        <w:tab/>
        <w:t>FEDERAL COMMUNICATIONS COMMISSION</w:t>
      </w:r>
    </w:p>
    <w:p w:rsidR="00D10C93" w:rsidP="00D10C93" w14:paraId="7CA32757" w14:textId="77777777">
      <w:pPr>
        <w:keepNext/>
        <w:tabs>
          <w:tab w:val="left" w:pos="4320"/>
        </w:tabs>
      </w:pPr>
    </w:p>
    <w:p w:rsidR="00D10C93" w:rsidRPr="00921828" w:rsidP="00D10C93" w14:paraId="1A2931D0" w14:textId="77777777">
      <w:pPr>
        <w:keepNext/>
        <w:tabs>
          <w:tab w:val="left" w:pos="4320"/>
        </w:tabs>
      </w:pPr>
    </w:p>
    <w:p w:rsidR="00D10C93" w:rsidRPr="00921828" w:rsidP="00D10C93" w14:paraId="3968C01F" w14:textId="77777777">
      <w:pPr>
        <w:tabs>
          <w:tab w:val="left" w:pos="4320"/>
        </w:tabs>
      </w:pPr>
    </w:p>
    <w:p w:rsidR="00D10C93" w:rsidRPr="00921828" w:rsidP="00D10C93" w14:paraId="029F2AA6" w14:textId="77777777">
      <w:pPr>
        <w:tabs>
          <w:tab w:val="left" w:pos="4320"/>
        </w:tabs>
      </w:pPr>
    </w:p>
    <w:p w:rsidR="00D10C93" w:rsidRPr="00921828" w:rsidP="00D10C93" w14:paraId="2F33DD6D" w14:textId="77777777">
      <w:pPr>
        <w:tabs>
          <w:tab w:val="left" w:pos="4320"/>
        </w:tabs>
      </w:pPr>
      <w:r w:rsidRPr="00921828">
        <w:tab/>
      </w:r>
      <w:r>
        <w:t>Rosemary C. Harold</w:t>
      </w:r>
    </w:p>
    <w:p w:rsidR="00D10C93" w:rsidP="00D10C93" w14:paraId="73C25E23" w14:textId="77777777">
      <w:r w:rsidRPr="00921828">
        <w:tab/>
      </w:r>
      <w:r w:rsidRPr="00921828">
        <w:tab/>
      </w:r>
      <w:r w:rsidRPr="00921828">
        <w:tab/>
      </w:r>
      <w:r w:rsidRPr="00921828">
        <w:tab/>
      </w:r>
      <w:r w:rsidRPr="00921828">
        <w:tab/>
      </w:r>
      <w:r w:rsidRPr="00921828">
        <w:tab/>
      </w:r>
      <w:r>
        <w:t>Chief</w:t>
      </w:r>
    </w:p>
    <w:p w:rsidR="00D10C93" w:rsidRPr="00921828" w:rsidP="00D10C93" w14:paraId="02A256C3" w14:textId="77777777">
      <w:r>
        <w:tab/>
      </w:r>
      <w:r>
        <w:tab/>
      </w:r>
      <w:r>
        <w:tab/>
      </w:r>
      <w:r>
        <w:tab/>
      </w:r>
      <w:r>
        <w:tab/>
      </w:r>
      <w:r>
        <w:tab/>
        <w:t>Enforcement Bureau</w:t>
      </w:r>
    </w:p>
    <w:p w:rsidR="00412FC5" w:rsidP="00B37295" w14:paraId="28E715A3" w14:textId="77777777">
      <w:pPr>
        <w:pStyle w:val="Heading1"/>
        <w:numPr>
          <w:ilvl w:val="0"/>
          <w:numId w:val="0"/>
        </w:numPr>
        <w:ind w:left="720" w:hanging="720"/>
      </w:pP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92AF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6C5C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20668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AEB6D7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5CE7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4BF6" w14:paraId="506BDB20" w14:textId="77777777">
      <w:r>
        <w:separator/>
      </w:r>
    </w:p>
  </w:footnote>
  <w:footnote w:type="continuationSeparator" w:id="1">
    <w:p w:rsidR="00EC4BF6" w:rsidP="00C721AC" w14:paraId="3BB69022" w14:textId="77777777">
      <w:pPr>
        <w:spacing w:before="120"/>
        <w:rPr>
          <w:sz w:val="20"/>
        </w:rPr>
      </w:pPr>
      <w:r>
        <w:rPr>
          <w:sz w:val="20"/>
        </w:rPr>
        <w:t xml:space="preserve">(Continued from previous page)  </w:t>
      </w:r>
      <w:r>
        <w:rPr>
          <w:sz w:val="20"/>
        </w:rPr>
        <w:separator/>
      </w:r>
    </w:p>
  </w:footnote>
  <w:footnote w:type="continuationNotice" w:id="2">
    <w:p w:rsidR="00EC4BF6" w:rsidP="00C721AC" w14:paraId="33BF13E6" w14:textId="77777777">
      <w:pPr>
        <w:jc w:val="right"/>
        <w:rPr>
          <w:sz w:val="20"/>
        </w:rPr>
      </w:pPr>
      <w:r>
        <w:rPr>
          <w:sz w:val="20"/>
        </w:rPr>
        <w:t>(continued….)</w:t>
      </w:r>
    </w:p>
  </w:footnote>
  <w:footnote w:id="3">
    <w:p w:rsidR="00D10C93" w:rsidRPr="00C32E6A" w:rsidP="00D10C93" w14:paraId="0910E036" w14:textId="77777777">
      <w:pPr>
        <w:pStyle w:val="FootnoteText"/>
      </w:pPr>
      <w:r w:rsidRPr="00C32E6A">
        <w:rPr>
          <w:rStyle w:val="FootnoteReference"/>
        </w:rPr>
        <w:footnoteRef/>
      </w:r>
      <w:r w:rsidRPr="00C32E6A">
        <w:t xml:space="preserve"> 47 U.S.C. § 254(d).  </w:t>
      </w:r>
    </w:p>
  </w:footnote>
  <w:footnote w:id="4">
    <w:p w:rsidR="00D10C93" w:rsidRPr="00C23F89" w:rsidP="00D10C93" w14:paraId="67762360" w14:textId="77777777">
      <w:pPr>
        <w:pStyle w:val="FootnoteText"/>
      </w:pPr>
      <w:r w:rsidRPr="00C32E6A">
        <w:rPr>
          <w:rStyle w:val="FootnoteReference"/>
        </w:rPr>
        <w:footnoteRef/>
      </w:r>
      <w:r w:rsidRPr="00C32E6A">
        <w:t xml:space="preserve"> 47 CFR § 54.706(b)</w:t>
      </w:r>
      <w:r>
        <w:t xml:space="preserve">; </w:t>
      </w:r>
      <w:r>
        <w:rPr>
          <w:i/>
        </w:rPr>
        <w:t>s</w:t>
      </w:r>
      <w:r w:rsidRPr="00C32E6A">
        <w:rPr>
          <w:i/>
        </w:rPr>
        <w:t>ee</w:t>
      </w:r>
      <w:r w:rsidRPr="00C32E6A">
        <w:t xml:space="preserve"> 47 U.S.C. § 254(d) (“Any other provider of interstate telecommunications may be required to contribute to the preservation and advancement of universal service if the public interest so requires.”); </w:t>
      </w:r>
      <w:r w:rsidRPr="00C32E6A">
        <w:rPr>
          <w:i/>
        </w:rPr>
        <w:t>Universal Service Contribution Methodology</w:t>
      </w:r>
      <w:r w:rsidRPr="00C32E6A">
        <w:t xml:space="preserve">, Report and Order and Notice of Proposed Rulemaking, 21 FCC </w:t>
      </w:r>
      <w:r w:rsidRPr="00C32E6A">
        <w:t>Rcd</w:t>
      </w:r>
      <w:r w:rsidRPr="00C32E6A">
        <w:t xml:space="preserve"> 7518 (2006) (extending section 254(d) permissive authority to require interconnected VoIP providers to contribute to the USF), </w:t>
      </w:r>
      <w:r w:rsidRPr="00C32E6A">
        <w:rPr>
          <w:i/>
        </w:rPr>
        <w:t>petition for review denied, and vacated in part on other grounds</w:t>
      </w:r>
      <w:r w:rsidRPr="00C32E6A">
        <w:t xml:space="preserve">, </w:t>
      </w:r>
      <w:r w:rsidRPr="00C32E6A">
        <w:rPr>
          <w:i/>
        </w:rPr>
        <w:t>Vonage Holding Corp. v. FCC</w:t>
      </w:r>
      <w:r w:rsidRPr="00C32E6A">
        <w:t xml:space="preserve">, 489 F.3d 1232 (D.C. Cir. 2007).  </w:t>
      </w:r>
    </w:p>
  </w:footnote>
  <w:footnote w:id="5">
    <w:p w:rsidR="00D10C93" w:rsidRPr="00C32E6A" w:rsidP="00D10C93" w14:paraId="3A37F6B6" w14:textId="77777777">
      <w:pPr>
        <w:pStyle w:val="FootnoteText"/>
      </w:pPr>
      <w:r w:rsidRPr="00C32E6A">
        <w:rPr>
          <w:rStyle w:val="FootnoteReference"/>
        </w:rPr>
        <w:footnoteRef/>
      </w:r>
      <w:r w:rsidRPr="00C32E6A">
        <w:t xml:space="preserve"> </w:t>
      </w:r>
      <w:r w:rsidRPr="00C32E6A">
        <w:rPr>
          <w:i/>
          <w:iCs/>
        </w:rPr>
        <w:t xml:space="preserve">See </w:t>
      </w:r>
      <w:r w:rsidRPr="00C32E6A">
        <w:rPr>
          <w:i/>
          <w:iCs/>
        </w:rPr>
        <w:t>Telseven</w:t>
      </w:r>
      <w:r w:rsidRPr="00C32E6A">
        <w:rPr>
          <w:i/>
          <w:iCs/>
        </w:rPr>
        <w:t>, LLC</w:t>
      </w:r>
      <w:r w:rsidRPr="00C32E6A">
        <w:t xml:space="preserve">, Notice of Apparent Liability for Forfeiture, 27 FCC </w:t>
      </w:r>
      <w:r w:rsidRPr="00C32E6A">
        <w:t>Rcd</w:t>
      </w:r>
      <w:r w:rsidRPr="00C32E6A">
        <w:t xml:space="preserve"> 6636, 6637, para. 2 (2012) (</w:t>
      </w:r>
      <w:r w:rsidRPr="00C32E6A">
        <w:rPr>
          <w:i/>
          <w:iCs/>
        </w:rPr>
        <w:t>Telseven</w:t>
      </w:r>
      <w:r w:rsidRPr="00C32E6A">
        <w:rPr>
          <w:i/>
          <w:iCs/>
        </w:rPr>
        <w:t xml:space="preserve"> </w:t>
      </w:r>
      <w:r w:rsidRPr="00C32E6A">
        <w:rPr>
          <w:i/>
          <w:iCs/>
        </w:rPr>
        <w:t>NAL</w:t>
      </w:r>
      <w:r w:rsidRPr="00C32E6A">
        <w:t xml:space="preserve">), </w:t>
      </w:r>
      <w:r w:rsidRPr="00C32E6A">
        <w:rPr>
          <w:i/>
          <w:iCs/>
        </w:rPr>
        <w:t>forfeiture issued</w:t>
      </w:r>
      <w:r w:rsidRPr="00C32E6A">
        <w:t xml:space="preserve">, Forfeiture Order, 31 FCC </w:t>
      </w:r>
      <w:r w:rsidRPr="00C32E6A">
        <w:t>Rcd</w:t>
      </w:r>
      <w:r w:rsidRPr="00C32E6A">
        <w:t xml:space="preserve"> 1629 (2016).</w:t>
      </w:r>
    </w:p>
  </w:footnote>
  <w:footnote w:id="6">
    <w:p w:rsidR="00D10C93" w:rsidRPr="00C32E6A" w:rsidP="00D10C93" w14:paraId="10007FFC" w14:textId="77777777">
      <w:pPr>
        <w:pStyle w:val="FootnoteText"/>
        <w:rPr>
          <w:i/>
          <w:iCs/>
        </w:rPr>
      </w:pPr>
      <w:r w:rsidRPr="00C32E6A">
        <w:rPr>
          <w:rStyle w:val="FootnoteReference"/>
        </w:rPr>
        <w:footnoteRef/>
      </w:r>
      <w:r w:rsidRPr="00C32E6A">
        <w:t xml:space="preserve"> </w:t>
      </w:r>
      <w:bookmarkStart w:id="5" w:name="_Hlk41464369"/>
      <w:r w:rsidRPr="00C32E6A">
        <w:rPr>
          <w:i/>
          <w:iCs/>
        </w:rPr>
        <w:t>See id</w:t>
      </w:r>
      <w:bookmarkEnd w:id="5"/>
      <w:r w:rsidRPr="00C32E6A">
        <w:rPr>
          <w:i/>
          <w:iCs/>
        </w:rPr>
        <w:t>.</w:t>
      </w:r>
    </w:p>
  </w:footnote>
  <w:footnote w:id="7">
    <w:p w:rsidR="00D10C93" w:rsidRPr="00C32E6A" w:rsidP="00D10C93" w14:paraId="7E3A8E2E" w14:textId="77777777">
      <w:pPr>
        <w:pStyle w:val="FootnoteText"/>
      </w:pPr>
      <w:r w:rsidRPr="00C32E6A">
        <w:rPr>
          <w:rStyle w:val="FootnoteReference"/>
        </w:rPr>
        <w:footnoteRef/>
      </w:r>
      <w:r w:rsidRPr="00C32E6A">
        <w:t xml:space="preserve"> </w:t>
      </w:r>
      <w:r w:rsidRPr="00C32E6A">
        <w:rPr>
          <w:i/>
        </w:rPr>
        <w:t xml:space="preserve">See </w:t>
      </w:r>
      <w:r w:rsidRPr="00C32E6A">
        <w:t xml:space="preserve">47 CFR § 54.711(a); </w:t>
      </w:r>
      <w:r w:rsidRPr="00C32E6A">
        <w:rPr>
          <w:i/>
          <w:iCs/>
        </w:rPr>
        <w:t>see also id.</w:t>
      </w:r>
      <w:r w:rsidRPr="00C32E6A">
        <w:t xml:space="preserve"> at § 54.706(e).</w:t>
      </w:r>
    </w:p>
  </w:footnote>
  <w:footnote w:id="8">
    <w:p w:rsidR="00D10C93" w:rsidRPr="00C32E6A" w:rsidP="00D10C93" w14:paraId="276D7E49" w14:textId="77777777">
      <w:pPr>
        <w:pStyle w:val="FootnoteText"/>
      </w:pPr>
      <w:r w:rsidRPr="00C32E6A">
        <w:rPr>
          <w:rStyle w:val="FootnoteReference"/>
        </w:rPr>
        <w:footnoteRef/>
      </w:r>
      <w:r w:rsidRPr="00C32E6A">
        <w:t xml:space="preserve"> </w:t>
      </w:r>
      <w:r w:rsidRPr="00C32E6A">
        <w:rPr>
          <w:i/>
        </w:rPr>
        <w:t xml:space="preserve">See </w:t>
      </w:r>
      <w:r w:rsidRPr="00015C81">
        <w:rPr>
          <w:lang w:val="es-ES"/>
        </w:rPr>
        <w:t xml:space="preserve">47 </w:t>
      </w:r>
      <w:r w:rsidRPr="00015C81">
        <w:rPr>
          <w:lang w:val="es-ES"/>
        </w:rPr>
        <w:t>U.S.C</w:t>
      </w:r>
      <w:r w:rsidRPr="00015C81">
        <w:rPr>
          <w:lang w:val="es-ES"/>
        </w:rPr>
        <w:t>. § 254(d).</w:t>
      </w:r>
    </w:p>
  </w:footnote>
  <w:footnote w:id="9">
    <w:p w:rsidR="00D10C93" w:rsidRPr="00015C81" w:rsidP="00D10C93" w14:paraId="2E928EDD" w14:textId="77777777">
      <w:pPr>
        <w:pStyle w:val="FootnoteText"/>
      </w:pPr>
      <w:r w:rsidRPr="00C32E6A">
        <w:rPr>
          <w:rStyle w:val="FootnoteReference"/>
        </w:rPr>
        <w:footnoteRef/>
      </w:r>
      <w:r w:rsidRPr="00C32E6A">
        <w:t xml:space="preserve"> </w:t>
      </w:r>
      <w:r w:rsidRPr="00635BC7">
        <w:rPr>
          <w:i/>
          <w:iCs/>
        </w:rPr>
        <w:t xml:space="preserve">See </w:t>
      </w:r>
      <w:r w:rsidRPr="00B74072">
        <w:t xml:space="preserve">47 CFR </w:t>
      </w:r>
      <w:r w:rsidRPr="00015C81">
        <w:rPr>
          <w:lang w:val="es-ES"/>
        </w:rPr>
        <w:t xml:space="preserve">§ </w:t>
      </w:r>
      <w:r w:rsidRPr="00C32E6A">
        <w:t>5</w:t>
      </w:r>
      <w:r w:rsidRPr="00635BC7">
        <w:t>4.711</w:t>
      </w:r>
      <w:r w:rsidRPr="00B74072">
        <w:t xml:space="preserve">; </w:t>
      </w:r>
      <w:r w:rsidRPr="00B74072">
        <w:rPr>
          <w:i/>
          <w:iCs/>
        </w:rPr>
        <w:t>Te</w:t>
      </w:r>
      <w:r w:rsidRPr="006D00E3">
        <w:rPr>
          <w:i/>
          <w:iCs/>
        </w:rPr>
        <w:t>lseven</w:t>
      </w:r>
      <w:r w:rsidRPr="006D00E3">
        <w:rPr>
          <w:i/>
          <w:iCs/>
        </w:rPr>
        <w:t xml:space="preserve"> </w:t>
      </w:r>
      <w:r w:rsidRPr="006D00E3">
        <w:rPr>
          <w:i/>
          <w:iCs/>
        </w:rPr>
        <w:t>NA</w:t>
      </w:r>
      <w:r w:rsidRPr="00015C81">
        <w:rPr>
          <w:i/>
          <w:iCs/>
        </w:rPr>
        <w:t>L</w:t>
      </w:r>
      <w:r w:rsidRPr="00015C81">
        <w:t xml:space="preserve">, 27 FCC </w:t>
      </w:r>
      <w:r w:rsidRPr="00015C81">
        <w:t>Rcd</w:t>
      </w:r>
      <w:r w:rsidRPr="00015C81">
        <w:t xml:space="preserve"> at 6637, para. 2.  </w:t>
      </w:r>
      <w:bookmarkStart w:id="6" w:name="_Hlk41466167"/>
      <w:r w:rsidRPr="00015C81">
        <w:t>Within 30 days of beginning to provide service, new service providers must register with the Commission by obtaining an FCC registration number (</w:t>
      </w:r>
      <w:r w:rsidRPr="00015C81">
        <w:t>FRN</w:t>
      </w:r>
      <w:r w:rsidRPr="00015C81">
        <w:t xml:space="preserve">) from the Commission registration system (CORES) and obtaining a Filer ID from </w:t>
      </w:r>
      <w:r w:rsidRPr="00015C81">
        <w:t>USAC’s</w:t>
      </w:r>
      <w:r w:rsidRPr="00015C81">
        <w:t xml:space="preserve"> E-File system.</w:t>
      </w:r>
      <w:r w:rsidRPr="00C32E6A">
        <w:t xml:space="preserve">  </w:t>
      </w:r>
      <w:r w:rsidRPr="00635BC7">
        <w:rPr>
          <w:i/>
          <w:iCs/>
        </w:rPr>
        <w:t>Wireline Competition B</w:t>
      </w:r>
      <w:r w:rsidRPr="00B74072">
        <w:rPr>
          <w:i/>
          <w:iCs/>
        </w:rPr>
        <w:t>ureau</w:t>
      </w:r>
      <w:r w:rsidRPr="006D00E3">
        <w:rPr>
          <w:i/>
          <w:iCs/>
        </w:rPr>
        <w:t xml:space="preserve"> Releases the 2020 Telecommunications Reporting Worksheets and Accompanying</w:t>
      </w:r>
      <w:r w:rsidRPr="00015C81">
        <w:rPr>
          <w:i/>
          <w:iCs/>
        </w:rPr>
        <w:t xml:space="preserve"> Instructions</w:t>
      </w:r>
      <w:r w:rsidRPr="00015C81">
        <w:t xml:space="preserve">, Public Notice, </w:t>
      </w:r>
      <w:r>
        <w:t xml:space="preserve">35 FCC </w:t>
      </w:r>
      <w:r>
        <w:t>Rcd</w:t>
      </w:r>
      <w:r>
        <w:t xml:space="preserve"> 1350, 1372 </w:t>
      </w:r>
      <w:r w:rsidRPr="00015C81">
        <w:t>(</w:t>
      </w:r>
      <w:r>
        <w:t>WCB</w:t>
      </w:r>
      <w:r w:rsidRPr="00015C81">
        <w:t xml:space="preserve"> 2020) (</w:t>
      </w:r>
      <w:r w:rsidRPr="00015C81">
        <w:rPr>
          <w:i/>
          <w:iCs/>
        </w:rPr>
        <w:t>2020 Form 499 Public Notice</w:t>
      </w:r>
      <w:r w:rsidRPr="00015C81">
        <w:t>).</w:t>
      </w:r>
      <w:bookmarkEnd w:id="6"/>
    </w:p>
  </w:footnote>
  <w:footnote w:id="10">
    <w:p w:rsidR="00D10C93" w:rsidRPr="00015C81" w:rsidP="00D10C93" w14:paraId="477F6DAE" w14:textId="77777777">
      <w:pPr>
        <w:pStyle w:val="FootnoteText"/>
      </w:pPr>
      <w:r w:rsidRPr="00C32E6A">
        <w:rPr>
          <w:rStyle w:val="FootnoteReference"/>
        </w:rPr>
        <w:footnoteRef/>
      </w:r>
      <w:r w:rsidRPr="00C32E6A">
        <w:t xml:space="preserve"> </w:t>
      </w:r>
      <w:bookmarkStart w:id="7" w:name="_Hlk41464496"/>
      <w:r w:rsidRPr="00635BC7">
        <w:rPr>
          <w:i/>
          <w:iCs/>
        </w:rPr>
        <w:t xml:space="preserve">See </w:t>
      </w:r>
      <w:r w:rsidRPr="006D00E3">
        <w:t xml:space="preserve">47 CFR </w:t>
      </w:r>
      <w:r w:rsidRPr="00015C81">
        <w:rPr>
          <w:lang w:val="es-ES"/>
        </w:rPr>
        <w:t xml:space="preserve">§ </w:t>
      </w:r>
      <w:r w:rsidRPr="00C32E6A">
        <w:t>54.711</w:t>
      </w:r>
      <w:r w:rsidRPr="00635BC7">
        <w:t>;</w:t>
      </w:r>
      <w:r w:rsidRPr="006D00E3">
        <w:t xml:space="preserve"> </w:t>
      </w:r>
      <w:r w:rsidRPr="006D00E3">
        <w:rPr>
          <w:i/>
          <w:iCs/>
        </w:rPr>
        <w:t>Telseven</w:t>
      </w:r>
      <w:r w:rsidRPr="006D00E3">
        <w:rPr>
          <w:i/>
          <w:iCs/>
        </w:rPr>
        <w:t xml:space="preserve"> </w:t>
      </w:r>
      <w:r w:rsidRPr="00015C81">
        <w:rPr>
          <w:i/>
          <w:iCs/>
        </w:rPr>
        <w:t>NAL</w:t>
      </w:r>
      <w:r w:rsidRPr="00015C81">
        <w:t xml:space="preserve">, 27 FCC </w:t>
      </w:r>
      <w:r w:rsidRPr="00015C81">
        <w:t>Rcd</w:t>
      </w:r>
      <w:r w:rsidRPr="00015C81">
        <w:t xml:space="preserve"> at 6637, para. 2</w:t>
      </w:r>
      <w:bookmarkEnd w:id="7"/>
      <w:r w:rsidRPr="00015C81">
        <w:t xml:space="preserve">.    </w:t>
      </w:r>
    </w:p>
  </w:footnote>
  <w:footnote w:id="11">
    <w:p w:rsidR="00D10C93" w:rsidRPr="00015C81" w:rsidP="00D10C93" w14:paraId="7E9F8B4B" w14:textId="77777777">
      <w:pPr>
        <w:pStyle w:val="FootnoteText"/>
      </w:pPr>
      <w:r w:rsidRPr="00C32E6A">
        <w:rPr>
          <w:rStyle w:val="FootnoteReference"/>
        </w:rPr>
        <w:footnoteRef/>
      </w:r>
      <w:r w:rsidRPr="00C32E6A">
        <w:t xml:space="preserve"> Individual universal ser</w:t>
      </w:r>
      <w:r w:rsidRPr="00635BC7">
        <w:t>vice cont</w:t>
      </w:r>
      <w:r w:rsidRPr="006D00E3">
        <w:t xml:space="preserve">ribution amounts that are </w:t>
      </w:r>
      <w:r w:rsidRPr="00015C81">
        <w:t xml:space="preserve">based upon quarterly filings are subject to an annual true-up based on the </w:t>
      </w:r>
      <w:r w:rsidRPr="00015C81">
        <w:rPr>
          <w:szCs w:val="22"/>
        </w:rPr>
        <w:t>Annual Worksheets</w:t>
      </w:r>
      <w:r w:rsidRPr="00015C81">
        <w:t xml:space="preserve">.  </w:t>
      </w:r>
      <w:r w:rsidRPr="00015C81">
        <w:rPr>
          <w:i/>
        </w:rPr>
        <w:t xml:space="preserve">See </w:t>
      </w:r>
      <w:r w:rsidRPr="00015C81">
        <w:t xml:space="preserve">47 CFR § 54.711; </w:t>
      </w:r>
      <w:r w:rsidRPr="00015C81">
        <w:rPr>
          <w:i/>
        </w:rPr>
        <w:t>Federal-State Joint Board on Universal Service</w:t>
      </w:r>
      <w:r w:rsidRPr="00015C81">
        <w:rPr>
          <w:iCs/>
        </w:rPr>
        <w:t xml:space="preserve">, </w:t>
      </w:r>
      <w:r w:rsidRPr="00015C81">
        <w:t xml:space="preserve">Report and Order and Order on Reconsideration, 16 FCC </w:t>
      </w:r>
      <w:r w:rsidRPr="00015C81">
        <w:t>Rcd</w:t>
      </w:r>
      <w:r w:rsidRPr="00015C81">
        <w:t xml:space="preserve"> 5748, 5752-53, para. 12 (2001).  </w:t>
      </w:r>
    </w:p>
  </w:footnote>
  <w:footnote w:id="12">
    <w:p w:rsidR="00D10C93" w:rsidRPr="00015C81" w:rsidP="00D10C93" w14:paraId="49AFA957" w14:textId="77777777">
      <w:pPr>
        <w:pStyle w:val="FootnoteText"/>
      </w:pPr>
      <w:r w:rsidRPr="00C32E6A">
        <w:rPr>
          <w:rStyle w:val="FootnoteReference"/>
        </w:rPr>
        <w:footnoteRef/>
      </w:r>
      <w:r w:rsidRPr="00C32E6A">
        <w:t xml:space="preserve"> 47 </w:t>
      </w:r>
      <w:r w:rsidRPr="00635BC7">
        <w:t>CFR</w:t>
      </w:r>
      <w:r w:rsidRPr="006D00E3">
        <w:t xml:space="preserve"> § 54.713.  </w:t>
      </w:r>
    </w:p>
  </w:footnote>
  <w:footnote w:id="13">
    <w:p w:rsidR="00D10C93" w:rsidRPr="00015C81" w:rsidP="00D10C93" w14:paraId="73005A6D" w14:textId="77777777">
      <w:pPr>
        <w:pStyle w:val="FootnoteText"/>
        <w:rPr>
          <w:i/>
          <w:iCs/>
        </w:rPr>
      </w:pPr>
      <w:r w:rsidRPr="00C32E6A">
        <w:rPr>
          <w:rStyle w:val="FootnoteReference"/>
        </w:rPr>
        <w:footnoteRef/>
      </w:r>
      <w:r w:rsidRPr="00C32E6A">
        <w:t xml:space="preserve"> </w:t>
      </w:r>
      <w:r w:rsidRPr="00635BC7">
        <w:t xml:space="preserve"> </w:t>
      </w:r>
      <w:r w:rsidRPr="006D00E3">
        <w:rPr>
          <w:i/>
          <w:iCs/>
        </w:rPr>
        <w:t>Id. at</w:t>
      </w:r>
      <w:r w:rsidRPr="006D00E3">
        <w:t xml:space="preserve"> </w:t>
      </w:r>
      <w:r w:rsidRPr="00015C81">
        <w:t xml:space="preserve">§§ 54.711(a), 54.713.  An officer of a company completing an Annual Worksheet must certify, in part, as follows:  “I have examined the foregoing report and, to the best of my knowledge, information and belief, all statements of fact contained in this Worksheet are true and that said Worksheet is an accurate statement of the affairs of the above-named company for the previous calendar year.”  </w:t>
      </w:r>
      <w:r w:rsidRPr="00015C81">
        <w:rPr>
          <w:i/>
          <w:iCs/>
        </w:rPr>
        <w:t>2020 Form 499 Public Notice</w:t>
      </w:r>
      <w:r>
        <w:t xml:space="preserve">, 35 FCC </w:t>
      </w:r>
      <w:r>
        <w:t>Rcd</w:t>
      </w:r>
      <w:r>
        <w:t xml:space="preserve"> at 1350</w:t>
      </w:r>
      <w:r w:rsidRPr="00015C81">
        <w:t xml:space="preserve">.  While the Commission permits revisions to Worksheets in certain circumstances, </w:t>
      </w:r>
      <w:r w:rsidRPr="00015C81">
        <w:rPr>
          <w:i/>
          <w:iCs/>
        </w:rPr>
        <w:t xml:space="preserve">see </w:t>
      </w:r>
      <w:r>
        <w:rPr>
          <w:i/>
          <w:iCs/>
        </w:rPr>
        <w:t xml:space="preserve">id. </w:t>
      </w:r>
      <w:r>
        <w:t xml:space="preserve">at 1373-74, </w:t>
      </w:r>
      <w:r w:rsidRPr="00C32E6A">
        <w:t>that opportunity does</w:t>
      </w:r>
      <w:r w:rsidRPr="00635BC7">
        <w:t xml:space="preserve"> not affect the </w:t>
      </w:r>
      <w:r w:rsidRPr="006D00E3">
        <w:t>separate requirement to sub</w:t>
      </w:r>
      <w:r w:rsidRPr="00015C81">
        <w:t xml:space="preserve">mit accurate information in the first instance to the best of the filer’s knowledge, information and belief.  </w:t>
      </w:r>
      <w:r w:rsidRPr="00015C81">
        <w:rPr>
          <w:i/>
          <w:iCs/>
        </w:rPr>
        <w:t>See</w:t>
      </w:r>
      <w:r>
        <w:rPr>
          <w:i/>
          <w:iCs/>
        </w:rPr>
        <w:t xml:space="preserve"> id.</w:t>
      </w:r>
      <w:r>
        <w:t xml:space="preserve"> at 1350</w:t>
      </w:r>
      <w:r w:rsidRPr="00015C81">
        <w:t>.</w:t>
      </w:r>
    </w:p>
  </w:footnote>
  <w:footnote w:id="14">
    <w:p w:rsidR="00D10C93" w:rsidRPr="00635BC7" w:rsidP="00D10C93" w14:paraId="6F99F00C" w14:textId="77777777">
      <w:pPr>
        <w:pStyle w:val="FootnoteText"/>
      </w:pPr>
      <w:r w:rsidRPr="00C32E6A">
        <w:rPr>
          <w:rStyle w:val="FootnoteReference"/>
        </w:rPr>
        <w:footnoteRef/>
      </w:r>
      <w:r w:rsidRPr="00C32E6A">
        <w:t xml:space="preserve"> 47 </w:t>
      </w:r>
      <w:r w:rsidRPr="00635BC7">
        <w:t>CFR</w:t>
      </w:r>
      <w:r w:rsidRPr="006D00E3">
        <w:t xml:space="preserve"> </w:t>
      </w:r>
      <w:r w:rsidRPr="006D00E3">
        <w:rPr>
          <w:shd w:val="clear" w:color="auto" w:fill="FFFFFF"/>
        </w:rPr>
        <w:t xml:space="preserve">at </w:t>
      </w:r>
      <w:r w:rsidRPr="006D00E3">
        <w:t>§ 54.711(a)</w:t>
      </w:r>
      <w:r w:rsidRPr="00015C81">
        <w:t xml:space="preserve">; </w:t>
      </w:r>
      <w:r w:rsidRPr="00015C81">
        <w:rPr>
          <w:i/>
          <w:iCs/>
        </w:rPr>
        <w:t>see also</w:t>
      </w:r>
      <w:r w:rsidRPr="00015C81">
        <w:t xml:space="preserve"> </w:t>
      </w:r>
      <w:r w:rsidRPr="00015C81">
        <w:rPr>
          <w:i/>
          <w:iCs/>
          <w:shd w:val="clear" w:color="auto" w:fill="FFFFFF"/>
        </w:rPr>
        <w:t xml:space="preserve">id. </w:t>
      </w:r>
      <w:r w:rsidRPr="00015C81">
        <w:rPr>
          <w:shd w:val="clear" w:color="auto" w:fill="FFFFFF"/>
        </w:rPr>
        <w:t xml:space="preserve">at </w:t>
      </w:r>
      <w:r w:rsidRPr="00015C81">
        <w:t xml:space="preserve">§ 54.707 (providing that </w:t>
      </w:r>
      <w:r w:rsidRPr="00015C81">
        <w:t>USAC</w:t>
      </w:r>
      <w:r w:rsidRPr="00015C81">
        <w:t xml:space="preserve"> has the authority to </w:t>
      </w:r>
      <w:r w:rsidRPr="00015C81">
        <w:rPr>
          <w:shd w:val="clear" w:color="auto" w:fill="FFFFFF"/>
        </w:rPr>
        <w:t xml:space="preserve">audit contributors reporting data to </w:t>
      </w:r>
      <w:r w:rsidRPr="00015C81">
        <w:rPr>
          <w:shd w:val="clear" w:color="auto" w:fill="FFFFFF"/>
        </w:rPr>
        <w:t>USAC</w:t>
      </w:r>
      <w:r w:rsidRPr="00C32E6A">
        <w:t xml:space="preserve">). </w:t>
      </w:r>
    </w:p>
  </w:footnote>
  <w:footnote w:id="15">
    <w:p w:rsidR="00D10C93" w:rsidRPr="00015C81" w:rsidP="00D10C93" w14:paraId="7F9ADE49" w14:textId="77777777">
      <w:pPr>
        <w:pStyle w:val="FootnoteText"/>
      </w:pPr>
      <w:r w:rsidRPr="00C32E6A">
        <w:rPr>
          <w:rStyle w:val="FootnoteReference"/>
        </w:rPr>
        <w:footnoteRef/>
      </w:r>
      <w:r w:rsidRPr="00C32E6A">
        <w:t xml:space="preserve"> </w:t>
      </w:r>
      <w:r w:rsidRPr="00635BC7">
        <w:rPr>
          <w:i/>
          <w:iCs/>
        </w:rPr>
        <w:t>Id</w:t>
      </w:r>
      <w:r w:rsidRPr="006D00E3">
        <w:t xml:space="preserve">. at § 54.711(a).  </w:t>
      </w:r>
      <w:r w:rsidRPr="00015C81">
        <w:rPr>
          <w:shd w:val="clear" w:color="auto" w:fill="FFFFFF"/>
        </w:rPr>
        <w:t xml:space="preserve">Additionally, under section 54.706(e) of the </w:t>
      </w:r>
      <w:r w:rsidRPr="00015C81">
        <w:t>Commission’s rules</w:t>
      </w:r>
      <w:r w:rsidRPr="00015C81">
        <w:rPr>
          <w:shd w:val="clear" w:color="auto" w:fill="FFFFFF"/>
        </w:rPr>
        <w:t xml:space="preserve">, any entity required to contribute to the USF shall retain, for at least five years from the date of the contribution, all records that may be required to demonstrate to auditors </w:t>
      </w:r>
      <w:r w:rsidRPr="00C32E6A">
        <w:rPr>
          <w:shd w:val="clear" w:color="auto" w:fill="FFFFFF"/>
        </w:rPr>
        <w:t xml:space="preserve">that </w:t>
      </w:r>
      <w:r w:rsidRPr="00635BC7">
        <w:rPr>
          <w:shd w:val="clear" w:color="auto" w:fill="FFFFFF"/>
        </w:rPr>
        <w:t>t</w:t>
      </w:r>
      <w:r w:rsidRPr="006D00E3">
        <w:rPr>
          <w:shd w:val="clear" w:color="auto" w:fill="FFFFFF"/>
        </w:rPr>
        <w:t>he contributions made</w:t>
      </w:r>
      <w:r w:rsidRPr="00015C81">
        <w:rPr>
          <w:shd w:val="clear" w:color="auto" w:fill="FFFFFF"/>
        </w:rPr>
        <w:t xml:space="preserve"> were in compliance with the Commission’s </w:t>
      </w:r>
      <w:r>
        <w:rPr>
          <w:shd w:val="clear" w:color="auto" w:fill="FFFFFF"/>
        </w:rPr>
        <w:t xml:space="preserve">universal service </w:t>
      </w:r>
      <w:r w:rsidRPr="00015C81">
        <w:rPr>
          <w:shd w:val="clear" w:color="auto" w:fill="FFFFFF"/>
        </w:rPr>
        <w:t xml:space="preserve">rules. These records include without limitation the following:  financial statements and supporting documentation; accounting records; historical customer records; general ledgers; and any other relevant documentation.  </w:t>
      </w:r>
      <w:r w:rsidRPr="00015C81">
        <w:rPr>
          <w:i/>
          <w:iCs/>
          <w:shd w:val="clear" w:color="auto" w:fill="FFFFFF"/>
        </w:rPr>
        <w:t xml:space="preserve">Id. </w:t>
      </w:r>
      <w:r w:rsidRPr="00015C81">
        <w:rPr>
          <w:shd w:val="clear" w:color="auto" w:fill="FFFFFF"/>
        </w:rPr>
        <w:t xml:space="preserve">at </w:t>
      </w:r>
      <w:r w:rsidRPr="00015C81">
        <w:t xml:space="preserve">§ </w:t>
      </w:r>
      <w:r w:rsidRPr="00015C81">
        <w:rPr>
          <w:shd w:val="clear" w:color="auto" w:fill="FFFFFF"/>
        </w:rPr>
        <w:t>54.706(e).</w:t>
      </w:r>
      <w:r w:rsidRPr="00015C81">
        <w:t xml:space="preserve">  </w:t>
      </w:r>
    </w:p>
  </w:footnote>
  <w:footnote w:id="16">
    <w:p w:rsidR="00D10C93" w:rsidRPr="006D00E3" w:rsidP="00D10C93" w14:paraId="734EA64E" w14:textId="77777777">
      <w:pPr>
        <w:pStyle w:val="FootnoteText"/>
      </w:pPr>
      <w:r w:rsidRPr="00C32E6A">
        <w:rPr>
          <w:rStyle w:val="FootnoteReference"/>
        </w:rPr>
        <w:footnoteRef/>
      </w:r>
      <w:r w:rsidRPr="00C32E6A">
        <w:t xml:space="preserve"> </w:t>
      </w:r>
      <w:r w:rsidRPr="00635BC7">
        <w:rPr>
          <w:i/>
        </w:rPr>
        <w:t>Matt</w:t>
      </w:r>
      <w:r w:rsidRPr="006D00E3">
        <w:rPr>
          <w:i/>
        </w:rPr>
        <w:t>er of Federal-State Board on Universal Serv</w:t>
      </w:r>
      <w:r w:rsidRPr="00015C81">
        <w:rPr>
          <w:i/>
        </w:rPr>
        <w:t>ice</w:t>
      </w:r>
      <w:r w:rsidRPr="00015C81">
        <w:t xml:space="preserve">, Report and Order and Second Further Notice of Proposed Rulemaking, </w:t>
      </w:r>
      <w:r w:rsidRPr="00C32E6A">
        <w:t>17</w:t>
      </w:r>
      <w:r w:rsidRPr="00635BC7">
        <w:t xml:space="preserve"> FCC </w:t>
      </w:r>
      <w:r w:rsidRPr="006D00E3">
        <w:t>Rcd</w:t>
      </w:r>
      <w:r w:rsidRPr="006D00E3">
        <w:t xml:space="preserve"> 24952, 25791, </w:t>
      </w:r>
      <w:r w:rsidRPr="00015C81">
        <w:t>para. 34 (2002) (</w:t>
      </w:r>
      <w:r w:rsidRPr="00015C81">
        <w:rPr>
          <w:i/>
          <w:iCs/>
        </w:rPr>
        <w:t>2002 Report and Order and Second Further Notice of Proposed Rulemaking</w:t>
      </w:r>
      <w:r w:rsidRPr="00C32E6A">
        <w:t>)</w:t>
      </w:r>
      <w:r w:rsidRPr="00635BC7">
        <w:t>.</w:t>
      </w:r>
    </w:p>
  </w:footnote>
  <w:footnote w:id="17">
    <w:p w:rsidR="00D10C93" w:rsidRPr="00015C81" w:rsidP="00D10C93" w14:paraId="2B4EEE0E" w14:textId="77777777">
      <w:pPr>
        <w:pStyle w:val="FootnoteText"/>
      </w:pPr>
      <w:r w:rsidRPr="00C32E6A">
        <w:rPr>
          <w:rStyle w:val="FootnoteReference"/>
        </w:rPr>
        <w:footnoteRef/>
      </w:r>
      <w:r w:rsidRPr="00C32E6A">
        <w:t xml:space="preserve"> </w:t>
      </w:r>
      <w:r w:rsidRPr="00635BC7">
        <w:rPr>
          <w:i/>
          <w:iCs/>
        </w:rPr>
        <w:t>Se</w:t>
      </w:r>
      <w:r w:rsidRPr="006D00E3">
        <w:rPr>
          <w:i/>
          <w:iCs/>
        </w:rPr>
        <w:t xml:space="preserve">e </w:t>
      </w:r>
      <w:r w:rsidRPr="006D00E3">
        <w:t>47 CF</w:t>
      </w:r>
      <w:r w:rsidRPr="00015C81">
        <w:t xml:space="preserve">R § 54.711(a); </w:t>
      </w:r>
      <w:r w:rsidRPr="00015C81">
        <w:rPr>
          <w:i/>
          <w:iCs/>
        </w:rPr>
        <w:t>see also id.</w:t>
      </w:r>
      <w:r w:rsidRPr="00015C81">
        <w:t xml:space="preserve"> at § 54.706(e).</w:t>
      </w:r>
    </w:p>
  </w:footnote>
  <w:footnote w:id="18">
    <w:p w:rsidR="00D10C93" w:rsidRPr="00015C81" w:rsidP="00D10C93" w14:paraId="0E0F6256" w14:textId="77777777">
      <w:pPr>
        <w:pStyle w:val="FootnoteText"/>
      </w:pPr>
      <w:r w:rsidRPr="00C32E6A">
        <w:rPr>
          <w:rStyle w:val="FootnoteReference"/>
        </w:rPr>
        <w:footnoteRef/>
      </w:r>
      <w:r w:rsidRPr="00C32E6A">
        <w:t xml:space="preserve"> </w:t>
      </w:r>
      <w:r w:rsidRPr="00635BC7">
        <w:t xml:space="preserve">The </w:t>
      </w:r>
      <w:r w:rsidRPr="006D00E3">
        <w:t>effective</w:t>
      </w:r>
      <w:r w:rsidRPr="00015C81">
        <w:t xml:space="preserve"> administration of Telecommunications Relay Service, </w:t>
      </w:r>
      <w:r w:rsidRPr="00015C81">
        <w:rPr>
          <w:i/>
          <w:iCs/>
        </w:rPr>
        <w:t xml:space="preserve">see </w:t>
      </w:r>
      <w:r w:rsidRPr="00015C81">
        <w:t xml:space="preserve">47 CFR § 64.604; Local Number Portability, </w:t>
      </w:r>
      <w:r w:rsidRPr="00015C81">
        <w:rPr>
          <w:i/>
          <w:iCs/>
        </w:rPr>
        <w:t xml:space="preserve">see </w:t>
      </w:r>
      <w:r w:rsidRPr="00015C81">
        <w:t xml:space="preserve">47 CFR § 52.32; the North American Numbering Plan, </w:t>
      </w:r>
      <w:r w:rsidRPr="00015C81">
        <w:rPr>
          <w:i/>
          <w:iCs/>
        </w:rPr>
        <w:t xml:space="preserve">see </w:t>
      </w:r>
      <w:r w:rsidRPr="00015C81">
        <w:t xml:space="preserve">47 CFR § 52.17; and federal regulatory fees, </w:t>
      </w:r>
      <w:r w:rsidRPr="00015C81">
        <w:rPr>
          <w:i/>
          <w:iCs/>
        </w:rPr>
        <w:t xml:space="preserve">see </w:t>
      </w:r>
      <w:r w:rsidRPr="00015C81">
        <w:t xml:space="preserve">47 CFR </w:t>
      </w:r>
      <w:r w:rsidRPr="00015C81">
        <w:rPr>
          <w:lang w:val="es-ES_tradnl"/>
        </w:rPr>
        <w:t xml:space="preserve">§§ </w:t>
      </w:r>
      <w:r w:rsidRPr="00015C81">
        <w:t xml:space="preserve">1.1154, </w:t>
      </w:r>
      <w:r w:rsidRPr="00015C81">
        <w:rPr>
          <w:lang w:val="es-ES_tradnl"/>
        </w:rPr>
        <w:t xml:space="preserve">1.1157, </w:t>
      </w:r>
      <w:r w:rsidRPr="00015C81">
        <w:t>rely on the accuracy of the Worksheets.</w:t>
      </w:r>
    </w:p>
  </w:footnote>
  <w:footnote w:id="19">
    <w:p w:rsidR="00D10C93" w:rsidRPr="006D00E3" w:rsidP="00D10C93" w14:paraId="7F3C2926" w14:textId="77777777">
      <w:pPr>
        <w:pStyle w:val="FootnoteText"/>
      </w:pPr>
      <w:r w:rsidRPr="00C32E6A">
        <w:rPr>
          <w:rStyle w:val="FootnoteReference"/>
        </w:rPr>
        <w:footnoteRef/>
      </w:r>
      <w:r w:rsidRPr="00C32E6A">
        <w:t xml:space="preserve"> 47 U.S.C. </w:t>
      </w:r>
      <w:r w:rsidRPr="00635BC7">
        <w:t>§ 254(d).</w:t>
      </w:r>
    </w:p>
  </w:footnote>
  <w:footnote w:id="20">
    <w:p w:rsidR="00D10C93" w:rsidRPr="00015C81" w:rsidP="00D10C93" w14:paraId="42038194" w14:textId="2CAF4318">
      <w:pPr>
        <w:pStyle w:val="FootnoteText"/>
      </w:pPr>
      <w:r w:rsidRPr="00C32E6A">
        <w:rPr>
          <w:rStyle w:val="FootnoteReference"/>
        </w:rPr>
        <w:footnoteRef/>
      </w:r>
      <w:r w:rsidRPr="00C32E6A">
        <w:t xml:space="preserve"> Letter fr</w:t>
      </w:r>
      <w:r w:rsidRPr="00635BC7">
        <w:t>om</w:t>
      </w:r>
      <w:r w:rsidRPr="006D00E3">
        <w:t xml:space="preserve"> Jacquelin</w:t>
      </w:r>
      <w:r w:rsidRPr="00015C81">
        <w:t xml:space="preserve">e Neff, </w:t>
      </w:r>
      <w:r w:rsidRPr="00015C81">
        <w:t>Marashlian</w:t>
      </w:r>
      <w:r w:rsidRPr="00015C81">
        <w:t xml:space="preserve"> &amp; Donahue, </w:t>
      </w:r>
      <w:r w:rsidRPr="00015C81">
        <w:t>PLLC</w:t>
      </w:r>
      <w:r w:rsidRPr="00015C81">
        <w:t xml:space="preserve">, Counsel to </w:t>
      </w:r>
      <w:r w:rsidRPr="00015C81">
        <w:rPr>
          <w:szCs w:val="24"/>
        </w:rPr>
        <w:t xml:space="preserve">US South Communications, Inc. d/b/a US South &amp; </w:t>
      </w:r>
      <w:r w:rsidRPr="00015C81">
        <w:rPr>
          <w:szCs w:val="24"/>
        </w:rPr>
        <w:t>IWCOMM</w:t>
      </w:r>
      <w:r w:rsidRPr="00015C81">
        <w:rPr>
          <w:spacing w:val="-2"/>
          <w:szCs w:val="22"/>
        </w:rPr>
        <w:t xml:space="preserve"> to Marlene Dortch, Secretary, FCC at 1 (Ma</w:t>
      </w:r>
      <w:r w:rsidR="008777F6">
        <w:rPr>
          <w:spacing w:val="-2"/>
          <w:szCs w:val="22"/>
        </w:rPr>
        <w:t>r.</w:t>
      </w:r>
      <w:r w:rsidRPr="00015C81">
        <w:rPr>
          <w:spacing w:val="-2"/>
          <w:szCs w:val="22"/>
        </w:rPr>
        <w:t xml:space="preserve"> 10, 2020) (</w:t>
      </w:r>
      <w:r w:rsidRPr="00015C81">
        <w:rPr>
          <w:spacing w:val="-2"/>
          <w:szCs w:val="22"/>
        </w:rPr>
        <w:t>LOI</w:t>
      </w:r>
      <w:r w:rsidRPr="00015C81">
        <w:rPr>
          <w:spacing w:val="-2"/>
          <w:szCs w:val="22"/>
        </w:rPr>
        <w:t xml:space="preserve"> Response) (on file in EB-IHD-20-00030537).  </w:t>
      </w:r>
    </w:p>
  </w:footnote>
  <w:footnote w:id="21">
    <w:p w:rsidR="00D10C93" w:rsidRPr="006D00E3" w:rsidP="00D10C93" w14:paraId="1B8EDE77" w14:textId="77777777">
      <w:pPr>
        <w:pStyle w:val="FootnoteText"/>
        <w:rPr>
          <w:i/>
          <w:iCs/>
        </w:rPr>
      </w:pPr>
      <w:r w:rsidRPr="00C32E6A">
        <w:rPr>
          <w:rStyle w:val="FootnoteReference"/>
        </w:rPr>
        <w:footnoteRef/>
      </w:r>
      <w:r w:rsidRPr="00C32E6A">
        <w:t xml:space="preserve"> </w:t>
      </w:r>
      <w:r w:rsidRPr="00635BC7">
        <w:rPr>
          <w:i/>
          <w:iCs/>
        </w:rPr>
        <w:t>Id.</w:t>
      </w:r>
    </w:p>
  </w:footnote>
  <w:footnote w:id="22">
    <w:p w:rsidR="00D10C93" w:rsidRPr="00015C81" w:rsidP="00D10C93" w14:paraId="52F92A96" w14:textId="77777777">
      <w:pPr>
        <w:pStyle w:val="FootnoteText"/>
      </w:pPr>
      <w:r w:rsidRPr="00C32E6A">
        <w:rPr>
          <w:rStyle w:val="FootnoteReference"/>
        </w:rPr>
        <w:footnoteRef/>
      </w:r>
      <w:r w:rsidRPr="00C32E6A">
        <w:t xml:space="preserve"> </w:t>
      </w:r>
      <w:r w:rsidRPr="00635BC7">
        <w:rPr>
          <w:i/>
          <w:iCs/>
        </w:rPr>
        <w:t>Id.</w:t>
      </w:r>
      <w:r w:rsidRPr="006D00E3">
        <w:t xml:space="preserve"> at 1</w:t>
      </w:r>
      <w:r w:rsidRPr="00015C81">
        <w:t xml:space="preserve">-2 (stating US South “is in good standing in the District of Columbia and all states, with the exception of Delaware, Georgia, Maryland, North Carolina, and Rhode Island” and “US South is working diligently to return its status to good standing in these states.”). </w:t>
      </w:r>
    </w:p>
  </w:footnote>
  <w:footnote w:id="23">
    <w:p w:rsidR="00D10C93" w:rsidRPr="00015C81" w:rsidP="00D10C93" w14:paraId="3BE38E8A" w14:textId="77777777">
      <w:pPr>
        <w:pStyle w:val="FootnoteText"/>
      </w:pPr>
      <w:r w:rsidRPr="00C32E6A">
        <w:rPr>
          <w:rStyle w:val="FootnoteReference"/>
        </w:rPr>
        <w:footnoteRef/>
      </w:r>
      <w:r w:rsidRPr="00C32E6A">
        <w:t xml:space="preserve"> </w:t>
      </w:r>
      <w:r w:rsidRPr="00635BC7">
        <w:rPr>
          <w:i/>
          <w:iCs/>
        </w:rPr>
        <w:t>See Inter</w:t>
      </w:r>
      <w:r w:rsidRPr="006D00E3">
        <w:rPr>
          <w:i/>
          <w:iCs/>
        </w:rPr>
        <w:t>national Author</w:t>
      </w:r>
      <w:r w:rsidRPr="00015C81">
        <w:rPr>
          <w:i/>
          <w:iCs/>
        </w:rPr>
        <w:t>izations Granted</w:t>
      </w:r>
      <w:r w:rsidRPr="00015C81">
        <w:t xml:space="preserve">, Public Notice, 23 FCC </w:t>
      </w:r>
      <w:r w:rsidRPr="00015C81">
        <w:t>Rcd</w:t>
      </w:r>
      <w:r w:rsidRPr="00015C81">
        <w:t xml:space="preserve"> 10421 (2008) (granting consent to transfer control of the Commission’s international section 214 authorization held by US South from </w:t>
      </w:r>
      <w:r w:rsidRPr="00015C81">
        <w:t>InComm</w:t>
      </w:r>
      <w:r w:rsidRPr="00015C81">
        <w:t xml:space="preserve"> Holdings, Inc. (</w:t>
      </w:r>
      <w:r w:rsidRPr="00015C81">
        <w:t>InComm</w:t>
      </w:r>
      <w:r w:rsidRPr="00015C81">
        <w:t xml:space="preserve">) to First Data Corporation (First Data), consistent with an April 2008 merger agreement).  </w:t>
      </w:r>
      <w:r w:rsidRPr="00015C81">
        <w:rPr>
          <w:shd w:val="clear" w:color="auto" w:fill="FFFFFF"/>
        </w:rPr>
        <w:t xml:space="preserve">Under the merger, </w:t>
      </w:r>
      <w:r w:rsidRPr="00015C81">
        <w:rPr>
          <w:shd w:val="clear" w:color="auto" w:fill="FFFFFF"/>
        </w:rPr>
        <w:t>InComm</w:t>
      </w:r>
      <w:r w:rsidRPr="00015C81">
        <w:rPr>
          <w:shd w:val="clear" w:color="auto" w:fill="FFFFFF"/>
        </w:rPr>
        <w:t xml:space="preserve"> apparently became a wholly owned subsidiary, and U.S. South became an indirect, wholly owned subsidiary, of First Data Merchant Services Corporation, an indirect, wholly owned subsidiary of </w:t>
      </w:r>
      <w:r w:rsidRPr="00015C81">
        <w:t>First Data</w:t>
      </w:r>
      <w:r w:rsidRPr="00015C81">
        <w:rPr>
          <w:shd w:val="clear" w:color="auto" w:fill="FFFFFF"/>
        </w:rPr>
        <w:t xml:space="preserve">, which is in turn a wholly owned subsidiary of First Data Holdings, Inc.  </w:t>
      </w:r>
      <w:r w:rsidRPr="00015C81">
        <w:rPr>
          <w:i/>
          <w:iCs/>
          <w:shd w:val="clear" w:color="auto" w:fill="FFFFFF"/>
        </w:rPr>
        <w:t xml:space="preserve">Id. </w:t>
      </w:r>
      <w:r w:rsidRPr="00015C81">
        <w:rPr>
          <w:shd w:val="clear" w:color="auto" w:fill="FFFFFF"/>
        </w:rPr>
        <w:t xml:space="preserve">at 10423. </w:t>
      </w:r>
      <w:r>
        <w:rPr>
          <w:shd w:val="clear" w:color="auto" w:fill="FFFFFF"/>
        </w:rPr>
        <w:t xml:space="preserve"> </w:t>
      </w:r>
      <w:r w:rsidRPr="00015C81">
        <w:t xml:space="preserve">Domestic section 214 authorization is deemed granted for a </w:t>
      </w:r>
      <w:r w:rsidRPr="00015C81">
        <w:rPr>
          <w:shd w:val="clear" w:color="auto" w:fill="FFFFFF"/>
        </w:rPr>
        <w:t>domestic interstate communications common carrier</w:t>
      </w:r>
      <w:r w:rsidRPr="00015C81">
        <w:rPr>
          <w:rFonts w:ascii="Arial" w:hAnsi="Arial" w:cs="Arial"/>
          <w:sz w:val="21"/>
          <w:szCs w:val="21"/>
          <w:shd w:val="clear" w:color="auto" w:fill="FFFFFF"/>
        </w:rPr>
        <w:t xml:space="preserve"> </w:t>
      </w:r>
      <w:r w:rsidRPr="00C32E6A">
        <w:t>under section 63</w:t>
      </w:r>
      <w:r w:rsidRPr="00AF35C9">
        <w:t>.01 of th</w:t>
      </w:r>
      <w:r w:rsidRPr="00635BC7">
        <w:t xml:space="preserve">e </w:t>
      </w:r>
      <w:r w:rsidRPr="006D00E3">
        <w:t>Commission’</w:t>
      </w:r>
      <w:r w:rsidRPr="00015C81">
        <w:t>s rules, 47 CFR § 63.01.</w:t>
      </w:r>
    </w:p>
  </w:footnote>
  <w:footnote w:id="24">
    <w:p w:rsidR="00D10C93" w:rsidRPr="00015C81" w:rsidP="00D10C93" w14:paraId="23E01A01" w14:textId="77777777">
      <w:pPr>
        <w:pStyle w:val="FootnoteText"/>
      </w:pPr>
      <w:r w:rsidRPr="00C32E6A">
        <w:rPr>
          <w:rStyle w:val="FootnoteReference"/>
        </w:rPr>
        <w:footnoteRef/>
      </w:r>
      <w:r w:rsidRPr="00C32E6A">
        <w:t xml:space="preserve"> </w:t>
      </w:r>
      <w:r w:rsidRPr="00AF35C9">
        <w:rPr>
          <w:spacing w:val="-2"/>
          <w:szCs w:val="22"/>
        </w:rPr>
        <w:t>LOI</w:t>
      </w:r>
      <w:r w:rsidRPr="00AF35C9">
        <w:rPr>
          <w:spacing w:val="-2"/>
          <w:szCs w:val="22"/>
        </w:rPr>
        <w:t xml:space="preserve"> Response</w:t>
      </w:r>
      <w:r w:rsidRPr="00635BC7">
        <w:rPr>
          <w:i/>
          <w:iCs/>
        </w:rPr>
        <w:t xml:space="preserve"> </w:t>
      </w:r>
      <w:r w:rsidRPr="006D00E3">
        <w:t>at 3</w:t>
      </w:r>
      <w:r w:rsidRPr="00015C81">
        <w:t xml:space="preserve">.  An affiliate of US South, </w:t>
      </w:r>
      <w:r w:rsidRPr="00015C81">
        <w:t>NuAccess</w:t>
      </w:r>
      <w:r w:rsidRPr="00015C81">
        <w:t xml:space="preserve"> Networks, Inc., is also registered with the Commission as a non-interconnected VoIP provider.  </w:t>
      </w:r>
      <w:r w:rsidRPr="00015C81">
        <w:rPr>
          <w:i/>
          <w:iCs/>
        </w:rPr>
        <w:t>Id.</w:t>
      </w:r>
      <w:r>
        <w:rPr>
          <w:i/>
          <w:iCs/>
        </w:rPr>
        <w:t xml:space="preserve">  </w:t>
      </w:r>
      <w:r>
        <w:t xml:space="preserve">The Company provides its wholesale services pursuant to individually negotiated contracts with carrier customers.  </w:t>
      </w:r>
      <w:r w:rsidRPr="00AF35C9">
        <w:rPr>
          <w:i/>
          <w:iCs/>
        </w:rPr>
        <w:t>Id.</w:t>
      </w:r>
      <w:r>
        <w:t xml:space="preserve">  “Prior to 2016, US South provided residential and commercial long-distance calling services on a common carriage basis to individual consumers and enterprise customers.”  </w:t>
      </w:r>
      <w:r>
        <w:rPr>
          <w:i/>
          <w:iCs/>
        </w:rPr>
        <w:t>Id.</w:t>
      </w:r>
      <w:r w:rsidRPr="00015C81">
        <w:rPr>
          <w:i/>
          <w:iCs/>
        </w:rPr>
        <w:t xml:space="preserve"> </w:t>
      </w:r>
    </w:p>
  </w:footnote>
  <w:footnote w:id="25">
    <w:p w:rsidR="00D10C93" w:rsidRPr="00015C81" w:rsidP="00D10C93" w14:paraId="675251FB" w14:textId="0A0C30C1">
      <w:pPr>
        <w:rPr>
          <w:rFonts w:eastAsia="PMingLiU"/>
          <w:sz w:val="20"/>
        </w:rPr>
      </w:pPr>
      <w:r w:rsidRPr="00C32E6A">
        <w:rPr>
          <w:rStyle w:val="FootnoteReference"/>
        </w:rPr>
        <w:footnoteRef/>
      </w:r>
      <w:r w:rsidRPr="00C32E6A">
        <w:t xml:space="preserve"> </w:t>
      </w:r>
      <w:r w:rsidRPr="00AF35C9">
        <w:rPr>
          <w:rStyle w:val="FootnoteTextCharChar1"/>
          <w:i/>
          <w:iCs/>
          <w:sz w:val="20"/>
        </w:rPr>
        <w:t>See</w:t>
      </w:r>
      <w:r w:rsidRPr="00635BC7">
        <w:rPr>
          <w:rStyle w:val="FootnoteTextCharChar1"/>
          <w:sz w:val="20"/>
        </w:rPr>
        <w:t xml:space="preserve"> </w:t>
      </w:r>
      <w:r w:rsidRPr="006D00E3">
        <w:rPr>
          <w:rStyle w:val="FootnoteTextCharChar1"/>
          <w:sz w:val="20"/>
        </w:rPr>
        <w:t>Letter from T</w:t>
      </w:r>
      <w:r w:rsidRPr="00015C81">
        <w:rPr>
          <w:rStyle w:val="FootnoteTextCharChar1"/>
          <w:sz w:val="20"/>
        </w:rPr>
        <w:t xml:space="preserve">racey </w:t>
      </w:r>
      <w:r w:rsidRPr="00015C81">
        <w:rPr>
          <w:rStyle w:val="FootnoteTextCharChar1"/>
          <w:sz w:val="20"/>
        </w:rPr>
        <w:t>Pilsch</w:t>
      </w:r>
      <w:r w:rsidRPr="00015C81">
        <w:rPr>
          <w:rStyle w:val="FootnoteTextCharChar1"/>
          <w:sz w:val="20"/>
        </w:rPr>
        <w:t xml:space="preserve">, </w:t>
      </w:r>
      <w:r w:rsidRPr="00015C81">
        <w:rPr>
          <w:sz w:val="20"/>
        </w:rPr>
        <w:t>Manager of Contributor Operations, 499 Team, Finance, Universal Services Administrative Company to David Janas, Special Counsel, Investigations &amp; Hearings Division, FCC Enforcement Bureau</w:t>
      </w:r>
      <w:r w:rsidRPr="00015C81">
        <w:rPr>
          <w:rStyle w:val="FootnoteTextCharChar1"/>
          <w:sz w:val="20"/>
        </w:rPr>
        <w:t xml:space="preserve"> (</w:t>
      </w:r>
      <w:r w:rsidR="008777F6">
        <w:rPr>
          <w:rStyle w:val="FootnoteTextCharChar1"/>
          <w:sz w:val="20"/>
        </w:rPr>
        <w:t>Oct.</w:t>
      </w:r>
      <w:r>
        <w:rPr>
          <w:rStyle w:val="FootnoteTextCharChar1"/>
          <w:sz w:val="20"/>
        </w:rPr>
        <w:t xml:space="preserve"> 21, 2020</w:t>
      </w:r>
      <w:r w:rsidRPr="00AF35C9">
        <w:rPr>
          <w:rStyle w:val="FootnoteTextCharChar1"/>
          <w:sz w:val="20"/>
        </w:rPr>
        <w:t xml:space="preserve">) </w:t>
      </w:r>
      <w:r w:rsidRPr="00635BC7">
        <w:rPr>
          <w:rStyle w:val="FootnoteTextCharChar1"/>
          <w:sz w:val="20"/>
        </w:rPr>
        <w:t>(</w:t>
      </w:r>
      <w:r w:rsidRPr="006D00E3">
        <w:rPr>
          <w:rStyle w:val="FootnoteTextCharChar1"/>
          <w:sz w:val="20"/>
        </w:rPr>
        <w:t>USAC</w:t>
      </w:r>
      <w:r w:rsidRPr="006D00E3">
        <w:rPr>
          <w:rStyle w:val="FootnoteTextCharChar1"/>
          <w:sz w:val="20"/>
        </w:rPr>
        <w:t xml:space="preserve"> </w:t>
      </w:r>
      <w:r>
        <w:rPr>
          <w:rStyle w:val="FootnoteTextCharChar1"/>
          <w:sz w:val="20"/>
        </w:rPr>
        <w:t>October 21, 2020</w:t>
      </w:r>
      <w:r w:rsidRPr="00C32E6A">
        <w:rPr>
          <w:rStyle w:val="FootnoteTextCharChar1"/>
          <w:sz w:val="20"/>
        </w:rPr>
        <w:t xml:space="preserve"> </w:t>
      </w:r>
      <w:r w:rsidRPr="00AF35C9">
        <w:rPr>
          <w:rStyle w:val="FootnoteTextCharChar1"/>
          <w:sz w:val="20"/>
        </w:rPr>
        <w:t>Letter</w:t>
      </w:r>
      <w:r w:rsidRPr="00635BC7">
        <w:rPr>
          <w:rStyle w:val="FootnoteTextCharChar1"/>
          <w:sz w:val="20"/>
        </w:rPr>
        <w:t>)</w:t>
      </w:r>
      <w:r w:rsidRPr="006D00E3">
        <w:t xml:space="preserve"> </w:t>
      </w:r>
      <w:r w:rsidRPr="006D00E3">
        <w:rPr>
          <w:sz w:val="20"/>
        </w:rPr>
        <w:t>(</w:t>
      </w:r>
      <w:r w:rsidRPr="00015C81">
        <w:rPr>
          <w:rStyle w:val="FootnoteTextCharChar1"/>
          <w:sz w:val="20"/>
        </w:rPr>
        <w:t>on file in EB-IHD-20-00030537</w:t>
      </w:r>
      <w:r w:rsidRPr="00015C81">
        <w:rPr>
          <w:sz w:val="20"/>
        </w:rPr>
        <w:t>)</w:t>
      </w:r>
      <w:r w:rsidRPr="00015C81">
        <w:rPr>
          <w:rStyle w:val="FootnoteTextCharChar1"/>
          <w:sz w:val="20"/>
        </w:rPr>
        <w:t xml:space="preserve">. </w:t>
      </w:r>
    </w:p>
  </w:footnote>
  <w:footnote w:id="26">
    <w:p w:rsidR="00D10C93" w:rsidRPr="000C33AE" w:rsidP="00D10C93" w14:paraId="5C1FFE2C" w14:textId="77777777">
      <w:pPr>
        <w:pStyle w:val="FootnoteText"/>
      </w:pPr>
      <w:r>
        <w:rPr>
          <w:rStyle w:val="FootnoteReference"/>
        </w:rPr>
        <w:footnoteRef/>
      </w:r>
      <w:r>
        <w:t xml:space="preserve"> </w:t>
      </w:r>
      <w:bookmarkStart w:id="9" w:name="_Hlk53662811"/>
      <w:r>
        <w:rPr>
          <w:i/>
          <w:iCs/>
        </w:rPr>
        <w:t>Id.</w:t>
      </w:r>
      <w:r>
        <w:t xml:space="preserve"> </w:t>
      </w:r>
      <w:bookmarkEnd w:id="9"/>
      <w:r>
        <w:t>at 3.</w:t>
      </w:r>
    </w:p>
  </w:footnote>
  <w:footnote w:id="27">
    <w:p w:rsidR="00D10C93" w:rsidRPr="00015C81" w:rsidP="00D10C93" w14:paraId="5266BEB7" w14:textId="77777777">
      <w:pPr>
        <w:pStyle w:val="FootnoteText"/>
        <w:rPr>
          <w:i/>
          <w:iCs/>
        </w:rPr>
      </w:pPr>
      <w:r w:rsidRPr="00C32E6A">
        <w:rPr>
          <w:rStyle w:val="FootnoteReference"/>
        </w:rPr>
        <w:footnoteRef/>
      </w:r>
      <w:r w:rsidRPr="00C32E6A">
        <w:t xml:space="preserve"> </w:t>
      </w:r>
      <w:r>
        <w:rPr>
          <w:rStyle w:val="FootnoteTextCharChar1"/>
          <w:i/>
          <w:iCs/>
        </w:rPr>
        <w:t>I</w:t>
      </w:r>
      <w:r>
        <w:rPr>
          <w:i/>
          <w:iCs/>
        </w:rPr>
        <w:t>d.</w:t>
      </w:r>
      <w:r>
        <w:t xml:space="preserve"> </w:t>
      </w:r>
      <w:r w:rsidRPr="00015C81">
        <w:t xml:space="preserve">at </w:t>
      </w:r>
      <w:r>
        <w:t>1.</w:t>
      </w:r>
    </w:p>
  </w:footnote>
  <w:footnote w:id="28">
    <w:p w:rsidR="00D10C93" w:rsidRPr="00015C81" w:rsidP="00D10C93" w14:paraId="4AAF5F6D" w14:textId="77777777">
      <w:pPr>
        <w:pStyle w:val="FootnoteText"/>
      </w:pPr>
      <w:r w:rsidRPr="00C32E6A">
        <w:rPr>
          <w:rStyle w:val="FootnoteReference"/>
        </w:rPr>
        <w:footnoteRef/>
      </w:r>
      <w:r w:rsidRPr="00C32E6A">
        <w:t xml:space="preserve"> </w:t>
      </w:r>
      <w:r>
        <w:rPr>
          <w:rStyle w:val="FootnoteTextCharChar1"/>
          <w:i/>
          <w:iCs/>
        </w:rPr>
        <w:t>Id</w:t>
      </w:r>
      <w:r w:rsidRPr="00015C81">
        <w:rPr>
          <w:rStyle w:val="FootnoteTextCharChar1"/>
        </w:rPr>
        <w:t xml:space="preserve">.  </w:t>
      </w:r>
    </w:p>
  </w:footnote>
  <w:footnote w:id="29">
    <w:p w:rsidR="00D10C93" w:rsidP="00D10C93" w14:paraId="44ECB67C" w14:textId="77777777">
      <w:pPr>
        <w:pStyle w:val="FootnoteText"/>
      </w:pPr>
      <w:r>
        <w:rPr>
          <w:rStyle w:val="FootnoteReference"/>
        </w:rPr>
        <w:footnoteRef/>
      </w:r>
      <w:r>
        <w:t xml:space="preserve"> </w:t>
      </w:r>
      <w:r w:rsidRPr="00FF42A7">
        <w:rPr>
          <w:i/>
          <w:iCs/>
        </w:rPr>
        <w:t>Id</w:t>
      </w:r>
      <w:r>
        <w:t>.</w:t>
      </w:r>
    </w:p>
  </w:footnote>
  <w:footnote w:id="30">
    <w:p w:rsidR="00D10C93" w:rsidRPr="00015C81" w:rsidP="00D10C93" w14:paraId="48217D60" w14:textId="77777777">
      <w:pPr>
        <w:pStyle w:val="FootnoteText"/>
        <w:rPr>
          <w:i/>
          <w:iCs/>
        </w:rPr>
      </w:pPr>
      <w:r w:rsidRPr="00C32E6A">
        <w:rPr>
          <w:rStyle w:val="FootnoteReference"/>
        </w:rPr>
        <w:footnoteRef/>
      </w:r>
      <w:r w:rsidRPr="00C32E6A">
        <w:t xml:space="preserve"> </w:t>
      </w:r>
      <w:r w:rsidRPr="00635BC7">
        <w:rPr>
          <w:i/>
          <w:iCs/>
        </w:rPr>
        <w:t xml:space="preserve">Id.  </w:t>
      </w:r>
      <w:r w:rsidRPr="006D00E3">
        <w:t>On May 6, 2019, US South</w:t>
      </w:r>
      <w:r w:rsidRPr="00015C81">
        <w:t xml:space="preserve">’s representative replied to </w:t>
      </w:r>
      <w:r w:rsidRPr="00015C81">
        <w:t>USAC</w:t>
      </w:r>
      <w:r w:rsidRPr="00015C81">
        <w:t xml:space="preserve">, stating that the projected revenues were “based on a forecast that </w:t>
      </w:r>
      <w:r w:rsidRPr="00101702">
        <w:t xml:space="preserve">was not accurate” and the revenues reported in the revised 2018 Annual Worksheet “reflect the true traffic.”  </w:t>
      </w:r>
      <w:r w:rsidRPr="00101702">
        <w:rPr>
          <w:i/>
          <w:iCs/>
        </w:rPr>
        <w:t xml:space="preserve">Id.  </w:t>
      </w:r>
      <w:r>
        <w:t xml:space="preserve">The Company did not, however, provide the documentation supporting the revisions to their revenue.  </w:t>
      </w:r>
      <w:r>
        <w:rPr>
          <w:i/>
          <w:iCs/>
        </w:rPr>
        <w:t>See id.</w:t>
      </w:r>
      <w:r w:rsidRPr="00015C81">
        <w:rPr>
          <w:i/>
          <w:iCs/>
        </w:rPr>
        <w:t xml:space="preserve">  </w:t>
      </w:r>
    </w:p>
  </w:footnote>
  <w:footnote w:id="31">
    <w:p w:rsidR="00D10C93" w:rsidRPr="00CB118C" w:rsidP="00D10C93" w14:paraId="47D3ACE8" w14:textId="77777777">
      <w:pPr>
        <w:pStyle w:val="FootnoteText"/>
      </w:pPr>
      <w:r w:rsidRPr="00C32E6A">
        <w:rPr>
          <w:rStyle w:val="FootnoteReference"/>
        </w:rPr>
        <w:footnoteRef/>
      </w:r>
      <w:r w:rsidRPr="00C32E6A">
        <w:t xml:space="preserve"> </w:t>
      </w:r>
      <w:r w:rsidRPr="00635BC7">
        <w:rPr>
          <w:i/>
          <w:iCs/>
        </w:rPr>
        <w:t>I</w:t>
      </w:r>
      <w:r w:rsidRPr="006D00E3">
        <w:rPr>
          <w:i/>
          <w:iCs/>
        </w:rPr>
        <w:t>d</w:t>
      </w:r>
      <w:r w:rsidRPr="00CB118C">
        <w:t xml:space="preserve">.  </w:t>
      </w:r>
      <w:r>
        <w:t>USAC</w:t>
      </w:r>
      <w:r>
        <w:t xml:space="preserve"> reviews reseller documentation because a “wholesale service provider should exclude revenues from its contribution base only if it has ‘affirmative knowledge’ or a ‘reasonable expectation’ that its customer is contributing to the [USF].”  </w:t>
      </w:r>
      <w:r>
        <w:rPr>
          <w:i/>
          <w:iCs/>
        </w:rPr>
        <w:t xml:space="preserve">Universal Service Contribution </w:t>
      </w:r>
      <w:r w:rsidRPr="00457AC9">
        <w:rPr>
          <w:i/>
          <w:iCs/>
        </w:rPr>
        <w:t>Methodology</w:t>
      </w:r>
      <w:r>
        <w:t xml:space="preserve">, 27 FCC </w:t>
      </w:r>
      <w:r>
        <w:t>Rcd</w:t>
      </w:r>
      <w:r>
        <w:t xml:space="preserve"> 13780, 13786, para. 12 (2012), </w:t>
      </w:r>
      <w:r>
        <w:rPr>
          <w:i/>
          <w:iCs/>
        </w:rPr>
        <w:t>recon. in part on other grounds</w:t>
      </w:r>
      <w:r>
        <w:t xml:space="preserve">, 29 FCC </w:t>
      </w:r>
      <w:r>
        <w:t>Rcd</w:t>
      </w:r>
      <w:r>
        <w:t xml:space="preserve"> 9715 (2014). </w:t>
      </w:r>
      <w:r w:rsidRPr="00CB118C">
        <w:t xml:space="preserve">  </w:t>
      </w:r>
    </w:p>
  </w:footnote>
  <w:footnote w:id="32">
    <w:p w:rsidR="00D10C93" w:rsidRPr="006D00E3" w:rsidP="00D10C93" w14:paraId="1E9D22BD" w14:textId="77777777">
      <w:pPr>
        <w:pStyle w:val="FootnoteText"/>
        <w:rPr>
          <w:i/>
          <w:iCs/>
        </w:rPr>
      </w:pPr>
      <w:r w:rsidRPr="00C32E6A">
        <w:rPr>
          <w:rStyle w:val="FootnoteReference"/>
        </w:rPr>
        <w:footnoteRef/>
      </w:r>
      <w:r w:rsidRPr="00C32E6A">
        <w:t xml:space="preserve"> </w:t>
      </w:r>
      <w:r w:rsidRPr="00AF35C9">
        <w:rPr>
          <w:rStyle w:val="FootnoteTextCharChar1"/>
          <w:i/>
          <w:iCs/>
        </w:rPr>
        <w:t>See</w:t>
      </w:r>
      <w:r w:rsidRPr="00635BC7">
        <w:rPr>
          <w:rStyle w:val="FootnoteTextCharChar1"/>
        </w:rPr>
        <w:t xml:space="preserve"> </w:t>
      </w:r>
      <w:r w:rsidRPr="006D00E3">
        <w:rPr>
          <w:rStyle w:val="FootnoteTextCharChar1"/>
        </w:rPr>
        <w:t>USAC</w:t>
      </w:r>
      <w:r w:rsidRPr="006D00E3">
        <w:rPr>
          <w:rStyle w:val="FootnoteTextCharChar1"/>
        </w:rPr>
        <w:t xml:space="preserve"> </w:t>
      </w:r>
      <w:r>
        <w:rPr>
          <w:rStyle w:val="FootnoteTextCharChar1"/>
        </w:rPr>
        <w:t>October 21, 2020</w:t>
      </w:r>
      <w:r w:rsidRPr="00015C81">
        <w:rPr>
          <w:rStyle w:val="FootnoteTextCharChar1"/>
        </w:rPr>
        <w:t xml:space="preserve"> Letter, </w:t>
      </w:r>
      <w:r w:rsidRPr="00235E22">
        <w:rPr>
          <w:i/>
          <w:iCs/>
        </w:rPr>
        <w:t>supra</w:t>
      </w:r>
      <w:r w:rsidRPr="00015C81">
        <w:rPr>
          <w:i/>
          <w:iCs/>
        </w:rPr>
        <w:t xml:space="preserve"> </w:t>
      </w:r>
      <w:r w:rsidRPr="00015C81">
        <w:t>note</w:t>
      </w:r>
      <w:r w:rsidRPr="00015C81">
        <w:rPr>
          <w:i/>
          <w:iCs/>
        </w:rPr>
        <w:t xml:space="preserve"> </w:t>
      </w:r>
      <w:r>
        <w:t>23</w:t>
      </w:r>
      <w:r w:rsidRPr="00015C81">
        <w:t xml:space="preserve">, at </w:t>
      </w:r>
      <w:r>
        <w:t>1.</w:t>
      </w:r>
    </w:p>
  </w:footnote>
  <w:footnote w:id="33">
    <w:p w:rsidR="00D10C93" w:rsidRPr="006D00E3" w:rsidP="00D10C93" w14:paraId="0D4A7A11" w14:textId="77777777">
      <w:pPr>
        <w:pStyle w:val="FootnoteText"/>
        <w:rPr>
          <w:i/>
          <w:iCs/>
        </w:rPr>
      </w:pPr>
      <w:r w:rsidRPr="00C32E6A">
        <w:rPr>
          <w:rStyle w:val="FootnoteReference"/>
        </w:rPr>
        <w:footnoteRef/>
      </w:r>
      <w:r w:rsidRPr="00C32E6A">
        <w:t xml:space="preserve"> </w:t>
      </w:r>
      <w:r w:rsidRPr="00635BC7">
        <w:rPr>
          <w:i/>
          <w:iCs/>
        </w:rPr>
        <w:t>I</w:t>
      </w:r>
      <w:r w:rsidRPr="006D00E3">
        <w:rPr>
          <w:i/>
          <w:iCs/>
        </w:rPr>
        <w:t>d.</w:t>
      </w:r>
    </w:p>
  </w:footnote>
  <w:footnote w:id="34">
    <w:p w:rsidR="00D10C93" w:rsidRPr="00E2370C" w:rsidP="00D10C93" w14:paraId="7D3983A3" w14:textId="77777777">
      <w:pPr>
        <w:pStyle w:val="FootnoteText"/>
      </w:pPr>
      <w:r w:rsidRPr="00C32E6A">
        <w:rPr>
          <w:rStyle w:val="FootnoteReference"/>
        </w:rPr>
        <w:footnoteRef/>
      </w:r>
      <w:r w:rsidRPr="00C32E6A">
        <w:t xml:space="preserve"> </w:t>
      </w:r>
      <w:r w:rsidRPr="00635BC7">
        <w:rPr>
          <w:i/>
          <w:iCs/>
        </w:rPr>
        <w:t>Id.</w:t>
      </w:r>
      <w:r>
        <w:t xml:space="preserve"> at 1-2.</w:t>
      </w:r>
    </w:p>
  </w:footnote>
  <w:footnote w:id="35">
    <w:p w:rsidR="00D10C93" w:rsidRPr="006D00E3" w:rsidP="00D10C93" w14:paraId="227BFD87" w14:textId="77777777">
      <w:pPr>
        <w:pStyle w:val="FootnoteText"/>
        <w:rPr>
          <w:i/>
          <w:iCs/>
        </w:rPr>
      </w:pPr>
      <w:r w:rsidRPr="00C32E6A">
        <w:rPr>
          <w:rStyle w:val="FootnoteReference"/>
        </w:rPr>
        <w:footnoteRef/>
      </w:r>
      <w:r w:rsidRPr="00C32E6A">
        <w:t xml:space="preserve"> </w:t>
      </w:r>
      <w:r w:rsidRPr="00635BC7">
        <w:rPr>
          <w:i/>
          <w:iCs/>
        </w:rPr>
        <w:t>Id.</w:t>
      </w:r>
      <w:r w:rsidRPr="006D00E3">
        <w:rPr>
          <w:i/>
          <w:iCs/>
        </w:rPr>
        <w:t xml:space="preserve"> </w:t>
      </w:r>
      <w:r>
        <w:t>at 2.</w:t>
      </w:r>
    </w:p>
  </w:footnote>
  <w:footnote w:id="36">
    <w:p w:rsidR="00D10C93" w:rsidRPr="00015C81" w:rsidP="00D10C93" w14:paraId="09B9DA85" w14:textId="77777777">
      <w:pPr>
        <w:pStyle w:val="FootnoteText"/>
        <w:rPr>
          <w:i/>
          <w:iCs/>
        </w:rPr>
      </w:pPr>
      <w:r w:rsidRPr="00C32E6A">
        <w:rPr>
          <w:rStyle w:val="FootnoteReference"/>
        </w:rPr>
        <w:footnoteRef/>
      </w:r>
      <w:r w:rsidRPr="00C32E6A">
        <w:t xml:space="preserve"> </w:t>
      </w:r>
      <w:r w:rsidRPr="00635BC7">
        <w:rPr>
          <w:i/>
          <w:iCs/>
        </w:rPr>
        <w:t>Id</w:t>
      </w:r>
      <w:r w:rsidRPr="006D00E3">
        <w:rPr>
          <w:i/>
          <w:iCs/>
        </w:rPr>
        <w:t xml:space="preserve">.  </w:t>
      </w:r>
    </w:p>
  </w:footnote>
  <w:footnote w:id="37">
    <w:p w:rsidR="00D10C93" w:rsidRPr="006D00E3" w:rsidP="00D10C93" w14:paraId="3A00D5D1" w14:textId="77777777">
      <w:pPr>
        <w:pStyle w:val="FootnoteText"/>
        <w:rPr>
          <w:i/>
          <w:iCs/>
        </w:rPr>
      </w:pPr>
      <w:r w:rsidRPr="00C32E6A">
        <w:rPr>
          <w:rStyle w:val="FootnoteReference"/>
        </w:rPr>
        <w:footnoteRef/>
      </w:r>
      <w:r w:rsidRPr="00C32E6A">
        <w:t xml:space="preserve"> </w:t>
      </w:r>
      <w:r w:rsidRPr="00635BC7">
        <w:rPr>
          <w:i/>
          <w:iCs/>
        </w:rPr>
        <w:t>Id.</w:t>
      </w:r>
      <w:r w:rsidRPr="006D00E3">
        <w:rPr>
          <w:i/>
          <w:iCs/>
        </w:rPr>
        <w:t xml:space="preserve">  </w:t>
      </w:r>
    </w:p>
  </w:footnote>
  <w:footnote w:id="38">
    <w:p w:rsidR="00D10C93" w:rsidRPr="006D00E3" w:rsidP="00D10C93" w14:paraId="4D1780ED" w14:textId="77777777">
      <w:pPr>
        <w:pStyle w:val="FootnoteText"/>
      </w:pPr>
      <w:r w:rsidRPr="00C32E6A">
        <w:rPr>
          <w:rStyle w:val="FootnoteReference"/>
        </w:rPr>
        <w:footnoteRef/>
      </w:r>
      <w:r w:rsidRPr="00C32E6A">
        <w:t xml:space="preserve"> </w:t>
      </w:r>
      <w:r w:rsidRPr="00635BC7">
        <w:rPr>
          <w:i/>
          <w:iCs/>
        </w:rPr>
        <w:t>Id</w:t>
      </w:r>
      <w:r w:rsidRPr="006D00E3">
        <w:t>.</w:t>
      </w:r>
    </w:p>
  </w:footnote>
  <w:footnote w:id="39">
    <w:p w:rsidR="00D10C93" w:rsidRPr="00015C81" w:rsidP="00D10C93" w14:paraId="19B9E150" w14:textId="77777777">
      <w:pPr>
        <w:pStyle w:val="FootnoteText"/>
        <w:rPr>
          <w:i/>
          <w:iCs/>
        </w:rPr>
      </w:pPr>
      <w:r w:rsidRPr="00C32E6A">
        <w:rPr>
          <w:rStyle w:val="FootnoteReference"/>
        </w:rPr>
        <w:footnoteRef/>
      </w:r>
      <w:r w:rsidRPr="00C32E6A">
        <w:t xml:space="preserve"> </w:t>
      </w:r>
      <w:r w:rsidRPr="00635BC7">
        <w:rPr>
          <w:i/>
          <w:iCs/>
        </w:rPr>
        <w:t>Id.</w:t>
      </w:r>
      <w:r>
        <w:t>; 47 CFR 54.711(a).</w:t>
      </w:r>
      <w:r w:rsidRPr="006D00E3">
        <w:rPr>
          <w:i/>
          <w:iCs/>
        </w:rPr>
        <w:t xml:space="preserve">  </w:t>
      </w:r>
      <w:r w:rsidRPr="00015C81">
        <w:t xml:space="preserve">  </w:t>
      </w:r>
      <w:r w:rsidRPr="00015C81">
        <w:rPr>
          <w:i/>
          <w:iCs/>
        </w:rPr>
        <w:t xml:space="preserve">  </w:t>
      </w:r>
    </w:p>
  </w:footnote>
  <w:footnote w:id="40">
    <w:p w:rsidR="00D10C93" w:rsidRPr="00015C81" w:rsidP="00D10C93" w14:paraId="0B056C0B" w14:textId="77777777">
      <w:pPr>
        <w:pStyle w:val="FootnoteText"/>
      </w:pPr>
      <w:r w:rsidRPr="00C32E6A">
        <w:rPr>
          <w:rStyle w:val="FootnoteReference"/>
        </w:rPr>
        <w:footnoteRef/>
      </w:r>
      <w:r w:rsidRPr="00C32E6A">
        <w:t xml:space="preserve"> </w:t>
      </w:r>
      <w:r w:rsidRPr="00635BC7">
        <w:rPr>
          <w:i/>
          <w:iCs/>
        </w:rPr>
        <w:t>See</w:t>
      </w:r>
      <w:r w:rsidRPr="00396ADD">
        <w:t xml:space="preserve"> </w:t>
      </w:r>
      <w:r w:rsidRPr="00635BC7">
        <w:t>Le</w:t>
      </w:r>
      <w:r w:rsidRPr="006D00E3">
        <w:t>tter from Jeffrey</w:t>
      </w:r>
      <w:r w:rsidRPr="00015C81">
        <w:t xml:space="preserve"> J. Gee, Chief, Investigations &amp; Hearings Division, FCC Enforcement Bureau, to </w:t>
      </w:r>
      <w:r w:rsidRPr="00015C81">
        <w:rPr>
          <w:szCs w:val="24"/>
        </w:rPr>
        <w:t xml:space="preserve">Scott </w:t>
      </w:r>
      <w:r w:rsidRPr="00015C81">
        <w:rPr>
          <w:szCs w:val="24"/>
        </w:rPr>
        <w:t>Meyerhoff</w:t>
      </w:r>
      <w:r w:rsidRPr="00015C81">
        <w:rPr>
          <w:szCs w:val="24"/>
        </w:rPr>
        <w:t>, Chief Financial Officer</w:t>
      </w:r>
      <w:r w:rsidRPr="00015C81">
        <w:t xml:space="preserve">, </w:t>
      </w:r>
      <w:r w:rsidRPr="00015C81">
        <w:rPr>
          <w:szCs w:val="24"/>
        </w:rPr>
        <w:t>US South Communications, Inc.</w:t>
      </w:r>
      <w:r w:rsidRPr="00015C81">
        <w:t xml:space="preserve"> </w:t>
      </w:r>
      <w:r w:rsidRPr="00015C81">
        <w:rPr>
          <w:szCs w:val="24"/>
        </w:rPr>
        <w:t xml:space="preserve">d/b/a US South &amp; </w:t>
      </w:r>
      <w:r w:rsidRPr="00015C81">
        <w:rPr>
          <w:szCs w:val="24"/>
        </w:rPr>
        <w:t>IWCOMM</w:t>
      </w:r>
      <w:r w:rsidRPr="00015C81">
        <w:rPr>
          <w:spacing w:val="-2"/>
          <w:szCs w:val="22"/>
        </w:rPr>
        <w:t xml:space="preserve"> </w:t>
      </w:r>
      <w:r w:rsidRPr="00015C81">
        <w:t xml:space="preserve">(Jan. 24, 2020) (regarding compliance with </w:t>
      </w:r>
      <w:r w:rsidRPr="00015C81">
        <w:rPr>
          <w:lang w:val="es-ES_tradnl"/>
        </w:rPr>
        <w:t xml:space="preserve">47 </w:t>
      </w:r>
      <w:r w:rsidRPr="00015C81">
        <w:rPr>
          <w:lang w:val="es-ES_tradnl"/>
        </w:rPr>
        <w:t>U.S.C</w:t>
      </w:r>
      <w:r w:rsidRPr="00015C81">
        <w:rPr>
          <w:lang w:val="es-ES_tradnl"/>
        </w:rPr>
        <w:t xml:space="preserve">. §§ 159(a), </w:t>
      </w:r>
      <w:r w:rsidRPr="00015C81">
        <w:t xml:space="preserve">222, 251(e)(2), 254(d); </w:t>
      </w:r>
      <w:r w:rsidRPr="00015C81">
        <w:rPr>
          <w:lang w:val="es-ES_tradnl"/>
        </w:rPr>
        <w:t xml:space="preserve">47 </w:t>
      </w:r>
      <w:r w:rsidRPr="00015C81">
        <w:rPr>
          <w:lang w:val="es-ES_tradnl"/>
        </w:rPr>
        <w:t>CFR</w:t>
      </w:r>
      <w:r w:rsidRPr="00015C81">
        <w:rPr>
          <w:lang w:val="es-ES_tradnl"/>
        </w:rPr>
        <w:t xml:space="preserve"> §§ </w:t>
      </w:r>
      <w:r w:rsidRPr="00015C81">
        <w:t xml:space="preserve">1.1154, </w:t>
      </w:r>
      <w:r w:rsidRPr="00015C81">
        <w:rPr>
          <w:lang w:val="es-ES_tradnl"/>
        </w:rPr>
        <w:t xml:space="preserve">1.1157, 1.7001, 52.17, 52.32, 54.706, 54.707, 54.711, 54.712, 64.604, 64.1195, 64.2009(e)) </w:t>
      </w:r>
      <w:r w:rsidRPr="00015C81">
        <w:t>(</w:t>
      </w:r>
      <w:r w:rsidRPr="00015C81">
        <w:t>LOI</w:t>
      </w:r>
      <w:r w:rsidRPr="00015C81">
        <w:t>) (</w:t>
      </w:r>
      <w:r w:rsidRPr="00015C81">
        <w:rPr>
          <w:rStyle w:val="FootnoteTextCharChar1"/>
        </w:rPr>
        <w:t>on file in EB-IHD-20-00030537</w:t>
      </w:r>
      <w:r w:rsidRPr="00015C81">
        <w:t>)</w:t>
      </w:r>
      <w:r w:rsidRPr="00015C81">
        <w:rPr>
          <w:lang w:val="es-ES_tradnl"/>
        </w:rPr>
        <w:t>.</w:t>
      </w:r>
    </w:p>
  </w:footnote>
  <w:footnote w:id="41">
    <w:p w:rsidR="00D10C93" w:rsidRPr="00015C81" w:rsidP="00D10C93" w14:paraId="6A0E9B64" w14:textId="77777777">
      <w:pPr>
        <w:pStyle w:val="FootnoteText"/>
      </w:pPr>
      <w:r w:rsidRPr="00C32E6A">
        <w:rPr>
          <w:rStyle w:val="FootnoteReference"/>
        </w:rPr>
        <w:footnoteRef/>
      </w:r>
      <w:r w:rsidRPr="00C32E6A">
        <w:t xml:space="preserve"> </w:t>
      </w:r>
      <w:r w:rsidRPr="00635BC7">
        <w:rPr>
          <w:i/>
          <w:iCs/>
        </w:rPr>
        <w:t>S</w:t>
      </w:r>
      <w:r w:rsidRPr="006D00E3">
        <w:rPr>
          <w:i/>
          <w:iCs/>
        </w:rPr>
        <w:t>ee</w:t>
      </w:r>
      <w:r w:rsidRPr="006D00E3">
        <w:t xml:space="preserve"> </w:t>
      </w:r>
      <w:r w:rsidRPr="00015C81">
        <w:t>LOI</w:t>
      </w:r>
      <w:r w:rsidRPr="00015C81">
        <w:t xml:space="preserve"> Response.</w:t>
      </w:r>
    </w:p>
  </w:footnote>
  <w:footnote w:id="42">
    <w:p w:rsidR="00D10C93" w:rsidRPr="00015C81" w:rsidP="00D10C93" w14:paraId="4D6C2A69" w14:textId="77777777">
      <w:pPr>
        <w:pStyle w:val="FootnoteText"/>
      </w:pPr>
      <w:r w:rsidRPr="00C32E6A">
        <w:rPr>
          <w:rStyle w:val="FootnoteReference"/>
        </w:rPr>
        <w:footnoteRef/>
      </w:r>
      <w:r w:rsidRPr="00C32E6A">
        <w:t xml:space="preserve"> </w:t>
      </w:r>
      <w:r w:rsidRPr="00635BC7">
        <w:rPr>
          <w:i/>
          <w:iCs/>
        </w:rPr>
        <w:t>See id.</w:t>
      </w:r>
      <w:r w:rsidRPr="006D00E3">
        <w:t xml:space="preserve"> at 16-17</w:t>
      </w:r>
      <w:r>
        <w:t>, 19</w:t>
      </w:r>
      <w:r w:rsidRPr="006D00E3">
        <w:t>.</w:t>
      </w:r>
    </w:p>
  </w:footnote>
  <w:footnote w:id="43">
    <w:p w:rsidR="00D10C93" w:rsidRPr="00015C81" w:rsidP="00D10C93" w14:paraId="49A3EB3D" w14:textId="77777777">
      <w:pPr>
        <w:pStyle w:val="FootnoteText"/>
      </w:pPr>
      <w:r w:rsidRPr="00C32E6A">
        <w:rPr>
          <w:rStyle w:val="FootnoteReference"/>
        </w:rPr>
        <w:footnoteRef/>
      </w:r>
      <w:r w:rsidRPr="00C32E6A">
        <w:t xml:space="preserve"> </w:t>
      </w:r>
      <w:r w:rsidRPr="00635BC7">
        <w:rPr>
          <w:i/>
          <w:iCs/>
        </w:rPr>
        <w:t>Id</w:t>
      </w:r>
      <w:r w:rsidRPr="006D00E3">
        <w:rPr>
          <w:i/>
          <w:iCs/>
        </w:rPr>
        <w:t>.</w:t>
      </w:r>
      <w:r w:rsidRPr="006D00E3">
        <w:t xml:space="preserve">  </w:t>
      </w:r>
    </w:p>
  </w:footnote>
  <w:footnote w:id="44">
    <w:p w:rsidR="00D10C93" w:rsidRPr="00015C81" w:rsidP="00D10C93" w14:paraId="30846EFC" w14:textId="77777777">
      <w:pPr>
        <w:pStyle w:val="FootnoteText"/>
      </w:pPr>
      <w:r w:rsidRPr="00C32E6A">
        <w:rPr>
          <w:rStyle w:val="FootnoteReference"/>
        </w:rPr>
        <w:footnoteRef/>
      </w:r>
      <w:r w:rsidRPr="00C32E6A">
        <w:t xml:space="preserve"> </w:t>
      </w:r>
      <w:r w:rsidRPr="00635BC7">
        <w:rPr>
          <w:i/>
          <w:iCs/>
        </w:rPr>
        <w:t>I</w:t>
      </w:r>
      <w:r w:rsidRPr="006D00E3">
        <w:rPr>
          <w:i/>
          <w:iCs/>
        </w:rPr>
        <w:t xml:space="preserve">d. </w:t>
      </w:r>
      <w:r w:rsidRPr="00015C81">
        <w:t xml:space="preserve">at 17.    </w:t>
      </w:r>
    </w:p>
  </w:footnote>
  <w:footnote w:id="45">
    <w:p w:rsidR="00D10C93" w:rsidRPr="00015C81" w:rsidP="00D10C93" w14:paraId="63A27BA2" w14:textId="77777777">
      <w:pPr>
        <w:pStyle w:val="FootnoteText"/>
        <w:rPr>
          <w:i/>
          <w:iCs/>
        </w:rPr>
      </w:pPr>
      <w:r w:rsidRPr="00C32E6A">
        <w:rPr>
          <w:rStyle w:val="FootnoteReference"/>
        </w:rPr>
        <w:footnoteRef/>
      </w:r>
      <w:r w:rsidRPr="00C32E6A">
        <w:t xml:space="preserve"> </w:t>
      </w:r>
      <w:r w:rsidRPr="00635BC7">
        <w:rPr>
          <w:i/>
          <w:iCs/>
        </w:rPr>
        <w:t xml:space="preserve">See </w:t>
      </w:r>
      <w:r w:rsidRPr="006D00E3">
        <w:rPr>
          <w:rStyle w:val="FootnoteTextCharChar1"/>
        </w:rPr>
        <w:t>USAC</w:t>
      </w:r>
      <w:r w:rsidRPr="006D00E3">
        <w:rPr>
          <w:rStyle w:val="FootnoteTextCharChar1"/>
        </w:rPr>
        <w:t xml:space="preserve"> </w:t>
      </w:r>
      <w:r>
        <w:rPr>
          <w:rStyle w:val="FootnoteTextCharChar1"/>
        </w:rPr>
        <w:t>October 21, 2020</w:t>
      </w:r>
      <w:r w:rsidRPr="00015C81">
        <w:rPr>
          <w:rStyle w:val="FootnoteTextCharChar1"/>
        </w:rPr>
        <w:t xml:space="preserve"> Letter, </w:t>
      </w:r>
      <w:r w:rsidRPr="00E2370C">
        <w:rPr>
          <w:i/>
          <w:iCs/>
        </w:rPr>
        <w:t>supra</w:t>
      </w:r>
      <w:r w:rsidRPr="00015C81">
        <w:rPr>
          <w:i/>
          <w:iCs/>
        </w:rPr>
        <w:t xml:space="preserve"> </w:t>
      </w:r>
      <w:r w:rsidRPr="00015C81">
        <w:t>note</w:t>
      </w:r>
      <w:r w:rsidRPr="00015C81">
        <w:rPr>
          <w:i/>
          <w:iCs/>
        </w:rPr>
        <w:t xml:space="preserve"> </w:t>
      </w:r>
      <w:r>
        <w:t>23</w:t>
      </w:r>
      <w:r w:rsidRPr="00015C81">
        <w:t xml:space="preserve">, at </w:t>
      </w:r>
      <w:r>
        <w:t>3-4.</w:t>
      </w:r>
      <w:r w:rsidRPr="00015C81">
        <w:rPr>
          <w:i/>
          <w:iCs/>
        </w:rPr>
        <w:t xml:space="preserve">  </w:t>
      </w:r>
    </w:p>
  </w:footnote>
  <w:footnote w:id="46">
    <w:p w:rsidR="00D10C93" w:rsidRPr="00015C81" w:rsidP="00D10C93" w14:paraId="6B6DD7A1" w14:textId="77777777">
      <w:pPr>
        <w:pStyle w:val="FootnoteText"/>
      </w:pPr>
      <w:r w:rsidRPr="00C32E6A">
        <w:rPr>
          <w:rStyle w:val="FootnoteReference"/>
        </w:rPr>
        <w:footnoteRef/>
      </w:r>
      <w:r w:rsidRPr="00C32E6A">
        <w:t xml:space="preserve"> 47 CFR </w:t>
      </w:r>
      <w:r w:rsidRPr="00635BC7">
        <w:t>§</w:t>
      </w:r>
      <w:r w:rsidRPr="006D00E3">
        <w:t xml:space="preserve"> 54.7</w:t>
      </w:r>
      <w:r w:rsidRPr="00015C81">
        <w:t xml:space="preserve">11(a).  </w:t>
      </w:r>
    </w:p>
  </w:footnote>
  <w:footnote w:id="47">
    <w:p w:rsidR="00D10C93" w:rsidRPr="00015C81" w:rsidP="00D10C93" w14:paraId="6FF63D43" w14:textId="77777777">
      <w:pPr>
        <w:pStyle w:val="FootnoteText"/>
      </w:pPr>
      <w:r w:rsidRPr="00C32E6A">
        <w:rPr>
          <w:rStyle w:val="FootnoteReference"/>
        </w:rPr>
        <w:footnoteRef/>
      </w:r>
      <w:r w:rsidRPr="00C32E6A">
        <w:t xml:space="preserve"> </w:t>
      </w:r>
      <w:r w:rsidRPr="00AF35C9">
        <w:rPr>
          <w:i/>
        </w:rPr>
        <w:t>Globcom</w:t>
      </w:r>
      <w:r w:rsidRPr="00AF35C9">
        <w:rPr>
          <w:i/>
        </w:rPr>
        <w:t>, I</w:t>
      </w:r>
      <w:r w:rsidRPr="00635BC7">
        <w:rPr>
          <w:i/>
        </w:rPr>
        <w:t xml:space="preserve">nc., </w:t>
      </w:r>
      <w:r w:rsidRPr="006D00E3">
        <w:t xml:space="preserve">Notice of Apparent Liability for Forfeiture and Order, 18 FCC </w:t>
      </w:r>
      <w:r w:rsidRPr="006D00E3">
        <w:t>Rcd</w:t>
      </w:r>
      <w:r w:rsidRPr="006D00E3">
        <w:t xml:space="preserve"> 19893</w:t>
      </w:r>
      <w:r w:rsidRPr="00015C81">
        <w:t xml:space="preserve"> (2003) (</w:t>
      </w:r>
      <w:r w:rsidRPr="00015C81">
        <w:rPr>
          <w:i/>
          <w:iCs/>
        </w:rPr>
        <w:t>Globcom</w:t>
      </w:r>
      <w:r w:rsidRPr="00015C81">
        <w:rPr>
          <w:i/>
          <w:iCs/>
        </w:rPr>
        <w:t xml:space="preserve"> </w:t>
      </w:r>
      <w:r w:rsidRPr="00015C81">
        <w:rPr>
          <w:i/>
          <w:iCs/>
        </w:rPr>
        <w:t>NAL</w:t>
      </w:r>
      <w:r w:rsidRPr="00015C81">
        <w:t xml:space="preserve">), </w:t>
      </w:r>
      <w:r w:rsidRPr="00015C81">
        <w:rPr>
          <w:i/>
          <w:iCs/>
        </w:rPr>
        <w:t>forfeiture issued</w:t>
      </w:r>
      <w:r w:rsidRPr="00015C81">
        <w:t xml:space="preserve">, Order of Forfeiture, 21 FCC </w:t>
      </w:r>
      <w:r w:rsidRPr="00015C81">
        <w:t>Rcd</w:t>
      </w:r>
      <w:r w:rsidRPr="00015C81">
        <w:t xml:space="preserve"> 4710 (2006) (</w:t>
      </w:r>
      <w:r w:rsidRPr="00015C81">
        <w:rPr>
          <w:i/>
          <w:iCs/>
        </w:rPr>
        <w:t>Globcom</w:t>
      </w:r>
      <w:r w:rsidRPr="00015C81">
        <w:rPr>
          <w:i/>
          <w:iCs/>
        </w:rPr>
        <w:t xml:space="preserve"> Forfeiture Order</w:t>
      </w:r>
      <w:r w:rsidRPr="00015C81">
        <w:t>).</w:t>
      </w:r>
    </w:p>
  </w:footnote>
  <w:footnote w:id="48">
    <w:p w:rsidR="00D10C93" w:rsidRPr="00015C81" w:rsidP="00D10C93" w14:paraId="54992441" w14:textId="77777777">
      <w:pPr>
        <w:pStyle w:val="FootnoteText"/>
      </w:pPr>
      <w:r w:rsidRPr="00C32E6A">
        <w:rPr>
          <w:rStyle w:val="FootnoteReference"/>
        </w:rPr>
        <w:footnoteRef/>
      </w:r>
      <w:r w:rsidRPr="00C32E6A">
        <w:t xml:space="preserve"> </w:t>
      </w:r>
      <w:r w:rsidRPr="00AF35C9">
        <w:rPr>
          <w:i/>
        </w:rPr>
        <w:t>Globcom</w:t>
      </w:r>
      <w:r w:rsidRPr="00AF35C9">
        <w:rPr>
          <w:i/>
        </w:rPr>
        <w:t xml:space="preserve"> </w:t>
      </w:r>
      <w:r w:rsidRPr="00AF35C9">
        <w:rPr>
          <w:i/>
        </w:rPr>
        <w:t>NAL</w:t>
      </w:r>
      <w:r w:rsidRPr="00635BC7">
        <w:t xml:space="preserve">, 18 FCC </w:t>
      </w:r>
      <w:r w:rsidRPr="00635BC7">
        <w:t>Rcd</w:t>
      </w:r>
      <w:r w:rsidRPr="00635BC7">
        <w:t xml:space="preserve"> at 19904, </w:t>
      </w:r>
      <w:r w:rsidRPr="006D00E3">
        <w:t>para. 30.</w:t>
      </w:r>
    </w:p>
  </w:footnote>
  <w:footnote w:id="49">
    <w:p w:rsidR="00D10C93" w:rsidRPr="00015C81" w:rsidP="00D10C93" w14:paraId="1210C7A1" w14:textId="77777777">
      <w:pPr>
        <w:pStyle w:val="FootnoteText"/>
      </w:pPr>
      <w:r w:rsidRPr="00C32E6A">
        <w:rPr>
          <w:rStyle w:val="FootnoteReference"/>
        </w:rPr>
        <w:footnoteRef/>
      </w:r>
      <w:r w:rsidRPr="00C32E6A">
        <w:t xml:space="preserve"> </w:t>
      </w:r>
      <w:r w:rsidRPr="00AF35C9">
        <w:rPr>
          <w:i/>
        </w:rPr>
        <w:t>See</w:t>
      </w:r>
      <w:r w:rsidRPr="00635BC7">
        <w:t xml:space="preserve"> </w:t>
      </w:r>
      <w:r w:rsidRPr="006D00E3">
        <w:rPr>
          <w:i/>
          <w:iCs/>
        </w:rPr>
        <w:t>2002</w:t>
      </w:r>
      <w:r w:rsidRPr="006D00E3">
        <w:rPr>
          <w:i/>
        </w:rPr>
        <w:t xml:space="preserve"> </w:t>
      </w:r>
      <w:r w:rsidRPr="00015C81">
        <w:rPr>
          <w:i/>
        </w:rPr>
        <w:t>Report and Order and Second Further Notice of Proposed Rulemaking</w:t>
      </w:r>
      <w:r w:rsidRPr="00015C81">
        <w:t xml:space="preserve">, </w:t>
      </w:r>
      <w:r w:rsidRPr="00C32E6A">
        <w:t xml:space="preserve">17 FCC </w:t>
      </w:r>
      <w:r w:rsidRPr="00C32E6A">
        <w:t>Rcd</w:t>
      </w:r>
      <w:r w:rsidRPr="00C32E6A">
        <w:t xml:space="preserve"> </w:t>
      </w:r>
      <w:r w:rsidRPr="00AF35C9">
        <w:t>at</w:t>
      </w:r>
      <w:r w:rsidRPr="00635BC7">
        <w:t xml:space="preserve"> 25791, </w:t>
      </w:r>
      <w:r w:rsidRPr="006D00E3">
        <w:t>para.</w:t>
      </w:r>
      <w:r w:rsidRPr="00015C81">
        <w:t xml:space="preserve"> 34.</w:t>
      </w:r>
    </w:p>
  </w:footnote>
  <w:footnote w:id="50">
    <w:p w:rsidR="00D10C93" w:rsidP="00D10C93" w14:paraId="28C72230" w14:textId="77777777">
      <w:pPr>
        <w:pStyle w:val="FootnoteText"/>
      </w:pPr>
      <w:r>
        <w:rPr>
          <w:rStyle w:val="FootnoteReference"/>
        </w:rPr>
        <w:footnoteRef/>
      </w:r>
      <w:r>
        <w:t xml:space="preserve"> </w:t>
      </w:r>
      <w:r w:rsidRPr="00015C81">
        <w:rPr>
          <w:i/>
          <w:iCs/>
        </w:rPr>
        <w:t>See Blue Casa Telephone, LLC</w:t>
      </w:r>
      <w:r w:rsidRPr="00015C81">
        <w:t xml:space="preserve">, </w:t>
      </w:r>
      <w:r>
        <w:t xml:space="preserve">Notice of Apparent Liability for Forfeiture, </w:t>
      </w:r>
      <w:r w:rsidRPr="0044315F">
        <w:t xml:space="preserve">35 FCC </w:t>
      </w:r>
      <w:r w:rsidRPr="0044315F">
        <w:t>Rcd</w:t>
      </w:r>
      <w:r w:rsidRPr="0044315F">
        <w:t xml:space="preserve"> 6333</w:t>
      </w:r>
      <w:r>
        <w:rPr>
          <w:shd w:val="clear" w:color="auto" w:fill="FFFFFF"/>
        </w:rPr>
        <w:t>, 6340, para. 15</w:t>
      </w:r>
      <w:r w:rsidRPr="00015C81">
        <w:rPr>
          <w:shd w:val="clear" w:color="auto" w:fill="FFFFFF"/>
        </w:rPr>
        <w:t xml:space="preserve"> (EB 2020) (forfeiture paid) (</w:t>
      </w:r>
      <w:r w:rsidRPr="00015C81">
        <w:rPr>
          <w:i/>
          <w:iCs/>
          <w:shd w:val="clear" w:color="auto" w:fill="FFFFFF"/>
        </w:rPr>
        <w:t xml:space="preserve">Blue Casa </w:t>
      </w:r>
      <w:r w:rsidRPr="00015C81">
        <w:rPr>
          <w:i/>
          <w:iCs/>
          <w:shd w:val="clear" w:color="auto" w:fill="FFFFFF"/>
        </w:rPr>
        <w:t>NAL</w:t>
      </w:r>
      <w:r w:rsidRPr="00015C81">
        <w:rPr>
          <w:shd w:val="clear" w:color="auto" w:fill="FFFFFF"/>
        </w:rPr>
        <w:t xml:space="preserve">); </w:t>
      </w:r>
      <w:r w:rsidRPr="00C32E6A">
        <w:rPr>
          <w:i/>
          <w:iCs/>
        </w:rPr>
        <w:t>Compu-Phone Voice &amp; Data, Inc.</w:t>
      </w:r>
      <w:r w:rsidRPr="00635BC7">
        <w:rPr>
          <w:i/>
          <w:iCs/>
        </w:rPr>
        <w:t>,</w:t>
      </w:r>
      <w:r w:rsidRPr="006D00E3">
        <w:rPr>
          <w:i/>
          <w:iCs/>
        </w:rPr>
        <w:t xml:space="preserve"> </w:t>
      </w:r>
      <w:r>
        <w:t xml:space="preserve">Notice of Apparent Liability for Forfeiture, </w:t>
      </w:r>
      <w:r w:rsidRPr="006D00E3">
        <w:rPr>
          <w:i/>
          <w:iCs/>
        </w:rPr>
        <w:t>LLC</w:t>
      </w:r>
      <w:r w:rsidRPr="00015C81">
        <w:t xml:space="preserve">, </w:t>
      </w:r>
      <w:r w:rsidRPr="00092B07">
        <w:t xml:space="preserve">35 FCC </w:t>
      </w:r>
      <w:r w:rsidRPr="00092B07">
        <w:t>Rcd</w:t>
      </w:r>
      <w:r w:rsidRPr="00092B07">
        <w:t xml:space="preserve"> 6573</w:t>
      </w:r>
      <w:r>
        <w:rPr>
          <w:shd w:val="clear" w:color="auto" w:fill="FFFFFF"/>
        </w:rPr>
        <w:t>, 6580, para. 14</w:t>
      </w:r>
      <w:r w:rsidRPr="00015C81">
        <w:rPr>
          <w:shd w:val="clear" w:color="auto" w:fill="FFFFFF"/>
        </w:rPr>
        <w:t xml:space="preserve"> (EB 2020) (forfeiture paid) (</w:t>
      </w:r>
      <w:r w:rsidRPr="00015C81">
        <w:rPr>
          <w:i/>
          <w:iCs/>
          <w:shd w:val="clear" w:color="auto" w:fill="FFFFFF"/>
        </w:rPr>
        <w:t xml:space="preserve">Compu-Phone </w:t>
      </w:r>
      <w:r w:rsidRPr="00015C81">
        <w:rPr>
          <w:i/>
          <w:iCs/>
          <w:shd w:val="clear" w:color="auto" w:fill="FFFFFF"/>
        </w:rPr>
        <w:t>NAL</w:t>
      </w:r>
      <w:r w:rsidRPr="00015C81">
        <w:rPr>
          <w:shd w:val="clear" w:color="auto" w:fill="FFFFFF"/>
        </w:rPr>
        <w:t>)</w:t>
      </w:r>
      <w:r>
        <w:rPr>
          <w:shd w:val="clear" w:color="auto" w:fill="FFFFFF"/>
        </w:rPr>
        <w:t>.</w:t>
      </w:r>
    </w:p>
  </w:footnote>
  <w:footnote w:id="51">
    <w:p w:rsidR="00D10C93" w:rsidRPr="005A5586" w:rsidP="00D10C93" w14:paraId="7A7755D7" w14:textId="77777777">
      <w:pPr>
        <w:pStyle w:val="FootnoteText"/>
      </w:pPr>
      <w:r>
        <w:rPr>
          <w:rStyle w:val="FootnoteReference"/>
        </w:rPr>
        <w:footnoteRef/>
      </w:r>
      <w:r>
        <w:t xml:space="preserve"> </w:t>
      </w:r>
      <w:r>
        <w:rPr>
          <w:i/>
          <w:iCs/>
        </w:rPr>
        <w:t xml:space="preserve">See </w:t>
      </w:r>
      <w:r w:rsidR="006A1160">
        <w:rPr>
          <w:i/>
          <w:iCs/>
          <w:shd w:val="clear" w:color="auto" w:fill="FFFFFF"/>
        </w:rPr>
        <w:t>id.</w:t>
      </w:r>
      <w:r>
        <w:rPr>
          <w:shd w:val="clear" w:color="auto" w:fill="FFFFFF"/>
        </w:rPr>
        <w:t>.</w:t>
      </w:r>
      <w:r>
        <w:rPr>
          <w:shd w:val="clear" w:color="auto" w:fill="FFFFFF"/>
        </w:rPr>
        <w:t xml:space="preserve"> </w:t>
      </w:r>
    </w:p>
  </w:footnote>
  <w:footnote w:id="52">
    <w:p w:rsidR="00D10C93" w:rsidRPr="00015C81" w:rsidP="00D10C93" w14:paraId="4F25011B" w14:textId="77777777">
      <w:pPr>
        <w:pStyle w:val="FootnoteText"/>
      </w:pPr>
      <w:r w:rsidRPr="00C32E6A">
        <w:rPr>
          <w:rStyle w:val="FootnoteReference"/>
        </w:rPr>
        <w:footnoteRef/>
      </w:r>
      <w:r w:rsidRPr="00C32E6A">
        <w:t xml:space="preserve"> </w:t>
      </w:r>
      <w:r w:rsidRPr="00635BC7">
        <w:rPr>
          <w:rStyle w:val="FootnoteTextCharChar1"/>
          <w:i/>
          <w:iCs/>
        </w:rPr>
        <w:t>S</w:t>
      </w:r>
      <w:r w:rsidRPr="006D00E3">
        <w:rPr>
          <w:rStyle w:val="FootnoteTextCharChar1"/>
          <w:i/>
          <w:iCs/>
        </w:rPr>
        <w:t>ee</w:t>
      </w:r>
      <w:r w:rsidRPr="006D00E3">
        <w:rPr>
          <w:rStyle w:val="FootnoteTextCharChar1"/>
        </w:rPr>
        <w:t xml:space="preserve"> </w:t>
      </w:r>
      <w:r w:rsidRPr="00015C81">
        <w:rPr>
          <w:rStyle w:val="FootnoteTextCharChar1"/>
        </w:rPr>
        <w:t>USAC</w:t>
      </w:r>
      <w:r w:rsidRPr="00015C81">
        <w:rPr>
          <w:rStyle w:val="FootnoteTextCharChar1"/>
        </w:rPr>
        <w:t xml:space="preserve"> </w:t>
      </w:r>
      <w:r>
        <w:rPr>
          <w:rStyle w:val="FootnoteTextCharChar1"/>
        </w:rPr>
        <w:t>October 21, 2020</w:t>
      </w:r>
      <w:r w:rsidRPr="00015C81">
        <w:rPr>
          <w:rStyle w:val="FootnoteTextCharChar1"/>
        </w:rPr>
        <w:t xml:space="preserve"> Letter, </w:t>
      </w:r>
      <w:r w:rsidRPr="00E44338">
        <w:rPr>
          <w:i/>
          <w:iCs/>
        </w:rPr>
        <w:t>supra</w:t>
      </w:r>
      <w:r w:rsidRPr="00015C81">
        <w:rPr>
          <w:i/>
          <w:iCs/>
        </w:rPr>
        <w:t xml:space="preserve"> </w:t>
      </w:r>
      <w:r w:rsidRPr="00015C81">
        <w:t>note</w:t>
      </w:r>
      <w:r w:rsidRPr="00015C81">
        <w:rPr>
          <w:i/>
          <w:iCs/>
        </w:rPr>
        <w:t xml:space="preserve"> </w:t>
      </w:r>
      <w:r>
        <w:t>23</w:t>
      </w:r>
      <w:r w:rsidRPr="00015C81">
        <w:t xml:space="preserve">, at </w:t>
      </w:r>
      <w:r>
        <w:t>3</w:t>
      </w:r>
      <w:r w:rsidRPr="00015C81">
        <w:t xml:space="preserve">.     </w:t>
      </w:r>
    </w:p>
  </w:footnote>
  <w:footnote w:id="53">
    <w:p w:rsidR="00D10C93" w:rsidRPr="00C32E6A" w:rsidP="00D10C93" w14:paraId="59A84724" w14:textId="77777777">
      <w:pPr>
        <w:pStyle w:val="FootnoteText"/>
      </w:pPr>
      <w:r w:rsidRPr="00C32E6A">
        <w:rPr>
          <w:rStyle w:val="FootnoteReference"/>
        </w:rPr>
        <w:footnoteRef/>
      </w:r>
      <w:r w:rsidRPr="00C32E6A">
        <w:t xml:space="preserve"> </w:t>
      </w:r>
      <w:r w:rsidRPr="00635BC7">
        <w:rPr>
          <w:i/>
          <w:iCs/>
        </w:rPr>
        <w:t xml:space="preserve">See </w:t>
      </w:r>
      <w:r w:rsidRPr="006D00E3">
        <w:rPr>
          <w:i/>
          <w:iCs/>
        </w:rPr>
        <w:t>Communications Options, Inc.</w:t>
      </w:r>
      <w:r w:rsidRPr="00015C81">
        <w:t xml:space="preserve">, Notice of Apparent Liability for Forfeiture, 22 FCC </w:t>
      </w:r>
      <w:r w:rsidRPr="00015C81">
        <w:t>Rcd</w:t>
      </w:r>
      <w:r w:rsidRPr="00015C81">
        <w:t xml:space="preserve"> 13680 (EB 2007) (</w:t>
      </w:r>
      <w:r w:rsidRPr="00015C81">
        <w:rPr>
          <w:i/>
          <w:iCs/>
        </w:rPr>
        <w:t xml:space="preserve">COI </w:t>
      </w:r>
      <w:r w:rsidRPr="00015C81">
        <w:rPr>
          <w:i/>
          <w:iCs/>
        </w:rPr>
        <w:t>NAL</w:t>
      </w:r>
      <w:r w:rsidRPr="00015C81">
        <w:t xml:space="preserve">), </w:t>
      </w:r>
      <w:r w:rsidRPr="00015C81">
        <w:rPr>
          <w:i/>
          <w:iCs/>
        </w:rPr>
        <w:t>forfeiture issued</w:t>
      </w:r>
      <w:r w:rsidRPr="00015C81">
        <w:t xml:space="preserve">, Order of Forfeiture, 23 FCC </w:t>
      </w:r>
      <w:r w:rsidRPr="00015C81">
        <w:t>Rcd</w:t>
      </w:r>
      <w:r w:rsidRPr="00015C81">
        <w:t xml:space="preserve"> 3969 (EB 2008) (</w:t>
      </w:r>
      <w:r w:rsidRPr="00015C81">
        <w:rPr>
          <w:i/>
          <w:iCs/>
        </w:rPr>
        <w:t>COI Forfeiture Order</w:t>
      </w:r>
      <w:r w:rsidRPr="00015C81">
        <w:t>) (</w:t>
      </w:r>
      <w:r w:rsidRPr="00015C81">
        <w:rPr>
          <w:shd w:val="clear" w:color="auto" w:fill="FFFFFF"/>
        </w:rPr>
        <w:t>imposing forfeiture of $50,000 for failing to maintain, and submit upon Commission demand, documentation supporting Worksheets</w:t>
      </w:r>
      <w:r w:rsidRPr="00015C81">
        <w:t xml:space="preserve">).  </w:t>
      </w:r>
      <w:r>
        <w:t>T</w:t>
      </w:r>
      <w:r w:rsidRPr="00015C81">
        <w:t xml:space="preserve">he Bureau </w:t>
      </w:r>
      <w:r>
        <w:t xml:space="preserve">recently </w:t>
      </w:r>
      <w:r w:rsidRPr="00015C81">
        <w:t xml:space="preserve">issued $75,000 </w:t>
      </w:r>
      <w:r w:rsidRPr="00015C81">
        <w:t>NALs</w:t>
      </w:r>
      <w:r w:rsidRPr="00015C81">
        <w:t xml:space="preserve"> against two companies that</w:t>
      </w:r>
      <w:r>
        <w:t xml:space="preserve"> repeatedly</w:t>
      </w:r>
      <w:r w:rsidRPr="00015C81">
        <w:t xml:space="preserve"> failed to comply with </w:t>
      </w:r>
      <w:r w:rsidRPr="00015C81">
        <w:t>USAC</w:t>
      </w:r>
      <w:r w:rsidRPr="00015C81">
        <w:t xml:space="preserve"> requests for supporting documentation under 47 CFR § 54.711(a).  </w:t>
      </w:r>
      <w:bookmarkStart w:id="17" w:name="_Hlk53653674"/>
      <w:r w:rsidRPr="00015C81">
        <w:rPr>
          <w:i/>
          <w:iCs/>
        </w:rPr>
        <w:t xml:space="preserve">See </w:t>
      </w:r>
      <w:r w:rsidRPr="00015C81">
        <w:rPr>
          <w:i/>
          <w:iCs/>
          <w:shd w:val="clear" w:color="auto" w:fill="FFFFFF"/>
        </w:rPr>
        <w:t xml:space="preserve">Blue Casa </w:t>
      </w:r>
      <w:r w:rsidRPr="00015C81">
        <w:rPr>
          <w:i/>
          <w:iCs/>
          <w:shd w:val="clear" w:color="auto" w:fill="FFFFFF"/>
        </w:rPr>
        <w:t>NAL</w:t>
      </w:r>
      <w:r w:rsidRPr="00015C81">
        <w:t xml:space="preserve">, </w:t>
      </w:r>
      <w:r w:rsidRPr="0044315F">
        <w:t xml:space="preserve">35 FCC </w:t>
      </w:r>
      <w:r w:rsidRPr="0044315F">
        <w:t>Rcd</w:t>
      </w:r>
      <w:r w:rsidRPr="0044315F">
        <w:t xml:space="preserve"> 6333</w:t>
      </w:r>
      <w:r w:rsidRPr="00015C81">
        <w:rPr>
          <w:shd w:val="clear" w:color="auto" w:fill="FFFFFF"/>
        </w:rPr>
        <w:t xml:space="preserve">; </w:t>
      </w:r>
      <w:r w:rsidRPr="00015C81">
        <w:rPr>
          <w:i/>
          <w:iCs/>
          <w:shd w:val="clear" w:color="auto" w:fill="FFFFFF"/>
        </w:rPr>
        <w:t xml:space="preserve">Compu-Phone </w:t>
      </w:r>
      <w:r w:rsidRPr="00015C81">
        <w:rPr>
          <w:i/>
          <w:iCs/>
          <w:shd w:val="clear" w:color="auto" w:fill="FFFFFF"/>
        </w:rPr>
        <w:t>NAL</w:t>
      </w:r>
      <w:bookmarkEnd w:id="17"/>
      <w:r w:rsidRPr="00015C81">
        <w:t xml:space="preserve">, </w:t>
      </w:r>
      <w:r w:rsidRPr="00092B07">
        <w:t xml:space="preserve">35 FCC </w:t>
      </w:r>
      <w:r w:rsidRPr="00092B07">
        <w:t>Rcd</w:t>
      </w:r>
      <w:r w:rsidRPr="00092B07">
        <w:t xml:space="preserve"> 6573</w:t>
      </w:r>
      <w:r w:rsidRPr="00015C81">
        <w:rPr>
          <w:shd w:val="clear" w:color="auto" w:fill="FFFFFF"/>
        </w:rPr>
        <w:t>.</w:t>
      </w:r>
    </w:p>
  </w:footnote>
  <w:footnote w:id="54">
    <w:p w:rsidR="00D10C93" w:rsidRPr="00635BC7" w:rsidP="00D10C93" w14:paraId="27BE2438" w14:textId="77777777">
      <w:pPr>
        <w:pStyle w:val="FootnoteText"/>
      </w:pPr>
      <w:r w:rsidRPr="00C32E6A">
        <w:rPr>
          <w:rStyle w:val="FootnoteReference"/>
        </w:rPr>
        <w:footnoteRef/>
      </w:r>
      <w:r w:rsidRPr="00C32E6A">
        <w:t xml:space="preserve"> </w:t>
      </w:r>
      <w:r w:rsidRPr="005A5586">
        <w:rPr>
          <w:i/>
          <w:iCs/>
        </w:rPr>
        <w:t>See</w:t>
      </w:r>
      <w:r>
        <w:t xml:space="preserve"> 47 U.S.C. § 217; </w:t>
      </w:r>
      <w:r w:rsidRPr="0018163B">
        <w:rPr>
          <w:i/>
          <w:iCs/>
        </w:rPr>
        <w:t>Telecom Mgmt., Inc</w:t>
      </w:r>
      <w:r>
        <w:t xml:space="preserve">., </w:t>
      </w:r>
      <w:bookmarkStart w:id="18" w:name="_Hlk53666130"/>
      <w:r>
        <w:t xml:space="preserve">Order of Forfeiture, </w:t>
      </w:r>
      <w:bookmarkEnd w:id="18"/>
      <w:r>
        <w:t xml:space="preserve">21 FCC </w:t>
      </w:r>
      <w:r>
        <w:t>Rcd</w:t>
      </w:r>
      <w:r>
        <w:t xml:space="preserve"> 10470, 10474, para. 11 (2006) (finding telecommunications provider liable for failure of its designated agent to comply with USF payment obligations on its behalf); </w:t>
      </w:r>
      <w:r w:rsidRPr="005A5586">
        <w:t>Eure</w:t>
      </w:r>
      <w:r w:rsidRPr="006D00E3">
        <w:rPr>
          <w:i/>
          <w:iCs/>
        </w:rPr>
        <w:t xml:space="preserve"> Family</w:t>
      </w:r>
      <w:r w:rsidRPr="00015C81">
        <w:t xml:space="preserve"> </w:t>
      </w:r>
      <w:r w:rsidRPr="00015C81">
        <w:rPr>
          <w:i/>
          <w:iCs/>
        </w:rPr>
        <w:t>LP</w:t>
      </w:r>
      <w:r w:rsidRPr="00015C81">
        <w:t xml:space="preserve">, Memorandum Opinion and Order, 17 FCC </w:t>
      </w:r>
      <w:r w:rsidRPr="00015C81">
        <w:t>Rcd</w:t>
      </w:r>
      <w:r w:rsidRPr="00015C81">
        <w:t xml:space="preserve"> 21861, 21864, para. 7 (2002) (“</w:t>
      </w:r>
      <w:r w:rsidRPr="00015C81">
        <w:rPr>
          <w:shd w:val="clear" w:color="auto" w:fill="FFFFFF"/>
        </w:rPr>
        <w:t>Further, the Commission has explained that under long established principles of common law, statutory duties are nondelegable and that employers are routinely held liable for breach of statutory duties by their independent contractors</w:t>
      </w:r>
      <w:r w:rsidRPr="00C32E6A">
        <w:t>”)</w:t>
      </w:r>
      <w:r w:rsidRPr="00635BC7">
        <w:t xml:space="preserve">.  </w:t>
      </w:r>
      <w:r w:rsidRPr="006D00E3">
        <w:rPr>
          <w:i/>
          <w:iCs/>
        </w:rPr>
        <w:t xml:space="preserve">See also </w:t>
      </w:r>
      <w:r w:rsidRPr="006D00E3">
        <w:rPr>
          <w:i/>
          <w:iCs/>
        </w:rPr>
        <w:t>MTD</w:t>
      </w:r>
      <w:r w:rsidRPr="006D00E3">
        <w:rPr>
          <w:i/>
          <w:iCs/>
        </w:rPr>
        <w:t>, Inc</w:t>
      </w:r>
      <w:r w:rsidRPr="00015C81">
        <w:t xml:space="preserve">., Memorandum Opinion and Order, 6 FCC </w:t>
      </w:r>
      <w:r w:rsidRPr="00015C81">
        <w:t>Rcd</w:t>
      </w:r>
      <w:r w:rsidRPr="00015C81">
        <w:t xml:space="preserve"> 34, 34, para. 5 (1991); </w:t>
      </w:r>
      <w:r w:rsidRPr="00015C81">
        <w:rPr>
          <w:i/>
          <w:iCs/>
        </w:rPr>
        <w:t>Wagenvoord</w:t>
      </w:r>
      <w:r w:rsidRPr="00015C81">
        <w:rPr>
          <w:i/>
          <w:iCs/>
        </w:rPr>
        <w:t xml:space="preserve"> Broadcasting Co.</w:t>
      </w:r>
      <w:r w:rsidRPr="00015C81">
        <w:t>,</w:t>
      </w:r>
      <w:r w:rsidRPr="00015C81">
        <w:rPr>
          <w:i/>
          <w:iCs/>
        </w:rPr>
        <w:t xml:space="preserve"> </w:t>
      </w:r>
      <w:r w:rsidRPr="00015C81">
        <w:t>Memorandum Opinion and Order, 35 FCC 2d 361, 361-62, para. 3 (1972) (both cases stating that r</w:t>
      </w:r>
      <w:r w:rsidRPr="00015C81">
        <w:rPr>
          <w:shd w:val="clear" w:color="auto" w:fill="FFFFFF"/>
        </w:rPr>
        <w:t>esponsibility is not lessened when independent contractors are used)</w:t>
      </w:r>
      <w:r w:rsidRPr="00C32E6A">
        <w:t>.</w:t>
      </w:r>
    </w:p>
  </w:footnote>
  <w:footnote w:id="55">
    <w:p w:rsidR="00D10C93" w:rsidRPr="00015C81" w:rsidP="00D10C93" w14:paraId="448040A6" w14:textId="77777777">
      <w:pPr>
        <w:pStyle w:val="FootnoteText"/>
        <w:rPr>
          <w:b/>
        </w:rPr>
      </w:pPr>
      <w:r w:rsidRPr="00015C81">
        <w:rPr>
          <w:rStyle w:val="FootnoteReference"/>
        </w:rPr>
        <w:footnoteRef/>
      </w:r>
      <w:r w:rsidRPr="00015C81">
        <w:t xml:space="preserve"> 47 U.S.C. § 503(b)(1)(B).</w:t>
      </w:r>
    </w:p>
  </w:footnote>
  <w:footnote w:id="56">
    <w:p w:rsidR="00D10C93" w:rsidRPr="00015C81" w:rsidP="00D10C93" w14:paraId="073D0503" w14:textId="77777777">
      <w:pPr>
        <w:pStyle w:val="FootnoteText"/>
      </w:pPr>
      <w:r w:rsidRPr="00C32E6A">
        <w:rPr>
          <w:rStyle w:val="FootnoteReference"/>
        </w:rPr>
        <w:footnoteRef/>
      </w:r>
      <w:r w:rsidRPr="00C32E6A">
        <w:t xml:space="preserve"> </w:t>
      </w:r>
      <w:r w:rsidRPr="00635BC7">
        <w:rPr>
          <w:i/>
        </w:rPr>
        <w:t>Se</w:t>
      </w:r>
      <w:r w:rsidRPr="006D00E3">
        <w:rPr>
          <w:i/>
        </w:rPr>
        <w:t xml:space="preserve">e </w:t>
      </w:r>
      <w:r w:rsidRPr="006D00E3">
        <w:t>47 U.S</w:t>
      </w:r>
      <w:r w:rsidRPr="00015C81">
        <w:t xml:space="preserve">.C. § 503(b)(2)(B); 47 CFR § 1.80(b)(2).  These amounts reflect inflation adjustments to the forfeitures specified in section 503(b)(2)(B) of the Act ($100,000 per violation or per day of a continuing violation and a statutory maximum of $1,000,000 for a single act or failure to act).  </w:t>
      </w:r>
      <w:r w:rsidRPr="00015C81">
        <w:rPr>
          <w:rStyle w:val="Emphasis"/>
        </w:rPr>
        <w:t>See Amendment of Section 1.80(b) of the Commission’s Rules, Adjustment of Civil Monetary Penalties to Reflect Inflation</w:t>
      </w:r>
      <w:r w:rsidRPr="00015C81">
        <w:t xml:space="preserve">, Order, </w:t>
      </w:r>
      <w:r w:rsidRPr="002210D0">
        <w:t xml:space="preserve">34 FCC </w:t>
      </w:r>
      <w:r w:rsidRPr="002210D0">
        <w:t>Rcd</w:t>
      </w:r>
      <w:r w:rsidRPr="002210D0">
        <w:t xml:space="preserve"> 12824</w:t>
      </w:r>
      <w:r w:rsidRPr="00015C81">
        <w:t xml:space="preserve"> (</w:t>
      </w:r>
      <w:r>
        <w:rPr>
          <w:snapToGrid w:val="0"/>
        </w:rPr>
        <w:t>EB</w:t>
      </w:r>
      <w:r w:rsidRPr="00015C81">
        <w:rPr>
          <w:snapToGrid w:val="0"/>
        </w:rPr>
        <w:t xml:space="preserve"> 2019</w:t>
      </w:r>
      <w:r w:rsidRPr="00C32E6A">
        <w:t>)</w:t>
      </w:r>
      <w:r w:rsidRPr="00635BC7">
        <w:t xml:space="preserve">; </w:t>
      </w:r>
      <w:r w:rsidRPr="006D00E3">
        <w:rPr>
          <w:rStyle w:val="Emphasis"/>
        </w:rPr>
        <w:t xml:space="preserve">see also </w:t>
      </w:r>
      <w:r w:rsidRPr="00015C81">
        <w:rPr>
          <w:rStyle w:val="Emphasis"/>
        </w:rPr>
        <w:t>Annual Adjustment of Civil Monetary Penalties to Reflect Inflation</w:t>
      </w:r>
      <w:r w:rsidRPr="00015C81">
        <w:t xml:space="preserve">, 85 Fed. Reg. 2318 (Jan. 15, 2020) (setting January 15, 2020, as the effective date for the increases).  </w:t>
      </w:r>
    </w:p>
  </w:footnote>
  <w:footnote w:id="57">
    <w:p w:rsidR="00D10C93" w:rsidRPr="00015C81" w:rsidP="00D10C93" w14:paraId="4AF5FC5C" w14:textId="77777777">
      <w:pPr>
        <w:pStyle w:val="FootnoteText"/>
      </w:pPr>
      <w:r w:rsidRPr="00015C81">
        <w:rPr>
          <w:rStyle w:val="FootnoteReference"/>
        </w:rPr>
        <w:footnoteRef/>
      </w:r>
      <w:r w:rsidRPr="00015C81">
        <w:t xml:space="preserve"> 47 U.S.C. § 503(b)(2)(E).</w:t>
      </w:r>
    </w:p>
  </w:footnote>
  <w:footnote w:id="58">
    <w:p w:rsidR="00D10C93" w:rsidRPr="00015C81" w:rsidP="00D10C93" w14:paraId="59DF3F12" w14:textId="77777777">
      <w:pPr>
        <w:pStyle w:val="FootnoteText"/>
      </w:pPr>
      <w:r w:rsidRPr="00015C81">
        <w:rPr>
          <w:rStyle w:val="FootnoteReference"/>
        </w:rPr>
        <w:footnoteRef/>
      </w:r>
      <w:r w:rsidRPr="00015C81">
        <w:t xml:space="preserve"> </w:t>
      </w:r>
      <w:bookmarkStart w:id="21" w:name="_Hlk37839056"/>
      <w:r w:rsidRPr="00015C81">
        <w:t>47 CFR § 1.80(b)(</w:t>
      </w:r>
      <w:r>
        <w:t>9</w:t>
      </w:r>
      <w:r w:rsidRPr="00015C81">
        <w:t>), Note to paragraph (b)(</w:t>
      </w:r>
      <w:r>
        <w:t>9</w:t>
      </w:r>
      <w:r w:rsidRPr="00015C81">
        <w:t>)</w:t>
      </w:r>
      <w:bookmarkEnd w:id="21"/>
      <w:r w:rsidRPr="00015C81">
        <w:t xml:space="preserve"> (f</w:t>
      </w:r>
      <w:r w:rsidRPr="00015C81">
        <w:rPr>
          <w:shd w:val="clear" w:color="auto" w:fill="FFFFFF"/>
        </w:rPr>
        <w:t>actors considered in determining the amount of the forfeiture penalty</w:t>
      </w:r>
      <w:r w:rsidRPr="00015C81">
        <w:t xml:space="preserve">). </w:t>
      </w:r>
    </w:p>
  </w:footnote>
  <w:footnote w:id="59">
    <w:p w:rsidR="00D10C93" w:rsidRPr="00015C81" w:rsidP="00D10C93" w14:paraId="648373B9" w14:textId="77777777">
      <w:pPr>
        <w:pStyle w:val="FootnoteText"/>
        <w:widowControl w:val="0"/>
      </w:pPr>
      <w:r w:rsidRPr="00C32E6A">
        <w:rPr>
          <w:rStyle w:val="FootnoteReference"/>
        </w:rPr>
        <w:footnoteRef/>
      </w:r>
      <w:r w:rsidRPr="00C32E6A">
        <w:t xml:space="preserve"> </w:t>
      </w:r>
      <w:r w:rsidRPr="00015C81">
        <w:rPr>
          <w:i/>
        </w:rPr>
        <w:t xml:space="preserve">See </w:t>
      </w:r>
      <w:r w:rsidRPr="00C32E6A">
        <w:rPr>
          <w:i/>
        </w:rPr>
        <w:t>Comm</w:t>
      </w:r>
      <w:r w:rsidRPr="00AF35C9">
        <w:rPr>
          <w:i/>
        </w:rPr>
        <w:t>ission</w:t>
      </w:r>
      <w:r w:rsidRPr="00635BC7">
        <w:rPr>
          <w:i/>
        </w:rPr>
        <w:t>’</w:t>
      </w:r>
      <w:r w:rsidRPr="006D00E3">
        <w:rPr>
          <w:i/>
        </w:rPr>
        <w:t xml:space="preserve">s </w:t>
      </w:r>
      <w:r w:rsidRPr="00015C81">
        <w:rPr>
          <w:i/>
        </w:rPr>
        <w:t>Forfeiture Policy Statement &amp; Amendment of Section 1.80 of the Rules to Incorporate the Forfeiture Guidelines</w:t>
      </w:r>
      <w:r w:rsidRPr="00015C81">
        <w:t xml:space="preserve">, Report and Order, 12 FCC </w:t>
      </w:r>
      <w:r w:rsidRPr="00015C81">
        <w:t>Rcd</w:t>
      </w:r>
      <w:r w:rsidRPr="00015C81">
        <w:t xml:space="preserve"> 17087, 17110, para. 53 (1997) (citing 47 U.S.C. § 503(b)(2)(E)) (</w:t>
      </w:r>
      <w:r w:rsidRPr="00015C81">
        <w:rPr>
          <w:i/>
        </w:rPr>
        <w:t>1997</w:t>
      </w:r>
      <w:r w:rsidRPr="00015C81">
        <w:t xml:space="preserve"> </w:t>
      </w:r>
      <w:r w:rsidRPr="00015C81">
        <w:rPr>
          <w:i/>
        </w:rPr>
        <w:t>Forfeiture Guidelines</w:t>
      </w:r>
      <w:r w:rsidRPr="00015C81">
        <w:t xml:space="preserve">), </w:t>
      </w:r>
      <w:r w:rsidRPr="00015C81">
        <w:rPr>
          <w:i/>
        </w:rPr>
        <w:t>recon. denied</w:t>
      </w:r>
      <w:r w:rsidRPr="00015C81">
        <w:t xml:space="preserve">, Memorandum Opinion and Order, 15 FCC </w:t>
      </w:r>
      <w:r w:rsidRPr="00015C81">
        <w:t>Rcd</w:t>
      </w:r>
      <w:r w:rsidRPr="00015C81">
        <w:t xml:space="preserve"> 303 (1999).</w:t>
      </w:r>
    </w:p>
  </w:footnote>
  <w:footnote w:id="60">
    <w:p w:rsidR="00D10C93" w:rsidRPr="00015C81" w:rsidP="00D10C93" w14:paraId="21FB6669" w14:textId="77777777">
      <w:pPr>
        <w:pStyle w:val="FootnoteText"/>
      </w:pPr>
      <w:r w:rsidRPr="00015C81">
        <w:rPr>
          <w:rStyle w:val="FootnoteReference"/>
        </w:rPr>
        <w:footnoteRef/>
      </w:r>
      <w:r w:rsidRPr="00015C81">
        <w:t xml:space="preserve"> 47 CFR § 1.80(b)(</w:t>
      </w:r>
      <w:r>
        <w:t>9</w:t>
      </w:r>
      <w:r w:rsidRPr="00015C81">
        <w:t>), Note to paragraph (b)(</w:t>
      </w:r>
      <w:r>
        <w:t>9</w:t>
      </w:r>
      <w:r w:rsidRPr="00015C81">
        <w:t xml:space="preserve">).  </w:t>
      </w:r>
      <w:r w:rsidRPr="00015C81">
        <w:rPr>
          <w:i/>
        </w:rPr>
        <w:t>See also 1997</w:t>
      </w:r>
      <w:r w:rsidRPr="00015C81">
        <w:t xml:space="preserve"> </w:t>
      </w:r>
      <w:r w:rsidRPr="00015C81">
        <w:rPr>
          <w:i/>
        </w:rPr>
        <w:t>Forfeiture Guidelines</w:t>
      </w:r>
      <w:r w:rsidRPr="00015C81">
        <w:t xml:space="preserve">, 12 FCC </w:t>
      </w:r>
      <w:r w:rsidRPr="00015C81">
        <w:t>Rcd</w:t>
      </w:r>
      <w:r w:rsidRPr="00015C81">
        <w:t xml:space="preserve"> at 17098–99, para. 22 (1997) (noting that “[a]</w:t>
      </w:r>
      <w:r w:rsidRPr="00015C81">
        <w:t>lthough</w:t>
      </w:r>
      <w:r w:rsidRPr="00015C81">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C32E6A">
        <w:t xml:space="preserve">  </w:t>
      </w:r>
    </w:p>
  </w:footnote>
  <w:footnote w:id="61">
    <w:p w:rsidR="00D10C93" w:rsidRPr="00C32E6A" w:rsidP="00D10C93" w14:paraId="44949AB1" w14:textId="77777777">
      <w:pPr>
        <w:pStyle w:val="FootnoteText"/>
      </w:pPr>
      <w:r w:rsidRPr="00C32E6A">
        <w:rPr>
          <w:rStyle w:val="FootnoteReference"/>
        </w:rPr>
        <w:footnoteRef/>
      </w:r>
      <w:r w:rsidRPr="00C32E6A">
        <w:t xml:space="preserve"> </w:t>
      </w:r>
      <w:r w:rsidRPr="00015C81">
        <w:t>47 CFR § 1.80(b)(</w:t>
      </w:r>
      <w:r>
        <w:t>9</w:t>
      </w:r>
      <w:r w:rsidRPr="00015C81">
        <w:t>), Note to paragraph (b)(</w:t>
      </w:r>
      <w:r>
        <w:t>9</w:t>
      </w:r>
      <w:r w:rsidRPr="00015C81">
        <w:t>).</w:t>
      </w:r>
    </w:p>
  </w:footnote>
  <w:footnote w:id="62">
    <w:p w:rsidR="00D10C93" w:rsidRPr="006D00E3" w:rsidP="00D10C93" w14:paraId="13FF5C42" w14:textId="77777777">
      <w:pPr>
        <w:pStyle w:val="FootnoteText"/>
        <w:widowControl w:val="0"/>
      </w:pPr>
      <w:r w:rsidRPr="00C32E6A">
        <w:rPr>
          <w:rStyle w:val="FootnoteReference"/>
        </w:rPr>
        <w:footnoteRef/>
      </w:r>
      <w:r w:rsidRPr="00C32E6A">
        <w:t xml:space="preserve"> </w:t>
      </w:r>
      <w:r w:rsidRPr="00AF35C9">
        <w:rPr>
          <w:i/>
        </w:rPr>
        <w:t>1997</w:t>
      </w:r>
      <w:r w:rsidRPr="00635BC7">
        <w:t xml:space="preserve"> </w:t>
      </w:r>
      <w:r w:rsidRPr="00015C81">
        <w:rPr>
          <w:i/>
        </w:rPr>
        <w:t>Forfeiture Guidelines</w:t>
      </w:r>
      <w:r w:rsidRPr="00C32E6A">
        <w:t>, 12 F</w:t>
      </w:r>
      <w:r w:rsidRPr="00AF35C9">
        <w:t xml:space="preserve">CC </w:t>
      </w:r>
      <w:r w:rsidRPr="00AF35C9">
        <w:t>Rcd</w:t>
      </w:r>
      <w:r w:rsidRPr="00635BC7">
        <w:t xml:space="preserve"> at 17109-10, para. 53.</w:t>
      </w:r>
    </w:p>
  </w:footnote>
  <w:footnote w:id="63">
    <w:p w:rsidR="00D10C93" w:rsidRPr="006D00E3" w:rsidP="00D10C93" w14:paraId="46830F4A" w14:textId="77777777">
      <w:pPr>
        <w:pStyle w:val="FootnoteText"/>
      </w:pPr>
      <w:r w:rsidRPr="00C32E6A">
        <w:rPr>
          <w:rStyle w:val="FootnoteReference"/>
        </w:rPr>
        <w:footnoteRef/>
      </w:r>
      <w:r w:rsidRPr="00C32E6A">
        <w:t xml:space="preserve"> </w:t>
      </w:r>
      <w:r w:rsidRPr="00AF35C9">
        <w:t xml:space="preserve">47 U.S.C. § </w:t>
      </w:r>
      <w:r w:rsidRPr="00635BC7">
        <w:t>50</w:t>
      </w:r>
      <w:r w:rsidRPr="006D00E3">
        <w:t>3(b)(6)(B).</w:t>
      </w:r>
    </w:p>
  </w:footnote>
  <w:footnote w:id="64">
    <w:p w:rsidR="00D10C93" w:rsidRPr="00AF35C9" w:rsidP="00D10C93" w14:paraId="2CEE7661" w14:textId="77777777">
      <w:pPr>
        <w:pStyle w:val="FootnoteText"/>
      </w:pPr>
      <w:r w:rsidRPr="00C32E6A">
        <w:rPr>
          <w:rStyle w:val="FootnoteReference"/>
        </w:rPr>
        <w:footnoteRef/>
      </w:r>
      <w:r w:rsidRPr="00C32E6A">
        <w:t xml:space="preserve"> </w:t>
      </w:r>
      <w:r w:rsidRPr="00AF35C9">
        <w:rPr>
          <w:i/>
          <w:iCs/>
        </w:rPr>
        <w:t>S</w:t>
      </w:r>
      <w:r w:rsidRPr="00635BC7">
        <w:rPr>
          <w:i/>
          <w:iCs/>
        </w:rPr>
        <w:t xml:space="preserve">ee </w:t>
      </w:r>
      <w:r w:rsidRPr="006D00E3">
        <w:rPr>
          <w:i/>
          <w:iCs/>
        </w:rPr>
        <w:t>COI Fo</w:t>
      </w:r>
      <w:r w:rsidRPr="00015C81">
        <w:rPr>
          <w:i/>
          <w:iCs/>
        </w:rPr>
        <w:t>rfeiture Order</w:t>
      </w:r>
      <w:r w:rsidRPr="00015C81">
        <w:t xml:space="preserve">, 23 FCC </w:t>
      </w:r>
      <w:r w:rsidRPr="00015C81">
        <w:t>Rcd</w:t>
      </w:r>
      <w:r w:rsidRPr="00015C81">
        <w:t xml:space="preserve"> at 3972, para. 7.  The Bureau found that a section 54.711(a) document retention and production failure is “similarly egregious in nature” to the failure to timely file accurate Annual and Quarterly Worksheets, also pursuant to section 54.711(a) of the Commission’s rules, which has a $50,000 forfeiture under Commission precedent.  </w:t>
      </w:r>
      <w:r w:rsidRPr="00015C81">
        <w:rPr>
          <w:i/>
          <w:iCs/>
        </w:rPr>
        <w:t xml:space="preserve">COI </w:t>
      </w:r>
      <w:r w:rsidRPr="00015C81">
        <w:rPr>
          <w:i/>
          <w:iCs/>
        </w:rPr>
        <w:t>NAL</w:t>
      </w:r>
      <w:r w:rsidRPr="00015C81">
        <w:t xml:space="preserve">, 22 FCC </w:t>
      </w:r>
      <w:r w:rsidRPr="00015C81">
        <w:t>Rcd</w:t>
      </w:r>
      <w:r w:rsidRPr="00015C81">
        <w:t xml:space="preserve"> at 13687, para. 18; </w:t>
      </w:r>
      <w:r w:rsidRPr="00015C81">
        <w:rPr>
          <w:i/>
          <w:iCs/>
        </w:rPr>
        <w:t>COI Forfeiture Order</w:t>
      </w:r>
      <w:r w:rsidRPr="00015C81">
        <w:t xml:space="preserve"> 23 FCC </w:t>
      </w:r>
      <w:r w:rsidRPr="00015C81">
        <w:t>Rcd</w:t>
      </w:r>
      <w:r w:rsidRPr="00015C81">
        <w:t xml:space="preserve"> at 3972, para. 7 (citing </w:t>
      </w:r>
      <w:r w:rsidRPr="00015C81">
        <w:rPr>
          <w:i/>
          <w:iCs/>
        </w:rPr>
        <w:t>Globcom</w:t>
      </w:r>
      <w:r w:rsidRPr="00015C81">
        <w:rPr>
          <w:i/>
          <w:iCs/>
        </w:rPr>
        <w:t xml:space="preserve"> Forfeiture Order</w:t>
      </w:r>
      <w:r w:rsidRPr="00015C81">
        <w:t xml:space="preserve">, 21 FCC </w:t>
      </w:r>
      <w:r w:rsidRPr="00015C81">
        <w:t>Rcd</w:t>
      </w:r>
      <w:r w:rsidRPr="00015C81">
        <w:t xml:space="preserve"> 4721-24, paras. 29-38; </w:t>
      </w:r>
      <w:r w:rsidRPr="00015C81">
        <w:rPr>
          <w:i/>
          <w:iCs/>
        </w:rPr>
        <w:t>Globcom</w:t>
      </w:r>
      <w:r w:rsidRPr="00015C81">
        <w:rPr>
          <w:i/>
          <w:iCs/>
        </w:rPr>
        <w:t xml:space="preserve"> </w:t>
      </w:r>
      <w:r w:rsidRPr="00015C81">
        <w:rPr>
          <w:i/>
          <w:iCs/>
        </w:rPr>
        <w:t>NAL</w:t>
      </w:r>
      <w:r w:rsidRPr="00015C81">
        <w:t xml:space="preserve">, 18 FCC </w:t>
      </w:r>
      <w:r w:rsidRPr="00015C81">
        <w:t>Rcd</w:t>
      </w:r>
      <w:r w:rsidRPr="00015C81">
        <w:t xml:space="preserve"> at 19904-05, paras. 30-32)</w:t>
      </w:r>
      <w:r w:rsidRPr="00015C81">
        <w:rPr>
          <w:rFonts w:ascii="Source Sans Pro" w:hAnsi="Source Sans Pro"/>
          <w:sz w:val="23"/>
          <w:szCs w:val="23"/>
          <w:shd w:val="clear" w:color="auto" w:fill="FFFFFF"/>
        </w:rPr>
        <w:t>.</w:t>
      </w:r>
      <w:r w:rsidRPr="00C32E6A">
        <w:t xml:space="preserve">  </w:t>
      </w:r>
    </w:p>
  </w:footnote>
  <w:footnote w:id="65">
    <w:p w:rsidR="00D10C93" w:rsidRPr="001E3072" w:rsidP="00D10C93" w14:paraId="534041AD" w14:textId="77777777">
      <w:pPr>
        <w:pStyle w:val="FootnoteText"/>
        <w:rPr>
          <w:shd w:val="clear" w:color="auto" w:fill="FFFFFF"/>
        </w:rPr>
      </w:pPr>
      <w:r w:rsidRPr="00C32E6A">
        <w:rPr>
          <w:rStyle w:val="FootnoteReference"/>
        </w:rPr>
        <w:footnoteRef/>
      </w:r>
      <w:r w:rsidRPr="00C32E6A">
        <w:t xml:space="preserve"> </w:t>
      </w:r>
      <w:r w:rsidRPr="00AF35C9">
        <w:rPr>
          <w:i/>
          <w:iCs/>
        </w:rPr>
        <w:t>See</w:t>
      </w:r>
      <w:r w:rsidRPr="00635BC7">
        <w:rPr>
          <w:i/>
          <w:iCs/>
        </w:rPr>
        <w:t xml:space="preserve"> </w:t>
      </w:r>
      <w:r w:rsidRPr="006D00E3">
        <w:rPr>
          <w:i/>
          <w:iCs/>
        </w:rPr>
        <w:t xml:space="preserve">Blue Casa </w:t>
      </w:r>
      <w:r w:rsidRPr="006D00E3">
        <w:rPr>
          <w:i/>
          <w:iCs/>
        </w:rPr>
        <w:t>NAL</w:t>
      </w:r>
      <w:r w:rsidRPr="00015C81">
        <w:t xml:space="preserve">, </w:t>
      </w:r>
      <w:r w:rsidRPr="0044315F">
        <w:t xml:space="preserve">35 FCC </w:t>
      </w:r>
      <w:r w:rsidRPr="0044315F">
        <w:t>Rcd</w:t>
      </w:r>
      <w:r w:rsidRPr="00015C81">
        <w:t xml:space="preserve"> at </w:t>
      </w:r>
      <w:r>
        <w:t xml:space="preserve">6343, </w:t>
      </w:r>
      <w:r w:rsidRPr="00015C81">
        <w:t>para 23</w:t>
      </w:r>
      <w:r w:rsidRPr="00015C81">
        <w:rPr>
          <w:i/>
          <w:iCs/>
        </w:rPr>
        <w:t xml:space="preserve">; Compu-Phone </w:t>
      </w:r>
      <w:r w:rsidRPr="00015C81">
        <w:rPr>
          <w:i/>
          <w:iCs/>
        </w:rPr>
        <w:t>NAL</w:t>
      </w:r>
      <w:r w:rsidRPr="00015C81">
        <w:t xml:space="preserve">¸ </w:t>
      </w:r>
      <w:r w:rsidRPr="00092B07">
        <w:t xml:space="preserve">35 FCC </w:t>
      </w:r>
      <w:r w:rsidRPr="00092B07">
        <w:t>Rcd</w:t>
      </w:r>
      <w:r w:rsidRPr="00092B07">
        <w:t xml:space="preserve"> </w:t>
      </w:r>
      <w:r w:rsidRPr="00015C81">
        <w:t xml:space="preserve">at </w:t>
      </w:r>
      <w:r>
        <w:t xml:space="preserve">6582, </w:t>
      </w:r>
      <w:r w:rsidRPr="00015C81">
        <w:t>para 21</w:t>
      </w:r>
      <w:r w:rsidRPr="00015C81">
        <w:rPr>
          <w:shd w:val="clear" w:color="auto" w:fill="FFFFFF"/>
        </w:rPr>
        <w:t>.</w:t>
      </w:r>
    </w:p>
  </w:footnote>
  <w:footnote w:id="66">
    <w:p w:rsidR="00D10C93" w:rsidRPr="00015C81" w:rsidP="00D10C93" w14:paraId="63246CE7" w14:textId="77777777">
      <w:pPr>
        <w:pStyle w:val="FootnoteText"/>
      </w:pPr>
      <w:r w:rsidRPr="00015C81">
        <w:rPr>
          <w:rStyle w:val="FootnoteReference"/>
        </w:rPr>
        <w:footnoteRef/>
      </w:r>
      <w:r w:rsidRPr="00015C81">
        <w:t xml:space="preserve"> </w:t>
      </w:r>
      <w:r w:rsidRPr="00015C81">
        <w:rPr>
          <w:i/>
          <w:iCs/>
        </w:rPr>
        <w:t xml:space="preserve">See </w:t>
      </w:r>
      <w:r w:rsidRPr="00015C81">
        <w:t>47 U.S.C. § 503(b)(2)(E).</w:t>
      </w:r>
    </w:p>
  </w:footnote>
  <w:footnote w:id="67">
    <w:p w:rsidR="00D10C93" w:rsidRPr="00635BC7" w:rsidP="00D10C93" w14:paraId="0772B8B5" w14:textId="77777777">
      <w:pPr>
        <w:pStyle w:val="FootnoteText"/>
        <w:rPr>
          <w:i/>
          <w:iCs/>
        </w:rPr>
      </w:pPr>
      <w:r w:rsidRPr="00C32E6A">
        <w:rPr>
          <w:rStyle w:val="FootnoteReference"/>
        </w:rPr>
        <w:footnoteRef/>
      </w:r>
      <w:r w:rsidRPr="00C32E6A">
        <w:t xml:space="preserve"> </w:t>
      </w:r>
      <w:r w:rsidRPr="00AF35C9">
        <w:rPr>
          <w:i/>
          <w:iCs/>
        </w:rPr>
        <w:t>See id.</w:t>
      </w:r>
    </w:p>
  </w:footnote>
  <w:footnote w:id="68">
    <w:p w:rsidR="00D10C93" w:rsidRPr="00C32E6A" w:rsidP="00D10C93" w14:paraId="5724A29D" w14:textId="77777777">
      <w:pPr>
        <w:pStyle w:val="FootnoteText"/>
      </w:pPr>
      <w:r w:rsidRPr="00C32E6A">
        <w:rPr>
          <w:rStyle w:val="FootnoteReference"/>
        </w:rPr>
        <w:footnoteRef/>
      </w:r>
      <w:r w:rsidRPr="00015C81">
        <w:t xml:space="preserve"> 47 CFR § 1.80(b)(</w:t>
      </w:r>
      <w:r>
        <w:t>9</w:t>
      </w:r>
      <w:r w:rsidRPr="00015C81">
        <w:t>), Note to paragraph (b)(</w:t>
      </w:r>
      <w:r>
        <w:t>9</w:t>
      </w:r>
      <w:r w:rsidRPr="00015C81">
        <w:t>).</w:t>
      </w:r>
    </w:p>
  </w:footnote>
  <w:footnote w:id="69">
    <w:p w:rsidR="00D10C93" w:rsidRPr="00015C81" w:rsidP="00D10C93" w14:paraId="337F36FB" w14:textId="77777777">
      <w:pPr>
        <w:pStyle w:val="FootnoteText"/>
        <w:rPr>
          <w:i/>
          <w:iCs/>
        </w:rPr>
      </w:pPr>
      <w:r w:rsidRPr="00C32E6A">
        <w:rPr>
          <w:rStyle w:val="FootnoteReference"/>
        </w:rPr>
        <w:footnoteRef/>
      </w:r>
      <w:r w:rsidRPr="00C32E6A">
        <w:t xml:space="preserve"> </w:t>
      </w:r>
      <w:r w:rsidRPr="00AF35C9">
        <w:rPr>
          <w:i/>
          <w:iCs/>
        </w:rPr>
        <w:t xml:space="preserve">See Blue Casa </w:t>
      </w:r>
      <w:r w:rsidRPr="00AF35C9">
        <w:rPr>
          <w:i/>
          <w:iCs/>
        </w:rPr>
        <w:t>N</w:t>
      </w:r>
      <w:r w:rsidRPr="00635BC7">
        <w:rPr>
          <w:i/>
          <w:iCs/>
        </w:rPr>
        <w:t>AL</w:t>
      </w:r>
      <w:r w:rsidRPr="006D00E3">
        <w:t xml:space="preserve">, </w:t>
      </w:r>
      <w:r w:rsidRPr="0044315F">
        <w:t xml:space="preserve">35 FCC </w:t>
      </w:r>
      <w:r w:rsidRPr="0044315F">
        <w:t>Rcd</w:t>
      </w:r>
      <w:r w:rsidRPr="00015C81">
        <w:t xml:space="preserve"> at </w:t>
      </w:r>
      <w:r>
        <w:t xml:space="preserve">6344, </w:t>
      </w:r>
      <w:r w:rsidRPr="006D00E3">
        <w:t xml:space="preserve">para. </w:t>
      </w:r>
      <w:r w:rsidRPr="00015C81">
        <w:t xml:space="preserve">25; </w:t>
      </w:r>
      <w:r w:rsidRPr="00015C81">
        <w:rPr>
          <w:i/>
          <w:iCs/>
        </w:rPr>
        <w:t xml:space="preserve">Compu-Phone </w:t>
      </w:r>
      <w:r w:rsidRPr="00015C81">
        <w:rPr>
          <w:i/>
          <w:iCs/>
        </w:rPr>
        <w:t>NAL</w:t>
      </w:r>
      <w:r w:rsidRPr="00015C81">
        <w:t xml:space="preserve">¸ </w:t>
      </w:r>
      <w:r w:rsidRPr="00092B07">
        <w:t xml:space="preserve">35 FCC </w:t>
      </w:r>
      <w:r w:rsidRPr="00092B07">
        <w:t>Rcd</w:t>
      </w:r>
      <w:r w:rsidRPr="00092B07">
        <w:t xml:space="preserve"> </w:t>
      </w:r>
      <w:r w:rsidRPr="00015C81">
        <w:t xml:space="preserve">at </w:t>
      </w:r>
      <w:r>
        <w:t xml:space="preserve">6583, </w:t>
      </w:r>
      <w:r w:rsidRPr="00015C81">
        <w:t>para. 23.</w:t>
      </w:r>
    </w:p>
  </w:footnote>
  <w:footnote w:id="70">
    <w:p w:rsidR="00D10C93" w:rsidRPr="00015C81" w:rsidP="00D10C93" w14:paraId="326CFBC6" w14:textId="77777777">
      <w:pPr>
        <w:pStyle w:val="FootnoteText"/>
      </w:pPr>
      <w:r w:rsidRPr="00C32E6A">
        <w:rPr>
          <w:rStyle w:val="FootnoteReference"/>
        </w:rPr>
        <w:footnoteRef/>
      </w:r>
      <w:r w:rsidRPr="00C32E6A">
        <w:t xml:space="preserve"> </w:t>
      </w:r>
      <w:r w:rsidRPr="00AF35C9">
        <w:rPr>
          <w:i/>
        </w:rPr>
        <w:t xml:space="preserve">See </w:t>
      </w:r>
      <w:r w:rsidRPr="00635BC7">
        <w:t>4</w:t>
      </w:r>
      <w:r w:rsidRPr="006D00E3">
        <w:t>7 U.S.C. § 503(b)(2)(E); 47 CFR § 1.80(b)(</w:t>
      </w:r>
      <w:r>
        <w:t>9</w:t>
      </w:r>
      <w:r w:rsidRPr="006D00E3">
        <w:t>), note to</w:t>
      </w:r>
      <w:r w:rsidRPr="00015C81">
        <w:t xml:space="preserve"> paragraph (b)(</w:t>
      </w:r>
      <w:r>
        <w:t>9</w:t>
      </w:r>
      <w:r w:rsidRPr="00015C81">
        <w:t>).</w:t>
      </w:r>
    </w:p>
  </w:footnote>
  <w:footnote w:id="71">
    <w:p w:rsidR="00D10C93" w:rsidRPr="00C32E6A" w:rsidP="00D10C93" w14:paraId="1A03A470" w14:textId="77777777">
      <w:pPr>
        <w:pStyle w:val="FootnoteText"/>
      </w:pPr>
      <w:r w:rsidRPr="00C32E6A">
        <w:rPr>
          <w:rStyle w:val="FootnoteReference"/>
        </w:rPr>
        <w:footnoteRef/>
      </w:r>
      <w:r w:rsidRPr="00C32E6A">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72">
    <w:p w:rsidR="00D10C93" w:rsidRPr="00015C81" w:rsidP="00D10C93" w14:paraId="18C8176F" w14:textId="77777777">
      <w:pPr>
        <w:pStyle w:val="FootnoteText"/>
      </w:pPr>
      <w:r w:rsidRPr="00C32E6A">
        <w:rPr>
          <w:rStyle w:val="FootnoteReference"/>
        </w:rPr>
        <w:footnoteRef/>
      </w:r>
      <w:r w:rsidRPr="00C32E6A">
        <w:t xml:space="preserve"> 47 U.S.C. </w:t>
      </w:r>
      <w:r w:rsidRPr="00AF35C9">
        <w:t>§</w:t>
      </w:r>
      <w:r w:rsidRPr="00635BC7">
        <w:t xml:space="preserve"> 50</w:t>
      </w:r>
      <w:r w:rsidRPr="006D00E3">
        <w:t>3(b); 47 CFR</w:t>
      </w:r>
      <w:r w:rsidRPr="00015C81">
        <w:t xml:space="preserve"> § 1.80.</w:t>
      </w:r>
    </w:p>
  </w:footnote>
  <w:footnote w:id="73">
    <w:p w:rsidR="00D10C93" w:rsidRPr="00015C81" w:rsidP="00D10C93" w14:paraId="4F37C062" w14:textId="77777777">
      <w:pPr>
        <w:pStyle w:val="FootnoteText"/>
      </w:pPr>
      <w:r w:rsidRPr="00C32E6A">
        <w:rPr>
          <w:rStyle w:val="FootnoteReference"/>
        </w:rPr>
        <w:footnoteRef/>
      </w:r>
      <w:r w:rsidRPr="00C32E6A">
        <w:t xml:space="preserve"> 47 </w:t>
      </w:r>
      <w:r w:rsidRPr="00AF35C9">
        <w:t>CFR</w:t>
      </w:r>
      <w:r w:rsidRPr="00635BC7">
        <w:t xml:space="preserve"> </w:t>
      </w:r>
      <w:r w:rsidRPr="006D00E3">
        <w:t xml:space="preserve">§ </w:t>
      </w:r>
      <w:r w:rsidRPr="00015C81">
        <w:t>54.711(a).</w:t>
      </w:r>
    </w:p>
  </w:footnote>
  <w:footnote w:id="74">
    <w:p w:rsidR="00D10C93" w:rsidRPr="00015C81" w:rsidP="00D10C93" w14:paraId="28DC5F3F" w14:textId="77777777">
      <w:pPr>
        <w:pStyle w:val="FootnoteText"/>
      </w:pPr>
      <w:r w:rsidRPr="00C32E6A">
        <w:rPr>
          <w:rStyle w:val="FootnoteReference"/>
        </w:rPr>
        <w:footnoteRef/>
      </w:r>
      <w:r w:rsidRPr="00C32E6A">
        <w:t xml:space="preserve"> </w:t>
      </w:r>
      <w:r w:rsidRPr="00AF35C9">
        <w:t xml:space="preserve">47 </w:t>
      </w:r>
      <w:r w:rsidRPr="00635BC7">
        <w:t>CFR</w:t>
      </w:r>
      <w:r w:rsidRPr="006D00E3">
        <w:t xml:space="preserve"> § 1.80.</w:t>
      </w:r>
    </w:p>
  </w:footnote>
  <w:footnote w:id="75">
    <w:p w:rsidR="00D10C93" w:rsidRPr="00015C81" w:rsidP="00D10C93" w14:paraId="293EC017" w14:textId="77777777">
      <w:pPr>
        <w:pStyle w:val="FootnoteText"/>
      </w:pPr>
      <w:r w:rsidRPr="00C32E6A">
        <w:rPr>
          <w:rStyle w:val="FootnoteReference"/>
        </w:rPr>
        <w:footnoteRef/>
      </w:r>
      <w:r w:rsidRPr="00C32E6A">
        <w:t xml:space="preserve"> Pay</w:t>
      </w:r>
      <w:r w:rsidRPr="00AF35C9">
        <w:t xml:space="preserve">ments made </w:t>
      </w:r>
      <w:r w:rsidRPr="00635BC7">
        <w:t>usin</w:t>
      </w:r>
      <w:r w:rsidRPr="006D00E3">
        <w:t>g the Co</w:t>
      </w:r>
      <w:r w:rsidRPr="00015C81">
        <w:t>mmission’s Fee Filer system do not require the submission of an FCC Form 159.</w:t>
      </w:r>
    </w:p>
  </w:footnote>
  <w:footnote w:id="76">
    <w:p w:rsidR="00D10C93" w:rsidRPr="00AF35C9" w:rsidP="00D10C93" w14:paraId="675C01C7" w14:textId="77777777">
      <w:pPr>
        <w:pStyle w:val="FootnoteText"/>
        <w:rPr>
          <w:sz w:val="22"/>
          <w:szCs w:val="22"/>
        </w:rPr>
      </w:pPr>
      <w:r w:rsidRPr="00C32E6A">
        <w:rPr>
          <w:rStyle w:val="FootnoteReference"/>
        </w:rPr>
        <w:footnoteRef/>
      </w:r>
      <w:r w:rsidRPr="00C32E6A">
        <w:t xml:space="preserve"> </w:t>
      </w:r>
      <w:r w:rsidRPr="00AF35C9">
        <w:t>For qu</w:t>
      </w:r>
      <w:r w:rsidRPr="00635BC7">
        <w:t>estions regarding payment pro</w:t>
      </w:r>
      <w:r w:rsidRPr="006D00E3">
        <w:t>cedures, ple</w:t>
      </w:r>
      <w:r w:rsidRPr="00015C81">
        <w:t xml:space="preserve">ase contact the Financial Operations Group Help Desk by phone at 1-877-480-3201 (option #6), or by e-mail at </w:t>
      </w:r>
      <w:hyperlink r:id="rId1" w:history="1">
        <w:r w:rsidRPr="006A1160">
          <w:rPr>
            <w:rStyle w:val="Hyperlink"/>
          </w:rPr>
          <w:t>ARINQUIRIES@fcc.gov</w:t>
        </w:r>
      </w:hyperlink>
      <w:r w:rsidRPr="00C32E6A">
        <w:t>.</w:t>
      </w:r>
    </w:p>
  </w:footnote>
  <w:footnote w:id="77">
    <w:p w:rsidR="00D10C93" w:rsidRPr="00AF35C9" w:rsidP="00D10C93" w14:paraId="4FBD1DD0" w14:textId="77777777">
      <w:pPr>
        <w:pStyle w:val="FootnoteText"/>
      </w:pPr>
      <w:r w:rsidRPr="00C32E6A">
        <w:rPr>
          <w:rStyle w:val="FootnoteReference"/>
        </w:rPr>
        <w:footnoteRef/>
      </w:r>
      <w:r w:rsidRPr="00C32E6A">
        <w:t xml:space="preserve"> </w:t>
      </w:r>
      <w:r w:rsidRPr="00AF35C9">
        <w:t xml:space="preserve">Instructions </w:t>
      </w:r>
      <w:r w:rsidRPr="00635BC7">
        <w:t>for completing the f</w:t>
      </w:r>
      <w:r w:rsidRPr="006D00E3">
        <w:t>orm may</w:t>
      </w:r>
      <w:r w:rsidRPr="00015C81">
        <w:t xml:space="preserve"> be obtained at </w:t>
      </w:r>
      <w:hyperlink r:id="rId2" w:history="1">
        <w:r w:rsidRPr="006A1160">
          <w:rPr>
            <w:rStyle w:val="Hyperlink"/>
          </w:rPr>
          <w:t>http://www.fcc.gov/Forms/Form159/159.pdf</w:t>
        </w:r>
      </w:hyperlink>
      <w:r w:rsidRPr="00C32E6A">
        <w:t xml:space="preserve">. </w:t>
      </w:r>
    </w:p>
  </w:footnote>
  <w:footnote w:id="78">
    <w:p w:rsidR="00D10C93" w:rsidRPr="006D00E3" w:rsidP="00D10C93" w14:paraId="252D8B55" w14:textId="77777777">
      <w:pPr>
        <w:pStyle w:val="FootnoteText"/>
      </w:pPr>
      <w:r w:rsidRPr="00C32E6A">
        <w:rPr>
          <w:rStyle w:val="FootnoteReference"/>
        </w:rPr>
        <w:footnoteRef/>
      </w:r>
      <w:r w:rsidRPr="00C32E6A">
        <w:t xml:space="preserve"> </w:t>
      </w:r>
      <w:r w:rsidRPr="00AF35C9">
        <w:rPr>
          <w:i/>
        </w:rPr>
        <w:t>See</w:t>
      </w:r>
      <w:r w:rsidRPr="00635BC7">
        <w:t xml:space="preserve"> 47 CFR § 1.1914.</w:t>
      </w:r>
    </w:p>
  </w:footnote>
  <w:footnote w:id="79">
    <w:p w:rsidR="00D10C93" w:rsidRPr="00015C81" w:rsidP="00D10C93" w14:paraId="5F46FC64" w14:textId="77777777">
      <w:pPr>
        <w:pStyle w:val="FootnoteText"/>
      </w:pPr>
      <w:r w:rsidRPr="00C32E6A">
        <w:rPr>
          <w:rStyle w:val="FootnoteReference"/>
        </w:rPr>
        <w:footnoteRef/>
      </w:r>
      <w:r w:rsidRPr="00C32E6A">
        <w:t xml:space="preserve"> 47 CFR</w:t>
      </w:r>
      <w:r w:rsidRPr="00AF35C9">
        <w:t xml:space="preserve"> </w:t>
      </w:r>
      <w:r w:rsidRPr="00635BC7">
        <w:t>§§ 1.16, 1</w:t>
      </w:r>
      <w:r w:rsidRPr="006D00E3">
        <w:t>.80(f)(3)</w:t>
      </w:r>
      <w:r w:rsidRPr="00015C81">
        <w:t>.</w:t>
      </w:r>
    </w:p>
  </w:footnote>
  <w:footnote w:id="80">
    <w:p w:rsidR="00D10C93" w:rsidRPr="00015C81" w:rsidP="00D10C93" w14:paraId="414D713A" w14:textId="77777777">
      <w:pPr>
        <w:pStyle w:val="FootnoteText"/>
      </w:pPr>
      <w:r w:rsidRPr="00C32E6A">
        <w:rPr>
          <w:rStyle w:val="FootnoteReference"/>
        </w:rPr>
        <w:footnoteRef/>
      </w:r>
      <w:r w:rsidRPr="00C32E6A">
        <w:t xml:space="preserve"> </w:t>
      </w:r>
      <w:r w:rsidRPr="00AF35C9">
        <w:rPr>
          <w:i/>
          <w:iCs/>
        </w:rPr>
        <w:t>A</w:t>
      </w:r>
      <w:r w:rsidRPr="00635BC7">
        <w:rPr>
          <w:i/>
          <w:iCs/>
        </w:rPr>
        <w:t>drian Abramovich</w:t>
      </w:r>
      <w:r w:rsidRPr="006D00E3">
        <w:t xml:space="preserve">, Forfeiture Order, 33 FCC </w:t>
      </w:r>
      <w:r w:rsidRPr="006D00E3">
        <w:t>Rcd</w:t>
      </w:r>
      <w:r w:rsidRPr="006D00E3">
        <w:t xml:space="preserve"> 4663, 4678</w:t>
      </w:r>
      <w:r w:rsidRPr="00015C81">
        <w:t>-79,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7D2E11" w14:textId="77777777">
    <w:pPr>
      <w:pStyle w:val="Header"/>
      <w:rPr>
        <w:b w:val="0"/>
      </w:rPr>
    </w:pPr>
    <w:r>
      <w:tab/>
      <w:t>Federal Communications Commission</w:t>
    </w:r>
    <w:r>
      <w:tab/>
    </w:r>
    <w:r w:rsidR="00B37295">
      <w:t xml:space="preserve">DA </w:t>
    </w:r>
    <w:r w:rsidRPr="00ED7F08" w:rsidR="00B37295">
      <w:t>20-1272</w:t>
    </w:r>
  </w:p>
  <w:p w:rsidR="00D25FB5" w14:paraId="3B5D271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FB2040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8A292D" w14:textId="6373841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10C93">
      <w:t xml:space="preserve">DA </w:t>
    </w:r>
    <w:r w:rsidRPr="00ED7F08" w:rsidR="00D10C93">
      <w:t>20-1272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F76BB7"/>
    <w:multiLevelType w:val="hybridMultilevel"/>
    <w:tmpl w:val="27C657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B45DC0"/>
    <w:multiLevelType w:val="hybridMultilevel"/>
    <w:tmpl w:val="B3DA2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E64FF1"/>
    <w:multiLevelType w:val="hybridMultilevel"/>
    <w:tmpl w:val="43021986"/>
    <w:lvl w:ilvl="0">
      <w:start w:val="59"/>
      <w:numFmt w:val="decimal"/>
      <w:lvlText w:val="%1."/>
      <w:lvlJc w:val="left"/>
      <w:pPr>
        <w:ind w:left="839" w:hanging="735"/>
      </w:pPr>
      <w:rPr>
        <w:rFonts w:ascii="Arial" w:eastAsia="Arial" w:hAnsi="Arial" w:hint="default"/>
        <w:color w:val="161616"/>
        <w:w w:val="104"/>
        <w:sz w:val="23"/>
        <w:szCs w:val="23"/>
      </w:rPr>
    </w:lvl>
    <w:lvl w:ilvl="1">
      <w:start w:val="1"/>
      <w:numFmt w:val="lowerLetter"/>
      <w:lvlText w:val="%2."/>
      <w:lvlJc w:val="left"/>
      <w:pPr>
        <w:ind w:left="1552" w:hanging="720"/>
      </w:pPr>
      <w:rPr>
        <w:rFonts w:ascii="Times New Roman" w:eastAsia="Times New Roman" w:hAnsi="Times New Roman" w:hint="default"/>
        <w:color w:val="242424"/>
        <w:w w:val="111"/>
        <w:sz w:val="27"/>
        <w:szCs w:val="27"/>
      </w:rPr>
    </w:lvl>
    <w:lvl w:ilvl="2">
      <w:start w:val="1"/>
      <w:numFmt w:val="lowerRoman"/>
      <w:lvlText w:val="%3."/>
      <w:lvlJc w:val="left"/>
      <w:pPr>
        <w:ind w:left="2276" w:hanging="720"/>
      </w:pPr>
      <w:rPr>
        <w:rFonts w:ascii="Arial" w:eastAsia="Arial" w:hAnsi="Arial" w:hint="default"/>
        <w:i/>
        <w:color w:val="212121"/>
        <w:w w:val="127"/>
        <w:sz w:val="24"/>
        <w:szCs w:val="24"/>
      </w:rPr>
    </w:lvl>
    <w:lvl w:ilvl="3">
      <w:start w:val="1"/>
      <w:numFmt w:val="bullet"/>
      <w:lvlText w:val="•"/>
      <w:lvlJc w:val="left"/>
      <w:pPr>
        <w:ind w:left="1559" w:hanging="720"/>
      </w:pPr>
      <w:rPr>
        <w:rFonts w:hint="default"/>
      </w:rPr>
    </w:lvl>
    <w:lvl w:ilvl="4">
      <w:start w:val="1"/>
      <w:numFmt w:val="bullet"/>
      <w:lvlText w:val="•"/>
      <w:lvlJc w:val="left"/>
      <w:pPr>
        <w:ind w:left="1566" w:hanging="720"/>
      </w:pPr>
      <w:rPr>
        <w:rFonts w:hint="default"/>
      </w:rPr>
    </w:lvl>
    <w:lvl w:ilvl="5">
      <w:start w:val="1"/>
      <w:numFmt w:val="bullet"/>
      <w:lvlText w:val="•"/>
      <w:lvlJc w:val="left"/>
      <w:pPr>
        <w:ind w:left="2276" w:hanging="720"/>
      </w:pPr>
      <w:rPr>
        <w:rFonts w:hint="default"/>
      </w:rPr>
    </w:lvl>
    <w:lvl w:ilvl="6">
      <w:start w:val="1"/>
      <w:numFmt w:val="bullet"/>
      <w:lvlText w:val="•"/>
      <w:lvlJc w:val="left"/>
      <w:pPr>
        <w:ind w:left="3744" w:hanging="720"/>
      </w:pPr>
      <w:rPr>
        <w:rFonts w:hint="default"/>
      </w:rPr>
    </w:lvl>
    <w:lvl w:ilvl="7">
      <w:start w:val="1"/>
      <w:numFmt w:val="bullet"/>
      <w:lvlText w:val="•"/>
      <w:lvlJc w:val="left"/>
      <w:pPr>
        <w:ind w:left="5213" w:hanging="720"/>
      </w:pPr>
      <w:rPr>
        <w:rFonts w:hint="default"/>
      </w:rPr>
    </w:lvl>
    <w:lvl w:ilvl="8">
      <w:start w:val="1"/>
      <w:numFmt w:val="bullet"/>
      <w:lvlText w:val="•"/>
      <w:lvlJc w:val="left"/>
      <w:pPr>
        <w:ind w:left="6682" w:hanging="720"/>
      </w:pPr>
      <w:rPr>
        <w:rFont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387FB53"/>
    <w:multiLevelType w:val="hybridMultilevel"/>
    <w:tmpl w:val="EE1E8B93"/>
    <w:lvl w:ilvl="0">
      <w:start w:val="1"/>
      <w:numFmt w:val="bullet"/>
      <w:lvlText w:val="•"/>
      <w:lvlJc w:val="left"/>
    </w:lvl>
    <w:lvl w:ilvl="1">
      <w:start w:val="1"/>
      <w:numFmt w:val="bullet"/>
      <w:lvlText w:val="•"/>
      <w:lvlJc w:val="left"/>
    </w:lvl>
    <w:lvl w:ilvl="2">
      <w:start w:val="1"/>
      <w:numFmt w:val="bullet"/>
      <w:lvlText w:v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D24C84"/>
    <w:multiLevelType w:val="hybridMultilevel"/>
    <w:tmpl w:val="2640EE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abstractNum w:abstractNumId="1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4"/>
  </w:num>
  <w:num w:numId="2">
    <w:abstractNumId w:val="13"/>
  </w:num>
  <w:num w:numId="3">
    <w:abstractNumId w:val="7"/>
  </w:num>
  <w:num w:numId="4">
    <w:abstractNumId w:val="10"/>
  </w:num>
  <w:num w:numId="5">
    <w:abstractNumId w:val="5"/>
  </w:num>
  <w:num w:numId="6">
    <w:abstractNumId w:val="0"/>
  </w:num>
  <w:num w:numId="7">
    <w:abstractNumId w:val="14"/>
  </w:num>
  <w:num w:numId="8">
    <w:abstractNumId w:val="9"/>
  </w:num>
  <w:num w:numId="9">
    <w:abstractNumId w:val="15"/>
  </w:num>
  <w:num w:numId="10">
    <w:abstractNumId w:val="3"/>
  </w:num>
  <w:num w:numId="11">
    <w:abstractNumId w:val="12"/>
  </w:num>
  <w:num w:numId="12">
    <w:abstractNumId w:val="13"/>
    <w:lvlOverride w:ilvl="0">
      <w:startOverride w:val="1"/>
    </w:lvlOverride>
  </w:num>
  <w:num w:numId="13">
    <w:abstractNumId w:val="13"/>
    <w:lvlOverride w:ilvl="0">
      <w:startOverride w:val="1"/>
    </w:lvlOverride>
  </w:num>
  <w:num w:numId="14">
    <w:abstractNumId w:val="2"/>
  </w:num>
  <w:num w:numId="15">
    <w:abstractNumId w:val="1"/>
  </w:num>
  <w:num w:numId="16">
    <w:abstractNumId w:val="6"/>
  </w:num>
  <w:num w:numId="17">
    <w:abstractNumId w:val="13"/>
    <w:lvlOverride w:ilvl="0">
      <w:startOverride w:val="1"/>
    </w:lvlOverride>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15C81"/>
    <w:rsid w:val="00023923"/>
    <w:rsid w:val="00036039"/>
    <w:rsid w:val="00037F90"/>
    <w:rsid w:val="00051399"/>
    <w:rsid w:val="0006085A"/>
    <w:rsid w:val="00075F5D"/>
    <w:rsid w:val="00077737"/>
    <w:rsid w:val="000875BF"/>
    <w:rsid w:val="00092B07"/>
    <w:rsid w:val="00096D8C"/>
    <w:rsid w:val="000B5464"/>
    <w:rsid w:val="000C0B65"/>
    <w:rsid w:val="000C33AE"/>
    <w:rsid w:val="000C4F6E"/>
    <w:rsid w:val="000E05FE"/>
    <w:rsid w:val="000E3D42"/>
    <w:rsid w:val="00101702"/>
    <w:rsid w:val="001124CC"/>
    <w:rsid w:val="00122BD5"/>
    <w:rsid w:val="00133F79"/>
    <w:rsid w:val="0018163B"/>
    <w:rsid w:val="00194A66"/>
    <w:rsid w:val="001A7AA0"/>
    <w:rsid w:val="001D462C"/>
    <w:rsid w:val="001D6BCF"/>
    <w:rsid w:val="001E01CA"/>
    <w:rsid w:val="001E3072"/>
    <w:rsid w:val="002210D0"/>
    <w:rsid w:val="00235E22"/>
    <w:rsid w:val="0023784B"/>
    <w:rsid w:val="00275CF5"/>
    <w:rsid w:val="0028301F"/>
    <w:rsid w:val="00285017"/>
    <w:rsid w:val="002A2D2E"/>
    <w:rsid w:val="002C00E8"/>
    <w:rsid w:val="002C4CDF"/>
    <w:rsid w:val="002D71B8"/>
    <w:rsid w:val="003403C5"/>
    <w:rsid w:val="00343749"/>
    <w:rsid w:val="003660ED"/>
    <w:rsid w:val="00370D19"/>
    <w:rsid w:val="00396ADD"/>
    <w:rsid w:val="003B0550"/>
    <w:rsid w:val="003B694F"/>
    <w:rsid w:val="003E1E96"/>
    <w:rsid w:val="003E565B"/>
    <w:rsid w:val="003F171C"/>
    <w:rsid w:val="003F6B24"/>
    <w:rsid w:val="00412FC5"/>
    <w:rsid w:val="00422276"/>
    <w:rsid w:val="004230CB"/>
    <w:rsid w:val="004242F1"/>
    <w:rsid w:val="0044315F"/>
    <w:rsid w:val="00445A00"/>
    <w:rsid w:val="00451B0F"/>
    <w:rsid w:val="00452483"/>
    <w:rsid w:val="00457AC9"/>
    <w:rsid w:val="004B0F4B"/>
    <w:rsid w:val="004C2EE3"/>
    <w:rsid w:val="004E4A22"/>
    <w:rsid w:val="00511968"/>
    <w:rsid w:val="00526EBF"/>
    <w:rsid w:val="0055614C"/>
    <w:rsid w:val="00566D06"/>
    <w:rsid w:val="005A5586"/>
    <w:rsid w:val="005C5BBE"/>
    <w:rsid w:val="005E14C2"/>
    <w:rsid w:val="00607BA5"/>
    <w:rsid w:val="0061180A"/>
    <w:rsid w:val="00626EB6"/>
    <w:rsid w:val="00635BC7"/>
    <w:rsid w:val="00646748"/>
    <w:rsid w:val="00655D03"/>
    <w:rsid w:val="00665815"/>
    <w:rsid w:val="00676755"/>
    <w:rsid w:val="00680A35"/>
    <w:rsid w:val="00683388"/>
    <w:rsid w:val="00683F84"/>
    <w:rsid w:val="006A1160"/>
    <w:rsid w:val="006A6A81"/>
    <w:rsid w:val="006B1EC2"/>
    <w:rsid w:val="006B62D9"/>
    <w:rsid w:val="006D00E3"/>
    <w:rsid w:val="006D0CA1"/>
    <w:rsid w:val="006D1F2E"/>
    <w:rsid w:val="006E52E1"/>
    <w:rsid w:val="006F3D40"/>
    <w:rsid w:val="006F7393"/>
    <w:rsid w:val="0070224F"/>
    <w:rsid w:val="007115F7"/>
    <w:rsid w:val="00724C5B"/>
    <w:rsid w:val="0072667B"/>
    <w:rsid w:val="00736E6A"/>
    <w:rsid w:val="007823D2"/>
    <w:rsid w:val="00785689"/>
    <w:rsid w:val="0079754B"/>
    <w:rsid w:val="007A1326"/>
    <w:rsid w:val="007A1E6D"/>
    <w:rsid w:val="007B0EB2"/>
    <w:rsid w:val="007F377B"/>
    <w:rsid w:val="007F63F7"/>
    <w:rsid w:val="00810B6F"/>
    <w:rsid w:val="00817FC5"/>
    <w:rsid w:val="00822CE0"/>
    <w:rsid w:val="00841AB1"/>
    <w:rsid w:val="00876BD4"/>
    <w:rsid w:val="00876F19"/>
    <w:rsid w:val="008777F6"/>
    <w:rsid w:val="008B25E9"/>
    <w:rsid w:val="008C68F1"/>
    <w:rsid w:val="00921803"/>
    <w:rsid w:val="00921828"/>
    <w:rsid w:val="0092533C"/>
    <w:rsid w:val="00926503"/>
    <w:rsid w:val="00945F2F"/>
    <w:rsid w:val="009476B8"/>
    <w:rsid w:val="009726D8"/>
    <w:rsid w:val="009C7680"/>
    <w:rsid w:val="009D332E"/>
    <w:rsid w:val="009D7308"/>
    <w:rsid w:val="009E2496"/>
    <w:rsid w:val="009F76DB"/>
    <w:rsid w:val="00A0608B"/>
    <w:rsid w:val="00A2063E"/>
    <w:rsid w:val="00A32C3B"/>
    <w:rsid w:val="00A45F4F"/>
    <w:rsid w:val="00A462E0"/>
    <w:rsid w:val="00A51A6D"/>
    <w:rsid w:val="00A600A9"/>
    <w:rsid w:val="00A7663A"/>
    <w:rsid w:val="00A879E6"/>
    <w:rsid w:val="00AA55B7"/>
    <w:rsid w:val="00AA5B9E"/>
    <w:rsid w:val="00AB2407"/>
    <w:rsid w:val="00AB53DF"/>
    <w:rsid w:val="00AC65E6"/>
    <w:rsid w:val="00AE2907"/>
    <w:rsid w:val="00AF35C9"/>
    <w:rsid w:val="00B07E5C"/>
    <w:rsid w:val="00B37295"/>
    <w:rsid w:val="00B44A76"/>
    <w:rsid w:val="00B62767"/>
    <w:rsid w:val="00B74072"/>
    <w:rsid w:val="00B811F7"/>
    <w:rsid w:val="00B90FB3"/>
    <w:rsid w:val="00BA5DC6"/>
    <w:rsid w:val="00BA6196"/>
    <w:rsid w:val="00BC6D8C"/>
    <w:rsid w:val="00BE3ADC"/>
    <w:rsid w:val="00C23F89"/>
    <w:rsid w:val="00C32E6A"/>
    <w:rsid w:val="00C34006"/>
    <w:rsid w:val="00C36B4C"/>
    <w:rsid w:val="00C426B1"/>
    <w:rsid w:val="00C473A8"/>
    <w:rsid w:val="00C548A5"/>
    <w:rsid w:val="00C57E62"/>
    <w:rsid w:val="00C66160"/>
    <w:rsid w:val="00C721AC"/>
    <w:rsid w:val="00C86748"/>
    <w:rsid w:val="00C90D6A"/>
    <w:rsid w:val="00CA247E"/>
    <w:rsid w:val="00CA6D21"/>
    <w:rsid w:val="00CB118C"/>
    <w:rsid w:val="00CC72B6"/>
    <w:rsid w:val="00CC7FC0"/>
    <w:rsid w:val="00D0218D"/>
    <w:rsid w:val="00D10C93"/>
    <w:rsid w:val="00D25FB5"/>
    <w:rsid w:val="00D33E9B"/>
    <w:rsid w:val="00D44223"/>
    <w:rsid w:val="00D73120"/>
    <w:rsid w:val="00DA2529"/>
    <w:rsid w:val="00DB130A"/>
    <w:rsid w:val="00DB2EBB"/>
    <w:rsid w:val="00DC10A1"/>
    <w:rsid w:val="00DC655F"/>
    <w:rsid w:val="00DD0B59"/>
    <w:rsid w:val="00DD51BC"/>
    <w:rsid w:val="00DD7EBD"/>
    <w:rsid w:val="00DF62B6"/>
    <w:rsid w:val="00E07225"/>
    <w:rsid w:val="00E2370C"/>
    <w:rsid w:val="00E25CCB"/>
    <w:rsid w:val="00E30254"/>
    <w:rsid w:val="00E44338"/>
    <w:rsid w:val="00E5409F"/>
    <w:rsid w:val="00E847FC"/>
    <w:rsid w:val="00EC4BF6"/>
    <w:rsid w:val="00EC53D2"/>
    <w:rsid w:val="00EC53DD"/>
    <w:rsid w:val="00ED7F08"/>
    <w:rsid w:val="00EE6488"/>
    <w:rsid w:val="00F021FA"/>
    <w:rsid w:val="00F1213C"/>
    <w:rsid w:val="00F337CB"/>
    <w:rsid w:val="00F62E97"/>
    <w:rsid w:val="00F64209"/>
    <w:rsid w:val="00F778D7"/>
    <w:rsid w:val="00F93BF5"/>
    <w:rsid w:val="00FE300B"/>
    <w:rsid w:val="00FF42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8EA3911-6E9B-4D66-BF28-8BAD3DA4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 Char,Footnote Text Char Char Char Char Char Char,Footnote Text Char1 Char,Footnote Text Char1 Char2 Char Char Char,Footnote Text Char2,Footnote Text Char2 Char Char Char,rrfootnote,rrfootnote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1 Char Char,Footnote Text Char1 Char2 Char Char Char Char,Footnote Text Char2 Char,Footnote Text Char2 Char Char Char Char,rrfootnote Char Char,rrfootnote Char1"/>
    <w:basedOn w:val="DefaultParagraphFont"/>
    <w:link w:val="FootnoteText"/>
    <w:rsid w:val="00D10C93"/>
  </w:style>
  <w:style w:type="paragraph" w:customStyle="1" w:styleId="par1">
    <w:name w:val="par1"/>
    <w:basedOn w:val="Normal"/>
    <w:rsid w:val="00D10C93"/>
    <w:pPr>
      <w:widowControl/>
      <w:numPr>
        <w:numId w:val="7"/>
      </w:numPr>
      <w:spacing w:after="160" w:line="259" w:lineRule="auto"/>
    </w:pPr>
    <w:rPr>
      <w:rFonts w:ascii="Calibri" w:eastAsia="Calibri" w:hAnsi="Calibri"/>
      <w:kern w:val="0"/>
      <w:szCs w:val="22"/>
    </w:rPr>
  </w:style>
  <w:style w:type="character" w:customStyle="1" w:styleId="ParaNumChar">
    <w:name w:val="ParaNum Char"/>
    <w:link w:val="ParaNum"/>
    <w:locked/>
    <w:rsid w:val="00D10C93"/>
    <w:rPr>
      <w:snapToGrid w:val="0"/>
      <w:kern w:val="28"/>
      <w:sz w:val="22"/>
    </w:rPr>
  </w:style>
  <w:style w:type="paragraph" w:styleId="Caption">
    <w:name w:val="caption"/>
    <w:basedOn w:val="Normal"/>
    <w:next w:val="Normal"/>
    <w:qFormat/>
    <w:rsid w:val="00D10C93"/>
    <w:pPr>
      <w:widowControl/>
      <w:spacing w:before="120" w:after="120" w:line="259" w:lineRule="auto"/>
    </w:pPr>
    <w:rPr>
      <w:rFonts w:ascii="Calibri" w:eastAsia="SimSun" w:hAnsi="Calibri"/>
      <w:b/>
      <w:kern w:val="0"/>
      <w:szCs w:val="22"/>
    </w:rPr>
  </w:style>
  <w:style w:type="paragraph" w:styleId="ListParagraph">
    <w:name w:val="List Paragraph"/>
    <w:basedOn w:val="Normal"/>
    <w:uiPriority w:val="34"/>
    <w:qFormat/>
    <w:rsid w:val="00D10C93"/>
    <w:pPr>
      <w:widowControl/>
      <w:spacing w:after="160" w:line="259" w:lineRule="auto"/>
      <w:ind w:left="720"/>
      <w:contextualSpacing/>
    </w:pPr>
    <w:rPr>
      <w:rFonts w:ascii="Calibri" w:eastAsia="Calibri" w:hAnsi="Calibri"/>
      <w:snapToGrid/>
      <w:kern w:val="0"/>
      <w:szCs w:val="22"/>
    </w:rPr>
  </w:style>
  <w:style w:type="paragraph" w:styleId="PlainText">
    <w:name w:val="Plain Text"/>
    <w:basedOn w:val="Normal"/>
    <w:link w:val="PlainTextChar"/>
    <w:rsid w:val="00D10C93"/>
    <w:pPr>
      <w:widowControl/>
      <w:spacing w:after="160" w:line="259" w:lineRule="auto"/>
    </w:pPr>
    <w:rPr>
      <w:rFonts w:ascii="Consolas" w:eastAsia="Calibri" w:hAnsi="Consolas" w:cs="Consolas"/>
      <w:kern w:val="0"/>
      <w:sz w:val="21"/>
      <w:szCs w:val="21"/>
    </w:rPr>
  </w:style>
  <w:style w:type="character" w:customStyle="1" w:styleId="PlainTextChar">
    <w:name w:val="Plain Text Char"/>
    <w:basedOn w:val="DefaultParagraphFont"/>
    <w:link w:val="PlainText"/>
    <w:rsid w:val="00D10C93"/>
    <w:rPr>
      <w:rFonts w:ascii="Consolas" w:eastAsia="Calibri" w:hAnsi="Consolas" w:cs="Consolas"/>
      <w:snapToGrid w:val="0"/>
      <w:sz w:val="21"/>
      <w:szCs w:val="21"/>
    </w:rPr>
  </w:style>
  <w:style w:type="paragraph" w:styleId="NormalWeb">
    <w:name w:val="Normal (Web)"/>
    <w:basedOn w:val="Normal"/>
    <w:uiPriority w:val="99"/>
    <w:unhideWhenUsed/>
    <w:rsid w:val="00D10C93"/>
    <w:pPr>
      <w:widowControl/>
      <w:spacing w:before="100" w:beforeAutospacing="1" w:after="100" w:afterAutospacing="1" w:line="259" w:lineRule="auto"/>
    </w:pPr>
    <w:rPr>
      <w:rFonts w:ascii="Calibri" w:eastAsia="Calibri" w:hAnsi="Calibri"/>
      <w:kern w:val="0"/>
      <w:sz w:val="24"/>
      <w:szCs w:val="24"/>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D10C93"/>
  </w:style>
  <w:style w:type="character" w:styleId="Emphasis">
    <w:name w:val="Emphasis"/>
    <w:uiPriority w:val="20"/>
    <w:qFormat/>
    <w:rsid w:val="00D10C93"/>
    <w:rPr>
      <w:i/>
      <w:iCs/>
    </w:rPr>
  </w:style>
  <w:style w:type="character" w:customStyle="1" w:styleId="UnresolvedMention">
    <w:name w:val="Unresolved Mention"/>
    <w:uiPriority w:val="99"/>
    <w:semiHidden/>
    <w:unhideWhenUsed/>
    <w:rsid w:val="00D10C93"/>
    <w:rPr>
      <w:color w:val="605E5C"/>
      <w:shd w:val="clear" w:color="auto" w:fill="E1DFDD"/>
    </w:rPr>
  </w:style>
  <w:style w:type="paragraph" w:styleId="BodyText">
    <w:name w:val="Body Text"/>
    <w:basedOn w:val="Normal"/>
    <w:link w:val="BodyTextChar"/>
    <w:uiPriority w:val="1"/>
    <w:qFormat/>
    <w:rsid w:val="00D10C93"/>
    <w:pPr>
      <w:ind w:left="1544" w:hanging="720"/>
    </w:pPr>
    <w:rPr>
      <w:rFonts w:ascii="Arial" w:eastAsia="Arial" w:hAnsi="Arial"/>
      <w:snapToGrid/>
      <w:kern w:val="0"/>
      <w:sz w:val="24"/>
      <w:szCs w:val="24"/>
    </w:rPr>
  </w:style>
  <w:style w:type="character" w:customStyle="1" w:styleId="BodyTextChar">
    <w:name w:val="Body Text Char"/>
    <w:basedOn w:val="DefaultParagraphFont"/>
    <w:link w:val="BodyText"/>
    <w:uiPriority w:val="1"/>
    <w:rsid w:val="00D10C93"/>
    <w:rPr>
      <w:rFonts w:ascii="Arial" w:eastAsia="Arial" w:hAnsi="Arial"/>
      <w:sz w:val="24"/>
      <w:szCs w:val="24"/>
    </w:rPr>
  </w:style>
  <w:style w:type="paragraph" w:styleId="BalloonText">
    <w:name w:val="Balloon Text"/>
    <w:basedOn w:val="Normal"/>
    <w:link w:val="BalloonTextChar"/>
    <w:rsid w:val="00D10C93"/>
    <w:pPr>
      <w:widowControl/>
    </w:pPr>
    <w:rPr>
      <w:rFonts w:ascii="Segoe UI" w:eastAsia="Calibri" w:hAnsi="Segoe UI" w:cs="Segoe UI"/>
      <w:snapToGrid/>
      <w:kern w:val="0"/>
      <w:sz w:val="18"/>
      <w:szCs w:val="18"/>
    </w:rPr>
  </w:style>
  <w:style w:type="character" w:customStyle="1" w:styleId="BalloonTextChar">
    <w:name w:val="Balloon Text Char"/>
    <w:basedOn w:val="DefaultParagraphFont"/>
    <w:link w:val="BalloonText"/>
    <w:rsid w:val="00D10C93"/>
    <w:rPr>
      <w:rFonts w:ascii="Segoe UI" w:eastAsia="Calibri" w:hAnsi="Segoe UI" w:cs="Segoe UI"/>
      <w:sz w:val="18"/>
      <w:szCs w:val="18"/>
    </w:rPr>
  </w:style>
  <w:style w:type="character" w:styleId="CommentReference">
    <w:name w:val="annotation reference"/>
    <w:rsid w:val="00D10C93"/>
    <w:rPr>
      <w:sz w:val="16"/>
      <w:szCs w:val="16"/>
    </w:rPr>
  </w:style>
  <w:style w:type="paragraph" w:styleId="CommentText">
    <w:name w:val="annotation text"/>
    <w:basedOn w:val="Normal"/>
    <w:link w:val="CommentTextChar"/>
    <w:rsid w:val="00D10C93"/>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rsid w:val="00D10C93"/>
    <w:rPr>
      <w:rFonts w:ascii="Calibri" w:eastAsia="Calibri" w:hAnsi="Calibri"/>
    </w:rPr>
  </w:style>
  <w:style w:type="paragraph" w:styleId="CommentSubject">
    <w:name w:val="annotation subject"/>
    <w:basedOn w:val="CommentText"/>
    <w:next w:val="CommentText"/>
    <w:link w:val="CommentSubjectChar"/>
    <w:rsid w:val="00D10C93"/>
    <w:rPr>
      <w:b/>
      <w:bCs/>
    </w:rPr>
  </w:style>
  <w:style w:type="character" w:customStyle="1" w:styleId="CommentSubjectChar">
    <w:name w:val="Comment Subject Char"/>
    <w:basedOn w:val="CommentTextChar"/>
    <w:link w:val="CommentSubject"/>
    <w:rsid w:val="00D10C93"/>
    <w:rPr>
      <w:rFonts w:ascii="Calibri" w:eastAsia="Calibri" w:hAnsi="Calibri"/>
      <w:b/>
      <w:bCs/>
    </w:rPr>
  </w:style>
  <w:style w:type="paragraph" w:customStyle="1" w:styleId="Default">
    <w:name w:val="Default"/>
    <w:rsid w:val="00D10C93"/>
    <w:pPr>
      <w:autoSpaceDE w:val="0"/>
      <w:autoSpaceDN w:val="0"/>
      <w:adjustRightInd w:val="0"/>
    </w:pPr>
    <w:rPr>
      <w:color w:val="000000"/>
      <w:sz w:val="24"/>
      <w:szCs w:val="24"/>
    </w:rPr>
  </w:style>
  <w:style w:type="paragraph" w:styleId="Revision">
    <w:name w:val="Revision"/>
    <w:hidden/>
    <w:uiPriority w:val="99"/>
    <w:semiHidden/>
    <w:rsid w:val="00D10C9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Jeffrey.Gee@fcc.gov" TargetMode="External" /><Relationship Id="rId12" Type="http://schemas.openxmlformats.org/officeDocument/2006/relationships/hyperlink" Target="mailto:jrn@commlawgroup.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microsoft.com/office/2006/relationships/keyMapCustomizations" Target="customizations.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Jana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Scott.Radcliff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