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602610" w14:paraId="73B02934" w14:textId="77777777">
      <w:pPr>
        <w:jc w:val="center"/>
        <w:rPr>
          <w:b/>
          <w:szCs w:val="22"/>
        </w:rPr>
      </w:pPr>
      <w:bookmarkStart w:id="0" w:name="_GoBack"/>
      <w:bookmarkEnd w:id="0"/>
      <w:r w:rsidRPr="00602610">
        <w:rPr>
          <w:b/>
          <w:kern w:val="0"/>
          <w:szCs w:val="22"/>
        </w:rPr>
        <w:t>Before</w:t>
      </w:r>
      <w:r w:rsidRPr="00602610">
        <w:rPr>
          <w:b/>
          <w:szCs w:val="22"/>
        </w:rPr>
        <w:t xml:space="preserve"> the</w:t>
      </w:r>
    </w:p>
    <w:p w:rsidR="00921803" w:rsidRPr="00602610" w:rsidP="00921803" w14:paraId="48299AD1" w14:textId="77777777">
      <w:pPr>
        <w:pStyle w:val="StyleBoldCentered"/>
        <w:rPr>
          <w:rFonts w:ascii="Times New Roman" w:hAnsi="Times New Roman"/>
        </w:rPr>
      </w:pPr>
      <w:r w:rsidRPr="00602610">
        <w:rPr>
          <w:rFonts w:ascii="Times New Roman" w:hAnsi="Times New Roman"/>
        </w:rPr>
        <w:t>F</w:t>
      </w:r>
      <w:r w:rsidRPr="00602610">
        <w:rPr>
          <w:rFonts w:ascii="Times New Roman" w:hAnsi="Times New Roman"/>
          <w:caps w:val="0"/>
        </w:rPr>
        <w:t>ederal Communications Commission</w:t>
      </w:r>
    </w:p>
    <w:p w:rsidR="004C2EE3" w:rsidRPr="00602610" w:rsidP="00096D8C" w14:paraId="7F25161E" w14:textId="77777777">
      <w:pPr>
        <w:pStyle w:val="StyleBoldCentered"/>
        <w:rPr>
          <w:rFonts w:ascii="Times New Roman" w:hAnsi="Times New Roman"/>
        </w:rPr>
      </w:pPr>
      <w:r w:rsidRPr="00602610">
        <w:rPr>
          <w:rFonts w:ascii="Times New Roman" w:hAnsi="Times New Roman"/>
          <w:caps w:val="0"/>
        </w:rPr>
        <w:t>Washington, D.C. 20554</w:t>
      </w:r>
    </w:p>
    <w:p w:rsidR="00F306CF" w:rsidRPr="00602610" w:rsidP="00F306CF" w14:paraId="4CCE8711" w14:textId="77777777">
      <w:pPr>
        <w:rPr>
          <w:szCs w:val="22"/>
        </w:rPr>
      </w:pPr>
    </w:p>
    <w:p w:rsidR="00F306CF" w:rsidRPr="00602610" w:rsidP="00F306CF" w14:paraId="2A206EEB" w14:textId="77777777">
      <w:pPr>
        <w:rPr>
          <w:szCs w:val="22"/>
        </w:rPr>
      </w:pPr>
    </w:p>
    <w:tbl>
      <w:tblPr>
        <w:tblW w:w="9748" w:type="dxa"/>
        <w:tblLayout w:type="fixed"/>
        <w:tblLook w:val="0000"/>
      </w:tblPr>
      <w:tblGrid>
        <w:gridCol w:w="4747"/>
        <w:gridCol w:w="727"/>
        <w:gridCol w:w="4274"/>
      </w:tblGrid>
      <w:tr w14:paraId="6012BC72" w14:textId="77777777" w:rsidTr="000A22CC">
        <w:tblPrEx>
          <w:tblW w:w="9748" w:type="dxa"/>
          <w:tblLayout w:type="fixed"/>
          <w:tblLook w:val="0000"/>
        </w:tblPrEx>
        <w:trPr>
          <w:trHeight w:val="1655"/>
        </w:trPr>
        <w:tc>
          <w:tcPr>
            <w:tcW w:w="4747" w:type="dxa"/>
          </w:tcPr>
          <w:p w:rsidR="00F306CF" w:rsidRPr="00602610" w:rsidP="00B75B66" w14:paraId="394BFBBF" w14:textId="77777777">
            <w:pPr>
              <w:ind w:right="-18"/>
              <w:rPr>
                <w:szCs w:val="22"/>
              </w:rPr>
            </w:pPr>
            <w:r w:rsidRPr="00602610">
              <w:rPr>
                <w:szCs w:val="22"/>
              </w:rPr>
              <w:t>In the Matter of</w:t>
            </w:r>
          </w:p>
          <w:p w:rsidR="00F306CF" w:rsidRPr="00602610" w:rsidP="00B75B66" w14:paraId="3305A814" w14:textId="77777777">
            <w:pPr>
              <w:ind w:right="-18"/>
              <w:rPr>
                <w:szCs w:val="22"/>
              </w:rPr>
            </w:pPr>
          </w:p>
          <w:p w:rsidR="00F306CF" w:rsidRPr="00602610" w:rsidP="005C7405" w14:paraId="7B0DCAFF" w14:textId="77777777">
            <w:pPr>
              <w:tabs>
                <w:tab w:val="center" w:pos="4680"/>
              </w:tabs>
              <w:suppressAutoHyphens/>
              <w:rPr>
                <w:szCs w:val="22"/>
              </w:rPr>
            </w:pPr>
            <w:r w:rsidRPr="00602610">
              <w:rPr>
                <w:szCs w:val="22"/>
              </w:rPr>
              <w:t>Wireless E911 Location Accuracy Requirements</w:t>
            </w:r>
          </w:p>
        </w:tc>
        <w:tc>
          <w:tcPr>
            <w:tcW w:w="727" w:type="dxa"/>
          </w:tcPr>
          <w:p w:rsidR="00F306CF" w:rsidRPr="00602610" w:rsidP="00B75B66" w14:paraId="5B31A0A1" w14:textId="77777777">
            <w:pPr>
              <w:rPr>
                <w:b/>
                <w:szCs w:val="22"/>
              </w:rPr>
            </w:pPr>
            <w:r w:rsidRPr="00602610">
              <w:rPr>
                <w:b/>
                <w:szCs w:val="22"/>
              </w:rPr>
              <w:t>)</w:t>
            </w:r>
          </w:p>
          <w:p w:rsidR="00F306CF" w:rsidRPr="00602610" w:rsidP="00B75B66" w14:paraId="19EC3468" w14:textId="77777777">
            <w:pPr>
              <w:rPr>
                <w:b/>
                <w:szCs w:val="22"/>
              </w:rPr>
            </w:pPr>
            <w:r w:rsidRPr="00602610">
              <w:rPr>
                <w:b/>
                <w:szCs w:val="22"/>
              </w:rPr>
              <w:t>)</w:t>
            </w:r>
          </w:p>
          <w:p w:rsidR="00F306CF" w:rsidRPr="00602610" w:rsidP="00B75B66" w14:paraId="15A32D2F" w14:textId="77777777">
            <w:pPr>
              <w:rPr>
                <w:b/>
                <w:szCs w:val="22"/>
              </w:rPr>
            </w:pPr>
            <w:r w:rsidRPr="00602610">
              <w:rPr>
                <w:b/>
                <w:szCs w:val="22"/>
              </w:rPr>
              <w:t>)</w:t>
            </w:r>
          </w:p>
          <w:p w:rsidR="00F306CF" w:rsidRPr="00602610" w:rsidP="00B75B66" w14:paraId="30092EC7" w14:textId="77777777">
            <w:pPr>
              <w:rPr>
                <w:b/>
                <w:szCs w:val="22"/>
              </w:rPr>
            </w:pPr>
            <w:r w:rsidRPr="00602610">
              <w:rPr>
                <w:b/>
                <w:szCs w:val="22"/>
              </w:rPr>
              <w:t>)</w:t>
            </w:r>
          </w:p>
        </w:tc>
        <w:tc>
          <w:tcPr>
            <w:tcW w:w="4274" w:type="dxa"/>
          </w:tcPr>
          <w:p w:rsidR="00F306CF" w:rsidRPr="00602610" w:rsidP="00B75B66" w14:paraId="6B5465CD" w14:textId="77777777">
            <w:pPr>
              <w:rPr>
                <w:szCs w:val="22"/>
              </w:rPr>
            </w:pPr>
          </w:p>
          <w:p w:rsidR="00F306CF" w:rsidRPr="00602610" w:rsidP="00B75B66" w14:paraId="1FD25DB0" w14:textId="77777777">
            <w:pPr>
              <w:rPr>
                <w:szCs w:val="22"/>
              </w:rPr>
            </w:pPr>
          </w:p>
          <w:p w:rsidR="00F306CF" w:rsidRPr="00602610" w:rsidP="00B75B66" w14:paraId="6460F849" w14:textId="77777777">
            <w:pPr>
              <w:pStyle w:val="TOAHeading"/>
              <w:tabs>
                <w:tab w:val="center" w:pos="4680"/>
              </w:tabs>
              <w:rPr>
                <w:spacing w:val="-2"/>
                <w:szCs w:val="22"/>
              </w:rPr>
            </w:pPr>
            <w:r w:rsidRPr="00602610">
              <w:rPr>
                <w:spacing w:val="-2"/>
                <w:szCs w:val="22"/>
              </w:rPr>
              <w:t xml:space="preserve">PS Docket No. </w:t>
            </w:r>
            <w:r w:rsidRPr="00602610" w:rsidR="0099347E">
              <w:rPr>
                <w:spacing w:val="-2"/>
                <w:szCs w:val="22"/>
              </w:rPr>
              <w:t>07-114</w:t>
            </w:r>
          </w:p>
          <w:p w:rsidR="00F306CF" w:rsidRPr="00602610" w:rsidP="00B75B66" w14:paraId="7721F011" w14:textId="77777777">
            <w:pPr>
              <w:pStyle w:val="TOAHeading"/>
              <w:tabs>
                <w:tab w:val="center" w:pos="4680"/>
              </w:tabs>
              <w:rPr>
                <w:spacing w:val="-2"/>
                <w:szCs w:val="22"/>
              </w:rPr>
            </w:pPr>
          </w:p>
          <w:p w:rsidR="00F306CF" w:rsidRPr="00602610" w:rsidP="00B75B66" w14:paraId="6C03BD6D" w14:textId="77777777">
            <w:pPr>
              <w:pStyle w:val="TOAHeading"/>
              <w:tabs>
                <w:tab w:val="center" w:pos="4680"/>
              </w:tabs>
              <w:rPr>
                <w:spacing w:val="-2"/>
                <w:szCs w:val="22"/>
              </w:rPr>
            </w:pPr>
          </w:p>
          <w:p w:rsidR="00F306CF" w:rsidRPr="00602610" w:rsidP="00B75B66" w14:paraId="6686E52C" w14:textId="77777777">
            <w:pPr>
              <w:rPr>
                <w:b/>
                <w:szCs w:val="22"/>
              </w:rPr>
            </w:pPr>
          </w:p>
        </w:tc>
      </w:tr>
    </w:tbl>
    <w:p w:rsidR="00F306CF" w:rsidRPr="00602610" w:rsidP="002D1C84" w14:paraId="49D45E18" w14:textId="1A33D55F">
      <w:pPr>
        <w:jc w:val="center"/>
        <w:rPr>
          <w:b/>
          <w:spacing w:val="-2"/>
          <w:szCs w:val="22"/>
        </w:rPr>
      </w:pPr>
      <w:r w:rsidRPr="00602610">
        <w:rPr>
          <w:b/>
          <w:spacing w:val="-2"/>
          <w:szCs w:val="22"/>
        </w:rPr>
        <w:t xml:space="preserve">SECOND </w:t>
      </w:r>
      <w:r w:rsidRPr="00602610" w:rsidR="00A66BD0">
        <w:rPr>
          <w:b/>
          <w:spacing w:val="-2"/>
          <w:szCs w:val="22"/>
        </w:rPr>
        <w:t>ERRATUM</w:t>
      </w:r>
    </w:p>
    <w:p w:rsidR="00F306CF" w:rsidRPr="00602610" w:rsidP="002D1C84" w14:paraId="732AA225" w14:textId="77777777">
      <w:pPr>
        <w:rPr>
          <w:b/>
          <w:szCs w:val="22"/>
        </w:rPr>
      </w:pPr>
    </w:p>
    <w:p w:rsidR="00F306CF" w:rsidRPr="00602610" w:rsidP="00F306CF" w14:paraId="459B6711" w14:textId="6CBDC58C">
      <w:pPr>
        <w:jc w:val="right"/>
        <w:rPr>
          <w:b/>
          <w:szCs w:val="22"/>
        </w:rPr>
      </w:pPr>
      <w:r w:rsidRPr="00602610">
        <w:rPr>
          <w:b/>
          <w:szCs w:val="22"/>
        </w:rPr>
        <w:t xml:space="preserve">Released: </w:t>
      </w:r>
      <w:r w:rsidRPr="00602610" w:rsidR="00D75C1E">
        <w:rPr>
          <w:b/>
          <w:szCs w:val="22"/>
        </w:rPr>
        <w:t xml:space="preserve">October </w:t>
      </w:r>
      <w:r w:rsidR="003C682E">
        <w:rPr>
          <w:b/>
          <w:szCs w:val="22"/>
        </w:rPr>
        <w:t>29</w:t>
      </w:r>
      <w:r w:rsidRPr="00602610" w:rsidR="00B2215A">
        <w:rPr>
          <w:b/>
          <w:szCs w:val="22"/>
        </w:rPr>
        <w:t xml:space="preserve">, </w:t>
      </w:r>
      <w:r w:rsidRPr="00602610" w:rsidR="007A31B0">
        <w:rPr>
          <w:b/>
          <w:szCs w:val="22"/>
        </w:rPr>
        <w:t>2020</w:t>
      </w:r>
    </w:p>
    <w:p w:rsidR="00F306CF" w:rsidRPr="00602610" w:rsidP="002D1C84" w14:paraId="75CDDA27" w14:textId="77777777">
      <w:pPr>
        <w:rPr>
          <w:b/>
          <w:szCs w:val="22"/>
        </w:rPr>
      </w:pPr>
    </w:p>
    <w:p w:rsidR="00330AF3" w:rsidRPr="00602610" w:rsidP="002D1C84" w14:paraId="75370858" w14:textId="77777777">
      <w:pPr>
        <w:rPr>
          <w:spacing w:val="-2"/>
          <w:szCs w:val="22"/>
        </w:rPr>
      </w:pPr>
      <w:r w:rsidRPr="00602610">
        <w:rPr>
          <w:szCs w:val="22"/>
        </w:rPr>
        <w:t>By the Chief, Public Safety and Homeland Security Bureau, and the Managing Director</w:t>
      </w:r>
      <w:r w:rsidRPr="00602610">
        <w:rPr>
          <w:spacing w:val="-2"/>
          <w:szCs w:val="22"/>
        </w:rPr>
        <w:t>:</w:t>
      </w:r>
    </w:p>
    <w:p w:rsidR="00F306CF" w:rsidRPr="00602610" w:rsidP="002D1C84" w14:paraId="5B4813AD" w14:textId="77777777">
      <w:pPr>
        <w:rPr>
          <w:spacing w:val="-2"/>
          <w:szCs w:val="22"/>
        </w:rPr>
      </w:pPr>
    </w:p>
    <w:p w:rsidR="00C900F1" w:rsidRPr="00602610" w:rsidP="003E5256" w14:paraId="7727A97D" w14:textId="071D2FDF">
      <w:pPr>
        <w:pStyle w:val="ParaNum"/>
        <w:numPr>
          <w:ilvl w:val="0"/>
          <w:numId w:val="0"/>
        </w:numPr>
        <w:tabs>
          <w:tab w:val="clear" w:pos="1440"/>
        </w:tabs>
        <w:ind w:firstLine="720"/>
        <w:rPr>
          <w:szCs w:val="22"/>
        </w:rPr>
      </w:pPr>
      <w:r w:rsidRPr="00602610">
        <w:t xml:space="preserve">On </w:t>
      </w:r>
      <w:r w:rsidRPr="00602610" w:rsidR="003E5256">
        <w:t>July 17</w:t>
      </w:r>
      <w:r w:rsidRPr="00602610">
        <w:t>, 20</w:t>
      </w:r>
      <w:r w:rsidRPr="00602610" w:rsidR="003E5256">
        <w:t>20</w:t>
      </w:r>
      <w:r w:rsidRPr="00602610">
        <w:t xml:space="preserve">, the Commission released </w:t>
      </w:r>
      <w:r w:rsidRPr="00602610" w:rsidR="00544C08">
        <w:t xml:space="preserve">the </w:t>
      </w:r>
      <w:r w:rsidRPr="00602610" w:rsidR="003E5256">
        <w:t>Sixth</w:t>
      </w:r>
      <w:r w:rsidRPr="00602610" w:rsidR="0099347E">
        <w:t xml:space="preserve"> Report and Order and </w:t>
      </w:r>
      <w:r w:rsidRPr="00602610" w:rsidR="003E5256">
        <w:t>Order on Reconsideration</w:t>
      </w:r>
      <w:r w:rsidRPr="00602610" w:rsidR="0099347E">
        <w:t xml:space="preserve"> </w:t>
      </w:r>
      <w:r w:rsidRPr="00602610" w:rsidR="00544C08">
        <w:t>(</w:t>
      </w:r>
      <w:r w:rsidRPr="00602610" w:rsidR="003E5256">
        <w:rPr>
          <w:i/>
        </w:rPr>
        <w:t>Sixth</w:t>
      </w:r>
      <w:r w:rsidRPr="00602610" w:rsidR="0099347E">
        <w:rPr>
          <w:i/>
        </w:rPr>
        <w:t xml:space="preserve"> R&amp;O</w:t>
      </w:r>
      <w:r w:rsidRPr="00602610" w:rsidR="00544C08">
        <w:t>)</w:t>
      </w:r>
      <w:r w:rsidRPr="00602610" w:rsidR="00A32859">
        <w:t xml:space="preserve">, FCC </w:t>
      </w:r>
      <w:r w:rsidRPr="00602610" w:rsidR="003E5256">
        <w:t>20</w:t>
      </w:r>
      <w:r w:rsidRPr="00602610" w:rsidR="00A32859">
        <w:t>-</w:t>
      </w:r>
      <w:r w:rsidRPr="00602610" w:rsidR="003E5256">
        <w:t>98</w:t>
      </w:r>
      <w:r w:rsidRPr="00602610" w:rsidR="00A32859">
        <w:t>, in the above captioned proceeding</w:t>
      </w:r>
      <w:r w:rsidRPr="00602610" w:rsidR="00544C08">
        <w:t xml:space="preserve">.  </w:t>
      </w:r>
      <w:r w:rsidR="00867CC0">
        <w:t xml:space="preserve">On August 28, 2020, the </w:t>
      </w:r>
      <w:r w:rsidRPr="00A32859" w:rsidR="00867CC0">
        <w:rPr>
          <w:szCs w:val="22"/>
        </w:rPr>
        <w:t>Public Safety and Homeland Security Bureau</w:t>
      </w:r>
      <w:r w:rsidRPr="00602610" w:rsidR="00867CC0">
        <w:t xml:space="preserve"> </w:t>
      </w:r>
      <w:r w:rsidR="00867CC0">
        <w:t xml:space="preserve">released an Erratum correcting Appendix A of the </w:t>
      </w:r>
      <w:r w:rsidRPr="00777C96" w:rsidR="00867CC0">
        <w:rPr>
          <w:i/>
          <w:iCs/>
        </w:rPr>
        <w:t>Sixth R&amp;O</w:t>
      </w:r>
      <w:r w:rsidR="00867CC0">
        <w:t xml:space="preserve">.  </w:t>
      </w:r>
      <w:r w:rsidRPr="00602610" w:rsidR="00544C08">
        <w:t xml:space="preserve">This </w:t>
      </w:r>
      <w:r w:rsidRPr="00602610" w:rsidR="00D75C1E">
        <w:t xml:space="preserve">Second </w:t>
      </w:r>
      <w:r w:rsidRPr="00602610">
        <w:t xml:space="preserve">Erratum </w:t>
      </w:r>
      <w:r w:rsidRPr="00602610" w:rsidR="00A32859">
        <w:t xml:space="preserve">amends </w:t>
      </w:r>
      <w:r w:rsidRPr="00602610" w:rsidR="0095207A">
        <w:rPr>
          <w:szCs w:val="24"/>
        </w:rPr>
        <w:t xml:space="preserve">the </w:t>
      </w:r>
      <w:r w:rsidRPr="00602610" w:rsidR="003E5256">
        <w:rPr>
          <w:i/>
        </w:rPr>
        <w:t>Sixth R&amp;O</w:t>
      </w:r>
      <w:r w:rsidRPr="00602610">
        <w:rPr>
          <w:szCs w:val="24"/>
        </w:rPr>
        <w:t xml:space="preserve"> </w:t>
      </w:r>
      <w:r w:rsidRPr="00602610" w:rsidR="001615A3">
        <w:rPr>
          <w:szCs w:val="24"/>
        </w:rPr>
        <w:t xml:space="preserve">to add a reference to </w:t>
      </w:r>
      <w:r w:rsidRPr="00602610" w:rsidR="000A22CC">
        <w:rPr>
          <w:szCs w:val="24"/>
        </w:rPr>
        <w:t>s</w:t>
      </w:r>
      <w:r w:rsidRPr="00602610" w:rsidR="001615A3">
        <w:rPr>
          <w:szCs w:val="24"/>
        </w:rPr>
        <w:t xml:space="preserve">ection </w:t>
      </w:r>
      <w:bookmarkStart w:id="1" w:name="_Hlk54704771"/>
      <w:r w:rsidRPr="00602610" w:rsidR="001615A3">
        <w:t>9.10(i)(2)(ii)(J)(</w:t>
      </w:r>
      <w:r w:rsidRPr="00602610" w:rsidR="001615A3">
        <w:rPr>
          <w:i/>
          <w:iCs/>
        </w:rPr>
        <w:t>4</w:t>
      </w:r>
      <w:r w:rsidRPr="00602610" w:rsidR="001615A3">
        <w:t xml:space="preserve">), </w:t>
      </w:r>
      <w:bookmarkEnd w:id="1"/>
      <w:r w:rsidRPr="00602610" w:rsidR="000A22CC">
        <w:t>of the Commission’s rules</w:t>
      </w:r>
      <w:r w:rsidR="00964458">
        <w:t>,</w:t>
      </w:r>
      <w:r w:rsidRPr="00964458" w:rsidR="00964458">
        <w:t xml:space="preserve"> </w:t>
      </w:r>
      <w:r w:rsidR="00964458">
        <w:t xml:space="preserve">47 CFR </w:t>
      </w:r>
      <w:r w:rsidRPr="00FD2745" w:rsidR="00964458">
        <w:t>§</w:t>
      </w:r>
      <w:r w:rsidR="00964458">
        <w:t xml:space="preserve"> </w:t>
      </w:r>
      <w:r w:rsidRPr="000A22CC" w:rsidR="00964458">
        <w:t>9.10(i)(2)(ii)(J)(</w:t>
      </w:r>
      <w:r w:rsidRPr="000A22CC" w:rsidR="00964458">
        <w:rPr>
          <w:i/>
          <w:iCs/>
        </w:rPr>
        <w:t>4</w:t>
      </w:r>
      <w:r w:rsidRPr="000A22CC" w:rsidR="00964458">
        <w:t>)</w:t>
      </w:r>
      <w:r w:rsidR="00964458">
        <w:t>,</w:t>
      </w:r>
      <w:r w:rsidRPr="00602610" w:rsidR="000A22CC">
        <w:t xml:space="preserve"> </w:t>
      </w:r>
      <w:r w:rsidRPr="00602610">
        <w:rPr>
          <w:szCs w:val="24"/>
        </w:rPr>
        <w:t>as indicated below:</w:t>
      </w:r>
    </w:p>
    <w:p w:rsidR="002A08C0" w:rsidRPr="00602610" w:rsidP="00C900F1" w14:paraId="16E5CAD7" w14:textId="08D21763">
      <w:pPr>
        <w:pStyle w:val="ParaNum"/>
        <w:tabs>
          <w:tab w:val="clear" w:pos="1440"/>
        </w:tabs>
        <w:rPr>
          <w:szCs w:val="22"/>
        </w:rPr>
      </w:pPr>
      <w:r w:rsidRPr="00602610">
        <w:rPr>
          <w:szCs w:val="22"/>
        </w:rPr>
        <w:t>Paragraph 84 is corrected to read as follows:</w:t>
      </w:r>
    </w:p>
    <w:p w:rsidR="002A08C0" w:rsidRPr="00602610" w:rsidP="002A08C0" w14:paraId="26909EF9" w14:textId="5492382F">
      <w:pPr>
        <w:pStyle w:val="ParaNum"/>
        <w:numPr>
          <w:ilvl w:val="0"/>
          <w:numId w:val="0"/>
        </w:numPr>
        <w:tabs>
          <w:tab w:val="clear" w:pos="1440"/>
        </w:tabs>
        <w:ind w:left="720"/>
        <w:rPr>
          <w:szCs w:val="22"/>
        </w:rPr>
      </w:pPr>
      <w:r w:rsidRPr="00602610">
        <w:rPr>
          <w:i/>
          <w:iCs/>
        </w:rPr>
        <w:t>Paperwork Reduction Act Analysis</w:t>
      </w:r>
      <w:r w:rsidRPr="00602610">
        <w:t xml:space="preserve">. The requirements in sections </w:t>
      </w:r>
      <w:bookmarkStart w:id="2" w:name="_Hlk54704906"/>
      <w:r w:rsidRPr="00602610">
        <w:t>9.10(i)(2)(ii)(J)(</w:t>
      </w:r>
      <w:r w:rsidRPr="00602610">
        <w:rPr>
          <w:i/>
          <w:iCs/>
        </w:rPr>
        <w:t>4</w:t>
      </w:r>
      <w:r w:rsidRPr="00602610">
        <w:t>), 9.10(i)(4)(iv), 9.10(i)(4)(v), 9.10(j)(4) and 9.10(k)</w:t>
      </w:r>
      <w:bookmarkEnd w:id="2"/>
      <w:r w:rsidRPr="00602610">
        <w:t xml:space="preserve"> constitute modified information collections. They will be submitted to the Office of Management and Budget (OMB) for review under section 3507(d) of the Paperwork Reduction Act of 1995 (PRA). OMB, the general public, and other Federal agencies are invited to comment on the new or modified information collection requirements contained in this proceeding. This document will be submitted to OMB for review under section 3507(d) of the PRA. In addition, we note that, pursuant to the Small Business Paperwork Relief Act of 2002, we previously sought, but did not receive, specific comment on how the Commission might further reduce the information collection burden for small business concerns with fewer than 25 employees. The Commission does not believe that the new or modified information collection requirements in sections </w:t>
      </w:r>
      <w:r w:rsidRPr="00602610" w:rsidR="00A443DC">
        <w:t>9.10(i)(2)(ii)(J)(</w:t>
      </w:r>
      <w:r w:rsidRPr="00602610" w:rsidR="00A443DC">
        <w:rPr>
          <w:i/>
          <w:iCs/>
        </w:rPr>
        <w:t>4</w:t>
      </w:r>
      <w:r w:rsidRPr="00602610" w:rsidR="00A443DC">
        <w:t xml:space="preserve">), </w:t>
      </w:r>
      <w:r w:rsidRPr="00602610">
        <w:t xml:space="preserve">9.10(i)(4)(iv), 9.10(i)(4)(v), 9.10(j)(4) and 9.10(k), will be unduly burdensome on small businesses. Applying these new or modified information collections will promote 911 service and emergency response to the benefit of all size governmental jurisdictions, businesses, equipment manufacturers, and business associations by providing greater confidence in 911 location accuracy and greater consistency between the Commission’s horizontal and vertical location rules. We describe impacts that might affect small businesses, </w:t>
      </w:r>
      <w:r w:rsidR="003A0DB4">
        <w:t>which</w:t>
      </w:r>
      <w:r w:rsidRPr="00602610" w:rsidR="000A22CC">
        <w:t xml:space="preserve"> </w:t>
      </w:r>
      <w:r w:rsidRPr="00602610">
        <w:t>includes most businesses with fewer than 25 employees, in the FRFA in Appendix B.</w:t>
      </w:r>
    </w:p>
    <w:p w:rsidR="002A08C0" w:rsidRPr="00602610" w:rsidP="002A08C0" w14:paraId="740D921E" w14:textId="3D8BAA65">
      <w:pPr>
        <w:pStyle w:val="ParaNum"/>
        <w:tabs>
          <w:tab w:val="clear" w:pos="1440"/>
        </w:tabs>
        <w:rPr>
          <w:szCs w:val="22"/>
        </w:rPr>
      </w:pPr>
      <w:r w:rsidRPr="00602610">
        <w:rPr>
          <w:szCs w:val="22"/>
        </w:rPr>
        <w:t>Paragraph 88 is corrected to read as follows:</w:t>
      </w:r>
    </w:p>
    <w:p w:rsidR="002A08C0" w:rsidRPr="00602610" w:rsidP="002A08C0" w14:paraId="3214BDC8" w14:textId="36250953">
      <w:pPr>
        <w:pStyle w:val="ParaNum"/>
        <w:numPr>
          <w:ilvl w:val="0"/>
          <w:numId w:val="0"/>
        </w:numPr>
        <w:tabs>
          <w:tab w:val="clear" w:pos="1440"/>
        </w:tabs>
        <w:ind w:left="720"/>
        <w:rPr>
          <w:szCs w:val="22"/>
        </w:rPr>
      </w:pPr>
      <w:r w:rsidRPr="00602610">
        <w:t xml:space="preserve">IT IS FURTHER ORDERED that the amendments of the Commission’s rules as set forth in Appendix A ARE ADOPTED, effective thirty days from the date of publication in the Federal </w:t>
      </w:r>
      <w:r w:rsidRPr="00602610">
        <w:t xml:space="preserve">Register. Sections </w:t>
      </w:r>
      <w:r w:rsidRPr="00602610" w:rsidR="00A443DC">
        <w:t>9.10(i)(2)(ii)(J)(</w:t>
      </w:r>
      <w:r w:rsidRPr="00602610" w:rsidR="00A443DC">
        <w:rPr>
          <w:i/>
          <w:iCs/>
        </w:rPr>
        <w:t>4</w:t>
      </w:r>
      <w:r w:rsidRPr="00602610" w:rsidR="00A443DC">
        <w:t xml:space="preserve">), </w:t>
      </w:r>
      <w:r w:rsidRPr="00602610">
        <w:t>9.10(i)(4)(iv), 9.10(i)(4)(v), 9.10(j)(4) and 9.10(k)</w:t>
      </w:r>
      <w:r w:rsidR="00560280">
        <w:t xml:space="preserve"> </w:t>
      </w:r>
      <w:r w:rsidRPr="00602610">
        <w:t>contain new or modified information collection requirements that require OMB review under the PRA. The Commission directs the Public Safety and Homeland Security Bureau (Bureau) to announce the effective date of those information collections in a document published in the Federal Register after the Commission receives OMB approval, and directs the Bureau to cause section 9.10(s)</w:t>
      </w:r>
      <w:r w:rsidR="00560280">
        <w:t xml:space="preserve"> </w:t>
      </w:r>
      <w:r w:rsidRPr="00602610">
        <w:t>to be revised accordingly.</w:t>
      </w:r>
    </w:p>
    <w:p w:rsidR="003E5256" w:rsidRPr="00602610" w:rsidP="0088425D" w14:paraId="36693B6F" w14:textId="242C5254">
      <w:pPr>
        <w:pStyle w:val="ParaNum"/>
        <w:keepNext/>
        <w:widowControl/>
        <w:tabs>
          <w:tab w:val="clear" w:pos="1440"/>
        </w:tabs>
        <w:rPr>
          <w:szCs w:val="22"/>
        </w:rPr>
      </w:pPr>
      <w:r w:rsidRPr="00602610">
        <w:t xml:space="preserve">In Appendix A, </w:t>
      </w:r>
      <w:r w:rsidRPr="00602610" w:rsidR="002A08C0">
        <w:t>p</w:t>
      </w:r>
      <w:r w:rsidRPr="00602610" w:rsidR="00471EBD">
        <w:rPr>
          <w:szCs w:val="22"/>
        </w:rPr>
        <w:t>aragraph</w:t>
      </w:r>
      <w:r w:rsidRPr="00602610" w:rsidR="00A66BD0">
        <w:rPr>
          <w:szCs w:val="22"/>
        </w:rPr>
        <w:t xml:space="preserve"> (s) </w:t>
      </w:r>
      <w:r w:rsidRPr="00602610">
        <w:rPr>
          <w:szCs w:val="22"/>
        </w:rPr>
        <w:t xml:space="preserve">under </w:t>
      </w:r>
      <w:r w:rsidRPr="00602610" w:rsidR="00C92A82">
        <w:rPr>
          <w:szCs w:val="22"/>
        </w:rPr>
        <w:t>s</w:t>
      </w:r>
      <w:r w:rsidRPr="00602610">
        <w:rPr>
          <w:szCs w:val="22"/>
        </w:rPr>
        <w:t xml:space="preserve">ection 9.10, </w:t>
      </w:r>
      <w:r w:rsidRPr="00602610" w:rsidR="00AE6204">
        <w:rPr>
          <w:szCs w:val="22"/>
        </w:rPr>
        <w:t xml:space="preserve">is corrected </w:t>
      </w:r>
      <w:r w:rsidRPr="00602610" w:rsidR="00A66BD0">
        <w:rPr>
          <w:szCs w:val="22"/>
        </w:rPr>
        <w:t>to read as follows:</w:t>
      </w:r>
    </w:p>
    <w:p w:rsidR="00E94FC9" w:rsidRPr="00602610" w:rsidP="0095207A" w14:paraId="7E19E910" w14:textId="05DE974A">
      <w:pPr>
        <w:pStyle w:val="ParaNum"/>
        <w:keepNext/>
        <w:widowControl/>
        <w:numPr>
          <w:ilvl w:val="0"/>
          <w:numId w:val="0"/>
        </w:numPr>
        <w:tabs>
          <w:tab w:val="clear" w:pos="1440"/>
        </w:tabs>
        <w:ind w:left="720"/>
        <w:rPr>
          <w:szCs w:val="22"/>
        </w:rPr>
      </w:pPr>
      <w:r w:rsidRPr="00602610">
        <w:rPr>
          <w:color w:val="000000"/>
          <w:szCs w:val="22"/>
          <w:shd w:val="clear" w:color="auto" w:fill="FFFFFF"/>
        </w:rPr>
        <w:t>(s) </w:t>
      </w:r>
      <w:r w:rsidRPr="00602610">
        <w:rPr>
          <w:i/>
          <w:iCs/>
          <w:color w:val="000000"/>
          <w:szCs w:val="22"/>
          <w:shd w:val="clear" w:color="auto" w:fill="FFFFFF"/>
        </w:rPr>
        <w:t>Compliance date(s).</w:t>
      </w:r>
      <w:r w:rsidRPr="00602610">
        <w:rPr>
          <w:color w:val="000000"/>
          <w:szCs w:val="22"/>
          <w:shd w:val="clear" w:color="auto" w:fill="FFFFFF"/>
        </w:rPr>
        <w:t xml:space="preserve"> Paragraphs (i)(2)(ii)(C) and (D), </w:t>
      </w:r>
      <w:r w:rsidRPr="00602610" w:rsidR="00A443DC">
        <w:t>9.10(i)(2)(ii)(J)(</w:t>
      </w:r>
      <w:r w:rsidRPr="00602610" w:rsidR="00A443DC">
        <w:rPr>
          <w:i/>
          <w:iCs/>
        </w:rPr>
        <w:t>4</w:t>
      </w:r>
      <w:r w:rsidRPr="00602610" w:rsidR="00A443DC">
        <w:t xml:space="preserve">), </w:t>
      </w:r>
      <w:r w:rsidRPr="00602610">
        <w:rPr>
          <w:color w:val="000000"/>
          <w:szCs w:val="22"/>
          <w:shd w:val="clear" w:color="auto" w:fill="FFFFFF"/>
        </w:rPr>
        <w:t>(i)(4)(iv)</w:t>
      </w:r>
      <w:r w:rsidRPr="00602610" w:rsidR="00570C73">
        <w:rPr>
          <w:color w:val="000000"/>
          <w:szCs w:val="22"/>
          <w:shd w:val="clear" w:color="auto" w:fill="FFFFFF"/>
        </w:rPr>
        <w:t xml:space="preserve"> and </w:t>
      </w:r>
      <w:r w:rsidRPr="00602610">
        <w:rPr>
          <w:color w:val="000000"/>
          <w:szCs w:val="22"/>
          <w:shd w:val="clear" w:color="auto" w:fill="FFFFFF"/>
        </w:rPr>
        <w:t>(v), (j)(4), (k)</w:t>
      </w:r>
      <w:r w:rsidRPr="00602610" w:rsidR="00D34174">
        <w:rPr>
          <w:color w:val="000000"/>
          <w:szCs w:val="22"/>
          <w:shd w:val="clear" w:color="auto" w:fill="FFFFFF"/>
        </w:rPr>
        <w:t>,</w:t>
      </w:r>
      <w:r w:rsidRPr="00602610">
        <w:rPr>
          <w:color w:val="000000"/>
          <w:szCs w:val="22"/>
          <w:shd w:val="clear" w:color="auto" w:fill="FFFFFF"/>
        </w:rPr>
        <w:t xml:space="preserve"> and (q)(10)(v) of this section contain information-collection and recordkeeping requirements.  Compliance with paragraphs (i)(2)(ii)(C) and (D),</w:t>
      </w:r>
      <w:r w:rsidRPr="00602610" w:rsidR="00A443DC">
        <w:rPr>
          <w:color w:val="000000"/>
          <w:szCs w:val="22"/>
          <w:shd w:val="clear" w:color="auto" w:fill="FFFFFF"/>
        </w:rPr>
        <w:t xml:space="preserve"> </w:t>
      </w:r>
      <w:r w:rsidRPr="00602610" w:rsidR="00A443DC">
        <w:t>9.10(i)(2)(ii)(J)(</w:t>
      </w:r>
      <w:r w:rsidRPr="00602610" w:rsidR="00A443DC">
        <w:rPr>
          <w:i/>
          <w:iCs/>
        </w:rPr>
        <w:t>4</w:t>
      </w:r>
      <w:r w:rsidRPr="00602610" w:rsidR="00A443DC">
        <w:t>),</w:t>
      </w:r>
      <w:r w:rsidRPr="00602610">
        <w:rPr>
          <w:color w:val="000000"/>
          <w:szCs w:val="22"/>
          <w:shd w:val="clear" w:color="auto" w:fill="FFFFFF"/>
        </w:rPr>
        <w:t xml:space="preserve"> (i)(4)(iv)</w:t>
      </w:r>
      <w:r w:rsidRPr="00602610" w:rsidR="00570C73">
        <w:rPr>
          <w:color w:val="000000"/>
          <w:szCs w:val="22"/>
          <w:shd w:val="clear" w:color="auto" w:fill="FFFFFF"/>
        </w:rPr>
        <w:t xml:space="preserve"> and </w:t>
      </w:r>
      <w:r w:rsidRPr="00602610">
        <w:rPr>
          <w:color w:val="000000"/>
          <w:szCs w:val="22"/>
          <w:shd w:val="clear" w:color="auto" w:fill="FFFFFF"/>
        </w:rPr>
        <w:t>(v), (j)(4), (k) and (q)(10)(v) will not be required until after approval by the Office of Management and Budget.  The Commission will publish a document in the </w:t>
      </w:r>
      <w:r w:rsidRPr="00602610">
        <w:rPr>
          <w:smallCaps/>
          <w:color w:val="000000"/>
          <w:szCs w:val="22"/>
          <w:shd w:val="clear" w:color="auto" w:fill="FFFFFF"/>
        </w:rPr>
        <w:t>Federal Register</w:t>
      </w:r>
      <w:r w:rsidRPr="00602610">
        <w:rPr>
          <w:color w:val="000000"/>
          <w:szCs w:val="22"/>
          <w:shd w:val="clear" w:color="auto" w:fill="FFFFFF"/>
        </w:rPr>
        <w:t> announcing compliance dates with those paragraphs and revising this paragraph</w:t>
      </w:r>
      <w:r w:rsidRPr="00602610" w:rsidR="00EA0235">
        <w:rPr>
          <w:color w:val="000000"/>
          <w:szCs w:val="22"/>
          <w:shd w:val="clear" w:color="auto" w:fill="FFFFFF"/>
        </w:rPr>
        <w:t xml:space="preserve"> </w:t>
      </w:r>
      <w:r w:rsidRPr="00602610">
        <w:rPr>
          <w:color w:val="000000"/>
          <w:szCs w:val="22"/>
          <w:shd w:val="clear" w:color="auto" w:fill="FFFFFF"/>
        </w:rPr>
        <w:t>(s) accordingly.</w:t>
      </w:r>
    </w:p>
    <w:p w:rsidR="003E5256" w:rsidRPr="00602610" w:rsidP="0095207A" w14:paraId="430EFF8D" w14:textId="77777777">
      <w:pPr>
        <w:pStyle w:val="ParaNum"/>
        <w:keepNext/>
        <w:widowControl/>
        <w:numPr>
          <w:ilvl w:val="0"/>
          <w:numId w:val="0"/>
        </w:numPr>
        <w:spacing w:after="0"/>
        <w:rPr>
          <w:szCs w:val="22"/>
        </w:rPr>
      </w:pPr>
    </w:p>
    <w:p w:rsidR="00F306CF" w:rsidRPr="00602610" w:rsidP="0095207A" w14:paraId="316E9DEA" w14:textId="77777777">
      <w:pPr>
        <w:keepNext/>
        <w:widowControl/>
      </w:pPr>
      <w:r w:rsidRPr="00602610">
        <w:tab/>
      </w:r>
      <w:r w:rsidRPr="00602610">
        <w:tab/>
      </w:r>
      <w:r w:rsidRPr="00602610">
        <w:tab/>
      </w:r>
      <w:r w:rsidRPr="00602610">
        <w:tab/>
      </w:r>
      <w:r w:rsidRPr="00602610">
        <w:tab/>
      </w:r>
      <w:r w:rsidRPr="00602610">
        <w:tab/>
        <w:t>FEDERAL COMMUNICATIONS COMMISSION</w:t>
      </w:r>
    </w:p>
    <w:p w:rsidR="00F306CF" w:rsidRPr="00602610" w:rsidP="0095207A" w14:paraId="7BACDDBD" w14:textId="77777777">
      <w:pPr>
        <w:keepNext/>
        <w:widowControl/>
      </w:pPr>
    </w:p>
    <w:p w:rsidR="00F306CF" w:rsidRPr="00602610" w:rsidP="0095207A" w14:paraId="31C3A3A8" w14:textId="77777777">
      <w:pPr>
        <w:keepNext/>
        <w:widowControl/>
      </w:pPr>
    </w:p>
    <w:p w:rsidR="00F306CF" w:rsidRPr="00602610" w:rsidP="0095207A" w14:paraId="396A3195" w14:textId="77777777">
      <w:pPr>
        <w:keepNext/>
        <w:widowControl/>
      </w:pPr>
    </w:p>
    <w:p w:rsidR="0048313B" w:rsidRPr="00602610" w:rsidP="0095207A" w14:paraId="39FCFAE5" w14:textId="77777777">
      <w:pPr>
        <w:keepNext/>
        <w:widowControl/>
      </w:pPr>
    </w:p>
    <w:p w:rsidR="005B1403" w:rsidRPr="00602610" w:rsidP="0095207A" w14:paraId="3931EDE5" w14:textId="77777777">
      <w:pPr>
        <w:keepNext/>
        <w:widowControl/>
      </w:pPr>
      <w:r w:rsidRPr="00602610">
        <w:tab/>
      </w:r>
      <w:r w:rsidRPr="00602610">
        <w:tab/>
      </w:r>
      <w:r w:rsidRPr="00602610">
        <w:tab/>
      </w:r>
      <w:r w:rsidRPr="00602610">
        <w:tab/>
      </w:r>
      <w:r w:rsidRPr="00602610">
        <w:tab/>
      </w:r>
      <w:r w:rsidRPr="00602610" w:rsidR="00FE4A85">
        <w:tab/>
      </w:r>
      <w:r w:rsidRPr="00602610">
        <w:t>Lisa M. Fowlkes</w:t>
      </w:r>
    </w:p>
    <w:p w:rsidR="005B1403" w:rsidRPr="00602610" w:rsidP="0095207A" w14:paraId="4B8047B4" w14:textId="77777777">
      <w:pPr>
        <w:keepNext/>
        <w:widowControl/>
      </w:pPr>
      <w:r w:rsidRPr="00602610">
        <w:tab/>
      </w:r>
      <w:r w:rsidRPr="00602610">
        <w:tab/>
      </w:r>
      <w:r w:rsidRPr="00602610">
        <w:tab/>
      </w:r>
      <w:r w:rsidRPr="00602610">
        <w:tab/>
      </w:r>
      <w:r w:rsidRPr="00602610">
        <w:tab/>
      </w:r>
      <w:r w:rsidRPr="00602610">
        <w:tab/>
        <w:t>Chief, Public Safety and Homeland Security Bureau</w:t>
      </w:r>
    </w:p>
    <w:p w:rsidR="005B1403" w:rsidRPr="00602610" w:rsidP="0095207A" w14:paraId="134B923F" w14:textId="77777777">
      <w:pPr>
        <w:keepNext/>
        <w:widowControl/>
      </w:pPr>
    </w:p>
    <w:p w:rsidR="005B1403" w:rsidRPr="00602610" w:rsidP="0095207A" w14:paraId="553623CC" w14:textId="77777777">
      <w:pPr>
        <w:keepNext/>
        <w:widowControl/>
      </w:pPr>
    </w:p>
    <w:p w:rsidR="005B1403" w:rsidRPr="00602610" w:rsidP="0095207A" w14:paraId="190829B2" w14:textId="77777777">
      <w:pPr>
        <w:keepNext/>
        <w:widowControl/>
      </w:pPr>
    </w:p>
    <w:p w:rsidR="005B1403" w:rsidRPr="00602610" w:rsidP="0095207A" w14:paraId="69344A4F" w14:textId="77777777">
      <w:pPr>
        <w:keepNext/>
        <w:widowControl/>
      </w:pPr>
    </w:p>
    <w:p w:rsidR="005B1403" w:rsidRPr="00602610" w:rsidP="0095207A" w14:paraId="16139ED4" w14:textId="77777777">
      <w:pPr>
        <w:keepNext/>
        <w:widowControl/>
      </w:pPr>
      <w:r w:rsidRPr="00602610">
        <w:tab/>
      </w:r>
      <w:r w:rsidRPr="00602610">
        <w:tab/>
      </w:r>
      <w:r w:rsidRPr="00602610">
        <w:tab/>
      </w:r>
      <w:r w:rsidRPr="00602610">
        <w:tab/>
      </w:r>
      <w:r w:rsidRPr="00602610">
        <w:tab/>
      </w:r>
      <w:r w:rsidRPr="00602610">
        <w:tab/>
        <w:t xml:space="preserve">Mark Stephens </w:t>
      </w:r>
    </w:p>
    <w:p w:rsidR="005B1403" w:rsidRPr="00A32859" w:rsidP="00BF0D0A" w14:paraId="09C0F499" w14:textId="77777777">
      <w:r w:rsidRPr="00602610">
        <w:tab/>
      </w:r>
      <w:r w:rsidRPr="00602610">
        <w:tab/>
      </w:r>
      <w:r w:rsidRPr="00602610">
        <w:tab/>
      </w:r>
      <w:r w:rsidRPr="00602610">
        <w:tab/>
      </w:r>
      <w:r w:rsidRPr="00602610">
        <w:tab/>
      </w:r>
      <w:r w:rsidRPr="00602610">
        <w:tab/>
        <w:t>Managing Director</w:t>
      </w:r>
    </w:p>
    <w:p w:rsidR="00F306CF" w:rsidRPr="00A32859" w:rsidP="00F7639D" w14:paraId="4A74534B" w14:textId="77777777">
      <w:pPr>
        <w:keepNext/>
        <w:widowControl/>
      </w:pPr>
    </w:p>
    <w:sectPr w:rsidSect="0055614C">
      <w:headerReference w:type="default" r:id="rId4"/>
      <w:footerReference w:type="even" r:id="rId5"/>
      <w:footerReference w:type="default" r:id="rId6"/>
      <w:headerReference w:type="first" r:id="rId7"/>
      <w:footerReference w:type="first" r:id="rId8"/>
      <w:footnotePr>
        <w:numStart w:val="252"/>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598E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B177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1C84" w14:paraId="587B01CE"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1C84" w14:paraId="65E70914" w14:textId="77777777">
    <w:pPr>
      <w:pStyle w:val="Footer"/>
      <w:tabs>
        <w:tab w:val="clear" w:pos="4320"/>
        <w:tab w:val="center" w:pos="468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00777C" w14:textId="3F3D7C2F">
    <w:pPr>
      <w:pStyle w:val="Header"/>
      <w:rPr>
        <w:b w:val="0"/>
      </w:rPr>
    </w:pPr>
    <w:r>
      <w:tab/>
      <w:t>Federal Communications Commission</w:t>
    </w:r>
    <w:r>
      <w:tab/>
    </w:r>
    <w:r w:rsidR="00A443DC">
      <w:t>DA 20-</w:t>
    </w:r>
    <w:r w:rsidR="003C682E">
      <w:t>1283</w:t>
    </w:r>
  </w:p>
  <w:p w:rsidR="00D25FB5" w14:paraId="60F4A29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240DF7C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52755D" w14:textId="34D1DBC9">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E64DAB">
      <w:tab/>
      <w:t>Federal Communications Commission</w:t>
    </w:r>
    <w:r w:rsidR="00E64DAB">
      <w:tab/>
    </w:r>
    <w:r w:rsidR="00A443DC">
      <w:t>DA 20-</w:t>
    </w:r>
    <w:r w:rsidR="003C682E">
      <w:t>1283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F031C"/>
    <w:multiLevelType w:val="hybridMultilevel"/>
    <w:tmpl w:val="1116E8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4B3486E"/>
    <w:multiLevelType w:val="hybridMultilevel"/>
    <w:tmpl w:val="E0E0B6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6591C3F"/>
    <w:multiLevelType w:val="hybridMultilevel"/>
    <w:tmpl w:val="9A4260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643D32"/>
    <w:multiLevelType w:val="hybridMultilevel"/>
    <w:tmpl w:val="AF3E7B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B534C8"/>
    <w:multiLevelType w:val="hybridMultilevel"/>
    <w:tmpl w:val="3ABCA7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CA338F"/>
    <w:multiLevelType w:val="hybridMultilevel"/>
    <w:tmpl w:val="722EC7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0B67E65"/>
    <w:multiLevelType w:val="hybridMultilevel"/>
    <w:tmpl w:val="73DAE9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48225B1"/>
    <w:multiLevelType w:val="hybridMultilevel"/>
    <w:tmpl w:val="616E2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FD4F63"/>
    <w:multiLevelType w:val="hybridMultilevel"/>
    <w:tmpl w:val="A49EAE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B6D4FCF"/>
    <w:multiLevelType w:val="hybridMultilevel"/>
    <w:tmpl w:val="DB6672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CD66D1"/>
    <w:multiLevelType w:val="hybridMultilevel"/>
    <w:tmpl w:val="714606A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E2120AB"/>
    <w:multiLevelType w:val="hybridMultilevel"/>
    <w:tmpl w:val="FDB46D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D055182"/>
    <w:multiLevelType w:val="hybridMultilevel"/>
    <w:tmpl w:val="61C65A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F7B34B1"/>
    <w:multiLevelType w:val="hybridMultilevel"/>
    <w:tmpl w:val="757EF9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1182925"/>
    <w:multiLevelType w:val="singleLevel"/>
    <w:tmpl w:val="AD063140"/>
    <w:lvl w:ilvl="0">
      <w:start w:val="1"/>
      <w:numFmt w:val="decimal"/>
      <w:pStyle w:val="ParaNum"/>
      <w:lvlText w:val="%1."/>
      <w:lvlJc w:val="left"/>
      <w:pPr>
        <w:tabs>
          <w:tab w:val="num" w:pos="720"/>
        </w:tabs>
        <w:ind w:left="0" w:firstLine="360"/>
      </w:pPr>
      <w:rPr>
        <w:rFonts w:ascii="Times New Roman" w:eastAsia="Times New Roman" w:hAnsi="Times New Roman" w:cs="Times New Roman" w:hint="default"/>
      </w:rPr>
    </w:lvl>
  </w:abstractNum>
  <w:abstractNum w:abstractNumId="20">
    <w:nsid w:val="76975343"/>
    <w:multiLevelType w:val="hybridMultilevel"/>
    <w:tmpl w:val="F63CDC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6"/>
  </w:num>
  <w:num w:numId="2">
    <w:abstractNumId w:val="19"/>
  </w:num>
  <w:num w:numId="3">
    <w:abstractNumId w:val="8"/>
  </w:num>
  <w:num w:numId="4">
    <w:abstractNumId w:val="15"/>
  </w:num>
  <w:num w:numId="5">
    <w:abstractNumId w:val="7"/>
  </w:num>
  <w:num w:numId="6">
    <w:abstractNumId w:val="0"/>
  </w:num>
  <w:num w:numId="7">
    <w:abstractNumId w:val="21"/>
  </w:num>
  <w:num w:numId="8">
    <w:abstractNumId w:val="10"/>
  </w:num>
  <w:num w:numId="9">
    <w:abstractNumId w:val="1"/>
  </w:num>
  <w:num w:numId="10">
    <w:abstractNumId w:val="11"/>
  </w:num>
  <w:num w:numId="11">
    <w:abstractNumId w:val="20"/>
  </w:num>
  <w:num w:numId="12">
    <w:abstractNumId w:val="12"/>
  </w:num>
  <w:num w:numId="13">
    <w:abstractNumId w:val="17"/>
  </w:num>
  <w:num w:numId="14">
    <w:abstractNumId w:val="4"/>
  </w:num>
  <w:num w:numId="15">
    <w:abstractNumId w:val="18"/>
  </w:num>
  <w:num w:numId="16">
    <w:abstractNumId w:val="9"/>
  </w:num>
  <w:num w:numId="17">
    <w:abstractNumId w:val="13"/>
  </w:num>
  <w:num w:numId="18">
    <w:abstractNumId w:val="2"/>
  </w:num>
  <w:num w:numId="19">
    <w:abstractNumId w:val="16"/>
  </w:num>
  <w:num w:numId="20">
    <w:abstractNumId w:val="3"/>
  </w:num>
  <w:num w:numId="21">
    <w:abstractNumId w:val="14"/>
  </w:num>
  <w:num w:numId="22">
    <w:abstractNumId w:val="19"/>
  </w:num>
  <w:num w:numId="23">
    <w:abstractNumId w:val="19"/>
  </w:num>
  <w:num w:numId="24">
    <w:abstractNumId w:val="5"/>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Start w:val="25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CF"/>
    <w:rsid w:val="00007527"/>
    <w:rsid w:val="0000786D"/>
    <w:rsid w:val="00010D18"/>
    <w:rsid w:val="00022D9D"/>
    <w:rsid w:val="00033263"/>
    <w:rsid w:val="00036039"/>
    <w:rsid w:val="000363E7"/>
    <w:rsid w:val="00037F90"/>
    <w:rsid w:val="00043C8B"/>
    <w:rsid w:val="0005561E"/>
    <w:rsid w:val="0006259D"/>
    <w:rsid w:val="00067034"/>
    <w:rsid w:val="0007193B"/>
    <w:rsid w:val="00074B78"/>
    <w:rsid w:val="000875BF"/>
    <w:rsid w:val="00090978"/>
    <w:rsid w:val="00096D8C"/>
    <w:rsid w:val="00097A13"/>
    <w:rsid w:val="000A22CC"/>
    <w:rsid w:val="000A4804"/>
    <w:rsid w:val="000B4328"/>
    <w:rsid w:val="000B4DCC"/>
    <w:rsid w:val="000C0B65"/>
    <w:rsid w:val="000C30F1"/>
    <w:rsid w:val="000E05FE"/>
    <w:rsid w:val="000E3D42"/>
    <w:rsid w:val="000F3173"/>
    <w:rsid w:val="00115480"/>
    <w:rsid w:val="00122BD5"/>
    <w:rsid w:val="0012400D"/>
    <w:rsid w:val="00133F79"/>
    <w:rsid w:val="00141C78"/>
    <w:rsid w:val="00147906"/>
    <w:rsid w:val="001615A3"/>
    <w:rsid w:val="0017397A"/>
    <w:rsid w:val="00194A66"/>
    <w:rsid w:val="001B2E1C"/>
    <w:rsid w:val="001C0363"/>
    <w:rsid w:val="001C050D"/>
    <w:rsid w:val="001C59DD"/>
    <w:rsid w:val="001D52BF"/>
    <w:rsid w:val="001D5DDE"/>
    <w:rsid w:val="001D6BCF"/>
    <w:rsid w:val="001E01CA"/>
    <w:rsid w:val="001E264F"/>
    <w:rsid w:val="00201697"/>
    <w:rsid w:val="00204617"/>
    <w:rsid w:val="00210053"/>
    <w:rsid w:val="002269AF"/>
    <w:rsid w:val="00226A21"/>
    <w:rsid w:val="00230498"/>
    <w:rsid w:val="002409B9"/>
    <w:rsid w:val="00242E0C"/>
    <w:rsid w:val="002513EC"/>
    <w:rsid w:val="00251B36"/>
    <w:rsid w:val="0025209C"/>
    <w:rsid w:val="00264C23"/>
    <w:rsid w:val="002651C1"/>
    <w:rsid w:val="00275CF5"/>
    <w:rsid w:val="0028301F"/>
    <w:rsid w:val="00284CA3"/>
    <w:rsid w:val="00285017"/>
    <w:rsid w:val="002917C1"/>
    <w:rsid w:val="002A08C0"/>
    <w:rsid w:val="002A2D2E"/>
    <w:rsid w:val="002A7046"/>
    <w:rsid w:val="002B2C4C"/>
    <w:rsid w:val="002C00E8"/>
    <w:rsid w:val="002D1C84"/>
    <w:rsid w:val="002E311D"/>
    <w:rsid w:val="002E6502"/>
    <w:rsid w:val="0031036E"/>
    <w:rsid w:val="00311988"/>
    <w:rsid w:val="00330AF3"/>
    <w:rsid w:val="00337107"/>
    <w:rsid w:val="00343749"/>
    <w:rsid w:val="0034521C"/>
    <w:rsid w:val="00350454"/>
    <w:rsid w:val="00351A2D"/>
    <w:rsid w:val="00352142"/>
    <w:rsid w:val="003535E0"/>
    <w:rsid w:val="00353B2E"/>
    <w:rsid w:val="003660ED"/>
    <w:rsid w:val="00366100"/>
    <w:rsid w:val="0037017B"/>
    <w:rsid w:val="00375334"/>
    <w:rsid w:val="0037547E"/>
    <w:rsid w:val="0038058A"/>
    <w:rsid w:val="003812E5"/>
    <w:rsid w:val="00383C43"/>
    <w:rsid w:val="003A0DB4"/>
    <w:rsid w:val="003A1528"/>
    <w:rsid w:val="003B0550"/>
    <w:rsid w:val="003B2F28"/>
    <w:rsid w:val="003B3D9E"/>
    <w:rsid w:val="003B694F"/>
    <w:rsid w:val="003C2D0F"/>
    <w:rsid w:val="003C682E"/>
    <w:rsid w:val="003E5256"/>
    <w:rsid w:val="003E6366"/>
    <w:rsid w:val="003E6916"/>
    <w:rsid w:val="003E765A"/>
    <w:rsid w:val="003F171C"/>
    <w:rsid w:val="00405FDF"/>
    <w:rsid w:val="004121D5"/>
    <w:rsid w:val="00412FC5"/>
    <w:rsid w:val="00422276"/>
    <w:rsid w:val="004242F1"/>
    <w:rsid w:val="00435E55"/>
    <w:rsid w:val="004412B4"/>
    <w:rsid w:val="00445A00"/>
    <w:rsid w:val="00451B0F"/>
    <w:rsid w:val="00455324"/>
    <w:rsid w:val="004560F4"/>
    <w:rsid w:val="004567B2"/>
    <w:rsid w:val="00460363"/>
    <w:rsid w:val="00463031"/>
    <w:rsid w:val="00466E0C"/>
    <w:rsid w:val="00470DE8"/>
    <w:rsid w:val="00471EBD"/>
    <w:rsid w:val="00477A89"/>
    <w:rsid w:val="0048313B"/>
    <w:rsid w:val="004A606D"/>
    <w:rsid w:val="004C2EE3"/>
    <w:rsid w:val="004C4BEC"/>
    <w:rsid w:val="004D3076"/>
    <w:rsid w:val="004E0DB6"/>
    <w:rsid w:val="004E284B"/>
    <w:rsid w:val="004E4A22"/>
    <w:rsid w:val="005070A7"/>
    <w:rsid w:val="00511968"/>
    <w:rsid w:val="00517DC8"/>
    <w:rsid w:val="0052520F"/>
    <w:rsid w:val="00525CF3"/>
    <w:rsid w:val="00533741"/>
    <w:rsid w:val="005448DB"/>
    <w:rsid w:val="00544C08"/>
    <w:rsid w:val="00545BBD"/>
    <w:rsid w:val="0054632A"/>
    <w:rsid w:val="005506EE"/>
    <w:rsid w:val="00551F3B"/>
    <w:rsid w:val="0055614C"/>
    <w:rsid w:val="00560280"/>
    <w:rsid w:val="0056210C"/>
    <w:rsid w:val="0056236E"/>
    <w:rsid w:val="00566D06"/>
    <w:rsid w:val="00570C73"/>
    <w:rsid w:val="00570E57"/>
    <w:rsid w:val="005716B1"/>
    <w:rsid w:val="00572A2A"/>
    <w:rsid w:val="00590892"/>
    <w:rsid w:val="005954F2"/>
    <w:rsid w:val="005A06E6"/>
    <w:rsid w:val="005A252A"/>
    <w:rsid w:val="005B1403"/>
    <w:rsid w:val="005C088F"/>
    <w:rsid w:val="005C4F34"/>
    <w:rsid w:val="005C7405"/>
    <w:rsid w:val="005D2D80"/>
    <w:rsid w:val="005D67B3"/>
    <w:rsid w:val="005E14C2"/>
    <w:rsid w:val="005E64E3"/>
    <w:rsid w:val="005F46DC"/>
    <w:rsid w:val="00602610"/>
    <w:rsid w:val="00607BA5"/>
    <w:rsid w:val="0061180A"/>
    <w:rsid w:val="0061371D"/>
    <w:rsid w:val="00617B36"/>
    <w:rsid w:val="00626EB6"/>
    <w:rsid w:val="00641B76"/>
    <w:rsid w:val="00641C94"/>
    <w:rsid w:val="006429C5"/>
    <w:rsid w:val="00652BAD"/>
    <w:rsid w:val="00655D03"/>
    <w:rsid w:val="00664AD9"/>
    <w:rsid w:val="00670D33"/>
    <w:rsid w:val="00673DE8"/>
    <w:rsid w:val="00675E56"/>
    <w:rsid w:val="0068143A"/>
    <w:rsid w:val="006831AB"/>
    <w:rsid w:val="00683388"/>
    <w:rsid w:val="00683F84"/>
    <w:rsid w:val="006A3772"/>
    <w:rsid w:val="006A6A81"/>
    <w:rsid w:val="006C6A7D"/>
    <w:rsid w:val="006E3A69"/>
    <w:rsid w:val="006F1B55"/>
    <w:rsid w:val="006F7393"/>
    <w:rsid w:val="0070224F"/>
    <w:rsid w:val="00710D2D"/>
    <w:rsid w:val="007115F7"/>
    <w:rsid w:val="007172DD"/>
    <w:rsid w:val="007220D4"/>
    <w:rsid w:val="00722322"/>
    <w:rsid w:val="0072775B"/>
    <w:rsid w:val="00731438"/>
    <w:rsid w:val="007331C2"/>
    <w:rsid w:val="00736570"/>
    <w:rsid w:val="00751742"/>
    <w:rsid w:val="00754046"/>
    <w:rsid w:val="007565D3"/>
    <w:rsid w:val="00757408"/>
    <w:rsid w:val="00764EAF"/>
    <w:rsid w:val="00765D1F"/>
    <w:rsid w:val="00777379"/>
    <w:rsid w:val="00777C96"/>
    <w:rsid w:val="00785689"/>
    <w:rsid w:val="007865C9"/>
    <w:rsid w:val="00797192"/>
    <w:rsid w:val="0079754B"/>
    <w:rsid w:val="007A1E6D"/>
    <w:rsid w:val="007A31B0"/>
    <w:rsid w:val="007B0EB2"/>
    <w:rsid w:val="007C57F6"/>
    <w:rsid w:val="007E1D05"/>
    <w:rsid w:val="007F1DFD"/>
    <w:rsid w:val="007F6CC9"/>
    <w:rsid w:val="00810B6F"/>
    <w:rsid w:val="00811C37"/>
    <w:rsid w:val="00817EA4"/>
    <w:rsid w:val="008219A9"/>
    <w:rsid w:val="00822CE0"/>
    <w:rsid w:val="00841AB1"/>
    <w:rsid w:val="008545BC"/>
    <w:rsid w:val="00862BB0"/>
    <w:rsid w:val="0086333C"/>
    <w:rsid w:val="00867CC0"/>
    <w:rsid w:val="0087567A"/>
    <w:rsid w:val="00876E89"/>
    <w:rsid w:val="008823E1"/>
    <w:rsid w:val="0088425D"/>
    <w:rsid w:val="00887078"/>
    <w:rsid w:val="008934EB"/>
    <w:rsid w:val="00896264"/>
    <w:rsid w:val="008A04F7"/>
    <w:rsid w:val="008B2378"/>
    <w:rsid w:val="008B38CC"/>
    <w:rsid w:val="008C1149"/>
    <w:rsid w:val="008C3B45"/>
    <w:rsid w:val="008C43BC"/>
    <w:rsid w:val="008C517B"/>
    <w:rsid w:val="008C534D"/>
    <w:rsid w:val="008C68F1"/>
    <w:rsid w:val="008F3C79"/>
    <w:rsid w:val="00921803"/>
    <w:rsid w:val="00924525"/>
    <w:rsid w:val="00926503"/>
    <w:rsid w:val="00934FE0"/>
    <w:rsid w:val="00947968"/>
    <w:rsid w:val="0095207A"/>
    <w:rsid w:val="00964458"/>
    <w:rsid w:val="009648F9"/>
    <w:rsid w:val="009726D8"/>
    <w:rsid w:val="0099347E"/>
    <w:rsid w:val="0099615C"/>
    <w:rsid w:val="009C1E4E"/>
    <w:rsid w:val="009C2F65"/>
    <w:rsid w:val="009D7308"/>
    <w:rsid w:val="009E147C"/>
    <w:rsid w:val="009E72B4"/>
    <w:rsid w:val="009F4D20"/>
    <w:rsid w:val="009F5C68"/>
    <w:rsid w:val="009F6508"/>
    <w:rsid w:val="009F76DB"/>
    <w:rsid w:val="00A03573"/>
    <w:rsid w:val="00A10D7D"/>
    <w:rsid w:val="00A11924"/>
    <w:rsid w:val="00A13654"/>
    <w:rsid w:val="00A2313F"/>
    <w:rsid w:val="00A304C5"/>
    <w:rsid w:val="00A30A35"/>
    <w:rsid w:val="00A32859"/>
    <w:rsid w:val="00A32C3B"/>
    <w:rsid w:val="00A32F22"/>
    <w:rsid w:val="00A443DC"/>
    <w:rsid w:val="00A45F4F"/>
    <w:rsid w:val="00A46CB3"/>
    <w:rsid w:val="00A600A9"/>
    <w:rsid w:val="00A60414"/>
    <w:rsid w:val="00A63EC0"/>
    <w:rsid w:val="00A66BD0"/>
    <w:rsid w:val="00AA55B7"/>
    <w:rsid w:val="00AA5B9E"/>
    <w:rsid w:val="00AB2407"/>
    <w:rsid w:val="00AB53DF"/>
    <w:rsid w:val="00AB562E"/>
    <w:rsid w:val="00AC5D8E"/>
    <w:rsid w:val="00AD1B9A"/>
    <w:rsid w:val="00AD4B02"/>
    <w:rsid w:val="00AD6766"/>
    <w:rsid w:val="00AE097F"/>
    <w:rsid w:val="00AE2546"/>
    <w:rsid w:val="00AE6204"/>
    <w:rsid w:val="00B01FE8"/>
    <w:rsid w:val="00B07E5C"/>
    <w:rsid w:val="00B130EC"/>
    <w:rsid w:val="00B13237"/>
    <w:rsid w:val="00B2215A"/>
    <w:rsid w:val="00B271C3"/>
    <w:rsid w:val="00B458D8"/>
    <w:rsid w:val="00B53790"/>
    <w:rsid w:val="00B6160F"/>
    <w:rsid w:val="00B75B66"/>
    <w:rsid w:val="00B811F7"/>
    <w:rsid w:val="00B9476D"/>
    <w:rsid w:val="00B9498E"/>
    <w:rsid w:val="00BA5DC6"/>
    <w:rsid w:val="00BA6196"/>
    <w:rsid w:val="00BA6C35"/>
    <w:rsid w:val="00BB7CAF"/>
    <w:rsid w:val="00BC2CE7"/>
    <w:rsid w:val="00BC6D8C"/>
    <w:rsid w:val="00BD3E8E"/>
    <w:rsid w:val="00BF0D0A"/>
    <w:rsid w:val="00C008F9"/>
    <w:rsid w:val="00C05BA6"/>
    <w:rsid w:val="00C11B18"/>
    <w:rsid w:val="00C143E0"/>
    <w:rsid w:val="00C17CC2"/>
    <w:rsid w:val="00C22835"/>
    <w:rsid w:val="00C238B1"/>
    <w:rsid w:val="00C242A4"/>
    <w:rsid w:val="00C2501C"/>
    <w:rsid w:val="00C25E0A"/>
    <w:rsid w:val="00C27B32"/>
    <w:rsid w:val="00C34006"/>
    <w:rsid w:val="00C36B4C"/>
    <w:rsid w:val="00C426B1"/>
    <w:rsid w:val="00C43FBB"/>
    <w:rsid w:val="00C4691A"/>
    <w:rsid w:val="00C520B1"/>
    <w:rsid w:val="00C54F82"/>
    <w:rsid w:val="00C637C5"/>
    <w:rsid w:val="00C66160"/>
    <w:rsid w:val="00C721AC"/>
    <w:rsid w:val="00C7691E"/>
    <w:rsid w:val="00C871F5"/>
    <w:rsid w:val="00C900F1"/>
    <w:rsid w:val="00C90D6A"/>
    <w:rsid w:val="00C9147B"/>
    <w:rsid w:val="00C92A82"/>
    <w:rsid w:val="00C93E3D"/>
    <w:rsid w:val="00CA247E"/>
    <w:rsid w:val="00CA6D21"/>
    <w:rsid w:val="00CB0404"/>
    <w:rsid w:val="00CB0873"/>
    <w:rsid w:val="00CC72B6"/>
    <w:rsid w:val="00CD0E1A"/>
    <w:rsid w:val="00CD627C"/>
    <w:rsid w:val="00CF01FB"/>
    <w:rsid w:val="00CF2D51"/>
    <w:rsid w:val="00CF3C9A"/>
    <w:rsid w:val="00CF6EEE"/>
    <w:rsid w:val="00CF7539"/>
    <w:rsid w:val="00D0218D"/>
    <w:rsid w:val="00D040AE"/>
    <w:rsid w:val="00D0656F"/>
    <w:rsid w:val="00D17A05"/>
    <w:rsid w:val="00D25FB5"/>
    <w:rsid w:val="00D26D46"/>
    <w:rsid w:val="00D334E0"/>
    <w:rsid w:val="00D34174"/>
    <w:rsid w:val="00D44223"/>
    <w:rsid w:val="00D67FE0"/>
    <w:rsid w:val="00D75C1E"/>
    <w:rsid w:val="00D9257F"/>
    <w:rsid w:val="00D96932"/>
    <w:rsid w:val="00DA2529"/>
    <w:rsid w:val="00DB130A"/>
    <w:rsid w:val="00DB2C5E"/>
    <w:rsid w:val="00DB2EBB"/>
    <w:rsid w:val="00DB62F7"/>
    <w:rsid w:val="00DC10A1"/>
    <w:rsid w:val="00DC655F"/>
    <w:rsid w:val="00DC77A0"/>
    <w:rsid w:val="00DD0B59"/>
    <w:rsid w:val="00DD7EBD"/>
    <w:rsid w:val="00DF3B24"/>
    <w:rsid w:val="00DF62B6"/>
    <w:rsid w:val="00E00D07"/>
    <w:rsid w:val="00E054E7"/>
    <w:rsid w:val="00E05747"/>
    <w:rsid w:val="00E07225"/>
    <w:rsid w:val="00E249AD"/>
    <w:rsid w:val="00E433F3"/>
    <w:rsid w:val="00E5175C"/>
    <w:rsid w:val="00E5409F"/>
    <w:rsid w:val="00E558D3"/>
    <w:rsid w:val="00E57244"/>
    <w:rsid w:val="00E6112E"/>
    <w:rsid w:val="00E64DAB"/>
    <w:rsid w:val="00E65818"/>
    <w:rsid w:val="00E701D1"/>
    <w:rsid w:val="00E73942"/>
    <w:rsid w:val="00E809E2"/>
    <w:rsid w:val="00E810D1"/>
    <w:rsid w:val="00E81CB1"/>
    <w:rsid w:val="00E86F9D"/>
    <w:rsid w:val="00E918ED"/>
    <w:rsid w:val="00E9399B"/>
    <w:rsid w:val="00E94FC9"/>
    <w:rsid w:val="00E96A39"/>
    <w:rsid w:val="00EA0235"/>
    <w:rsid w:val="00EB573A"/>
    <w:rsid w:val="00EB57F8"/>
    <w:rsid w:val="00EE6488"/>
    <w:rsid w:val="00F020BB"/>
    <w:rsid w:val="00F021FA"/>
    <w:rsid w:val="00F10C00"/>
    <w:rsid w:val="00F12DD8"/>
    <w:rsid w:val="00F1357C"/>
    <w:rsid w:val="00F14B72"/>
    <w:rsid w:val="00F15D1B"/>
    <w:rsid w:val="00F218E8"/>
    <w:rsid w:val="00F306CF"/>
    <w:rsid w:val="00F40ABC"/>
    <w:rsid w:val="00F4457B"/>
    <w:rsid w:val="00F5503F"/>
    <w:rsid w:val="00F60A6D"/>
    <w:rsid w:val="00F61E01"/>
    <w:rsid w:val="00F62E43"/>
    <w:rsid w:val="00F62E97"/>
    <w:rsid w:val="00F63D8E"/>
    <w:rsid w:val="00F64209"/>
    <w:rsid w:val="00F65C8C"/>
    <w:rsid w:val="00F75620"/>
    <w:rsid w:val="00F7639D"/>
    <w:rsid w:val="00F80B55"/>
    <w:rsid w:val="00F87FBF"/>
    <w:rsid w:val="00F908C0"/>
    <w:rsid w:val="00F93BF5"/>
    <w:rsid w:val="00F95545"/>
    <w:rsid w:val="00FA5BC2"/>
    <w:rsid w:val="00FC08AB"/>
    <w:rsid w:val="00FD01D1"/>
    <w:rsid w:val="00FD2745"/>
    <w:rsid w:val="00FD5C89"/>
    <w:rsid w:val="00FD7811"/>
    <w:rsid w:val="00FD7EF8"/>
    <w:rsid w:val="00FE4A85"/>
    <w:rsid w:val="00FE7A9F"/>
    <w:rsid w:val="00FF16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61DE11-0156-413A-85E9-8190D7E0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409B9"/>
    <w:pPr>
      <w:numPr>
        <w:numId w:val="2"/>
      </w:numPr>
      <w:tabs>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aption">
    <w:name w:val="caption"/>
    <w:basedOn w:val="Normal"/>
    <w:next w:val="Normal"/>
    <w:qFormat/>
    <w:rsid w:val="00F306CF"/>
    <w:pPr>
      <w:widowControl/>
      <w:spacing w:before="120" w:after="120" w:line="276" w:lineRule="auto"/>
    </w:pPr>
    <w:rPr>
      <w:rFonts w:ascii="Calibri" w:eastAsia="Calibri" w:hAnsi="Calibri"/>
      <w:b/>
      <w:snapToGrid/>
      <w:kern w:val="0"/>
      <w:szCs w:val="22"/>
    </w:rPr>
  </w:style>
  <w:style w:type="paragraph" w:styleId="NormalWeb">
    <w:name w:val="Normal (Web)"/>
    <w:basedOn w:val="Normal"/>
    <w:uiPriority w:val="99"/>
    <w:unhideWhenUsed/>
    <w:rsid w:val="00F306CF"/>
    <w:pPr>
      <w:widowControl/>
      <w:spacing w:after="200" w:line="276" w:lineRule="auto"/>
    </w:pPr>
    <w:rPr>
      <w:rFonts w:ascii="Calibri" w:eastAsia="Calibri" w:hAnsi="Calibri"/>
      <w:kern w:val="0"/>
      <w:sz w:val="24"/>
      <w:szCs w:val="24"/>
    </w:rPr>
  </w:style>
  <w:style w:type="character" w:customStyle="1" w:styleId="ParaNumChar">
    <w:name w:val="ParaNum Char"/>
    <w:link w:val="ParaNum"/>
    <w:locked/>
    <w:rsid w:val="002409B9"/>
    <w:rPr>
      <w:snapToGrid w:val="0"/>
      <w:kern w:val="28"/>
      <w:sz w:val="22"/>
    </w:rPr>
  </w:style>
  <w:style w:type="character" w:styleId="CommentReference">
    <w:name w:val="annotation reference"/>
    <w:uiPriority w:val="99"/>
    <w:unhideWhenUsed/>
    <w:rsid w:val="00F306CF"/>
    <w:rPr>
      <w:sz w:val="16"/>
      <w:szCs w:val="16"/>
    </w:rPr>
  </w:style>
  <w:style w:type="paragraph" w:styleId="CommentText">
    <w:name w:val="annotation text"/>
    <w:basedOn w:val="Normal"/>
    <w:link w:val="CommentTextChar"/>
    <w:uiPriority w:val="99"/>
    <w:unhideWhenUsed/>
    <w:rsid w:val="00F306CF"/>
    <w:pPr>
      <w:widowControl/>
      <w:spacing w:after="200" w:line="276" w:lineRule="auto"/>
    </w:pPr>
    <w:rPr>
      <w:rFonts w:ascii="Calibri" w:eastAsia="Calibri" w:hAnsi="Calibri"/>
      <w:snapToGrid/>
      <w:kern w:val="0"/>
      <w:sz w:val="20"/>
      <w:szCs w:val="22"/>
    </w:rPr>
  </w:style>
  <w:style w:type="character" w:customStyle="1" w:styleId="CommentTextChar">
    <w:name w:val="Comment Text Char"/>
    <w:link w:val="CommentText"/>
    <w:uiPriority w:val="99"/>
    <w:rsid w:val="00F306CF"/>
    <w:rPr>
      <w:rFonts w:ascii="Calibri" w:eastAsia="Calibri" w:hAnsi="Calibri"/>
      <w:szCs w:val="22"/>
    </w:rPr>
  </w:style>
  <w:style w:type="paragraph" w:styleId="BalloonText">
    <w:name w:val="Balloon Text"/>
    <w:basedOn w:val="Normal"/>
    <w:link w:val="BalloonTextChar"/>
    <w:rsid w:val="00F306CF"/>
    <w:rPr>
      <w:rFonts w:ascii="Segoe UI" w:hAnsi="Segoe UI" w:cs="Segoe UI"/>
      <w:sz w:val="18"/>
      <w:szCs w:val="18"/>
    </w:rPr>
  </w:style>
  <w:style w:type="character" w:customStyle="1" w:styleId="BalloonTextChar">
    <w:name w:val="Balloon Text Char"/>
    <w:link w:val="BalloonText"/>
    <w:rsid w:val="00F306C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B9498E"/>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link w:val="CommentSubject"/>
    <w:rsid w:val="00B9498E"/>
    <w:rPr>
      <w:rFonts w:ascii="Calibri" w:eastAsia="Calibri" w:hAnsi="Calibri"/>
      <w:b/>
      <w:bCs/>
      <w:snapToGrid w:val="0"/>
      <w:kern w:val="28"/>
      <w:szCs w:val="22"/>
    </w:rPr>
  </w:style>
  <w:style w:type="paragraph" w:styleId="Revision">
    <w:name w:val="Revision"/>
    <w:hidden/>
    <w:uiPriority w:val="99"/>
    <w:semiHidden/>
    <w:rsid w:val="00B9476D"/>
    <w:rPr>
      <w:snapToGrid w:val="0"/>
      <w:kern w:val="28"/>
      <w:sz w:val="22"/>
    </w:rPr>
  </w:style>
  <w:style w:type="character" w:customStyle="1" w:styleId="UnresolvedMention">
    <w:name w:val="Unresolved Mention"/>
    <w:basedOn w:val="DefaultParagraphFont"/>
    <w:rsid w:val="00F61E01"/>
    <w:rPr>
      <w:color w:val="605E5C"/>
      <w:shd w:val="clear" w:color="auto" w:fill="E1DFDD"/>
    </w:rPr>
  </w:style>
  <w:style w:type="character" w:styleId="FollowedHyperlink">
    <w:name w:val="FollowedHyperlink"/>
    <w:basedOn w:val="DefaultParagraphFont"/>
    <w:rsid w:val="00264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