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C2EE3" w:rsidRPr="00061444" w14:paraId="369C14DA" w14:textId="77777777">
      <w:pPr>
        <w:jc w:val="center"/>
        <w:rPr>
          <w:b/>
        </w:rPr>
      </w:pPr>
      <w:r w:rsidRPr="00061444">
        <w:rPr>
          <w:b/>
          <w:kern w:val="0"/>
          <w:szCs w:val="22"/>
        </w:rPr>
        <w:t>Before</w:t>
      </w:r>
      <w:r w:rsidRPr="00061444">
        <w:rPr>
          <w:b/>
        </w:rPr>
        <w:t xml:space="preserve"> the</w:t>
      </w:r>
    </w:p>
    <w:p w:rsidR="00921803" w:rsidRPr="00061444" w:rsidP="00921803" w14:paraId="1CD8B122" w14:textId="77777777">
      <w:pPr>
        <w:pStyle w:val="StyleBoldCentered"/>
        <w:rPr>
          <w:rFonts w:ascii="Times New Roman" w:hAnsi="Times New Roman"/>
        </w:rPr>
      </w:pPr>
      <w:r w:rsidRPr="00061444">
        <w:rPr>
          <w:rFonts w:ascii="Times New Roman" w:hAnsi="Times New Roman"/>
        </w:rPr>
        <w:t>F</w:t>
      </w:r>
      <w:r w:rsidRPr="00061444">
        <w:rPr>
          <w:rFonts w:ascii="Times New Roman" w:hAnsi="Times New Roman"/>
          <w:caps w:val="0"/>
        </w:rPr>
        <w:t>ederal Communications Commission</w:t>
      </w:r>
    </w:p>
    <w:p w:rsidR="004C2EE3" w:rsidRPr="00061444" w:rsidP="00096D8C" w14:paraId="40103932" w14:textId="77777777">
      <w:pPr>
        <w:pStyle w:val="StyleBoldCentered"/>
        <w:rPr>
          <w:rFonts w:ascii="Times New Roman" w:hAnsi="Times New Roman"/>
        </w:rPr>
      </w:pPr>
      <w:r w:rsidRPr="00061444">
        <w:rPr>
          <w:rFonts w:ascii="Times New Roman" w:hAnsi="Times New Roman"/>
          <w:caps w:val="0"/>
        </w:rPr>
        <w:t>Washington, D.C</w:t>
      </w:r>
      <w:bookmarkStart w:id="0" w:name="_GoBack"/>
      <w:bookmarkEnd w:id="0"/>
      <w:r w:rsidRPr="00061444">
        <w:rPr>
          <w:rFonts w:ascii="Times New Roman" w:hAnsi="Times New Roman"/>
          <w:caps w:val="0"/>
        </w:rPr>
        <w:t>. 20554</w:t>
      </w:r>
    </w:p>
    <w:p w:rsidR="004C2EE3" w:rsidRPr="00061444" w:rsidP="0070224F" w14:paraId="496F16D2" w14:textId="77777777"/>
    <w:p w:rsidR="004C2EE3" w:rsidRPr="00061444" w:rsidP="0070224F" w14:paraId="45CB4018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43ACC1EA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:rsidRPr="00061444" w14:paraId="2166AF57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061444">
              <w:rPr>
                <w:spacing w:val="-2"/>
              </w:rPr>
              <w:t>In the Matter of</w:t>
            </w:r>
          </w:p>
          <w:p w:rsidR="004C2EE3" w:rsidRPr="00061444" w14:paraId="7B614F2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061444" w:rsidP="007115F7" w14:paraId="0AB9F7D4" w14:textId="061FCFA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061444">
              <w:t>Wireless E911 Location Accuracy Requirements</w:t>
            </w:r>
          </w:p>
        </w:tc>
        <w:tc>
          <w:tcPr>
            <w:tcW w:w="630" w:type="dxa"/>
          </w:tcPr>
          <w:p w:rsidR="004C2EE3" w:rsidRPr="00061444" w14:paraId="1B65315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061444">
              <w:rPr>
                <w:b/>
                <w:spacing w:val="-2"/>
              </w:rPr>
              <w:t>)</w:t>
            </w:r>
          </w:p>
          <w:p w:rsidR="004C2EE3" w:rsidRPr="00061444" w14:paraId="1421DE3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061444">
              <w:rPr>
                <w:b/>
                <w:spacing w:val="-2"/>
              </w:rPr>
              <w:t>)</w:t>
            </w:r>
          </w:p>
          <w:p w:rsidR="004C2EE3" w:rsidRPr="00061444" w14:paraId="6896972E" w14:textId="7F2405A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061444"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Pr="00061444" w14:paraId="7432A4F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061444" w14:paraId="55EE743C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:rsidRPr="00061444" w14:paraId="37EE151D" w14:textId="6EFD85B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061444">
              <w:t xml:space="preserve">PS Docket No. </w:t>
            </w:r>
            <w:r w:rsidRPr="00061444" w:rsidR="00A04F7D">
              <w:t>07-114</w:t>
            </w:r>
          </w:p>
        </w:tc>
      </w:tr>
    </w:tbl>
    <w:p w:rsidR="004C2EE3" w:rsidRPr="00061444" w:rsidP="0070224F" w14:paraId="559819AE" w14:textId="77777777"/>
    <w:p w:rsidR="00841AB1" w:rsidRPr="00061444" w:rsidP="00F021FA" w14:paraId="471E02B9" w14:textId="77777777">
      <w:pPr>
        <w:pStyle w:val="StyleBoldCentered"/>
        <w:rPr>
          <w:rFonts w:ascii="Times New Roman" w:hAnsi="Times New Roman"/>
        </w:rPr>
      </w:pPr>
      <w:r w:rsidRPr="00061444">
        <w:rPr>
          <w:rFonts w:ascii="Times New Roman" w:hAnsi="Times New Roman"/>
        </w:rPr>
        <w:t>OrDER</w:t>
      </w:r>
    </w:p>
    <w:p w:rsidR="004C2EE3" w:rsidRPr="00061444" w14:paraId="655B5D3B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Pr="00061444" w:rsidP="00133F79" w14:paraId="7D147B18" w14:textId="49CE7EB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 w:rsidRPr="00061444">
        <w:rPr>
          <w:b/>
          <w:spacing w:val="-2"/>
        </w:rPr>
        <w:t xml:space="preserve">Adopted:  </w:t>
      </w:r>
      <w:r w:rsidRPr="00061444" w:rsidR="00A04F7D">
        <w:rPr>
          <w:b/>
          <w:spacing w:val="-2"/>
        </w:rPr>
        <w:t xml:space="preserve">February </w:t>
      </w:r>
      <w:r w:rsidR="0033444C">
        <w:rPr>
          <w:b/>
          <w:spacing w:val="-2"/>
        </w:rPr>
        <w:t>4</w:t>
      </w:r>
      <w:r w:rsidRPr="00061444" w:rsidR="003A2B0E">
        <w:rPr>
          <w:b/>
          <w:spacing w:val="-2"/>
        </w:rPr>
        <w:t>,</w:t>
      </w:r>
      <w:r w:rsidRPr="00061444" w:rsidR="00FC7965">
        <w:rPr>
          <w:b/>
          <w:spacing w:val="-2"/>
        </w:rPr>
        <w:t xml:space="preserve"> 20</w:t>
      </w:r>
      <w:r w:rsidRPr="00061444" w:rsidR="00A04F7D">
        <w:rPr>
          <w:b/>
          <w:spacing w:val="-2"/>
        </w:rPr>
        <w:t>20</w:t>
      </w:r>
      <w:r w:rsidRPr="00061444">
        <w:rPr>
          <w:b/>
          <w:spacing w:val="-2"/>
        </w:rPr>
        <w:tab/>
      </w:r>
      <w:r w:rsidRPr="00061444" w:rsidR="00822CE0">
        <w:rPr>
          <w:b/>
          <w:spacing w:val="-2"/>
        </w:rPr>
        <w:t>Released</w:t>
      </w:r>
      <w:r w:rsidRPr="00061444">
        <w:rPr>
          <w:b/>
          <w:spacing w:val="-2"/>
        </w:rPr>
        <w:t>:</w:t>
      </w:r>
      <w:r w:rsidRPr="00061444" w:rsidR="00822CE0">
        <w:rPr>
          <w:b/>
          <w:spacing w:val="-2"/>
        </w:rPr>
        <w:t xml:space="preserve"> </w:t>
      </w:r>
      <w:r w:rsidRPr="00061444">
        <w:rPr>
          <w:b/>
          <w:spacing w:val="-2"/>
        </w:rPr>
        <w:t xml:space="preserve"> </w:t>
      </w:r>
      <w:r w:rsidRPr="00061444" w:rsidR="00A04F7D">
        <w:rPr>
          <w:b/>
          <w:spacing w:val="-2"/>
        </w:rPr>
        <w:t>February</w:t>
      </w:r>
      <w:r w:rsidRPr="00061444" w:rsidR="003A2B0E">
        <w:rPr>
          <w:b/>
          <w:spacing w:val="-2"/>
        </w:rPr>
        <w:t xml:space="preserve"> </w:t>
      </w:r>
      <w:r w:rsidR="0033444C">
        <w:rPr>
          <w:b/>
          <w:spacing w:val="-2"/>
        </w:rPr>
        <w:t>4</w:t>
      </w:r>
      <w:r w:rsidRPr="00061444" w:rsidR="003A2B0E">
        <w:rPr>
          <w:b/>
          <w:spacing w:val="-2"/>
        </w:rPr>
        <w:t>,</w:t>
      </w:r>
      <w:r w:rsidRPr="00061444" w:rsidR="00FC7965">
        <w:rPr>
          <w:b/>
          <w:spacing w:val="-2"/>
        </w:rPr>
        <w:t xml:space="preserve"> 20</w:t>
      </w:r>
      <w:r w:rsidRPr="00061444" w:rsidR="00A04F7D">
        <w:rPr>
          <w:b/>
          <w:spacing w:val="-2"/>
        </w:rPr>
        <w:t>20</w:t>
      </w:r>
    </w:p>
    <w:p w:rsidR="00822CE0" w:rsidRPr="00061444" w14:paraId="15C33FAF" w14:textId="77777777"/>
    <w:p w:rsidR="00FA4EC4" w:rsidRPr="00061444" w14:paraId="7E6EC8B4" w14:textId="77777777">
      <w:pPr>
        <w:rPr>
          <w:spacing w:val="-2"/>
          <w:szCs w:val="22"/>
        </w:rPr>
      </w:pPr>
      <w:r w:rsidRPr="00061444">
        <w:t xml:space="preserve">By </w:t>
      </w:r>
      <w:r w:rsidRPr="00061444" w:rsidR="004E4A22">
        <w:t>the</w:t>
      </w:r>
      <w:r w:rsidRPr="00061444" w:rsidR="002A2D2E">
        <w:t xml:space="preserve"> </w:t>
      </w:r>
      <w:r w:rsidRPr="00061444" w:rsidR="008A7B5D">
        <w:rPr>
          <w:spacing w:val="-2"/>
        </w:rPr>
        <w:t xml:space="preserve">Chief, Public </w:t>
      </w:r>
      <w:r w:rsidRPr="00061444" w:rsidR="008A7B5D">
        <w:rPr>
          <w:spacing w:val="-2"/>
          <w:szCs w:val="22"/>
        </w:rPr>
        <w:t>Safety and Homeland Security Bureau:</w:t>
      </w:r>
    </w:p>
    <w:p w:rsidR="00412FC5" w:rsidRPr="00061444" w:rsidP="00412FC5" w14:paraId="7B16A111" w14:textId="77777777">
      <w:pPr>
        <w:rPr>
          <w:szCs w:val="22"/>
        </w:rPr>
      </w:pPr>
    </w:p>
    <w:p w:rsidR="00123F87" w:rsidRPr="00EF75BA" w:rsidP="00061444" w14:paraId="2E2DF6CC" w14:textId="21ED69E5">
      <w:pPr>
        <w:pStyle w:val="ParaNum"/>
        <w:rPr>
          <w:snapToGrid/>
          <w:kern w:val="0"/>
          <w:szCs w:val="22"/>
        </w:rPr>
      </w:pPr>
      <w:r w:rsidRPr="00061444">
        <w:rPr>
          <w:szCs w:val="22"/>
        </w:rPr>
        <w:t xml:space="preserve">By this </w:t>
      </w:r>
      <w:r w:rsidRPr="00061444">
        <w:rPr>
          <w:i/>
          <w:szCs w:val="22"/>
        </w:rPr>
        <w:t>Order</w:t>
      </w:r>
      <w:r w:rsidRPr="00061444">
        <w:rPr>
          <w:szCs w:val="22"/>
        </w:rPr>
        <w:t xml:space="preserve">, the Public Safety and Homeland Security Bureau (Bureau) grants the </w:t>
      </w:r>
      <w:r w:rsidRPr="00061444" w:rsidR="00FC7965">
        <w:rPr>
          <w:szCs w:val="22"/>
        </w:rPr>
        <w:t>J</w:t>
      </w:r>
      <w:r w:rsidRPr="00061444" w:rsidR="009C45AD">
        <w:rPr>
          <w:szCs w:val="22"/>
        </w:rPr>
        <w:t xml:space="preserve">oint </w:t>
      </w:r>
      <w:r w:rsidRPr="00061444" w:rsidR="001934C1">
        <w:rPr>
          <w:szCs w:val="22"/>
        </w:rPr>
        <w:t xml:space="preserve">Petition </w:t>
      </w:r>
      <w:r w:rsidRPr="00061444" w:rsidR="00FC7965">
        <w:rPr>
          <w:szCs w:val="22"/>
        </w:rPr>
        <w:t xml:space="preserve">for Extension of </w:t>
      </w:r>
      <w:r w:rsidRPr="00061444" w:rsidR="001934C1">
        <w:rPr>
          <w:szCs w:val="22"/>
        </w:rPr>
        <w:t xml:space="preserve">Comment and Reply Comment Deadlines </w:t>
      </w:r>
      <w:r w:rsidRPr="00061444" w:rsidR="00FC7965">
        <w:rPr>
          <w:szCs w:val="22"/>
        </w:rPr>
        <w:t xml:space="preserve">(Joint </w:t>
      </w:r>
      <w:r w:rsidRPr="00061444" w:rsidR="001934C1">
        <w:rPr>
          <w:szCs w:val="22"/>
        </w:rPr>
        <w:t>Petition</w:t>
      </w:r>
      <w:r w:rsidRPr="00061444" w:rsidR="00FC7965">
        <w:rPr>
          <w:szCs w:val="22"/>
        </w:rPr>
        <w:t xml:space="preserve">) </w:t>
      </w:r>
      <w:r w:rsidRPr="00061444" w:rsidR="00FA4EC4">
        <w:rPr>
          <w:szCs w:val="22"/>
        </w:rPr>
        <w:t>submitte</w:t>
      </w:r>
      <w:r w:rsidRPr="00061444" w:rsidR="00FC7965">
        <w:rPr>
          <w:szCs w:val="22"/>
        </w:rPr>
        <w:t xml:space="preserve">d by </w:t>
      </w:r>
      <w:r w:rsidRPr="00061444">
        <w:rPr>
          <w:szCs w:val="22"/>
        </w:rPr>
        <w:t xml:space="preserve">the </w:t>
      </w:r>
      <w:r w:rsidRPr="00061444" w:rsidR="00061444">
        <w:rPr>
          <w:snapToGrid/>
          <w:kern w:val="0"/>
          <w:szCs w:val="22"/>
        </w:rPr>
        <w:t>Industry Council for Emergency Response Technologies</w:t>
      </w:r>
      <w:r w:rsidRPr="00061444" w:rsidR="00061444">
        <w:rPr>
          <w:szCs w:val="22"/>
        </w:rPr>
        <w:t xml:space="preserve"> </w:t>
      </w:r>
      <w:r w:rsidRPr="00061444" w:rsidR="001934C1">
        <w:rPr>
          <w:szCs w:val="22"/>
        </w:rPr>
        <w:t>(</w:t>
      </w:r>
      <w:r w:rsidRPr="00061444" w:rsidR="001934C1">
        <w:rPr>
          <w:szCs w:val="22"/>
        </w:rPr>
        <w:t>iCERT</w:t>
      </w:r>
      <w:r w:rsidRPr="00061444" w:rsidR="001934C1">
        <w:rPr>
          <w:szCs w:val="22"/>
        </w:rPr>
        <w:t xml:space="preserve">), </w:t>
      </w:r>
      <w:r w:rsidRPr="00061444" w:rsidR="00061444">
        <w:rPr>
          <w:snapToGrid/>
          <w:kern w:val="0"/>
          <w:szCs w:val="22"/>
        </w:rPr>
        <w:t>the National Association of State 9-1-1 Administrators</w:t>
      </w:r>
      <w:r w:rsidRPr="00061444" w:rsidR="001934C1">
        <w:rPr>
          <w:szCs w:val="22"/>
        </w:rPr>
        <w:t xml:space="preserve"> (NASNA)</w:t>
      </w:r>
      <w:r w:rsidR="00E52159">
        <w:rPr>
          <w:szCs w:val="22"/>
        </w:rPr>
        <w:t>;</w:t>
      </w:r>
      <w:r w:rsidRPr="00061444" w:rsidR="001934C1">
        <w:rPr>
          <w:szCs w:val="22"/>
        </w:rPr>
        <w:t xml:space="preserve"> </w:t>
      </w:r>
      <w:r w:rsidRPr="00061444" w:rsidR="00061444">
        <w:rPr>
          <w:snapToGrid/>
          <w:kern w:val="0"/>
          <w:szCs w:val="22"/>
        </w:rPr>
        <w:t>NENA: The 9-1-1 Association</w:t>
      </w:r>
      <w:r w:rsidRPr="00061444" w:rsidR="00061444">
        <w:rPr>
          <w:szCs w:val="22"/>
        </w:rPr>
        <w:t xml:space="preserve"> </w:t>
      </w:r>
      <w:r w:rsidRPr="00061444" w:rsidR="00425EB0">
        <w:rPr>
          <w:szCs w:val="22"/>
        </w:rPr>
        <w:t>(NENA)</w:t>
      </w:r>
      <w:r w:rsidRPr="00061444" w:rsidR="00061444">
        <w:rPr>
          <w:szCs w:val="22"/>
        </w:rPr>
        <w:t>;</w:t>
      </w:r>
      <w:r w:rsidRPr="00061444" w:rsidR="00E05881">
        <w:rPr>
          <w:szCs w:val="22"/>
        </w:rPr>
        <w:t xml:space="preserve"> the</w:t>
      </w:r>
      <w:r w:rsidRPr="00061444" w:rsidR="00061444">
        <w:rPr>
          <w:snapToGrid/>
          <w:kern w:val="0"/>
          <w:szCs w:val="22"/>
        </w:rPr>
        <w:t xml:space="preserve"> Texas 9-1-1 Alliance; and the Texas Commission on State Emergency Communications</w:t>
      </w:r>
      <w:r w:rsidRPr="00061444" w:rsidR="00E05881">
        <w:rPr>
          <w:szCs w:val="22"/>
        </w:rPr>
        <w:t xml:space="preserve"> </w:t>
      </w:r>
      <w:r w:rsidRPr="00061444">
        <w:rPr>
          <w:szCs w:val="22"/>
        </w:rPr>
        <w:t>(collectively, P</w:t>
      </w:r>
      <w:r w:rsidRPr="00061444" w:rsidR="00CF606D">
        <w:rPr>
          <w:szCs w:val="22"/>
        </w:rPr>
        <w:t>etitioners</w:t>
      </w:r>
      <w:r w:rsidRPr="00061444">
        <w:rPr>
          <w:szCs w:val="22"/>
        </w:rPr>
        <w:t>)</w:t>
      </w:r>
      <w:r w:rsidRPr="00061444" w:rsidR="00FC7965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3"/>
      </w:r>
      <w:r w:rsidRPr="00061444" w:rsidR="00FC7965">
        <w:rPr>
          <w:b/>
          <w:szCs w:val="22"/>
        </w:rPr>
        <w:t xml:space="preserve"> </w:t>
      </w:r>
      <w:r w:rsidRPr="00061444">
        <w:rPr>
          <w:szCs w:val="22"/>
        </w:rPr>
        <w:t xml:space="preserve"> </w:t>
      </w:r>
      <w:r w:rsidRPr="00061444">
        <w:rPr>
          <w:snapToGrid/>
          <w:kern w:val="0"/>
          <w:szCs w:val="22"/>
        </w:rPr>
        <w:t xml:space="preserve">Based on the record before us, we find that good cause exists to grant a </w:t>
      </w:r>
      <w:r w:rsidR="00061444">
        <w:rPr>
          <w:snapToGrid/>
          <w:kern w:val="0"/>
          <w:szCs w:val="22"/>
        </w:rPr>
        <w:t>short</w:t>
      </w:r>
      <w:r w:rsidRPr="00061444">
        <w:rPr>
          <w:snapToGrid/>
          <w:kern w:val="0"/>
          <w:szCs w:val="22"/>
        </w:rPr>
        <w:t xml:space="preserve"> extension of time </w:t>
      </w:r>
      <w:r w:rsidRPr="00061444" w:rsidR="00F93CFF">
        <w:rPr>
          <w:snapToGrid/>
          <w:kern w:val="0"/>
          <w:szCs w:val="22"/>
        </w:rPr>
        <w:t xml:space="preserve">until </w:t>
      </w:r>
      <w:r w:rsidRPr="00061444" w:rsidR="00A04F7D">
        <w:rPr>
          <w:snapToGrid/>
          <w:kern w:val="0"/>
          <w:szCs w:val="22"/>
        </w:rPr>
        <w:t>February 2</w:t>
      </w:r>
      <w:r w:rsidRPr="00061444" w:rsidR="00E5263A">
        <w:rPr>
          <w:snapToGrid/>
          <w:kern w:val="0"/>
          <w:szCs w:val="22"/>
        </w:rPr>
        <w:t>1</w:t>
      </w:r>
      <w:r w:rsidRPr="00061444" w:rsidR="00F93CFF">
        <w:rPr>
          <w:snapToGrid/>
          <w:kern w:val="0"/>
          <w:szCs w:val="22"/>
        </w:rPr>
        <w:t>, 20</w:t>
      </w:r>
      <w:r w:rsidRPr="00061444" w:rsidR="00A04F7D">
        <w:rPr>
          <w:snapToGrid/>
          <w:kern w:val="0"/>
          <w:szCs w:val="22"/>
        </w:rPr>
        <w:t>20</w:t>
      </w:r>
      <w:r w:rsidRPr="00061444" w:rsidR="00215686">
        <w:rPr>
          <w:snapToGrid/>
          <w:kern w:val="0"/>
          <w:szCs w:val="22"/>
        </w:rPr>
        <w:t>,</w:t>
      </w:r>
      <w:r w:rsidRPr="00061444" w:rsidR="00F93CFF">
        <w:rPr>
          <w:snapToGrid/>
          <w:kern w:val="0"/>
          <w:szCs w:val="22"/>
        </w:rPr>
        <w:t xml:space="preserve"> </w:t>
      </w:r>
      <w:r w:rsidRPr="00061444">
        <w:rPr>
          <w:snapToGrid/>
          <w:kern w:val="0"/>
          <w:szCs w:val="22"/>
        </w:rPr>
        <w:t xml:space="preserve">for </w:t>
      </w:r>
      <w:r w:rsidRPr="00061444" w:rsidR="00EF0DF0">
        <w:rPr>
          <w:snapToGrid/>
          <w:kern w:val="0"/>
          <w:szCs w:val="22"/>
        </w:rPr>
        <w:t xml:space="preserve">all </w:t>
      </w:r>
      <w:r w:rsidRPr="00061444">
        <w:rPr>
          <w:snapToGrid/>
          <w:kern w:val="0"/>
          <w:szCs w:val="22"/>
        </w:rPr>
        <w:t>commenters to file</w:t>
      </w:r>
      <w:r w:rsidRPr="00061444" w:rsidR="00A04F7D">
        <w:rPr>
          <w:snapToGrid/>
          <w:kern w:val="0"/>
          <w:szCs w:val="22"/>
        </w:rPr>
        <w:t xml:space="preserve"> initial comments</w:t>
      </w:r>
      <w:r w:rsidRPr="00061444" w:rsidR="00E5263A">
        <w:rPr>
          <w:snapToGrid/>
          <w:kern w:val="0"/>
          <w:szCs w:val="22"/>
        </w:rPr>
        <w:t>,</w:t>
      </w:r>
      <w:r w:rsidRPr="00061444" w:rsidR="00A04F7D">
        <w:rPr>
          <w:snapToGrid/>
          <w:kern w:val="0"/>
          <w:szCs w:val="22"/>
        </w:rPr>
        <w:t xml:space="preserve"> and</w:t>
      </w:r>
      <w:r w:rsidRPr="00061444">
        <w:rPr>
          <w:snapToGrid/>
          <w:kern w:val="0"/>
          <w:szCs w:val="22"/>
        </w:rPr>
        <w:t xml:space="preserve"> </w:t>
      </w:r>
      <w:r w:rsidRPr="00061444" w:rsidR="00A04F7D">
        <w:rPr>
          <w:snapToGrid/>
          <w:kern w:val="0"/>
          <w:szCs w:val="22"/>
        </w:rPr>
        <w:t>March 2</w:t>
      </w:r>
      <w:r w:rsidR="00061444">
        <w:rPr>
          <w:snapToGrid/>
          <w:kern w:val="0"/>
          <w:szCs w:val="22"/>
        </w:rPr>
        <w:t>0</w:t>
      </w:r>
      <w:r w:rsidRPr="00061444" w:rsidR="00A04F7D">
        <w:rPr>
          <w:snapToGrid/>
          <w:kern w:val="0"/>
          <w:szCs w:val="22"/>
        </w:rPr>
        <w:t>, 2020</w:t>
      </w:r>
      <w:r w:rsidRPr="00061444" w:rsidR="00215686">
        <w:rPr>
          <w:snapToGrid/>
          <w:kern w:val="0"/>
          <w:szCs w:val="22"/>
        </w:rPr>
        <w:t>,</w:t>
      </w:r>
      <w:r w:rsidRPr="00061444" w:rsidR="00A04F7D">
        <w:rPr>
          <w:snapToGrid/>
          <w:kern w:val="0"/>
          <w:szCs w:val="22"/>
        </w:rPr>
        <w:t xml:space="preserve"> for all commenters to file </w:t>
      </w:r>
      <w:r w:rsidRPr="00061444">
        <w:rPr>
          <w:snapToGrid/>
          <w:kern w:val="0"/>
          <w:szCs w:val="22"/>
        </w:rPr>
        <w:t>reply comments in this proceeding.</w:t>
      </w:r>
      <w:r w:rsidRPr="00061444" w:rsidR="00BE262B">
        <w:rPr>
          <w:snapToGrid/>
          <w:kern w:val="0"/>
          <w:szCs w:val="22"/>
        </w:rPr>
        <w:t xml:space="preserve"> </w:t>
      </w:r>
    </w:p>
    <w:p w:rsidR="00CB4A49" w:rsidRPr="00EF75BA" w:rsidP="00EF75BA" w14:paraId="3461C00F" w14:textId="27ECD408">
      <w:pPr>
        <w:pStyle w:val="ParaNum"/>
        <w:rPr>
          <w:snapToGrid/>
          <w:kern w:val="0"/>
          <w:szCs w:val="22"/>
        </w:rPr>
      </w:pPr>
      <w:r w:rsidRPr="00EF75BA">
        <w:rPr>
          <w:szCs w:val="22"/>
        </w:rPr>
        <w:t xml:space="preserve">When the Commission released the </w:t>
      </w:r>
      <w:r w:rsidRPr="00EF75BA" w:rsidR="00A04F7D">
        <w:rPr>
          <w:i/>
          <w:szCs w:val="22"/>
        </w:rPr>
        <w:t>Fifth Further Notice of Proposed Rulemaking</w:t>
      </w:r>
      <w:r w:rsidRPr="00EF75BA" w:rsidR="001554B9">
        <w:rPr>
          <w:i/>
          <w:szCs w:val="22"/>
        </w:rPr>
        <w:t xml:space="preserve"> </w:t>
      </w:r>
      <w:r w:rsidRPr="00EF75BA" w:rsidR="008145B5">
        <w:rPr>
          <w:iCs/>
          <w:szCs w:val="22"/>
        </w:rPr>
        <w:t>(</w:t>
      </w:r>
      <w:r w:rsidRPr="00EF75BA" w:rsidR="008145B5">
        <w:rPr>
          <w:i/>
          <w:szCs w:val="22"/>
        </w:rPr>
        <w:t>Fifth FNPRM</w:t>
      </w:r>
      <w:r w:rsidRPr="00EF75BA" w:rsidR="008145B5">
        <w:rPr>
          <w:iCs/>
          <w:szCs w:val="22"/>
        </w:rPr>
        <w:t xml:space="preserve">) </w:t>
      </w:r>
      <w:r w:rsidRPr="00EF75BA" w:rsidR="001554B9">
        <w:rPr>
          <w:szCs w:val="22"/>
        </w:rPr>
        <w:t xml:space="preserve">in the </w:t>
      </w:r>
      <w:r w:rsidRPr="00EF75BA" w:rsidR="00E5263A">
        <w:rPr>
          <w:szCs w:val="22"/>
        </w:rPr>
        <w:t>instant docket</w:t>
      </w:r>
      <w:r w:rsidRPr="00EF75BA">
        <w:rPr>
          <w:szCs w:val="22"/>
        </w:rPr>
        <w:t xml:space="preserve">, it initially set </w:t>
      </w:r>
      <w:r w:rsidRPr="00EF75BA" w:rsidR="003F0328">
        <w:rPr>
          <w:szCs w:val="22"/>
        </w:rPr>
        <w:t xml:space="preserve">a </w:t>
      </w:r>
      <w:r w:rsidRPr="00EF75BA" w:rsidR="0091698C">
        <w:rPr>
          <w:szCs w:val="22"/>
        </w:rPr>
        <w:t xml:space="preserve">comment </w:t>
      </w:r>
      <w:r w:rsidRPr="00EF75BA">
        <w:rPr>
          <w:szCs w:val="22"/>
        </w:rPr>
        <w:t xml:space="preserve">deadline </w:t>
      </w:r>
      <w:r w:rsidRPr="00EF75BA" w:rsidR="00E5263A">
        <w:rPr>
          <w:szCs w:val="22"/>
        </w:rPr>
        <w:t>of</w:t>
      </w:r>
      <w:r w:rsidRPr="00EF75BA">
        <w:rPr>
          <w:szCs w:val="22"/>
        </w:rPr>
        <w:t xml:space="preserve"> </w:t>
      </w:r>
      <w:r w:rsidRPr="00EF75BA" w:rsidR="00A04F7D">
        <w:rPr>
          <w:szCs w:val="22"/>
        </w:rPr>
        <w:t>February 18</w:t>
      </w:r>
      <w:r w:rsidRPr="00EF75BA">
        <w:rPr>
          <w:szCs w:val="22"/>
        </w:rPr>
        <w:t>, 20</w:t>
      </w:r>
      <w:r w:rsidRPr="00EF75BA" w:rsidR="00A04F7D">
        <w:rPr>
          <w:szCs w:val="22"/>
        </w:rPr>
        <w:t>20</w:t>
      </w:r>
      <w:r w:rsidRPr="00EF75BA" w:rsidR="0003378D">
        <w:rPr>
          <w:szCs w:val="22"/>
        </w:rPr>
        <w:t>,</w:t>
      </w:r>
      <w:r w:rsidRPr="00EF75BA">
        <w:rPr>
          <w:szCs w:val="22"/>
        </w:rPr>
        <w:t xml:space="preserve"> </w:t>
      </w:r>
      <w:r w:rsidRPr="00EF75BA" w:rsidR="00A04F7D">
        <w:rPr>
          <w:szCs w:val="22"/>
        </w:rPr>
        <w:t>and</w:t>
      </w:r>
      <w:r w:rsidRPr="00EF75BA" w:rsidR="0091698C">
        <w:rPr>
          <w:szCs w:val="22"/>
        </w:rPr>
        <w:t xml:space="preserve"> a </w:t>
      </w:r>
      <w:r w:rsidRPr="00EF75BA" w:rsidR="003F0328">
        <w:rPr>
          <w:szCs w:val="22"/>
        </w:rPr>
        <w:t xml:space="preserve">reply comment deadline </w:t>
      </w:r>
      <w:r w:rsidRPr="00EF75BA" w:rsidR="00E5263A">
        <w:rPr>
          <w:szCs w:val="22"/>
        </w:rPr>
        <w:t>of</w:t>
      </w:r>
      <w:r w:rsidRPr="00EF75BA" w:rsidR="00A04F7D">
        <w:rPr>
          <w:szCs w:val="22"/>
        </w:rPr>
        <w:t xml:space="preserve"> March 16, 2020</w:t>
      </w:r>
      <w:r w:rsidRPr="00EF75BA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4"/>
      </w:r>
      <w:r w:rsidRPr="00EF75BA">
        <w:rPr>
          <w:szCs w:val="22"/>
        </w:rPr>
        <w:t xml:space="preserve">  </w:t>
      </w:r>
      <w:r w:rsidRPr="00EF75BA" w:rsidR="00CF606D">
        <w:rPr>
          <w:szCs w:val="22"/>
        </w:rPr>
        <w:t xml:space="preserve">Petitioners </w:t>
      </w:r>
      <w:r w:rsidRPr="00EF75BA">
        <w:rPr>
          <w:szCs w:val="22"/>
        </w:rPr>
        <w:t xml:space="preserve">request a </w:t>
      </w:r>
      <w:r w:rsidRPr="00EF75BA" w:rsidR="00F93CFF">
        <w:rPr>
          <w:szCs w:val="22"/>
        </w:rPr>
        <w:t>“</w:t>
      </w:r>
      <w:r w:rsidRPr="00EF75BA" w:rsidR="00BA1C0A">
        <w:rPr>
          <w:szCs w:val="22"/>
        </w:rPr>
        <w:t>short</w:t>
      </w:r>
      <w:r w:rsidRPr="00EF75BA" w:rsidR="00F93CFF">
        <w:rPr>
          <w:szCs w:val="22"/>
        </w:rPr>
        <w:t xml:space="preserve">” </w:t>
      </w:r>
      <w:r w:rsidRPr="00EF75BA">
        <w:rPr>
          <w:szCs w:val="22"/>
        </w:rPr>
        <w:t xml:space="preserve">extension of </w:t>
      </w:r>
      <w:r w:rsidRPr="00EF75BA" w:rsidR="00FA4EC4">
        <w:rPr>
          <w:szCs w:val="22"/>
        </w:rPr>
        <w:t xml:space="preserve">the </w:t>
      </w:r>
      <w:r w:rsidRPr="00EF75BA" w:rsidR="00A04F7D">
        <w:rPr>
          <w:szCs w:val="22"/>
        </w:rPr>
        <w:t xml:space="preserve">comment and </w:t>
      </w:r>
      <w:r w:rsidRPr="00EF75BA" w:rsidR="00FA4EC4">
        <w:rPr>
          <w:szCs w:val="22"/>
        </w:rPr>
        <w:t>reply comment</w:t>
      </w:r>
      <w:r w:rsidRPr="00EF75BA">
        <w:rPr>
          <w:szCs w:val="22"/>
        </w:rPr>
        <w:t xml:space="preserve"> deadline</w:t>
      </w:r>
      <w:r w:rsidRPr="00EF75BA" w:rsidR="00A04F7D">
        <w:rPr>
          <w:szCs w:val="22"/>
        </w:rPr>
        <w:t>s</w:t>
      </w:r>
      <w:r w:rsidRPr="00EF75BA" w:rsidR="00061444">
        <w:rPr>
          <w:szCs w:val="22"/>
        </w:rPr>
        <w:t xml:space="preserve"> </w:t>
      </w:r>
      <w:r w:rsidRPr="00EF75BA" w:rsidR="00E5263A">
        <w:rPr>
          <w:szCs w:val="22"/>
        </w:rPr>
        <w:t>to</w:t>
      </w:r>
      <w:r w:rsidRPr="00EF75BA" w:rsidR="003F0328">
        <w:rPr>
          <w:szCs w:val="22"/>
        </w:rPr>
        <w:t xml:space="preserve"> February 21, 2020, and March 20, 2020, respectively.</w:t>
      </w:r>
      <w:r>
        <w:rPr>
          <w:rStyle w:val="FootnoteReference"/>
          <w:sz w:val="22"/>
          <w:szCs w:val="22"/>
        </w:rPr>
        <w:footnoteReference w:id="5"/>
      </w:r>
      <w:r w:rsidRPr="00EF75BA" w:rsidR="003F0328">
        <w:rPr>
          <w:szCs w:val="22"/>
        </w:rPr>
        <w:t xml:space="preserve">  </w:t>
      </w:r>
      <w:r w:rsidRPr="00EF75BA" w:rsidR="00CF606D">
        <w:rPr>
          <w:szCs w:val="22"/>
        </w:rPr>
        <w:t xml:space="preserve">Petitioners </w:t>
      </w:r>
      <w:r w:rsidRPr="00EF75BA" w:rsidR="00215686">
        <w:rPr>
          <w:szCs w:val="22"/>
        </w:rPr>
        <w:t xml:space="preserve">submit </w:t>
      </w:r>
      <w:r w:rsidRPr="00EF75BA" w:rsidR="00C76DAC">
        <w:rPr>
          <w:szCs w:val="22"/>
        </w:rPr>
        <w:t xml:space="preserve">that </w:t>
      </w:r>
      <w:r w:rsidR="00EF75BA">
        <w:rPr>
          <w:szCs w:val="22"/>
        </w:rPr>
        <w:t>“[</w:t>
      </w:r>
      <w:r w:rsidR="00EF75BA">
        <w:rPr>
          <w:snapToGrid/>
          <w:kern w:val="0"/>
          <w:szCs w:val="22"/>
        </w:rPr>
        <w:t>t]</w:t>
      </w:r>
      <w:r w:rsidRPr="00EF75BA" w:rsidR="00EF75BA">
        <w:rPr>
          <w:snapToGrid/>
          <w:kern w:val="0"/>
          <w:szCs w:val="22"/>
        </w:rPr>
        <w:t>he opportunity to develop the record is made even more challenging by three major events in the 9-1-1 policymaking space</w:t>
      </w:r>
      <w:r w:rsidRPr="00EF75BA" w:rsidR="00CF606D">
        <w:rPr>
          <w:szCs w:val="22"/>
        </w:rPr>
        <w:t>” during the original comment and reply period.</w:t>
      </w:r>
      <w:r>
        <w:rPr>
          <w:rStyle w:val="FootnoteReference"/>
          <w:sz w:val="22"/>
          <w:szCs w:val="22"/>
        </w:rPr>
        <w:footnoteReference w:id="6"/>
      </w:r>
      <w:r w:rsidRPr="00EF75BA" w:rsidR="00D4205B">
        <w:rPr>
          <w:szCs w:val="22"/>
        </w:rPr>
        <w:t xml:space="preserve">  </w:t>
      </w:r>
      <w:r w:rsidRPr="00EF75BA" w:rsidR="00AF7EFE">
        <w:rPr>
          <w:snapToGrid/>
          <w:kern w:val="0"/>
          <w:szCs w:val="22"/>
        </w:rPr>
        <w:t xml:space="preserve">Petitioners seek an “extension of time to allow interested parties to analyze the complex and expansive issues raised in the </w:t>
      </w:r>
      <w:r w:rsidRPr="00EF75BA" w:rsidR="00AF7EFE">
        <w:rPr>
          <w:i/>
          <w:iCs/>
          <w:snapToGrid/>
          <w:kern w:val="0"/>
          <w:szCs w:val="22"/>
        </w:rPr>
        <w:t xml:space="preserve">FNPRM </w:t>
      </w:r>
      <w:r w:rsidRPr="00EF75BA" w:rsidR="00AF7EFE">
        <w:rPr>
          <w:snapToGrid/>
          <w:kern w:val="0"/>
          <w:szCs w:val="22"/>
        </w:rPr>
        <w:t xml:space="preserve">regarding the evolving indoor location accuracy ecosystem and the feasibility of large-scale indoor 3D </w:t>
      </w:r>
      <w:r w:rsidRPr="00EF75BA" w:rsidR="00EF75BA">
        <w:rPr>
          <w:snapToGrid/>
          <w:kern w:val="0"/>
          <w:szCs w:val="22"/>
        </w:rPr>
        <w:t xml:space="preserve">[three-dimensional] </w:t>
      </w:r>
      <w:r w:rsidRPr="00EF75BA" w:rsidR="00AF7EFE">
        <w:rPr>
          <w:snapToGrid/>
          <w:kern w:val="0"/>
          <w:szCs w:val="22"/>
        </w:rPr>
        <w:t>mapping and addressing.”</w:t>
      </w:r>
      <w:r>
        <w:rPr>
          <w:rStyle w:val="FootnoteReference"/>
          <w:snapToGrid/>
          <w:kern w:val="0"/>
          <w:sz w:val="22"/>
          <w:szCs w:val="22"/>
        </w:rPr>
        <w:footnoteReference w:id="7"/>
      </w:r>
      <w:r w:rsidRPr="00EF75BA" w:rsidR="00AF7EFE">
        <w:rPr>
          <w:snapToGrid/>
          <w:kern w:val="0"/>
          <w:szCs w:val="22"/>
        </w:rPr>
        <w:t xml:space="preserve">  The Petitioners </w:t>
      </w:r>
      <w:r w:rsidR="00CF0834">
        <w:rPr>
          <w:snapToGrid/>
          <w:kern w:val="0"/>
          <w:szCs w:val="22"/>
        </w:rPr>
        <w:t>“</w:t>
      </w:r>
      <w:r w:rsidRPr="00EF75BA" w:rsidR="00AF7EFE">
        <w:rPr>
          <w:snapToGrid/>
          <w:kern w:val="0"/>
          <w:szCs w:val="22"/>
        </w:rPr>
        <w:t>believe it is of paramount importance</w:t>
      </w:r>
      <w:r w:rsidRPr="00EF75BA" w:rsidR="00AF7EFE">
        <w:rPr>
          <w:b/>
          <w:snapToGrid/>
          <w:kern w:val="0"/>
          <w:szCs w:val="22"/>
        </w:rPr>
        <w:t xml:space="preserve"> </w:t>
      </w:r>
      <w:r w:rsidRPr="00EF75BA" w:rsidR="00AF7EFE">
        <w:rPr>
          <w:snapToGrid/>
          <w:kern w:val="0"/>
          <w:szCs w:val="22"/>
        </w:rPr>
        <w:t>for the Commission to develop a full and complete record in this proceeding.</w:t>
      </w:r>
      <w:r w:rsidR="00CF0834">
        <w:rPr>
          <w:snapToGrid/>
          <w:kern w:val="0"/>
          <w:szCs w:val="22"/>
        </w:rPr>
        <w:t>”</w:t>
      </w:r>
      <w:r>
        <w:rPr>
          <w:rStyle w:val="FootnoteReference"/>
          <w:sz w:val="22"/>
          <w:szCs w:val="22"/>
        </w:rPr>
        <w:footnoteReference w:id="8"/>
      </w:r>
      <w:r w:rsidRPr="00EF75BA" w:rsidR="00E5263A">
        <w:rPr>
          <w:szCs w:val="22"/>
        </w:rPr>
        <w:t xml:space="preserve">  </w:t>
      </w:r>
      <w:r w:rsidRPr="00EF75BA" w:rsidR="00AC6404">
        <w:rPr>
          <w:szCs w:val="22"/>
        </w:rPr>
        <w:t xml:space="preserve"> </w:t>
      </w:r>
    </w:p>
    <w:p w:rsidR="00F061C3" w:rsidRPr="00061444" w:rsidP="00D52843" w14:paraId="2511D206" w14:textId="085AA755">
      <w:pPr>
        <w:pStyle w:val="ParaNum"/>
        <w:rPr>
          <w:snapToGrid/>
          <w:kern w:val="0"/>
          <w:szCs w:val="22"/>
        </w:rPr>
      </w:pPr>
      <w:r w:rsidRPr="00061444">
        <w:rPr>
          <w:szCs w:val="22"/>
        </w:rPr>
        <w:t>While it is the policy of the Commission that “extensions shall not be routinely granted,”</w:t>
      </w:r>
      <w:r>
        <w:rPr>
          <w:rStyle w:val="FootnoteReference"/>
          <w:snapToGrid/>
          <w:kern w:val="0"/>
          <w:sz w:val="22"/>
          <w:szCs w:val="22"/>
        </w:rPr>
        <w:footnoteReference w:id="9"/>
      </w:r>
      <w:r w:rsidRPr="00061444" w:rsidR="00306AD9">
        <w:rPr>
          <w:snapToGrid/>
          <w:kern w:val="0"/>
          <w:szCs w:val="22"/>
        </w:rPr>
        <w:t xml:space="preserve"> </w:t>
      </w:r>
      <w:r w:rsidR="00E328F9">
        <w:t xml:space="preserve">we </w:t>
      </w:r>
      <w:r w:rsidR="00E328F9">
        <w:t xml:space="preserve">find good cause to extend both the comment and reply comment deadlines.  </w:t>
      </w:r>
      <w:r w:rsidRPr="00061444" w:rsidR="00C76DAC">
        <w:rPr>
          <w:szCs w:val="22"/>
        </w:rPr>
        <w:t xml:space="preserve">The Commission has previously found that an </w:t>
      </w:r>
      <w:r w:rsidRPr="00061444" w:rsidR="00C76DAC">
        <w:rPr>
          <w:bCs/>
          <w:szCs w:val="22"/>
        </w:rPr>
        <w:t>extension</w:t>
      </w:r>
      <w:r w:rsidRPr="00061444" w:rsidR="00C76DAC">
        <w:rPr>
          <w:szCs w:val="22"/>
        </w:rPr>
        <w:t xml:space="preserve"> of time is warranted when such an </w:t>
      </w:r>
      <w:r w:rsidRPr="00061444" w:rsidR="00C76DAC">
        <w:rPr>
          <w:bCs/>
          <w:szCs w:val="22"/>
        </w:rPr>
        <w:t>extension</w:t>
      </w:r>
      <w:r w:rsidRPr="00061444" w:rsidR="00C76DAC">
        <w:rPr>
          <w:szCs w:val="22"/>
        </w:rPr>
        <w:t xml:space="preserve"> is necessary to ensure that the Commission receives full and informed responses and that affected parties have a meaningful opportunity to develop a complete record for the Commission's consideration.</w:t>
      </w:r>
      <w:r>
        <w:rPr>
          <w:rStyle w:val="FootnoteReference"/>
          <w:sz w:val="22"/>
          <w:szCs w:val="22"/>
        </w:rPr>
        <w:footnoteReference w:id="10"/>
      </w:r>
      <w:r w:rsidRPr="00061444" w:rsidR="00C76DAC">
        <w:rPr>
          <w:szCs w:val="22"/>
        </w:rPr>
        <w:t xml:space="preserve">  </w:t>
      </w:r>
      <w:r w:rsidRPr="00061444" w:rsidR="00CB4A49">
        <w:rPr>
          <w:szCs w:val="22"/>
        </w:rPr>
        <w:t xml:space="preserve">Granting a </w:t>
      </w:r>
      <w:r w:rsidRPr="00061444" w:rsidR="00A04F7D">
        <w:rPr>
          <w:szCs w:val="22"/>
        </w:rPr>
        <w:t>modest</w:t>
      </w:r>
      <w:r w:rsidRPr="00061444" w:rsidR="00CB4A49">
        <w:rPr>
          <w:szCs w:val="22"/>
        </w:rPr>
        <w:t xml:space="preserve"> extension o</w:t>
      </w:r>
      <w:r w:rsidRPr="00061444">
        <w:rPr>
          <w:szCs w:val="22"/>
        </w:rPr>
        <w:t xml:space="preserve">f the </w:t>
      </w:r>
      <w:r w:rsidRPr="00061444" w:rsidR="00A04F7D">
        <w:rPr>
          <w:szCs w:val="22"/>
        </w:rPr>
        <w:t xml:space="preserve">comment and </w:t>
      </w:r>
      <w:r w:rsidRPr="00061444">
        <w:rPr>
          <w:szCs w:val="22"/>
        </w:rPr>
        <w:t>reply comment deadline</w:t>
      </w:r>
      <w:r w:rsidRPr="00061444" w:rsidR="00A04F7D">
        <w:rPr>
          <w:szCs w:val="22"/>
        </w:rPr>
        <w:t>s</w:t>
      </w:r>
      <w:r w:rsidRPr="00061444">
        <w:rPr>
          <w:szCs w:val="22"/>
        </w:rPr>
        <w:t xml:space="preserve"> </w:t>
      </w:r>
      <w:r w:rsidRPr="00061444" w:rsidR="00B8401C">
        <w:rPr>
          <w:szCs w:val="22"/>
        </w:rPr>
        <w:t>w</w:t>
      </w:r>
      <w:r w:rsidRPr="00061444" w:rsidR="00BE262B">
        <w:rPr>
          <w:szCs w:val="22"/>
        </w:rPr>
        <w:t xml:space="preserve">ill </w:t>
      </w:r>
      <w:r w:rsidRPr="00061444" w:rsidR="00D52843">
        <w:rPr>
          <w:szCs w:val="22"/>
        </w:rPr>
        <w:t>ensure that</w:t>
      </w:r>
      <w:r w:rsidRPr="00061444">
        <w:rPr>
          <w:szCs w:val="22"/>
        </w:rPr>
        <w:t xml:space="preserve"> interested parties</w:t>
      </w:r>
      <w:r w:rsidRPr="00061444" w:rsidR="00CB4A49">
        <w:rPr>
          <w:szCs w:val="22"/>
        </w:rPr>
        <w:t xml:space="preserve"> </w:t>
      </w:r>
      <w:r w:rsidRPr="00061444" w:rsidR="00D52843">
        <w:rPr>
          <w:szCs w:val="22"/>
        </w:rPr>
        <w:t xml:space="preserve">have adequate </w:t>
      </w:r>
      <w:r w:rsidRPr="00061444" w:rsidR="00CB4A49">
        <w:rPr>
          <w:szCs w:val="22"/>
        </w:rPr>
        <w:t xml:space="preserve">time to </w:t>
      </w:r>
      <w:r w:rsidRPr="00061444" w:rsidR="005C1B15">
        <w:rPr>
          <w:szCs w:val="22"/>
        </w:rPr>
        <w:t>prepare full and informed reply comments</w:t>
      </w:r>
      <w:r w:rsidRPr="00061444" w:rsidR="00F93CFF">
        <w:rPr>
          <w:szCs w:val="22"/>
        </w:rPr>
        <w:t xml:space="preserve"> without constraining the Commission’s ability to consider a full record</w:t>
      </w:r>
      <w:r w:rsidRPr="00061444">
        <w:rPr>
          <w:szCs w:val="22"/>
        </w:rPr>
        <w:t>.</w:t>
      </w:r>
      <w:r w:rsidRPr="00061444" w:rsidR="00CB4A49">
        <w:rPr>
          <w:szCs w:val="22"/>
        </w:rPr>
        <w:t xml:space="preserve"> </w:t>
      </w:r>
      <w:r w:rsidRPr="00061444" w:rsidR="00D52843">
        <w:rPr>
          <w:szCs w:val="22"/>
        </w:rPr>
        <w:t xml:space="preserve"> We expect that this </w:t>
      </w:r>
      <w:r w:rsidRPr="00061444" w:rsidR="00B8401C">
        <w:rPr>
          <w:szCs w:val="22"/>
        </w:rPr>
        <w:t xml:space="preserve">modest </w:t>
      </w:r>
      <w:r w:rsidRPr="00061444" w:rsidR="00D52843">
        <w:rPr>
          <w:szCs w:val="22"/>
        </w:rPr>
        <w:t xml:space="preserve">extension will result in a more robust record from </w:t>
      </w:r>
      <w:r w:rsidRPr="00061444" w:rsidR="00B8401C">
        <w:rPr>
          <w:szCs w:val="22"/>
        </w:rPr>
        <w:t xml:space="preserve">all </w:t>
      </w:r>
      <w:r w:rsidRPr="00061444" w:rsidR="00D52843">
        <w:rPr>
          <w:szCs w:val="22"/>
        </w:rPr>
        <w:t>stakeholders.</w:t>
      </w:r>
    </w:p>
    <w:p w:rsidR="007816A4" w:rsidRPr="00061444" w:rsidP="007816A4" w14:paraId="37B2EA1A" w14:textId="4571C670">
      <w:pPr>
        <w:pStyle w:val="ParaNum"/>
        <w:widowControl/>
        <w:tabs>
          <w:tab w:val="clear" w:pos="1080"/>
          <w:tab w:val="num" w:pos="1440"/>
        </w:tabs>
        <w:autoSpaceDE w:val="0"/>
        <w:autoSpaceDN w:val="0"/>
        <w:adjustRightInd w:val="0"/>
        <w:rPr>
          <w:snapToGrid/>
          <w:kern w:val="0"/>
          <w:szCs w:val="22"/>
        </w:rPr>
      </w:pPr>
      <w:r w:rsidRPr="00061444">
        <w:t>ACCORDINGLY, IT IS ORDERED, pursuant to sections 4(i), 4(j), and 5(c) of the Communications Act, as amended, 47 U.S.C. §§ 154(i), 154(j), an</w:t>
      </w:r>
      <w:r w:rsidRPr="00061444" w:rsidR="005C1B15">
        <w:t>d 155(c), and sections 0.191, 0.392</w:t>
      </w:r>
      <w:r w:rsidRPr="00061444">
        <w:t xml:space="preserve">, </w:t>
      </w:r>
      <w:r w:rsidRPr="00061444" w:rsidR="00563BEC">
        <w:t xml:space="preserve">and </w:t>
      </w:r>
      <w:r w:rsidRPr="00061444">
        <w:t>1.46 of the Commission’s rules, 47 CFR §§ 0.</w:t>
      </w:r>
      <w:r w:rsidRPr="00061444" w:rsidR="005C1B15">
        <w:t>191, 0.392</w:t>
      </w:r>
      <w:r w:rsidRPr="00061444">
        <w:t xml:space="preserve">, </w:t>
      </w:r>
      <w:r w:rsidRPr="00061444" w:rsidR="00563BEC">
        <w:t xml:space="preserve">and </w:t>
      </w:r>
      <w:r w:rsidRPr="00061444">
        <w:t xml:space="preserve">1.46 that the </w:t>
      </w:r>
      <w:r w:rsidRPr="00061444" w:rsidR="00E5263A">
        <w:t xml:space="preserve">Petitioners’ Joint Petition for Extension of Comment and Reply Comment Deadlines </w:t>
      </w:r>
      <w:r w:rsidRPr="00061444">
        <w:rPr>
          <w:snapToGrid/>
          <w:kern w:val="0"/>
          <w:szCs w:val="22"/>
        </w:rPr>
        <w:t xml:space="preserve">filed on </w:t>
      </w:r>
      <w:r w:rsidRPr="00061444" w:rsidR="00A04F7D">
        <w:rPr>
          <w:snapToGrid/>
          <w:kern w:val="0"/>
          <w:szCs w:val="22"/>
        </w:rPr>
        <w:t>January 3</w:t>
      </w:r>
      <w:r w:rsidRPr="00061444" w:rsidR="00E5263A">
        <w:rPr>
          <w:snapToGrid/>
          <w:kern w:val="0"/>
          <w:szCs w:val="22"/>
        </w:rPr>
        <w:t>0</w:t>
      </w:r>
      <w:r w:rsidRPr="00061444">
        <w:rPr>
          <w:snapToGrid/>
          <w:kern w:val="0"/>
          <w:szCs w:val="22"/>
        </w:rPr>
        <w:t>, 20</w:t>
      </w:r>
      <w:r w:rsidRPr="00061444" w:rsidR="00A04F7D">
        <w:rPr>
          <w:snapToGrid/>
          <w:kern w:val="0"/>
          <w:szCs w:val="22"/>
        </w:rPr>
        <w:t>20</w:t>
      </w:r>
      <w:r w:rsidRPr="00061444" w:rsidR="00F061C3">
        <w:rPr>
          <w:snapToGrid/>
          <w:kern w:val="0"/>
          <w:szCs w:val="22"/>
        </w:rPr>
        <w:t>,</w:t>
      </w:r>
      <w:r w:rsidRPr="00061444">
        <w:rPr>
          <w:snapToGrid/>
          <w:kern w:val="0"/>
          <w:szCs w:val="22"/>
        </w:rPr>
        <w:t xml:space="preserve"> IS GRANTED, and the deadline for filing </w:t>
      </w:r>
      <w:r w:rsidRPr="00061444" w:rsidR="00A04F7D">
        <w:rPr>
          <w:snapToGrid/>
          <w:kern w:val="0"/>
          <w:szCs w:val="22"/>
        </w:rPr>
        <w:t xml:space="preserve">comments and </w:t>
      </w:r>
      <w:r w:rsidRPr="00061444" w:rsidR="00911C74">
        <w:rPr>
          <w:snapToGrid/>
          <w:kern w:val="0"/>
          <w:szCs w:val="22"/>
        </w:rPr>
        <w:t xml:space="preserve">reply </w:t>
      </w:r>
      <w:r w:rsidRPr="00061444">
        <w:rPr>
          <w:snapToGrid/>
          <w:kern w:val="0"/>
          <w:szCs w:val="22"/>
        </w:rPr>
        <w:t xml:space="preserve">comments in </w:t>
      </w:r>
      <w:r w:rsidRPr="00061444" w:rsidR="00911C74">
        <w:t xml:space="preserve">PS Docket No. </w:t>
      </w:r>
      <w:r w:rsidRPr="00061444" w:rsidR="00A04F7D">
        <w:t>07</w:t>
      </w:r>
      <w:r w:rsidRPr="00061444" w:rsidR="00911C74">
        <w:t>-</w:t>
      </w:r>
      <w:r w:rsidRPr="00061444" w:rsidR="00A04F7D">
        <w:t>11</w:t>
      </w:r>
      <w:r w:rsidRPr="00061444" w:rsidR="00911C74">
        <w:t>4</w:t>
      </w:r>
      <w:r w:rsidRPr="00061444">
        <w:rPr>
          <w:snapToGrid/>
          <w:kern w:val="0"/>
          <w:szCs w:val="22"/>
        </w:rPr>
        <w:t xml:space="preserve"> is extended until </w:t>
      </w:r>
      <w:r w:rsidRPr="00061444" w:rsidR="00A04F7D">
        <w:rPr>
          <w:snapToGrid/>
          <w:kern w:val="0"/>
          <w:szCs w:val="22"/>
        </w:rPr>
        <w:t>February 2</w:t>
      </w:r>
      <w:r w:rsidRPr="00061444" w:rsidR="00E5263A">
        <w:rPr>
          <w:snapToGrid/>
          <w:kern w:val="0"/>
          <w:szCs w:val="22"/>
        </w:rPr>
        <w:t>1</w:t>
      </w:r>
      <w:r w:rsidRPr="00061444">
        <w:rPr>
          <w:snapToGrid/>
          <w:kern w:val="0"/>
          <w:szCs w:val="22"/>
        </w:rPr>
        <w:t>, 20</w:t>
      </w:r>
      <w:r w:rsidRPr="00061444" w:rsidR="00A04F7D">
        <w:rPr>
          <w:snapToGrid/>
          <w:kern w:val="0"/>
          <w:szCs w:val="22"/>
        </w:rPr>
        <w:t>20, and March 20, 2020, respectively.</w:t>
      </w:r>
      <w:r w:rsidRPr="00061444" w:rsidR="00F93CFF">
        <w:rPr>
          <w:snapToGrid/>
          <w:kern w:val="0"/>
          <w:szCs w:val="22"/>
        </w:rPr>
        <w:t xml:space="preserve"> </w:t>
      </w:r>
    </w:p>
    <w:p w:rsidR="005C1B15" w:rsidRPr="00061444" w:rsidP="005C1B15" w14:paraId="65CBAA94" w14:textId="77777777">
      <w:pPr>
        <w:pStyle w:val="ParaNum"/>
        <w:widowControl/>
        <w:numPr>
          <w:ilvl w:val="0"/>
          <w:numId w:val="0"/>
        </w:numPr>
        <w:autoSpaceDE w:val="0"/>
        <w:autoSpaceDN w:val="0"/>
        <w:adjustRightInd w:val="0"/>
        <w:ind w:left="720"/>
        <w:rPr>
          <w:snapToGrid/>
          <w:kern w:val="0"/>
          <w:szCs w:val="22"/>
        </w:rPr>
      </w:pPr>
    </w:p>
    <w:p w:rsidR="007816A4" w:rsidRPr="00061444" w:rsidP="007816A4" w14:paraId="515BE660" w14:textId="77777777">
      <w:pPr>
        <w:widowControl/>
        <w:autoSpaceDE w:val="0"/>
        <w:autoSpaceDN w:val="0"/>
        <w:adjustRightInd w:val="0"/>
        <w:ind w:firstLine="4770"/>
        <w:rPr>
          <w:snapToGrid/>
          <w:kern w:val="0"/>
          <w:szCs w:val="22"/>
        </w:rPr>
      </w:pPr>
      <w:r w:rsidRPr="00061444">
        <w:rPr>
          <w:snapToGrid/>
          <w:kern w:val="0"/>
          <w:szCs w:val="22"/>
        </w:rPr>
        <w:t>FEDERAL COMMUNICATIONS COMMISSION</w:t>
      </w:r>
    </w:p>
    <w:p w:rsidR="007816A4" w:rsidRPr="00061444" w:rsidP="007816A4" w14:paraId="4DA1DF52" w14:textId="77777777">
      <w:pPr>
        <w:widowControl/>
        <w:autoSpaceDE w:val="0"/>
        <w:autoSpaceDN w:val="0"/>
        <w:adjustRightInd w:val="0"/>
        <w:ind w:firstLine="4770"/>
        <w:rPr>
          <w:snapToGrid/>
          <w:kern w:val="0"/>
          <w:szCs w:val="22"/>
        </w:rPr>
      </w:pPr>
    </w:p>
    <w:p w:rsidR="005C1B15" w:rsidRPr="00061444" w:rsidP="007816A4" w14:paraId="56011C96" w14:textId="77777777">
      <w:pPr>
        <w:widowControl/>
        <w:autoSpaceDE w:val="0"/>
        <w:autoSpaceDN w:val="0"/>
        <w:adjustRightInd w:val="0"/>
        <w:ind w:firstLine="4770"/>
        <w:rPr>
          <w:snapToGrid/>
          <w:kern w:val="0"/>
          <w:szCs w:val="22"/>
        </w:rPr>
      </w:pPr>
    </w:p>
    <w:p w:rsidR="005C1B15" w:rsidRPr="00061444" w:rsidP="007816A4" w14:paraId="03B2917E" w14:textId="77777777">
      <w:pPr>
        <w:widowControl/>
        <w:autoSpaceDE w:val="0"/>
        <w:autoSpaceDN w:val="0"/>
        <w:adjustRightInd w:val="0"/>
        <w:ind w:firstLine="4770"/>
        <w:rPr>
          <w:snapToGrid/>
          <w:kern w:val="0"/>
          <w:szCs w:val="22"/>
        </w:rPr>
      </w:pPr>
    </w:p>
    <w:p w:rsidR="007816A4" w:rsidRPr="00061444" w:rsidP="007816A4" w14:paraId="748450EF" w14:textId="77777777">
      <w:pPr>
        <w:widowControl/>
        <w:autoSpaceDE w:val="0"/>
        <w:autoSpaceDN w:val="0"/>
        <w:adjustRightInd w:val="0"/>
        <w:ind w:firstLine="4770"/>
        <w:rPr>
          <w:snapToGrid/>
          <w:kern w:val="0"/>
          <w:szCs w:val="22"/>
        </w:rPr>
      </w:pPr>
      <w:r w:rsidRPr="00061444">
        <w:rPr>
          <w:snapToGrid/>
          <w:kern w:val="0"/>
          <w:szCs w:val="22"/>
        </w:rPr>
        <w:t>Lisa M. Fowlkes</w:t>
      </w:r>
    </w:p>
    <w:p w:rsidR="005C1B15" w:rsidRPr="00061444" w:rsidP="005C1B15" w14:paraId="1321C994" w14:textId="77777777">
      <w:pPr>
        <w:widowControl/>
        <w:autoSpaceDE w:val="0"/>
        <w:autoSpaceDN w:val="0"/>
        <w:adjustRightInd w:val="0"/>
        <w:ind w:firstLine="4770"/>
        <w:rPr>
          <w:snapToGrid/>
          <w:kern w:val="0"/>
          <w:szCs w:val="22"/>
        </w:rPr>
      </w:pPr>
      <w:r w:rsidRPr="00061444">
        <w:rPr>
          <w:snapToGrid/>
          <w:kern w:val="0"/>
          <w:szCs w:val="22"/>
        </w:rPr>
        <w:t xml:space="preserve">Chief </w:t>
      </w:r>
    </w:p>
    <w:p w:rsidR="007816A4" w:rsidRPr="00061444" w:rsidP="005C1B15" w14:paraId="123EE3D9" w14:textId="77777777">
      <w:pPr>
        <w:widowControl/>
        <w:autoSpaceDE w:val="0"/>
        <w:autoSpaceDN w:val="0"/>
        <w:adjustRightInd w:val="0"/>
        <w:ind w:firstLine="4770"/>
        <w:rPr>
          <w:snapToGrid/>
          <w:kern w:val="0"/>
          <w:szCs w:val="22"/>
        </w:rPr>
      </w:pPr>
      <w:r w:rsidRPr="00061444">
        <w:rPr>
          <w:snapToGrid/>
          <w:kern w:val="0"/>
          <w:szCs w:val="22"/>
        </w:rPr>
        <w:t>Public Safety and Homeland Security Bureau</w:t>
      </w:r>
    </w:p>
    <w:p w:rsidR="00425EB0" w:rsidRPr="00061444" w:rsidP="007816A4" w14:paraId="11B7AE56" w14:textId="77777777">
      <w:pPr>
        <w:pStyle w:val="ParaNum"/>
        <w:numPr>
          <w:ilvl w:val="0"/>
          <w:numId w:val="0"/>
        </w:numPr>
        <w:ind w:firstLine="4770"/>
        <w:rPr>
          <w:snapToGrid/>
          <w:kern w:val="0"/>
          <w:szCs w:val="22"/>
        </w:rPr>
      </w:pPr>
    </w:p>
    <w:p w:rsidR="00425EB0" w:rsidP="007816A4" w14:paraId="4EA7DD0D" w14:textId="77777777">
      <w:pPr>
        <w:pStyle w:val="ParaNum"/>
        <w:numPr>
          <w:ilvl w:val="0"/>
          <w:numId w:val="0"/>
        </w:numPr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p w:rsidR="00425EB0" w:rsidP="007816A4" w14:paraId="18D82453" w14:textId="77777777">
      <w:pPr>
        <w:pStyle w:val="ParaNum"/>
        <w:numPr>
          <w:ilvl w:val="0"/>
          <w:numId w:val="0"/>
        </w:numPr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p w:rsidR="00425EB0" w:rsidP="007816A4" w14:paraId="36F64D82" w14:textId="77777777">
      <w:pPr>
        <w:pStyle w:val="ParaNum"/>
        <w:numPr>
          <w:ilvl w:val="0"/>
          <w:numId w:val="0"/>
        </w:numPr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p w:rsidR="00425EB0" w:rsidP="007816A4" w14:paraId="22084766" w14:textId="77777777">
      <w:pPr>
        <w:pStyle w:val="ParaNum"/>
        <w:numPr>
          <w:ilvl w:val="0"/>
          <w:numId w:val="0"/>
        </w:numPr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p w:rsidR="00425EB0" w:rsidP="007816A4" w14:paraId="32A7DF5C" w14:textId="77777777">
      <w:pPr>
        <w:pStyle w:val="ParaNum"/>
        <w:numPr>
          <w:ilvl w:val="0"/>
          <w:numId w:val="0"/>
        </w:numPr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p w:rsidR="00425EB0" w:rsidP="007816A4" w14:paraId="6D3094F3" w14:textId="77777777">
      <w:pPr>
        <w:pStyle w:val="ParaNum"/>
        <w:numPr>
          <w:ilvl w:val="0"/>
          <w:numId w:val="0"/>
        </w:numPr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C9B4AB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C8DAA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F677E8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B6886">
      <w:rPr>
        <w:noProof/>
      </w:rPr>
      <w:t>2</w:t>
    </w:r>
    <w:r>
      <w:fldChar w:fldCharType="end"/>
    </w:r>
  </w:p>
  <w:p w:rsidR="00D25FB5" w14:paraId="106D015E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106AAF04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F3A4E" w14:paraId="132985ED" w14:textId="77777777">
      <w:r>
        <w:separator/>
      </w:r>
    </w:p>
  </w:footnote>
  <w:footnote w:type="continuationSeparator" w:id="1">
    <w:p w:rsidR="003F3A4E" w:rsidP="00C721AC" w14:paraId="119B4114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F3A4E" w:rsidP="00C721AC" w14:paraId="351ABE79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1554B9" w:rsidRPr="00061444" w:rsidP="001554B9" w14:paraId="2F72ACEA" w14:textId="27C93ABD">
      <w:pPr>
        <w:pStyle w:val="FootnoteText"/>
      </w:pPr>
      <w:r w:rsidRPr="00061444">
        <w:rPr>
          <w:rStyle w:val="FootnoteReference"/>
        </w:rPr>
        <w:footnoteRef/>
      </w:r>
      <w:r w:rsidRPr="00061444">
        <w:t xml:space="preserve"> </w:t>
      </w:r>
      <w:r w:rsidR="00EF75BA">
        <w:t>NENA,</w:t>
      </w:r>
      <w:r w:rsidRPr="00061444" w:rsidR="00EF75BA">
        <w:t xml:space="preserve"> </w:t>
      </w:r>
      <w:r w:rsidRPr="00061444" w:rsidR="00EF75BA">
        <w:rPr>
          <w:i/>
          <w:iCs/>
        </w:rPr>
        <w:t>et al</w:t>
      </w:r>
      <w:r w:rsidRPr="00061444" w:rsidR="00EF75BA">
        <w:t>.</w:t>
      </w:r>
      <w:r w:rsidR="00EF75BA">
        <w:t>,</w:t>
      </w:r>
      <w:r w:rsidRPr="00061444" w:rsidR="00EF75BA">
        <w:t xml:space="preserve"> </w:t>
      </w:r>
      <w:r w:rsidRPr="00061444" w:rsidR="00E05881">
        <w:t>Joint Petition for Extension of Comment and Reply Comment Deadlines</w:t>
      </w:r>
      <w:r w:rsidRPr="00061444">
        <w:t xml:space="preserve">, PS Docket No. </w:t>
      </w:r>
      <w:r w:rsidR="00EF75BA">
        <w:t>07-114</w:t>
      </w:r>
      <w:r w:rsidRPr="00061444">
        <w:t xml:space="preserve"> (filed </w:t>
      </w:r>
      <w:r w:rsidRPr="00061444" w:rsidR="00E05881">
        <w:t>Jan</w:t>
      </w:r>
      <w:r w:rsidRPr="00061444">
        <w:t xml:space="preserve">. </w:t>
      </w:r>
      <w:r w:rsidRPr="00061444" w:rsidR="00E05881">
        <w:t>30</w:t>
      </w:r>
      <w:r w:rsidRPr="00061444">
        <w:t>, 20</w:t>
      </w:r>
      <w:r w:rsidRPr="00061444" w:rsidR="00E05881">
        <w:t>20</w:t>
      </w:r>
      <w:r w:rsidRPr="00061444">
        <w:t>)</w:t>
      </w:r>
      <w:r w:rsidRPr="00061444" w:rsidR="00BA1C0A">
        <w:t xml:space="preserve"> </w:t>
      </w:r>
      <w:r w:rsidRPr="00061444">
        <w:t xml:space="preserve">(Joint </w:t>
      </w:r>
      <w:r w:rsidRPr="00061444" w:rsidR="00BA1C0A">
        <w:t>Petition</w:t>
      </w:r>
      <w:r w:rsidRPr="00061444">
        <w:t xml:space="preserve">).  </w:t>
      </w:r>
    </w:p>
  </w:footnote>
  <w:footnote w:id="4">
    <w:p w:rsidR="009C45AD" w:rsidRPr="00061444" w:rsidP="0091698C" w14:paraId="5D6046B3" w14:textId="7BFCA326">
      <w:pPr>
        <w:pStyle w:val="FootnoteText"/>
      </w:pPr>
      <w:r w:rsidRPr="00061444">
        <w:rPr>
          <w:rStyle w:val="FootnoteReference"/>
        </w:rPr>
        <w:footnoteRef/>
      </w:r>
      <w:r w:rsidRPr="00061444">
        <w:t xml:space="preserve"> </w:t>
      </w:r>
      <w:r w:rsidRPr="00061444" w:rsidR="00215686">
        <w:rPr>
          <w:i/>
          <w:iCs/>
        </w:rPr>
        <w:t>Public Safety and Homeland Security Bureau Announces the Effective Date and Comment Cycle for the Vertical Location Accuracy (Z-Axis) Fifth Report and Order and Fifth Further Notice of Proposed Rulemaking</w:t>
      </w:r>
      <w:r w:rsidRPr="00061444" w:rsidR="00215686">
        <w:t xml:space="preserve">, Public Notice, DA 20-80 (PSHSB Jan. 16, 2020) (announcing comment and reply dates); </w:t>
      </w:r>
      <w:r w:rsidRPr="00061444" w:rsidR="00E33C92">
        <w:rPr>
          <w:i/>
        </w:rPr>
        <w:t>Wireless E911 Location Accuracy Requirements</w:t>
      </w:r>
      <w:r w:rsidRPr="00061444" w:rsidR="00E33C92">
        <w:t>, Fifth Report and Order and Fifth Further Notice of Proposed Rulemaking, FCC 19-124 (Nov. 25, 2019) (</w:t>
      </w:r>
      <w:r w:rsidRPr="00061444" w:rsidR="00E33C92">
        <w:rPr>
          <w:i/>
          <w:iCs/>
        </w:rPr>
        <w:t>Fifth FNPRM</w:t>
      </w:r>
      <w:r w:rsidRPr="00061444" w:rsidR="00E33C92">
        <w:t xml:space="preserve">), </w:t>
      </w:r>
      <w:r w:rsidRPr="00061444" w:rsidR="00E33C92">
        <w:rPr>
          <w:i/>
          <w:iCs/>
        </w:rPr>
        <w:t>amended by</w:t>
      </w:r>
      <w:r w:rsidRPr="00061444" w:rsidR="00E33C92">
        <w:t xml:space="preserve"> </w:t>
      </w:r>
      <w:r w:rsidRPr="00061444" w:rsidR="00E33C92">
        <w:rPr>
          <w:iCs/>
        </w:rPr>
        <w:t xml:space="preserve">Erratum </w:t>
      </w:r>
      <w:r w:rsidRPr="00061444" w:rsidR="00E33C92">
        <w:rPr>
          <w:rStyle w:val="item-value"/>
        </w:rPr>
        <w:t>(Jan, 15, 2020) (Erratum)</w:t>
      </w:r>
      <w:r w:rsidR="00E33C92">
        <w:t>.</w:t>
      </w:r>
    </w:p>
  </w:footnote>
  <w:footnote w:id="5">
    <w:p w:rsidR="003F0328" w:rsidRPr="00061444" w14:paraId="38782EF5" w14:textId="2E91453E">
      <w:pPr>
        <w:pStyle w:val="FootnoteText"/>
      </w:pPr>
      <w:r w:rsidRPr="00061444">
        <w:rPr>
          <w:rStyle w:val="FootnoteReference"/>
        </w:rPr>
        <w:footnoteRef/>
      </w:r>
      <w:r w:rsidRPr="00061444">
        <w:t xml:space="preserve"> Joint Petition at 2.</w:t>
      </w:r>
    </w:p>
  </w:footnote>
  <w:footnote w:id="6">
    <w:p w:rsidR="00CF606D" w:rsidRPr="00061444" w:rsidP="00CF606D" w14:paraId="04B2154C" w14:textId="66C27321">
      <w:pPr>
        <w:pStyle w:val="FootnoteText"/>
      </w:pPr>
      <w:r w:rsidRPr="00061444">
        <w:rPr>
          <w:rStyle w:val="FootnoteReference"/>
        </w:rPr>
        <w:footnoteRef/>
      </w:r>
      <w:r w:rsidRPr="00061444">
        <w:t xml:space="preserve"> </w:t>
      </w:r>
      <w:r w:rsidRPr="00061444" w:rsidR="00AF7EFE">
        <w:t>T</w:t>
      </w:r>
      <w:r w:rsidRPr="00061444" w:rsidR="00E5263A">
        <w:t>he</w:t>
      </w:r>
      <w:r w:rsidRPr="00061444" w:rsidR="00AF7EFE">
        <w:t>se events include:</w:t>
      </w:r>
      <w:r w:rsidRPr="00061444" w:rsidR="00E5263A">
        <w:t xml:space="preserve"> </w:t>
      </w:r>
      <w:r w:rsidRPr="00061444" w:rsidR="00AF7EFE">
        <w:t xml:space="preserve">(1) </w:t>
      </w:r>
      <w:r w:rsidRPr="00061444">
        <w:t>NENA</w:t>
      </w:r>
      <w:r w:rsidRPr="00061444" w:rsidR="00AF7EFE">
        <w:t xml:space="preserve">’s </w:t>
      </w:r>
      <w:r w:rsidRPr="00061444">
        <w:rPr>
          <w:i/>
          <w:iCs/>
        </w:rPr>
        <w:t>NG9-1-1 Standards &amp; Best Practices Conference</w:t>
      </w:r>
      <w:r w:rsidRPr="00061444">
        <w:t>, January 20–23, 2020</w:t>
      </w:r>
      <w:r w:rsidRPr="00061444" w:rsidR="00AF7EFE">
        <w:t>; (2)</w:t>
      </w:r>
      <w:r w:rsidRPr="00061444">
        <w:t xml:space="preserve"> NENA</w:t>
      </w:r>
      <w:r w:rsidRPr="00061444" w:rsidR="00AF7EFE">
        <w:t>’s</w:t>
      </w:r>
      <w:r w:rsidRPr="00061444">
        <w:t xml:space="preserve"> </w:t>
      </w:r>
      <w:r w:rsidRPr="00061444">
        <w:rPr>
          <w:i/>
          <w:iCs/>
        </w:rPr>
        <w:t>9-1-1 Goes to Washington</w:t>
      </w:r>
      <w:r w:rsidRPr="00061444" w:rsidR="00D4205B">
        <w:t xml:space="preserve"> event</w:t>
      </w:r>
      <w:r w:rsidRPr="00061444">
        <w:t xml:space="preserve">, February 12-15, 2020; and </w:t>
      </w:r>
      <w:r w:rsidRPr="00061444" w:rsidR="00AF7EFE">
        <w:t xml:space="preserve">(3) </w:t>
      </w:r>
      <w:r w:rsidRPr="00061444">
        <w:t xml:space="preserve">the Alliance for Telecommunications Industry Solutions (ATIS) Emergency Services Interconnection Forum, February 25-26, 2020.  </w:t>
      </w:r>
      <w:r w:rsidR="00061444">
        <w:rPr>
          <w:i/>
          <w:iCs/>
        </w:rPr>
        <w:t>Id.</w:t>
      </w:r>
      <w:r w:rsidRPr="00061444">
        <w:t xml:space="preserve"> at 2-3.</w:t>
      </w:r>
    </w:p>
  </w:footnote>
  <w:footnote w:id="7">
    <w:p w:rsidR="00AF7EFE" w:rsidRPr="00061444" w14:paraId="0EDE927F" w14:textId="4D84E9A6">
      <w:pPr>
        <w:pStyle w:val="FootnoteText"/>
      </w:pPr>
      <w:r w:rsidRPr="00061444">
        <w:rPr>
          <w:rStyle w:val="FootnoteReference"/>
        </w:rPr>
        <w:footnoteRef/>
      </w:r>
      <w:r w:rsidRPr="00061444">
        <w:t xml:space="preserve"> </w:t>
      </w:r>
      <w:r w:rsidRPr="00061444" w:rsidR="00061444">
        <w:rPr>
          <w:i/>
          <w:iCs/>
        </w:rPr>
        <w:t>Id</w:t>
      </w:r>
      <w:r w:rsidR="00061444">
        <w:t>.</w:t>
      </w:r>
      <w:r w:rsidRPr="00061444">
        <w:t xml:space="preserve"> at 4.</w:t>
      </w:r>
    </w:p>
  </w:footnote>
  <w:footnote w:id="8">
    <w:p w:rsidR="004513AF" w:rsidRPr="00061444" w:rsidP="004513AF" w14:paraId="120FBE08" w14:textId="5ABD262B">
      <w:pPr>
        <w:pStyle w:val="FootnoteText"/>
      </w:pPr>
      <w:r w:rsidRPr="00061444">
        <w:rPr>
          <w:rStyle w:val="FootnoteReference"/>
        </w:rPr>
        <w:footnoteRef/>
      </w:r>
      <w:r w:rsidRPr="00061444">
        <w:t xml:space="preserve"> </w:t>
      </w:r>
      <w:r w:rsidRPr="00061444" w:rsidR="00AF7EFE">
        <w:rPr>
          <w:i/>
          <w:iCs/>
        </w:rPr>
        <w:t>Id</w:t>
      </w:r>
      <w:r w:rsidRPr="00061444" w:rsidR="00AF7EFE">
        <w:t>.</w:t>
      </w:r>
    </w:p>
  </w:footnote>
  <w:footnote w:id="9">
    <w:p w:rsidR="00425EB0" w:rsidRPr="00061444" w:rsidP="00425EB0" w14:paraId="2980ABA3" w14:textId="77777777">
      <w:pPr>
        <w:pStyle w:val="FootnoteText"/>
      </w:pPr>
      <w:r w:rsidRPr="00061444">
        <w:rPr>
          <w:rStyle w:val="FootnoteReference"/>
        </w:rPr>
        <w:footnoteRef/>
      </w:r>
      <w:r w:rsidRPr="00061444">
        <w:t xml:space="preserve"> 47 CFR §</w:t>
      </w:r>
      <w:r w:rsidRPr="00061444" w:rsidR="001554B9">
        <w:t xml:space="preserve"> </w:t>
      </w:r>
      <w:r w:rsidRPr="00061444">
        <w:t>1.46.</w:t>
      </w:r>
    </w:p>
  </w:footnote>
  <w:footnote w:id="10">
    <w:p w:rsidR="00C76DAC" w14:paraId="484548E8" w14:textId="77777777">
      <w:pPr>
        <w:pStyle w:val="FootnoteText"/>
      </w:pPr>
      <w:r w:rsidRPr="00061444">
        <w:rPr>
          <w:rStyle w:val="FootnoteReference"/>
        </w:rPr>
        <w:footnoteRef/>
      </w:r>
      <w:r w:rsidRPr="00061444">
        <w:t xml:space="preserve"> </w:t>
      </w:r>
      <w:r w:rsidRPr="00061444">
        <w:rPr>
          <w:i/>
        </w:rPr>
        <w:t>See, e.g.</w:t>
      </w:r>
      <w:r w:rsidRPr="00061444">
        <w:t xml:space="preserve">, </w:t>
      </w:r>
      <w:r w:rsidRPr="00061444">
        <w:rPr>
          <w:i/>
        </w:rPr>
        <w:t>Wireless E911 Location Accuracy Requirements</w:t>
      </w:r>
      <w:r w:rsidRPr="00061444">
        <w:t xml:space="preserve">, Order, 25 FCC </w:t>
      </w:r>
      <w:r w:rsidRPr="00061444">
        <w:t>Rcd</w:t>
      </w:r>
      <w:r w:rsidRPr="00061444">
        <w:t xml:space="preserve"> 16789, 16880</w:t>
      </w:r>
      <w:r w:rsidRPr="00061444" w:rsidR="003A2B0E">
        <w:t>,</w:t>
      </w:r>
      <w:r w:rsidRPr="00061444">
        <w:t xml:space="preserve"> para. 3 (PSHSB 2010).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6EC57D4" w14:textId="17439D88">
    <w:pPr>
      <w:pStyle w:val="Header"/>
      <w:rPr>
        <w:b w:val="0"/>
      </w:rPr>
    </w:pPr>
    <w:r>
      <w:tab/>
      <w:t>Federal Communications Commission</w:t>
    </w:r>
    <w:r>
      <w:tab/>
    </w:r>
    <w:r w:rsidRPr="00B8401C" w:rsidR="004463F0">
      <w:t xml:space="preserve">DA </w:t>
    </w:r>
    <w:r w:rsidR="003A5F7C">
      <w:t>20</w:t>
    </w:r>
    <w:r w:rsidRPr="00B8401C" w:rsidR="004463F0">
      <w:t>-</w:t>
    </w:r>
    <w:r w:rsidR="0033444C">
      <w:t>128</w:t>
    </w:r>
    <w:r w:rsidR="004463F0">
      <w:t xml:space="preserve"> </w:t>
    </w:r>
  </w:p>
  <w:p w:rsidR="00D25FB5" w14:paraId="23F22A46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v:textbox>
            <w:txbxContent>
              <w:p w:rsidR="00FD2878" w14:paraId="2A1D1C66" w14:textId="77777777"/>
            </w:txbxContent>
          </v:textbox>
          <w10:wrap anchorx="margin"/>
        </v:rect>
      </w:pict>
    </w:r>
  </w:p>
  <w:p w:rsidR="00D25FB5" w14:paraId="1C4C7322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ED179BA" w14:textId="2E851759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v:textbox>
            <w:txbxContent>
              <w:p w:rsidR="00FD2878" w14:paraId="1364FF97" w14:textId="77777777"/>
            </w:txbxContent>
          </v:textbox>
          <w10:wrap anchorx="margin"/>
        </v:rect>
      </w:pict>
    </w:r>
    <w:r>
      <w:tab/>
      <w:t>Federal Communications Commission</w:t>
    </w:r>
    <w:r>
      <w:tab/>
    </w:r>
    <w:r w:rsidRPr="00FC7965" w:rsidR="008A7B5D">
      <w:t xml:space="preserve">DA </w:t>
    </w:r>
    <w:r w:rsidR="00A04F7D">
      <w:t>20</w:t>
    </w:r>
    <w:r w:rsidRPr="00FC7965" w:rsidR="008A7B5D">
      <w:t>-</w:t>
    </w:r>
    <w:r>
      <w:t>128</w:t>
    </w:r>
    <w:r w:rsidR="008A7B5D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D82E079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261751D"/>
    <w:multiLevelType w:val="hybridMultilevel"/>
    <w:tmpl w:val="6DBAD5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080" w:hanging="180"/>
      </w:pPr>
      <w:rPr>
        <w:b/>
      </w:r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8124A848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7">
    <w:nsid w:val="766668A5"/>
    <w:multiLevelType w:val="hybridMultilevel"/>
    <w:tmpl w:val="9E6AC1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5D"/>
    <w:rsid w:val="0003378D"/>
    <w:rsid w:val="00036039"/>
    <w:rsid w:val="00036408"/>
    <w:rsid w:val="00037F90"/>
    <w:rsid w:val="00061444"/>
    <w:rsid w:val="000875BF"/>
    <w:rsid w:val="000912C1"/>
    <w:rsid w:val="00096D8C"/>
    <w:rsid w:val="000C0B65"/>
    <w:rsid w:val="000E05FE"/>
    <w:rsid w:val="000E3D42"/>
    <w:rsid w:val="00122BD5"/>
    <w:rsid w:val="00123F87"/>
    <w:rsid w:val="00133F79"/>
    <w:rsid w:val="001554B9"/>
    <w:rsid w:val="0018663E"/>
    <w:rsid w:val="001934C1"/>
    <w:rsid w:val="00194A66"/>
    <w:rsid w:val="001C3F93"/>
    <w:rsid w:val="001D240F"/>
    <w:rsid w:val="001D6BCF"/>
    <w:rsid w:val="001E01CA"/>
    <w:rsid w:val="00215686"/>
    <w:rsid w:val="00275CF5"/>
    <w:rsid w:val="0028301F"/>
    <w:rsid w:val="00285017"/>
    <w:rsid w:val="002A2D2E"/>
    <w:rsid w:val="002C00E8"/>
    <w:rsid w:val="00306AD9"/>
    <w:rsid w:val="0033444C"/>
    <w:rsid w:val="00343749"/>
    <w:rsid w:val="003660ED"/>
    <w:rsid w:val="003752AC"/>
    <w:rsid w:val="003A2B0E"/>
    <w:rsid w:val="003A5F7C"/>
    <w:rsid w:val="003B0550"/>
    <w:rsid w:val="003B694F"/>
    <w:rsid w:val="003F0328"/>
    <w:rsid w:val="003F171C"/>
    <w:rsid w:val="003F3A4E"/>
    <w:rsid w:val="00412FC5"/>
    <w:rsid w:val="00422276"/>
    <w:rsid w:val="004242F1"/>
    <w:rsid w:val="00425EB0"/>
    <w:rsid w:val="00445A00"/>
    <w:rsid w:val="004463F0"/>
    <w:rsid w:val="004513AF"/>
    <w:rsid w:val="00451B0F"/>
    <w:rsid w:val="004B01C8"/>
    <w:rsid w:val="004C2EE3"/>
    <w:rsid w:val="004E4A22"/>
    <w:rsid w:val="00511968"/>
    <w:rsid w:val="005149E2"/>
    <w:rsid w:val="0055614C"/>
    <w:rsid w:val="00563BEC"/>
    <w:rsid w:val="005C1B15"/>
    <w:rsid w:val="005E14C2"/>
    <w:rsid w:val="00607BA5"/>
    <w:rsid w:val="0061180A"/>
    <w:rsid w:val="00626EB6"/>
    <w:rsid w:val="0063405D"/>
    <w:rsid w:val="00643A0D"/>
    <w:rsid w:val="00655D03"/>
    <w:rsid w:val="00683388"/>
    <w:rsid w:val="00683F84"/>
    <w:rsid w:val="006A6A81"/>
    <w:rsid w:val="006E4682"/>
    <w:rsid w:val="006F7393"/>
    <w:rsid w:val="0070224F"/>
    <w:rsid w:val="007115F7"/>
    <w:rsid w:val="00773BD3"/>
    <w:rsid w:val="007816A4"/>
    <w:rsid w:val="00785689"/>
    <w:rsid w:val="0079754B"/>
    <w:rsid w:val="007A1E6D"/>
    <w:rsid w:val="007B0EB2"/>
    <w:rsid w:val="00810B6F"/>
    <w:rsid w:val="008145B5"/>
    <w:rsid w:val="00822CE0"/>
    <w:rsid w:val="00841AB1"/>
    <w:rsid w:val="008A7B5D"/>
    <w:rsid w:val="008C34E8"/>
    <w:rsid w:val="008C68F1"/>
    <w:rsid w:val="00911C74"/>
    <w:rsid w:val="0091698C"/>
    <w:rsid w:val="00921803"/>
    <w:rsid w:val="00926503"/>
    <w:rsid w:val="009310E4"/>
    <w:rsid w:val="009726D8"/>
    <w:rsid w:val="009C45AD"/>
    <w:rsid w:val="009F76DB"/>
    <w:rsid w:val="00A03A94"/>
    <w:rsid w:val="00A04F7D"/>
    <w:rsid w:val="00A06812"/>
    <w:rsid w:val="00A32C3B"/>
    <w:rsid w:val="00A45F4F"/>
    <w:rsid w:val="00A600A9"/>
    <w:rsid w:val="00AA55B7"/>
    <w:rsid w:val="00AA5B9E"/>
    <w:rsid w:val="00AB2407"/>
    <w:rsid w:val="00AB53DF"/>
    <w:rsid w:val="00AB6886"/>
    <w:rsid w:val="00AC5D46"/>
    <w:rsid w:val="00AC6404"/>
    <w:rsid w:val="00AE4432"/>
    <w:rsid w:val="00AF7EFE"/>
    <w:rsid w:val="00B07E5C"/>
    <w:rsid w:val="00B811F7"/>
    <w:rsid w:val="00B8401C"/>
    <w:rsid w:val="00BA1C0A"/>
    <w:rsid w:val="00BA5DC6"/>
    <w:rsid w:val="00BA6196"/>
    <w:rsid w:val="00BC6D8C"/>
    <w:rsid w:val="00BE262B"/>
    <w:rsid w:val="00C310B4"/>
    <w:rsid w:val="00C34006"/>
    <w:rsid w:val="00C426B1"/>
    <w:rsid w:val="00C66160"/>
    <w:rsid w:val="00C721AC"/>
    <w:rsid w:val="00C76DAC"/>
    <w:rsid w:val="00C90D6A"/>
    <w:rsid w:val="00CA247E"/>
    <w:rsid w:val="00CB4A49"/>
    <w:rsid w:val="00CC4FA1"/>
    <w:rsid w:val="00CC72B6"/>
    <w:rsid w:val="00CF0834"/>
    <w:rsid w:val="00CF606D"/>
    <w:rsid w:val="00D0218D"/>
    <w:rsid w:val="00D068E8"/>
    <w:rsid w:val="00D25FB5"/>
    <w:rsid w:val="00D3188F"/>
    <w:rsid w:val="00D4205B"/>
    <w:rsid w:val="00D44223"/>
    <w:rsid w:val="00D52843"/>
    <w:rsid w:val="00D774DA"/>
    <w:rsid w:val="00DA2529"/>
    <w:rsid w:val="00DB130A"/>
    <w:rsid w:val="00DB2EBB"/>
    <w:rsid w:val="00DC10A1"/>
    <w:rsid w:val="00DC655F"/>
    <w:rsid w:val="00DD0B59"/>
    <w:rsid w:val="00DD7EBD"/>
    <w:rsid w:val="00DE7286"/>
    <w:rsid w:val="00DF62B6"/>
    <w:rsid w:val="00E05881"/>
    <w:rsid w:val="00E07225"/>
    <w:rsid w:val="00E328F9"/>
    <w:rsid w:val="00E33C92"/>
    <w:rsid w:val="00E52159"/>
    <w:rsid w:val="00E5263A"/>
    <w:rsid w:val="00E5409F"/>
    <w:rsid w:val="00EE6488"/>
    <w:rsid w:val="00EF0DF0"/>
    <w:rsid w:val="00EF75BA"/>
    <w:rsid w:val="00F021FA"/>
    <w:rsid w:val="00F061C3"/>
    <w:rsid w:val="00F16AE1"/>
    <w:rsid w:val="00F62E97"/>
    <w:rsid w:val="00F64209"/>
    <w:rsid w:val="00F93BF5"/>
    <w:rsid w:val="00F93CFF"/>
    <w:rsid w:val="00FA4EC4"/>
    <w:rsid w:val="00FC7965"/>
    <w:rsid w:val="00FD287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customStyle="1" w:styleId="Default">
    <w:name w:val="Default"/>
    <w:rsid w:val="00123F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F0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DF0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BA1C0A"/>
    <w:rPr>
      <w:color w:val="605E5C"/>
      <w:shd w:val="clear" w:color="auto" w:fill="E1DFDD"/>
    </w:rPr>
  </w:style>
  <w:style w:type="character" w:customStyle="1" w:styleId="item-value">
    <w:name w:val="item-value"/>
    <w:rsid w:val="00D068E8"/>
  </w:style>
  <w:style w:type="paragraph" w:styleId="Revision">
    <w:name w:val="Revision"/>
    <w:hidden/>
    <w:uiPriority w:val="99"/>
    <w:semiHidden/>
    <w:rsid w:val="0021568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