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DE7153" w:rsidRPr="006829FF" w:rsidP="00DE7153" w14:paraId="1C460409" w14:textId="77777777">
      <w:pPr>
        <w:jc w:val="right"/>
        <w:rPr>
          <w:bCs/>
          <w:sz w:val="24"/>
        </w:rPr>
      </w:pPr>
      <w:r w:rsidRPr="006829FF">
        <w:rPr>
          <w:bCs/>
          <w:sz w:val="24"/>
        </w:rPr>
        <w:t>DA 20-</w:t>
      </w:r>
      <w:r>
        <w:rPr>
          <w:bCs/>
          <w:sz w:val="24"/>
        </w:rPr>
        <w:t>1297</w:t>
      </w:r>
    </w:p>
    <w:p w:rsidR="00DE7153" w:rsidRPr="006829FF" w:rsidP="00DE7153" w14:paraId="451592CE" w14:textId="77777777">
      <w:pPr>
        <w:spacing w:before="60"/>
        <w:jc w:val="right"/>
        <w:rPr>
          <w:bCs/>
          <w:sz w:val="24"/>
        </w:rPr>
      </w:pPr>
      <w:r w:rsidRPr="006829FF">
        <w:rPr>
          <w:bCs/>
          <w:sz w:val="24"/>
        </w:rPr>
        <w:t xml:space="preserve">Released:  </w:t>
      </w:r>
      <w:r>
        <w:rPr>
          <w:bCs/>
          <w:sz w:val="24"/>
        </w:rPr>
        <w:t>November 2</w:t>
      </w:r>
      <w:r w:rsidRPr="006829FF">
        <w:rPr>
          <w:bCs/>
          <w:sz w:val="24"/>
        </w:rPr>
        <w:t>, 2020</w:t>
      </w:r>
    </w:p>
    <w:p w:rsidR="00DE7153" w:rsidP="00DE7153" w14:paraId="67ADB1E4" w14:textId="77777777">
      <w:pPr>
        <w:jc w:val="right"/>
        <w:rPr>
          <w:sz w:val="24"/>
        </w:rPr>
      </w:pPr>
    </w:p>
    <w:p w:rsidR="00DE7153" w:rsidP="00DE7153" w14:paraId="0D8E557E" w14:textId="77777777">
      <w:pPr>
        <w:widowControl/>
        <w:spacing w:after="240"/>
        <w:ind w:left="720" w:right="720"/>
        <w:jc w:val="center"/>
        <w:rPr>
          <w:rFonts w:eastAsia="Calibri"/>
          <w:b/>
          <w:caps/>
          <w:snapToGrid/>
          <w:kern w:val="0"/>
          <w:sz w:val="24"/>
          <w:szCs w:val="22"/>
        </w:rPr>
      </w:pPr>
      <w:r w:rsidRPr="00F94D3F">
        <w:rPr>
          <w:rFonts w:eastAsia="Calibri"/>
          <w:b/>
          <w:caps/>
          <w:snapToGrid/>
          <w:kern w:val="0"/>
          <w:sz w:val="24"/>
          <w:szCs w:val="22"/>
        </w:rPr>
        <w:t xml:space="preserve">Media Bureau announces </w:t>
      </w:r>
      <w:r>
        <w:rPr>
          <w:rFonts w:eastAsia="Calibri"/>
          <w:b/>
          <w:caps/>
          <w:snapToGrid/>
          <w:kern w:val="0"/>
          <w:sz w:val="24"/>
          <w:szCs w:val="22"/>
        </w:rPr>
        <w:t>october 30, 2020, EFFECTIVE DATE OF NEW lpfm technical RULES</w:t>
      </w:r>
    </w:p>
    <w:p w:rsidR="00DE7153" w:rsidP="00DE7153" w14:paraId="28727833" w14:textId="77777777">
      <w:pPr>
        <w:jc w:val="center"/>
        <w:rPr>
          <w:b/>
          <w:sz w:val="24"/>
        </w:rPr>
      </w:pPr>
      <w:r>
        <w:rPr>
          <w:rFonts w:eastAsia="Calibri"/>
          <w:b/>
          <w:caps/>
          <w:snapToGrid/>
          <w:kern w:val="0"/>
          <w:sz w:val="24"/>
          <w:szCs w:val="22"/>
        </w:rPr>
        <w:t xml:space="preserve"> </w:t>
      </w:r>
      <w:bookmarkStart w:id="0" w:name="TOChere"/>
      <w:r>
        <w:rPr>
          <w:b/>
          <w:sz w:val="24"/>
        </w:rPr>
        <w:t xml:space="preserve">New Schedule 318 Application Requirements for LPFM Directional Antenna Filings </w:t>
      </w:r>
      <w:r>
        <w:rPr>
          <w:b/>
          <w:sz w:val="24"/>
        </w:rPr>
        <w:t>in Light of</w:t>
      </w:r>
      <w:r>
        <w:rPr>
          <w:b/>
          <w:sz w:val="24"/>
        </w:rPr>
        <w:t xml:space="preserve"> the New Rules</w:t>
      </w:r>
    </w:p>
    <w:p w:rsidR="00DE7153" w:rsidP="00DE7153" w14:paraId="4A7A038F" w14:textId="77777777">
      <w:pPr>
        <w:jc w:val="center"/>
        <w:rPr>
          <w:b/>
          <w:sz w:val="24"/>
        </w:rPr>
      </w:pPr>
    </w:p>
    <w:p w:rsidR="00DE7153" w:rsidP="00DE7153" w14:paraId="45E76648" w14:textId="77777777">
      <w:pPr>
        <w:jc w:val="center"/>
        <w:rPr>
          <w:b/>
          <w:sz w:val="24"/>
        </w:rPr>
      </w:pPr>
      <w:r>
        <w:rPr>
          <w:b/>
          <w:sz w:val="24"/>
        </w:rPr>
        <w:t>MB Docket Nos. 19-193, 17-105</w:t>
      </w:r>
    </w:p>
    <w:p w:rsidR="00DE7153" w:rsidP="00DE7153" w14:paraId="594BB01F" w14:textId="77777777">
      <w:pPr>
        <w:jc w:val="center"/>
        <w:rPr>
          <w:b/>
          <w:sz w:val="24"/>
        </w:rPr>
      </w:pPr>
    </w:p>
    <w:p w:rsidR="00DE7153" w:rsidRPr="00F53673" w:rsidP="00DE7153" w14:paraId="47B0788B" w14:textId="77777777">
      <w:pPr>
        <w:shd w:val="clear" w:color="auto" w:fill="FFFFFF"/>
        <w:ind w:firstLine="720"/>
        <w:textAlignment w:val="baseline"/>
        <w:rPr>
          <w:szCs w:val="22"/>
          <w:shd w:val="clear" w:color="auto" w:fill="FFFFFF"/>
        </w:rPr>
      </w:pPr>
      <w:r w:rsidRPr="00F53673">
        <w:rPr>
          <w:szCs w:val="22"/>
        </w:rPr>
        <w:t xml:space="preserve">By this Public Notice, the Media Bureau (Bureau) announces the effective date of new technical rules for low power FM (LPFM) stations and new Schedule 318 </w:t>
      </w:r>
      <w:r w:rsidRPr="00093D76">
        <w:t xml:space="preserve">requirements </w:t>
      </w:r>
      <w:r w:rsidRPr="002C1E19">
        <w:t xml:space="preserve">for LPFM Directional Antenna filings </w:t>
      </w:r>
      <w:r w:rsidRPr="002C1E19">
        <w:t>in light of</w:t>
      </w:r>
      <w:r w:rsidRPr="002C1E19">
        <w:t xml:space="preserve"> these new</w:t>
      </w:r>
      <w:r w:rsidRPr="00093D76">
        <w:t xml:space="preserve"> technical rules</w:t>
      </w:r>
      <w:r w:rsidRPr="00F53673">
        <w:rPr>
          <w:szCs w:val="22"/>
        </w:rPr>
        <w:t xml:space="preserve">.  On April 23, 2020, the Commission released the </w:t>
      </w:r>
      <w:r w:rsidRPr="00F53673">
        <w:rPr>
          <w:i/>
          <w:iCs/>
          <w:szCs w:val="22"/>
        </w:rPr>
        <w:t>LPFM Technical Orde</w:t>
      </w:r>
      <w:bookmarkStart w:id="1" w:name="_GoBack"/>
      <w:bookmarkEnd w:id="1"/>
      <w:r w:rsidRPr="00F53673">
        <w:rPr>
          <w:i/>
          <w:iCs/>
          <w:szCs w:val="22"/>
        </w:rPr>
        <w:t>r</w:t>
      </w:r>
      <w:r w:rsidRPr="00F53673">
        <w:rPr>
          <w:szCs w:val="22"/>
        </w:rPr>
        <w:t xml:space="preserve">, which </w:t>
      </w:r>
      <w:r w:rsidRPr="00093D76">
        <w:rPr>
          <w:szCs w:val="22"/>
        </w:rPr>
        <w:t>adopted ce</w:t>
      </w:r>
      <w:r w:rsidRPr="002C1E19">
        <w:rPr>
          <w:szCs w:val="22"/>
        </w:rPr>
        <w:t xml:space="preserve">rtain changes to the LPFM technical rules to improve reception and increase flexibility in transmitter siting </w:t>
      </w:r>
      <w:r w:rsidRPr="00093D76">
        <w:rPr>
          <w:szCs w:val="22"/>
        </w:rPr>
        <w:t>while maintaining interference protection and the core LPFM goals of diversity and localism</w:t>
      </w:r>
      <w:r w:rsidRPr="00093D76">
        <w:rPr>
          <w:bCs/>
        </w:rPr>
        <w:t>.</w:t>
      </w:r>
      <w:r>
        <w:rPr>
          <w:rStyle w:val="FootnoteReference"/>
          <w:bCs/>
        </w:rPr>
        <w:footnoteReference w:id="3"/>
      </w:r>
      <w:r w:rsidRPr="00093D76">
        <w:rPr>
          <w:bCs/>
        </w:rPr>
        <w:t xml:space="preserve">  The new rules became effective on July</w:t>
      </w:r>
      <w:r w:rsidRPr="002C1E19">
        <w:rPr>
          <w:bCs/>
        </w:rPr>
        <w:t xml:space="preserve"> 13, 2020, except for rule sections 73.816</w:t>
      </w:r>
      <w:r w:rsidRPr="00093D76">
        <w:rPr>
          <w:bCs/>
        </w:rPr>
        <w:t>, 73.850, and 73.870, which required approval by the Office of Management and Budget (OMB) because they contain information collection requirements.</w:t>
      </w:r>
      <w:r>
        <w:rPr>
          <w:rStyle w:val="FootnoteReference"/>
          <w:bCs/>
        </w:rPr>
        <w:footnoteReference w:id="4"/>
      </w:r>
      <w:r w:rsidRPr="00093D76">
        <w:rPr>
          <w:bCs/>
        </w:rPr>
        <w:t xml:space="preserve">  The Commission submitted these information collection requirements to OMB for review under 4</w:t>
      </w:r>
      <w:r w:rsidRPr="002C1E19">
        <w:rPr>
          <w:bCs/>
        </w:rPr>
        <w:t xml:space="preserve">4 U.S.C. </w:t>
      </w:r>
      <w:bookmarkStart w:id="2" w:name="_Hlk54000036"/>
      <w:r w:rsidRPr="002C1E19">
        <w:rPr>
          <w:bCs/>
        </w:rPr>
        <w:t xml:space="preserve">§ </w:t>
      </w:r>
      <w:bookmarkEnd w:id="2"/>
      <w:r w:rsidRPr="002C1E19">
        <w:rPr>
          <w:bCs/>
        </w:rPr>
        <w:t>3507(d)</w:t>
      </w:r>
      <w:r>
        <w:rPr>
          <w:rStyle w:val="FootnoteReference"/>
          <w:bCs/>
        </w:rPr>
        <w:footnoteReference w:id="5"/>
      </w:r>
      <w:r w:rsidRPr="00093D76">
        <w:rPr>
          <w:bCs/>
        </w:rPr>
        <w:t>, and we announce that OMB has approved these collections.</w:t>
      </w:r>
      <w:r>
        <w:rPr>
          <w:rStyle w:val="FootnoteReference"/>
          <w:bCs/>
        </w:rPr>
        <w:footnoteReference w:id="6"/>
      </w:r>
      <w:r w:rsidRPr="00093D76">
        <w:rPr>
          <w:bCs/>
        </w:rPr>
        <w:t xml:space="preserve">  In the </w:t>
      </w:r>
      <w:r w:rsidRPr="00093D76">
        <w:rPr>
          <w:bCs/>
          <w:i/>
          <w:iCs/>
        </w:rPr>
        <w:t xml:space="preserve">LPFM </w:t>
      </w:r>
      <w:r w:rsidRPr="002C1E19">
        <w:rPr>
          <w:bCs/>
          <w:i/>
          <w:iCs/>
        </w:rPr>
        <w:t>Technical Order</w:t>
      </w:r>
      <w:r w:rsidRPr="00093D76">
        <w:rPr>
          <w:bCs/>
        </w:rPr>
        <w:t>, the Commission stated that these rules will become effective after the Commission publishes a notice in the Federal Register announcing OMB approval and the relevant effective dates.</w:t>
      </w:r>
      <w:r>
        <w:rPr>
          <w:rStyle w:val="FootnoteReference"/>
          <w:bCs/>
        </w:rPr>
        <w:footnoteReference w:id="7"/>
      </w:r>
      <w:r w:rsidRPr="00093D76">
        <w:rPr>
          <w:bCs/>
        </w:rPr>
        <w:t xml:space="preserve">  The Commission has published this notice in the Federal Register, announcing October 30</w:t>
      </w:r>
      <w:r w:rsidRPr="002C1E19">
        <w:rPr>
          <w:bCs/>
        </w:rPr>
        <w:t>, 2020, as the effective date of the rules.</w:t>
      </w:r>
      <w:r>
        <w:rPr>
          <w:rStyle w:val="FootnoteReference"/>
          <w:bCs/>
        </w:rPr>
        <w:footnoteReference w:id="8"/>
      </w:r>
      <w:r w:rsidRPr="00093D76">
        <w:rPr>
          <w:bCs/>
        </w:rPr>
        <w:t xml:space="preserve">  </w:t>
      </w:r>
    </w:p>
    <w:p w:rsidR="00DE7153" w:rsidP="00DE7153" w14:paraId="580D39D2" w14:textId="77777777">
      <w:pPr>
        <w:shd w:val="clear" w:color="auto" w:fill="FFFFFF"/>
        <w:ind w:firstLine="720"/>
        <w:textAlignment w:val="baseline"/>
        <w:rPr>
          <w:bCs/>
        </w:rPr>
      </w:pPr>
      <w:r>
        <w:rPr>
          <w:color w:val="3D3D3D"/>
          <w:szCs w:val="22"/>
          <w:shd w:val="clear" w:color="auto" w:fill="FFFFFF"/>
        </w:rPr>
        <w:br w:type="page"/>
      </w:r>
      <w:r>
        <w:rPr>
          <w:bCs/>
        </w:rPr>
        <w:t xml:space="preserve">   </w:t>
      </w:r>
    </w:p>
    <w:p w:rsidR="00DE7153" w:rsidRPr="007500E4" w:rsidP="00DE7153" w14:paraId="0E701884" w14:textId="77777777">
      <w:pPr>
        <w:snapToGrid w:val="0"/>
        <w:ind w:firstLine="720"/>
        <w:rPr>
          <w:b/>
          <w:bCs/>
          <w:i/>
          <w:iCs/>
          <w:snapToGrid/>
          <w:szCs w:val="22"/>
        </w:rPr>
      </w:pPr>
      <w:r>
        <w:rPr>
          <w:b/>
          <w:bCs/>
          <w:i/>
          <w:iCs/>
          <w:snapToGrid/>
          <w:szCs w:val="22"/>
        </w:rPr>
        <w:t xml:space="preserve">New Filing Requirements – LPFM </w:t>
      </w:r>
      <w:r w:rsidRPr="007500E4">
        <w:rPr>
          <w:b/>
          <w:bCs/>
          <w:i/>
          <w:iCs/>
          <w:snapToGrid/>
          <w:szCs w:val="22"/>
        </w:rPr>
        <w:t>Schedule 318</w:t>
      </w:r>
      <w:r>
        <w:rPr>
          <w:rStyle w:val="FootnoteReference"/>
          <w:i/>
          <w:iCs/>
          <w:snapToGrid/>
          <w:szCs w:val="22"/>
        </w:rPr>
        <w:footnoteReference w:id="9"/>
      </w:r>
    </w:p>
    <w:p w:rsidR="00DE7153" w:rsidRPr="00F53673" w:rsidP="00DE7153" w14:paraId="7D6930A7" w14:textId="77777777">
      <w:pPr>
        <w:widowControl/>
        <w:shd w:val="clear" w:color="auto" w:fill="FFFFFF"/>
        <w:textAlignment w:val="baseline"/>
        <w:rPr>
          <w:snapToGrid/>
          <w:kern w:val="0"/>
          <w:szCs w:val="22"/>
        </w:rPr>
      </w:pPr>
    </w:p>
    <w:p w:rsidR="00DE7153" w:rsidRPr="002C1E19" w:rsidP="00DE7153" w14:paraId="477C796B" w14:textId="77777777">
      <w:pPr>
        <w:widowControl/>
        <w:shd w:val="clear" w:color="auto" w:fill="FFFFFF"/>
        <w:ind w:firstLine="720"/>
        <w:textAlignment w:val="baseline"/>
        <w:rPr>
          <w:bCs/>
          <w:szCs w:val="22"/>
        </w:rPr>
      </w:pPr>
      <w:r w:rsidRPr="00F53673">
        <w:rPr>
          <w:snapToGrid/>
          <w:kern w:val="0"/>
          <w:szCs w:val="22"/>
        </w:rPr>
        <w:t xml:space="preserve">The Bureau has completed the update of </w:t>
      </w:r>
      <w:r w:rsidRPr="002C1E19">
        <w:t xml:space="preserve">FCC </w:t>
      </w:r>
      <w:r w:rsidRPr="002C1E19">
        <w:rPr>
          <w:spacing w:val="-3"/>
          <w:szCs w:val="22"/>
        </w:rPr>
        <w:t>Form 2100, Schedule 318,</w:t>
      </w:r>
      <w:r w:rsidRPr="002C1E19">
        <w:rPr>
          <w:b/>
          <w:spacing w:val="-3"/>
          <w:szCs w:val="22"/>
        </w:rPr>
        <w:t xml:space="preserve"> </w:t>
      </w:r>
      <w:r w:rsidRPr="002C1E19">
        <w:rPr>
          <w:bCs/>
          <w:spacing w:val="-3"/>
          <w:szCs w:val="22"/>
        </w:rPr>
        <w:t>Low</w:t>
      </w:r>
      <w:r w:rsidRPr="002C1E19">
        <w:rPr>
          <w:b/>
          <w:spacing w:val="-3"/>
          <w:szCs w:val="22"/>
        </w:rPr>
        <w:t xml:space="preserve"> </w:t>
      </w:r>
      <w:r w:rsidRPr="002C1E19">
        <w:rPr>
          <w:bCs/>
          <w:spacing w:val="-3"/>
          <w:szCs w:val="22"/>
        </w:rPr>
        <w:t xml:space="preserve">Power FM Station Construction Permit </w:t>
      </w:r>
      <w:r w:rsidRPr="002C1E19">
        <w:rPr>
          <w:bCs/>
          <w:szCs w:val="22"/>
        </w:rPr>
        <w:t>Application (Schedule 318)</w:t>
      </w:r>
      <w:r>
        <w:rPr>
          <w:rStyle w:val="FootnoteReference"/>
          <w:bCs/>
          <w:szCs w:val="22"/>
        </w:rPr>
        <w:footnoteReference w:id="10"/>
      </w:r>
      <w:r w:rsidRPr="002C1E19">
        <w:rPr>
          <w:bCs/>
          <w:szCs w:val="22"/>
        </w:rPr>
        <w:t xml:space="preserve"> to reflect the new rules.  The new Schedule 318 filing requirements for LPFM Directional Antennas are detailed below.</w:t>
      </w:r>
      <w:r>
        <w:rPr>
          <w:rStyle w:val="FootnoteReference"/>
          <w:bCs/>
          <w:szCs w:val="22"/>
        </w:rPr>
        <w:footnoteReference w:id="11"/>
      </w:r>
    </w:p>
    <w:p w:rsidR="00DE7153" w:rsidRPr="002C1E19" w:rsidP="00DE7153" w14:paraId="0D4AD65D" w14:textId="77777777">
      <w:pPr>
        <w:widowControl/>
        <w:shd w:val="clear" w:color="auto" w:fill="FFFFFF"/>
        <w:ind w:firstLine="720"/>
        <w:textAlignment w:val="baseline"/>
        <w:rPr>
          <w:bCs/>
          <w:szCs w:val="22"/>
        </w:rPr>
      </w:pPr>
    </w:p>
    <w:p w:rsidR="00DE7153" w:rsidRPr="002C1E19" w:rsidP="00DE7153" w14:paraId="0B0E751F" w14:textId="77777777">
      <w:pPr>
        <w:widowControl/>
        <w:shd w:val="clear" w:color="auto" w:fill="FFFFFF"/>
        <w:ind w:firstLine="720"/>
        <w:textAlignment w:val="baseline"/>
        <w:rPr>
          <w:szCs w:val="22"/>
        </w:rPr>
      </w:pPr>
      <w:r w:rsidRPr="002C1E19">
        <w:rPr>
          <w:i/>
          <w:iCs/>
          <w:szCs w:val="22"/>
        </w:rPr>
        <w:t xml:space="preserve">Expanded LPFM Use of Directional Antennas. </w:t>
      </w:r>
      <w:r w:rsidRPr="002C1E19">
        <w:rPr>
          <w:szCs w:val="22"/>
        </w:rPr>
        <w:t>Effective immediately, all LPFM stations may use directional facilities, with either off-the-shelf or composite antennas, upon a satisfactory engineering showing.</w:t>
      </w:r>
      <w:r>
        <w:rPr>
          <w:rStyle w:val="FootnoteReference"/>
          <w:szCs w:val="22"/>
        </w:rPr>
        <w:footnoteReference w:id="12"/>
      </w:r>
      <w:r w:rsidRPr="002C1E19">
        <w:rPr>
          <w:szCs w:val="22"/>
        </w:rPr>
        <w:t xml:space="preserve">  Schedule 318 has been updated to add an Antenna Type question to the Technical Certifications Section of Schedule 318.  The applicant is required to describe the proposed antenna type (directional or non-directional).  Applicants proposing a directional antenna, as now permitted by 47 CFR § 73.816, must complete a data table, providing relative field values for every ten degrees on the unit circle.  </w:t>
      </w:r>
    </w:p>
    <w:p w:rsidR="00DE7153" w:rsidRPr="002C1E19" w:rsidP="00DE7153" w14:paraId="44AFD6BE" w14:textId="77777777">
      <w:pPr>
        <w:widowControl/>
        <w:shd w:val="clear" w:color="auto" w:fill="FFFFFF"/>
        <w:ind w:firstLine="720"/>
        <w:textAlignment w:val="baseline"/>
        <w:rPr>
          <w:szCs w:val="22"/>
        </w:rPr>
      </w:pPr>
    </w:p>
    <w:bookmarkEnd w:id="0"/>
    <w:p w:rsidR="00DE7153" w:rsidRPr="00623616" w:rsidP="00DE7153" w14:paraId="28CDFE82" w14:textId="77777777">
      <w:pPr>
        <w:ind w:firstLine="720"/>
        <w:rPr>
          <w:snapToGrid/>
          <w:kern w:val="0"/>
        </w:rPr>
      </w:pPr>
      <w:r w:rsidRPr="002C1E19">
        <w:t>Filers who have questions regarding basic filing requirements or who need assistance logging into LMS should contact the Commission at (877) 480-3201 (Option 2), Monday – Friday, 8:00 am – 6:00 pm ET, or submit a request online at</w:t>
      </w:r>
      <w:r>
        <w:t xml:space="preserve"> </w:t>
      </w:r>
      <w:hyperlink r:id="rId5" w:history="1">
        <w:r>
          <w:rPr>
            <w:rStyle w:val="Hyperlink"/>
          </w:rPr>
          <w:t>https://www.fcc.gov/available-support-services</w:t>
        </w:r>
      </w:hyperlink>
      <w:r w:rsidRPr="00A0090F">
        <w:t xml:space="preserve">.  </w:t>
      </w:r>
      <w:r w:rsidRPr="00105E98">
        <w:t>For additional information</w:t>
      </w:r>
      <w:r>
        <w:t>,</w:t>
      </w:r>
      <w:r w:rsidRPr="00105E98">
        <w:t xml:space="preserve"> please</w:t>
      </w:r>
      <w:r>
        <w:t xml:space="preserve"> contact Irene Bleiweiss</w:t>
      </w:r>
      <w:r w:rsidRPr="00D07C29">
        <w:rPr>
          <w:szCs w:val="24"/>
        </w:rPr>
        <w:t xml:space="preserve">, </w:t>
      </w:r>
      <w:hyperlink r:id="rId6" w:history="1">
        <w:r w:rsidRPr="001C1808">
          <w:rPr>
            <w:rStyle w:val="Hyperlink"/>
            <w:szCs w:val="24"/>
          </w:rPr>
          <w:t>Irene.Bleiweiss@fcc.gov</w:t>
        </w:r>
      </w:hyperlink>
      <w:r w:rsidRPr="00D07C29">
        <w:rPr>
          <w:rStyle w:val="Hyperlink"/>
          <w:szCs w:val="24"/>
        </w:rPr>
        <w:t>;</w:t>
      </w:r>
      <w:r w:rsidRPr="00D07C29">
        <w:rPr>
          <w:szCs w:val="24"/>
        </w:rPr>
        <w:t xml:space="preserve"> </w:t>
      </w:r>
      <w:r>
        <w:rPr>
          <w:szCs w:val="24"/>
        </w:rPr>
        <w:t xml:space="preserve">or </w:t>
      </w:r>
      <w:r w:rsidRPr="00D07C29">
        <w:rPr>
          <w:szCs w:val="24"/>
        </w:rPr>
        <w:t xml:space="preserve">James Bradshaw, </w:t>
      </w:r>
      <w:hyperlink r:id="rId7" w:history="1">
        <w:r w:rsidRPr="00D07C29">
          <w:rPr>
            <w:rStyle w:val="Hyperlink"/>
            <w:szCs w:val="24"/>
          </w:rPr>
          <w:t>James.Bradshaw@fcc.gov</w:t>
        </w:r>
      </w:hyperlink>
      <w:r w:rsidRPr="00D07C29">
        <w:rPr>
          <w:szCs w:val="24"/>
        </w:rPr>
        <w:t xml:space="preserve">; of the Media Bureau, Audio Division, (202) 418-2700.  Direct press inquiries to Janice Wise, </w:t>
      </w:r>
      <w:hyperlink r:id="rId8" w:history="1">
        <w:r w:rsidRPr="003354B8">
          <w:rPr>
            <w:rStyle w:val="Hyperlink"/>
            <w:szCs w:val="24"/>
          </w:rPr>
          <w:t>Janice.Wise@fcc.gov</w:t>
        </w:r>
      </w:hyperlink>
      <w:r>
        <w:rPr>
          <w:szCs w:val="24"/>
        </w:rPr>
        <w:t xml:space="preserve">, </w:t>
      </w:r>
      <w:r w:rsidRPr="00D07C29">
        <w:rPr>
          <w:szCs w:val="24"/>
        </w:rPr>
        <w:t>(202) 418-8165.</w:t>
      </w:r>
      <w:r w:rsidRPr="000724C8">
        <w:rPr>
          <w:szCs w:val="24"/>
        </w:rPr>
        <w:t xml:space="preserve"> </w:t>
      </w:r>
      <w:r w:rsidRPr="00105E98">
        <w:t xml:space="preserve"> </w:t>
      </w:r>
    </w:p>
    <w:p w:rsidR="00DE7153" w:rsidRPr="00105E98" w:rsidP="00DE7153" w14:paraId="01A97FA5" w14:textId="77777777">
      <w:pPr>
        <w:keepNext/>
        <w:keepLines/>
      </w:pPr>
    </w:p>
    <w:p w:rsidR="00DE7153" w:rsidRPr="00D51BA1" w:rsidP="00DE7153" w14:paraId="5E929C2E" w14:textId="77777777">
      <w:pPr>
        <w:keepNext/>
        <w:keepLines/>
        <w:jc w:val="center"/>
        <w:rPr>
          <w:b/>
        </w:rPr>
      </w:pPr>
      <w:r w:rsidRPr="00D51BA1">
        <w:rPr>
          <w:b/>
        </w:rPr>
        <w:t>- FCC -</w:t>
      </w:r>
    </w:p>
    <w:p w:rsidR="00DE7153" w:rsidRPr="00105A13" w:rsidP="00DE7153" w14:paraId="397E763E" w14:textId="77777777">
      <w:pPr>
        <w:keepLines/>
        <w:autoSpaceDE w:val="0"/>
        <w:autoSpaceDN w:val="0"/>
        <w:adjustRightInd w:val="0"/>
        <w:ind w:firstLine="720"/>
      </w:pPr>
    </w:p>
    <w:p w:rsidR="00930ECF" w:rsidRPr="00DE7153" w:rsidP="00DE7153" w14:paraId="6A6EB886" w14:textId="77777777"/>
    <w:sectPr w:rsidSect="000E588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3DCAC0F"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3C1A32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3922EBC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189C289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E7153" w14:paraId="18D82241" w14:textId="77777777">
      <w:r>
        <w:separator/>
      </w:r>
    </w:p>
  </w:footnote>
  <w:footnote w:type="continuationSeparator" w:id="1">
    <w:p w:rsidR="00DE7153" w14:paraId="3A1468A5" w14:textId="77777777">
      <w:pPr>
        <w:rPr>
          <w:sz w:val="20"/>
        </w:rPr>
      </w:pPr>
      <w:r>
        <w:rPr>
          <w:sz w:val="20"/>
        </w:rPr>
        <w:t xml:space="preserve">(Continued from previous page)  </w:t>
      </w:r>
      <w:r>
        <w:rPr>
          <w:sz w:val="20"/>
        </w:rPr>
        <w:separator/>
      </w:r>
    </w:p>
  </w:footnote>
  <w:footnote w:type="continuationNotice" w:id="2">
    <w:p w:rsidR="00DE7153" w:rsidP="00910F12" w14:paraId="4EDE146A" w14:textId="77777777">
      <w:pPr>
        <w:jc w:val="right"/>
        <w:rPr>
          <w:sz w:val="20"/>
        </w:rPr>
      </w:pPr>
      <w:r>
        <w:rPr>
          <w:sz w:val="20"/>
        </w:rPr>
        <w:t>(continued….)</w:t>
      </w:r>
    </w:p>
  </w:footnote>
  <w:footnote w:id="3">
    <w:p w:rsidR="00DE7153" w:rsidRPr="00C13D90" w:rsidP="00DE7153" w14:paraId="438AEC2F" w14:textId="77777777">
      <w:pPr>
        <w:pStyle w:val="FootnoteText"/>
      </w:pPr>
      <w:r w:rsidRPr="00C13D90">
        <w:rPr>
          <w:rStyle w:val="FootnoteReference"/>
        </w:rPr>
        <w:footnoteRef/>
      </w:r>
      <w:r w:rsidRPr="00C13D90">
        <w:t xml:space="preserve"> </w:t>
      </w:r>
      <w:r w:rsidRPr="0057002A">
        <w:rPr>
          <w:i/>
          <w:iCs/>
        </w:rPr>
        <w:t xml:space="preserve">See </w:t>
      </w:r>
      <w:r w:rsidRPr="002A519A">
        <w:rPr>
          <w:i/>
          <w:iCs/>
        </w:rPr>
        <w:t>Amendments of Parts 73 and 74 to Improve the Low Power FM Radio Service Technical Rules; Modernization of Media Regulation Initiative</w:t>
      </w:r>
      <w:r w:rsidRPr="002A519A">
        <w:t>, Report and Order, MB Docket Nos. 19-193, 17-105, FCC 20-53 (rel. Apr. 23, 2020) (</w:t>
      </w:r>
      <w:r>
        <w:rPr>
          <w:i/>
          <w:iCs/>
        </w:rPr>
        <w:t xml:space="preserve">LPFM </w:t>
      </w:r>
      <w:r w:rsidRPr="002A519A">
        <w:rPr>
          <w:i/>
          <w:iCs/>
        </w:rPr>
        <w:t>Technical Order</w:t>
      </w:r>
      <w:r>
        <w:rPr>
          <w:i/>
          <w:iCs/>
        </w:rPr>
        <w:t>)</w:t>
      </w:r>
      <w:r w:rsidRPr="002A519A">
        <w:rPr>
          <w:i/>
          <w:iCs/>
        </w:rPr>
        <w:t>.</w:t>
      </w:r>
      <w:r>
        <w:rPr>
          <w:spacing w:val="-2"/>
        </w:rPr>
        <w:t xml:space="preserve">  </w:t>
      </w:r>
    </w:p>
  </w:footnote>
  <w:footnote w:id="4">
    <w:p w:rsidR="00DE7153" w:rsidRPr="00390BEC" w:rsidP="00DE7153" w14:paraId="4393A1BD" w14:textId="77777777">
      <w:pPr>
        <w:pStyle w:val="FootnoteText"/>
      </w:pPr>
      <w:r>
        <w:rPr>
          <w:rStyle w:val="FootnoteReference"/>
        </w:rPr>
        <w:footnoteRef/>
      </w:r>
      <w:r>
        <w:t xml:space="preserve"> </w:t>
      </w:r>
      <w:r>
        <w:rPr>
          <w:i/>
          <w:iCs/>
        </w:rPr>
        <w:t>LPFM Technical Order</w:t>
      </w:r>
      <w:r>
        <w:t xml:space="preserve">, Final Rules, 85 FR 35567 (June 11, 2020) (Federal Register summary of the </w:t>
      </w:r>
      <w:r w:rsidRPr="00FC36D7">
        <w:rPr>
          <w:i/>
          <w:iCs/>
        </w:rPr>
        <w:t xml:space="preserve">LPFM </w:t>
      </w:r>
      <w:r>
        <w:rPr>
          <w:i/>
          <w:iCs/>
        </w:rPr>
        <w:t xml:space="preserve">Technical </w:t>
      </w:r>
      <w:r w:rsidRPr="00FC36D7">
        <w:rPr>
          <w:i/>
          <w:iCs/>
        </w:rPr>
        <w:t>Order</w:t>
      </w:r>
      <w:r>
        <w:t xml:space="preserve"> and rule changes not requiring OMB approval).  </w:t>
      </w:r>
    </w:p>
  </w:footnote>
  <w:footnote w:id="5">
    <w:p w:rsidR="00DE7153" w:rsidP="00DE7153" w14:paraId="11B0A143" w14:textId="77777777">
      <w:pPr>
        <w:pStyle w:val="FootnoteText"/>
      </w:pPr>
      <w:r>
        <w:rPr>
          <w:rStyle w:val="FootnoteReference"/>
        </w:rPr>
        <w:footnoteRef/>
      </w:r>
      <w:r>
        <w:t xml:space="preserve"> Paperwork Reduction Act of 1995, Public Law 104-13; 44 U.S.C.</w:t>
      </w:r>
      <w:r w:rsidRPr="0089650C">
        <w:rPr>
          <w:bCs/>
        </w:rPr>
        <w:t xml:space="preserve"> </w:t>
      </w:r>
      <w:r>
        <w:rPr>
          <w:bCs/>
        </w:rPr>
        <w:t>§ 3507.</w:t>
      </w:r>
      <w:r>
        <w:t xml:space="preserve"> </w:t>
      </w:r>
    </w:p>
  </w:footnote>
  <w:footnote w:id="6">
    <w:p w:rsidR="00DE7153" w:rsidRPr="00A36F07" w:rsidP="00DE7153" w14:paraId="40273366" w14:textId="77777777">
      <w:pPr>
        <w:pStyle w:val="FootnoteText"/>
      </w:pPr>
      <w:r>
        <w:rPr>
          <w:rStyle w:val="FootnoteReference"/>
        </w:rPr>
        <w:footnoteRef/>
      </w:r>
      <w:r>
        <w:t xml:space="preserve"> </w:t>
      </w:r>
      <w:r>
        <w:rPr>
          <w:i/>
          <w:iCs/>
        </w:rPr>
        <w:t xml:space="preserve">See </w:t>
      </w:r>
      <w:r>
        <w:t>Notice of Office of Management and Budget Action for OMB Control No. 3060-0920 (approved Oct. 2, 2020).</w:t>
      </w:r>
    </w:p>
  </w:footnote>
  <w:footnote w:id="7">
    <w:p w:rsidR="00DE7153" w:rsidRPr="00490FB9" w:rsidP="00DE7153" w14:paraId="3AEBA267" w14:textId="77777777">
      <w:pPr>
        <w:pStyle w:val="FootnoteText"/>
      </w:pPr>
      <w:r>
        <w:rPr>
          <w:rStyle w:val="FootnoteReference"/>
        </w:rPr>
        <w:footnoteRef/>
      </w:r>
      <w:r>
        <w:t xml:space="preserve"> </w:t>
      </w:r>
      <w:r>
        <w:rPr>
          <w:i/>
          <w:iCs/>
        </w:rPr>
        <w:t>LPFM Technical Order</w:t>
      </w:r>
      <w:r>
        <w:t xml:space="preserve"> at para. 66.</w:t>
      </w:r>
    </w:p>
  </w:footnote>
  <w:footnote w:id="8">
    <w:p w:rsidR="00DE7153" w:rsidP="00DE7153" w14:paraId="7CC214CB" w14:textId="77777777">
      <w:pPr>
        <w:pStyle w:val="FootnoteText"/>
      </w:pPr>
      <w:r>
        <w:rPr>
          <w:rStyle w:val="FootnoteReference"/>
        </w:rPr>
        <w:footnoteRef/>
      </w:r>
      <w:r>
        <w:t xml:space="preserve"> </w:t>
      </w:r>
      <w:r>
        <w:rPr>
          <w:i/>
          <w:iCs/>
        </w:rPr>
        <w:t>Low Power FM Radio Service Technical Rules</w:t>
      </w:r>
      <w:r>
        <w:t xml:space="preserve">, 85 Fed. Reg. 68474 (Oct. 29, 2020).  </w:t>
      </w:r>
    </w:p>
  </w:footnote>
  <w:footnote w:id="9">
    <w:p w:rsidR="00DE7153" w:rsidRPr="002A519A" w:rsidP="00DE7153" w14:paraId="3CA4A59C" w14:textId="77777777">
      <w:pPr>
        <w:pStyle w:val="FootnoteText"/>
        <w:rPr>
          <w:i/>
          <w:iCs/>
        </w:rPr>
      </w:pPr>
      <w:r w:rsidRPr="002A519A">
        <w:rPr>
          <w:rStyle w:val="FootnoteReference"/>
          <w:sz w:val="20"/>
        </w:rPr>
        <w:footnoteRef/>
      </w:r>
      <w:r w:rsidRPr="0057002A">
        <w:t xml:space="preserve"> The Bureau is simultaneously releasing a Public Notice to announce the effective date of the new rules stemming from the</w:t>
      </w:r>
      <w:r>
        <w:rPr>
          <w:i/>
          <w:iCs/>
        </w:rPr>
        <w:t xml:space="preserve"> NCE </w:t>
      </w:r>
      <w:r w:rsidRPr="0057002A">
        <w:rPr>
          <w:i/>
          <w:iCs/>
        </w:rPr>
        <w:t>LPFM Order</w:t>
      </w:r>
      <w:r w:rsidRPr="0057002A">
        <w:t xml:space="preserve"> and </w:t>
      </w:r>
      <w:r>
        <w:t>new</w:t>
      </w:r>
      <w:r w:rsidRPr="0057002A">
        <w:t xml:space="preserve"> Schedule 318 </w:t>
      </w:r>
      <w:r>
        <w:t xml:space="preserve">reasonable site assurance requirements </w:t>
      </w:r>
      <w:r>
        <w:t>in light of</w:t>
      </w:r>
      <w:r>
        <w:t xml:space="preserve"> the </w:t>
      </w:r>
      <w:r>
        <w:rPr>
          <w:i/>
          <w:iCs/>
        </w:rPr>
        <w:t xml:space="preserve">NCE LPFM Order.  </w:t>
      </w:r>
      <w:r w:rsidRPr="0057002A">
        <w:rPr>
          <w:i/>
          <w:iCs/>
        </w:rPr>
        <w:t xml:space="preserve">See </w:t>
      </w:r>
      <w:r w:rsidRPr="00C13D90">
        <w:rPr>
          <w:i/>
          <w:iCs/>
          <w:spacing w:val="-2"/>
        </w:rPr>
        <w:t>Reexamination of the Comparative Standards and Procedures for Licensing Noncommercial Educational Broadcast Stations and Low Power FM Stations</w:t>
      </w:r>
      <w:r w:rsidRPr="00C13D90">
        <w:rPr>
          <w:spacing w:val="-2"/>
        </w:rPr>
        <w:t>, MB Docket No. 19-3, Report and Order</w:t>
      </w:r>
      <w:r>
        <w:rPr>
          <w:spacing w:val="-2"/>
        </w:rPr>
        <w:t xml:space="preserve"> (</w:t>
      </w:r>
      <w:r>
        <w:rPr>
          <w:i/>
          <w:iCs/>
          <w:spacing w:val="-2"/>
        </w:rPr>
        <w:t>NCE LPFM Order</w:t>
      </w:r>
      <w:r>
        <w:rPr>
          <w:spacing w:val="-2"/>
        </w:rPr>
        <w:t>)</w:t>
      </w:r>
      <w:r w:rsidRPr="00C13D90">
        <w:rPr>
          <w:spacing w:val="-2"/>
        </w:rPr>
        <w:t xml:space="preserve">, 34 FCC </w:t>
      </w:r>
      <w:r w:rsidRPr="00C13D90">
        <w:rPr>
          <w:spacing w:val="-2"/>
        </w:rPr>
        <w:t>Rcd</w:t>
      </w:r>
      <w:r w:rsidRPr="00C13D90">
        <w:rPr>
          <w:spacing w:val="-2"/>
        </w:rPr>
        <w:t xml:space="preserve"> 12519 (2019); </w:t>
      </w:r>
      <w:r w:rsidRPr="00C13D90">
        <w:rPr>
          <w:i/>
          <w:iCs/>
          <w:spacing w:val="-2"/>
        </w:rPr>
        <w:t>aff’d</w:t>
      </w:r>
      <w:r w:rsidRPr="00C13D90">
        <w:rPr>
          <w:spacing w:val="-2"/>
        </w:rPr>
        <w:t xml:space="preserve"> Order on Reconsideration, </w:t>
      </w:r>
      <w:r>
        <w:rPr>
          <w:spacing w:val="-2"/>
        </w:rPr>
        <w:t xml:space="preserve">FCC 20-121 </w:t>
      </w:r>
      <w:r w:rsidRPr="00C13D90">
        <w:rPr>
          <w:spacing w:val="-2"/>
        </w:rPr>
        <w:t>(</w:t>
      </w:r>
      <w:r>
        <w:rPr>
          <w:spacing w:val="-2"/>
        </w:rPr>
        <w:t xml:space="preserve">Sept. 2, </w:t>
      </w:r>
      <w:r w:rsidRPr="00C13D90">
        <w:rPr>
          <w:spacing w:val="-2"/>
        </w:rPr>
        <w:t>2020).</w:t>
      </w:r>
      <w:r>
        <w:rPr>
          <w:spacing w:val="-2"/>
        </w:rPr>
        <w:t xml:space="preserve">  </w:t>
      </w:r>
      <w:r w:rsidRPr="0057002A">
        <w:rPr>
          <w:i/>
          <w:iCs/>
        </w:rPr>
        <w:t xml:space="preserve"> </w:t>
      </w:r>
    </w:p>
  </w:footnote>
  <w:footnote w:id="10">
    <w:p w:rsidR="00DE7153" w:rsidP="00DE7153" w14:paraId="137220E0" w14:textId="77777777">
      <w:pPr>
        <w:pStyle w:val="FootnoteText"/>
      </w:pPr>
      <w:r>
        <w:rPr>
          <w:rStyle w:val="FootnoteReference"/>
        </w:rPr>
        <w:footnoteRef/>
      </w:r>
      <w:r>
        <w:t xml:space="preserve"> </w:t>
      </w:r>
      <w:r w:rsidRPr="007D10AC">
        <w:t>Schedule 318</w:t>
      </w:r>
      <w:r>
        <w:t xml:space="preserve"> </w:t>
      </w:r>
      <w:r w:rsidRPr="007D10AC">
        <w:t>ha</w:t>
      </w:r>
      <w:r>
        <w:t>s</w:t>
      </w:r>
      <w:r w:rsidRPr="007D10AC">
        <w:t xml:space="preserve"> been converted to the </w:t>
      </w:r>
      <w:r>
        <w:t xml:space="preserve">Bureau’s </w:t>
      </w:r>
      <w:r w:rsidRPr="007D10AC">
        <w:t>L</w:t>
      </w:r>
      <w:r>
        <w:t>icensing and Management System (L</w:t>
      </w:r>
      <w:r w:rsidRPr="007D10AC">
        <w:t>MS</w:t>
      </w:r>
      <w:r>
        <w:t>)</w:t>
      </w:r>
      <w:r w:rsidRPr="007D10AC">
        <w:t xml:space="preserve"> online electronic filing system.  Th</w:t>
      </w:r>
      <w:r>
        <w:t>is</w:t>
      </w:r>
      <w:r w:rsidRPr="007D10AC">
        <w:t xml:space="preserve"> </w:t>
      </w:r>
      <w:r>
        <w:t xml:space="preserve">construction permit </w:t>
      </w:r>
      <w:r w:rsidRPr="007D10AC">
        <w:t xml:space="preserve">application must be filed using LMS.  A link to the LMS system can be found at https://enterpriseefiling.fcc.gov/dataentry/login.hml.       </w:t>
      </w:r>
    </w:p>
  </w:footnote>
  <w:footnote w:id="11">
    <w:p w:rsidR="00DE7153" w:rsidRPr="00DF4757" w:rsidP="00DE7153" w14:paraId="1C63E4A1" w14:textId="77777777">
      <w:pPr>
        <w:pStyle w:val="FootnoteText"/>
      </w:pPr>
      <w:r>
        <w:rPr>
          <w:rStyle w:val="FootnoteReference"/>
        </w:rPr>
        <w:footnoteRef/>
      </w:r>
      <w:r>
        <w:t xml:space="preserve"> We note that the </w:t>
      </w:r>
      <w:r>
        <w:rPr>
          <w:i/>
          <w:iCs/>
        </w:rPr>
        <w:t xml:space="preserve">LPFM Technical Order </w:t>
      </w:r>
      <w:r>
        <w:t xml:space="preserve">also redefined “minor changes” for LPFM stations.  </w:t>
      </w:r>
      <w:r>
        <w:rPr>
          <w:i/>
          <w:iCs/>
        </w:rPr>
        <w:t xml:space="preserve">See LPFM Technical Order </w:t>
      </w:r>
      <w:r>
        <w:t xml:space="preserve">at para. 16; 47 CFR § 73.870(a).  Effective immediately, an </w:t>
      </w:r>
      <w:r w:rsidRPr="00AA68A7">
        <w:rPr>
          <w:szCs w:val="22"/>
        </w:rPr>
        <w:t xml:space="preserve">LPFM station may apply for approval to relocate its transmitter site without awaiting a filing window if the change is “minor,” redefined in the </w:t>
      </w:r>
      <w:r>
        <w:rPr>
          <w:i/>
          <w:iCs/>
          <w:szCs w:val="22"/>
        </w:rPr>
        <w:t xml:space="preserve">LPFM Technical </w:t>
      </w:r>
      <w:r w:rsidRPr="00AA68A7">
        <w:rPr>
          <w:i/>
          <w:iCs/>
          <w:szCs w:val="22"/>
        </w:rPr>
        <w:t>Order</w:t>
      </w:r>
      <w:r w:rsidRPr="00AA68A7">
        <w:rPr>
          <w:szCs w:val="22"/>
        </w:rPr>
        <w:t xml:space="preserve"> as a move of 11.2 kilometers or less</w:t>
      </w:r>
      <w:r>
        <w:rPr>
          <w:szCs w:val="22"/>
        </w:rPr>
        <w:t>.  Proposals of greater distances may also qualify as minor if the existing and proposed service contours overlap.</w:t>
      </w:r>
      <w:r>
        <w:t xml:space="preserve"> </w:t>
      </w:r>
    </w:p>
  </w:footnote>
  <w:footnote w:id="12">
    <w:p w:rsidR="00DE7153" w:rsidRPr="006B1F4F" w:rsidP="00DE7153" w14:paraId="3F46B141" w14:textId="77777777">
      <w:pPr>
        <w:pStyle w:val="FootnoteText"/>
      </w:pPr>
      <w:r>
        <w:rPr>
          <w:rStyle w:val="FootnoteReference"/>
        </w:rPr>
        <w:footnoteRef/>
      </w:r>
      <w:r>
        <w:t xml:space="preserve"> </w:t>
      </w:r>
      <w:r>
        <w:rPr>
          <w:i/>
          <w:iCs/>
        </w:rPr>
        <w:t xml:space="preserve">See LPFM Technical Order </w:t>
      </w:r>
      <w:r>
        <w:t>at para.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3A853F66" w14:textId="5082ABD0">
    <w:pPr>
      <w:tabs>
        <w:tab w:val="center" w:pos="4680"/>
        <w:tab w:val="right" w:pos="9360"/>
      </w:tabs>
    </w:pPr>
    <w:r w:rsidRPr="009838BC">
      <w:rPr>
        <w:b/>
      </w:rPr>
      <w:tab/>
      <w:t>Federal Communications Commission</w:t>
    </w:r>
    <w:r w:rsidRPr="009838BC">
      <w:rPr>
        <w:b/>
      </w:rPr>
      <w:tab/>
    </w:r>
    <w:r w:rsidR="00DE7153">
      <w:rPr>
        <w:b/>
      </w:rPr>
      <w:t>DA 20-1297</w:t>
    </w:r>
  </w:p>
  <w:p w:rsidR="009838BC" w:rsidRPr="009838BC" w:rsidP="009838BC" w14:paraId="24DDFE1A"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736A014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1CEB9961"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14:paraId="535AC04B" w14:textId="77777777">
                <w:pPr>
                  <w:rPr>
                    <w:rFonts w:ascii="Arial" w:hAnsi="Arial"/>
                    <w:b/>
                  </w:rPr>
                </w:pPr>
                <w:r>
                  <w:rPr>
                    <w:rFonts w:ascii="Arial" w:hAnsi="Arial"/>
                    <w:b/>
                  </w:rPr>
                  <w:t>Federal Communications Commission</w:t>
                </w:r>
              </w:p>
              <w:p w:rsidR="009838BC" w:rsidP="009838BC" w14:paraId="5B8FD18A" w14:textId="6BCDF79E">
                <w:pPr>
                  <w:rPr>
                    <w:rFonts w:ascii="Arial" w:hAnsi="Arial"/>
                    <w:b/>
                  </w:rPr>
                </w:pPr>
                <w:r>
                  <w:rPr>
                    <w:rFonts w:ascii="Arial" w:hAnsi="Arial"/>
                    <w:b/>
                  </w:rPr>
                  <w:t xml:space="preserve">45 </w:t>
                </w:r>
                <w:r w:rsidR="00F1497C">
                  <w:rPr>
                    <w:rFonts w:ascii="Arial" w:hAnsi="Arial"/>
                    <w:b/>
                  </w:rPr>
                  <w:t>L</w:t>
                </w:r>
                <w:r>
                  <w:rPr>
                    <w:rFonts w:ascii="Arial" w:hAnsi="Arial"/>
                    <w:b/>
                  </w:rPr>
                  <w:t xml:space="preserve"> St., </w:t>
                </w:r>
                <w:r w:rsidR="00F1497C">
                  <w:rPr>
                    <w:rFonts w:ascii="Arial" w:hAnsi="Arial"/>
                    <w:b/>
                  </w:rPr>
                  <w:t>N</w:t>
                </w:r>
                <w:r>
                  <w:rPr>
                    <w:rFonts w:ascii="Arial" w:hAnsi="Arial"/>
                    <w:b/>
                  </w:rPr>
                  <w:t>.</w:t>
                </w:r>
                <w:r w:rsidR="00F1497C">
                  <w:rPr>
                    <w:rFonts w:ascii="Arial" w:hAnsi="Arial"/>
                    <w:b/>
                  </w:rPr>
                  <w:t>E</w:t>
                </w:r>
                <w:r>
                  <w:rPr>
                    <w:rFonts w:ascii="Arial" w:hAnsi="Arial"/>
                    <w:b/>
                  </w:rPr>
                  <w:t>.</w:t>
                </w:r>
              </w:p>
              <w:p w:rsidR="009838BC" w:rsidP="009838BC" w14:paraId="3766823C"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1567DC35"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844.8pt,56.7pt" to="1312.8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5B187006" w14:textId="77777777">
                <w:pPr>
                  <w:spacing w:before="40"/>
                  <w:jc w:val="right"/>
                  <w:rPr>
                    <w:rFonts w:ascii="Arial" w:hAnsi="Arial"/>
                    <w:b/>
                    <w:sz w:val="16"/>
                  </w:rPr>
                </w:pPr>
                <w:r>
                  <w:rPr>
                    <w:rFonts w:ascii="Arial" w:hAnsi="Arial"/>
                    <w:b/>
                    <w:sz w:val="16"/>
                  </w:rPr>
                  <w:t>News Media Information 202 / 418-0500</w:t>
                </w:r>
              </w:p>
              <w:p w:rsidR="009838BC" w:rsidP="009838BC" w14:paraId="538E8081"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1CE4A50A" w14:textId="77777777">
                <w:pPr>
                  <w:jc w:val="right"/>
                </w:pPr>
                <w:r>
                  <w:rPr>
                    <w:rFonts w:ascii="Arial" w:hAnsi="Arial"/>
                    <w:b/>
                    <w:sz w:val="16"/>
                  </w:rPr>
                  <w:t>TTY: 1-888-835-5322</w:t>
                </w:r>
              </w:p>
            </w:txbxContent>
          </v:textbox>
        </v:shape>
      </w:pict>
    </w:r>
  </w:p>
  <w:p w:rsidR="006F7393" w:rsidRPr="009838BC" w:rsidP="009838BC" w14:paraId="4C77990C"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153"/>
    <w:rsid w:val="000072CE"/>
    <w:rsid w:val="00013A8B"/>
    <w:rsid w:val="00021445"/>
    <w:rsid w:val="00036039"/>
    <w:rsid w:val="00037F90"/>
    <w:rsid w:val="000724C8"/>
    <w:rsid w:val="000875BF"/>
    <w:rsid w:val="00093D76"/>
    <w:rsid w:val="00096D8C"/>
    <w:rsid w:val="000C0B65"/>
    <w:rsid w:val="000E3D42"/>
    <w:rsid w:val="000E5884"/>
    <w:rsid w:val="00105A13"/>
    <w:rsid w:val="00105E98"/>
    <w:rsid w:val="00122BD5"/>
    <w:rsid w:val="001979D9"/>
    <w:rsid w:val="001C1808"/>
    <w:rsid w:val="001D6BCF"/>
    <w:rsid w:val="001E01CA"/>
    <w:rsid w:val="002060D9"/>
    <w:rsid w:val="00226822"/>
    <w:rsid w:val="00260594"/>
    <w:rsid w:val="00285017"/>
    <w:rsid w:val="002A2D2E"/>
    <w:rsid w:val="002A519A"/>
    <w:rsid w:val="002C1E19"/>
    <w:rsid w:val="003354B8"/>
    <w:rsid w:val="00343749"/>
    <w:rsid w:val="00357D50"/>
    <w:rsid w:val="00390BEC"/>
    <w:rsid w:val="003925DC"/>
    <w:rsid w:val="003B0550"/>
    <w:rsid w:val="003B694F"/>
    <w:rsid w:val="003F171C"/>
    <w:rsid w:val="00412FC5"/>
    <w:rsid w:val="00422276"/>
    <w:rsid w:val="004242F1"/>
    <w:rsid w:val="00445A00"/>
    <w:rsid w:val="00451B0F"/>
    <w:rsid w:val="0046125F"/>
    <w:rsid w:val="00487524"/>
    <w:rsid w:val="00490FB9"/>
    <w:rsid w:val="00496106"/>
    <w:rsid w:val="004C12D0"/>
    <w:rsid w:val="004C2EE3"/>
    <w:rsid w:val="004E4A22"/>
    <w:rsid w:val="00511968"/>
    <w:rsid w:val="0055614C"/>
    <w:rsid w:val="0057002A"/>
    <w:rsid w:val="00607BA5"/>
    <w:rsid w:val="00623616"/>
    <w:rsid w:val="00626EB6"/>
    <w:rsid w:val="006353A3"/>
    <w:rsid w:val="00655D03"/>
    <w:rsid w:val="006829FF"/>
    <w:rsid w:val="00683F84"/>
    <w:rsid w:val="006A6A81"/>
    <w:rsid w:val="006B1F4F"/>
    <w:rsid w:val="006E26AF"/>
    <w:rsid w:val="006F7393"/>
    <w:rsid w:val="0070224F"/>
    <w:rsid w:val="007115F7"/>
    <w:rsid w:val="007500E4"/>
    <w:rsid w:val="00785689"/>
    <w:rsid w:val="0079754B"/>
    <w:rsid w:val="007A1E6D"/>
    <w:rsid w:val="007D10AC"/>
    <w:rsid w:val="00822CE0"/>
    <w:rsid w:val="00837C62"/>
    <w:rsid w:val="00841AB1"/>
    <w:rsid w:val="0089650C"/>
    <w:rsid w:val="008C22FD"/>
    <w:rsid w:val="00910F12"/>
    <w:rsid w:val="00926503"/>
    <w:rsid w:val="00930ECF"/>
    <w:rsid w:val="009838BC"/>
    <w:rsid w:val="00A0090F"/>
    <w:rsid w:val="00A36F07"/>
    <w:rsid w:val="00A45F4F"/>
    <w:rsid w:val="00A600A9"/>
    <w:rsid w:val="00A866AC"/>
    <w:rsid w:val="00AA55B7"/>
    <w:rsid w:val="00AA5B9E"/>
    <w:rsid w:val="00AA68A7"/>
    <w:rsid w:val="00AB2407"/>
    <w:rsid w:val="00AB53DF"/>
    <w:rsid w:val="00B07E5C"/>
    <w:rsid w:val="00B326E3"/>
    <w:rsid w:val="00B811F7"/>
    <w:rsid w:val="00BA5DC6"/>
    <w:rsid w:val="00BA6196"/>
    <w:rsid w:val="00BC6D8C"/>
    <w:rsid w:val="00C13D90"/>
    <w:rsid w:val="00C16AF2"/>
    <w:rsid w:val="00C34006"/>
    <w:rsid w:val="00C426B1"/>
    <w:rsid w:val="00C82B6B"/>
    <w:rsid w:val="00C90D6A"/>
    <w:rsid w:val="00CC72B6"/>
    <w:rsid w:val="00D0218D"/>
    <w:rsid w:val="00D07C29"/>
    <w:rsid w:val="00D216CD"/>
    <w:rsid w:val="00D51BA1"/>
    <w:rsid w:val="00DA2529"/>
    <w:rsid w:val="00DB130A"/>
    <w:rsid w:val="00DC10A1"/>
    <w:rsid w:val="00DC655F"/>
    <w:rsid w:val="00DD7EBD"/>
    <w:rsid w:val="00DE7153"/>
    <w:rsid w:val="00DF4757"/>
    <w:rsid w:val="00DF62B6"/>
    <w:rsid w:val="00E07225"/>
    <w:rsid w:val="00E155B7"/>
    <w:rsid w:val="00E5409F"/>
    <w:rsid w:val="00EC0185"/>
    <w:rsid w:val="00F021FA"/>
    <w:rsid w:val="00F1497C"/>
    <w:rsid w:val="00F53673"/>
    <w:rsid w:val="00F57ACA"/>
    <w:rsid w:val="00F62E97"/>
    <w:rsid w:val="00F64209"/>
    <w:rsid w:val="00F93BF5"/>
    <w:rsid w:val="00F94D3F"/>
    <w:rsid w:val="00F96F63"/>
    <w:rsid w:val="00FC36D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D03E60B-1589-4858-9284-F9196BF95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153"/>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1 Char,Footnote Text Char1 Char Char Char Char,Footnote Text Char2 Char Char Char Char Char1,Footnote Text Char2 Char1 Char Char1,Footnote Text Char3,Footnote Text Char3 Char Char1,Footnote Text Char5"/>
    <w:link w:val="FootnoteTextChar"/>
    <w:semiHidden/>
    <w:rsid w:val="000E3D42"/>
    <w:pPr>
      <w:spacing w:after="120"/>
    </w:pPr>
  </w:style>
  <w:style w:type="character" w:styleId="FootnoteReference">
    <w:name w:val="footnote reference"/>
    <w:aliases w:val="(NECG) Footnote Reference,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Footnote Text Char1 Char Char,Footnote Text Char1 Char Char Char Char Char,Footnote Text Char1 Char1,Footnote Text Char2 Char Char Char Char Char1 Char,Footnote Text Char2 Char1 Char Char1 Char,Footnote Text Char3 Char"/>
    <w:link w:val="FootnoteText"/>
    <w:semiHidden/>
    <w:rsid w:val="00DE7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available-support-services" TargetMode="External" /><Relationship Id="rId6" Type="http://schemas.openxmlformats.org/officeDocument/2006/relationships/hyperlink" Target="mailto:Irene.Bleiweiss@fcc.gov" TargetMode="External" /><Relationship Id="rId7" Type="http://schemas.openxmlformats.org/officeDocument/2006/relationships/hyperlink" Target="mailto:James.Bradshaw@fcc.gov" TargetMode="External" /><Relationship Id="rId8" Type="http://schemas.openxmlformats.org/officeDocument/2006/relationships/hyperlink" Target="mailto:Janice.Wise@fcc.gov" TargetMode="External" /><Relationship Id="rId9" Type="http://schemas.openxmlformats.org/officeDocument/2006/relationships/header" Target="head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