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82ED2" w:rsidP="00782ED2" w14:paraId="5E6622E4" w14:textId="77777777">
      <w:pPr>
        <w:pStyle w:val="Header"/>
        <w:tabs>
          <w:tab w:val="clear" w:pos="4320"/>
          <w:tab w:val="clear" w:pos="8640"/>
        </w:tabs>
        <w:rPr>
          <w:szCs w:val="22"/>
        </w:rPr>
        <w:sectPr>
          <w:footerReference w:type="default" r:id="rId5"/>
          <w:headerReference w:type="first" r:id="rId6"/>
          <w:pgSz w:w="12240" w:h="15840" w:code="1"/>
          <w:pgMar w:top="720" w:right="720" w:bottom="1440" w:left="720" w:header="720" w:footer="1440" w:gutter="0"/>
          <w:cols w:space="720"/>
          <w:titlePg/>
        </w:sectPr>
      </w:pPr>
    </w:p>
    <w:p w:rsidR="00782ED2" w:rsidRPr="00F05CB6" w:rsidP="00782ED2" w14:paraId="0F557347" w14:textId="3D146B10">
      <w:pPr>
        <w:autoSpaceDE w:val="0"/>
        <w:autoSpaceDN w:val="0"/>
        <w:adjustRightInd w:val="0"/>
        <w:jc w:val="right"/>
        <w:rPr>
          <w:b/>
          <w:bCs/>
          <w:szCs w:val="22"/>
        </w:rPr>
      </w:pPr>
      <w:r w:rsidRPr="00F05CB6">
        <w:rPr>
          <w:b/>
          <w:bCs/>
          <w:szCs w:val="22"/>
        </w:rPr>
        <w:t>DA 20-</w:t>
      </w:r>
      <w:r w:rsidRPr="00F05CB6" w:rsidR="00483C30">
        <w:rPr>
          <w:b/>
          <w:bCs/>
          <w:szCs w:val="22"/>
        </w:rPr>
        <w:t>1305</w:t>
      </w:r>
    </w:p>
    <w:p w:rsidR="00782ED2" w:rsidRPr="00F05CB6" w:rsidP="00782ED2" w14:paraId="5C34143A" w14:textId="3F07E79D">
      <w:pPr>
        <w:autoSpaceDE w:val="0"/>
        <w:autoSpaceDN w:val="0"/>
        <w:adjustRightInd w:val="0"/>
        <w:jc w:val="right"/>
        <w:rPr>
          <w:b/>
          <w:bCs/>
          <w:szCs w:val="22"/>
        </w:rPr>
      </w:pPr>
      <w:r w:rsidRPr="00F05CB6">
        <w:rPr>
          <w:b/>
          <w:bCs/>
          <w:szCs w:val="22"/>
        </w:rPr>
        <w:tab/>
      </w:r>
      <w:r w:rsidRPr="00F05CB6">
        <w:rPr>
          <w:b/>
          <w:bCs/>
          <w:szCs w:val="22"/>
        </w:rPr>
        <w:tab/>
      </w:r>
      <w:r w:rsidRPr="00F05CB6">
        <w:rPr>
          <w:b/>
          <w:bCs/>
          <w:szCs w:val="22"/>
        </w:rPr>
        <w:tab/>
      </w:r>
      <w:r w:rsidRPr="00F05CB6">
        <w:rPr>
          <w:b/>
          <w:bCs/>
          <w:szCs w:val="22"/>
        </w:rPr>
        <w:tab/>
      </w:r>
      <w:r w:rsidRPr="00F05CB6">
        <w:rPr>
          <w:b/>
          <w:bCs/>
          <w:szCs w:val="22"/>
        </w:rPr>
        <w:tab/>
      </w:r>
      <w:r w:rsidRPr="00F05CB6">
        <w:rPr>
          <w:b/>
          <w:bCs/>
          <w:szCs w:val="22"/>
        </w:rPr>
        <w:tab/>
      </w:r>
      <w:r w:rsidRPr="00F05CB6">
        <w:rPr>
          <w:b/>
          <w:bCs/>
          <w:szCs w:val="22"/>
        </w:rPr>
        <w:tab/>
      </w:r>
      <w:r w:rsidRPr="00F05CB6">
        <w:rPr>
          <w:b/>
          <w:bCs/>
          <w:szCs w:val="22"/>
        </w:rPr>
        <w:tab/>
      </w:r>
      <w:r w:rsidRPr="00F05CB6">
        <w:rPr>
          <w:b/>
          <w:bCs/>
          <w:szCs w:val="22"/>
        </w:rPr>
        <w:tab/>
      </w:r>
      <w:r w:rsidR="00950344">
        <w:rPr>
          <w:b/>
          <w:bCs/>
          <w:szCs w:val="22"/>
        </w:rPr>
        <w:t>Released:</w:t>
      </w:r>
      <w:bookmarkStart w:id="1" w:name="_GoBack"/>
      <w:bookmarkEnd w:id="1"/>
      <w:r w:rsidR="00950344">
        <w:rPr>
          <w:b/>
          <w:bCs/>
          <w:szCs w:val="22"/>
        </w:rPr>
        <w:t xml:space="preserve"> </w:t>
      </w:r>
      <w:r w:rsidRPr="00F05CB6">
        <w:rPr>
          <w:b/>
          <w:bCs/>
          <w:szCs w:val="22"/>
        </w:rPr>
        <w:t>November 2, 2020</w:t>
      </w:r>
    </w:p>
    <w:p w:rsidR="00782ED2" w:rsidP="00782ED2" w14:paraId="54F8E011" w14:textId="77777777">
      <w:pPr>
        <w:jc w:val="center"/>
        <w:rPr>
          <w:b/>
          <w:szCs w:val="22"/>
        </w:rPr>
      </w:pPr>
    </w:p>
    <w:p w:rsidR="00782ED2" w:rsidP="00782ED2" w14:paraId="6AB8D4B3" w14:textId="77777777">
      <w:pPr>
        <w:jc w:val="center"/>
        <w:rPr>
          <w:b/>
          <w:szCs w:val="22"/>
        </w:rPr>
      </w:pPr>
    </w:p>
    <w:p w:rsidR="00782ED2" w:rsidP="00782ED2" w14:paraId="4FC4BFC7" w14:textId="77777777">
      <w:pPr>
        <w:jc w:val="center"/>
        <w:rPr>
          <w:b/>
          <w:szCs w:val="22"/>
        </w:rPr>
      </w:pPr>
      <w:r>
        <w:rPr>
          <w:b/>
          <w:szCs w:val="22"/>
        </w:rPr>
        <w:t>MEDIA BUREAU PROVIDES GUIDANCE ON ENTITLEMENT TO LOWEST UNIT CHARGE FOR POST-ELECTION POLITICAL ADVERTISING</w:t>
      </w:r>
    </w:p>
    <w:p w:rsidR="00782ED2" w:rsidP="00782ED2" w14:paraId="49FE0C96" w14:textId="77777777">
      <w:pPr>
        <w:autoSpaceDE w:val="0"/>
        <w:autoSpaceDN w:val="0"/>
        <w:adjustRightInd w:val="0"/>
        <w:jc w:val="center"/>
        <w:rPr>
          <w:szCs w:val="22"/>
        </w:rPr>
      </w:pPr>
    </w:p>
    <w:p w:rsidR="00782ED2" w:rsidP="00782ED2" w14:paraId="3235A16C" w14:textId="77777777">
      <w:pPr>
        <w:autoSpaceDE w:val="0"/>
        <w:autoSpaceDN w:val="0"/>
        <w:adjustRightInd w:val="0"/>
        <w:jc w:val="center"/>
        <w:rPr>
          <w:szCs w:val="22"/>
        </w:rPr>
      </w:pPr>
    </w:p>
    <w:p w:rsidR="00782ED2" w:rsidP="00782ED2" w14:paraId="4E7E7849" w14:textId="77777777">
      <w:pPr>
        <w:pStyle w:val="NormalWeb"/>
        <w:spacing w:before="0" w:beforeAutospacing="0" w:after="0" w:afterAutospacing="0"/>
        <w:rPr>
          <w:color w:val="000000"/>
          <w:sz w:val="22"/>
          <w:szCs w:val="22"/>
          <w:bdr w:val="none" w:sz="0" w:space="0" w:color="auto" w:frame="1"/>
        </w:rPr>
      </w:pPr>
      <w:r>
        <w:rPr>
          <w:color w:val="000000"/>
          <w:sz w:val="22"/>
          <w:szCs w:val="22"/>
          <w:bdr w:val="none" w:sz="0" w:space="0" w:color="auto" w:frame="1"/>
        </w:rPr>
        <w:t xml:space="preserve">In response to inquiries from members of the communications bar on behalf of a large number of broadcast licensees, the Media Bureau herein provides guidance as to whether broadcast radio and television stations are obligated to provide the lowest unit charge for post-election political advertising by or on behalf of contenders in races for which final results of the election remain pending.  </w:t>
      </w:r>
    </w:p>
    <w:p w:rsidR="00782ED2" w:rsidP="00782ED2" w14:paraId="64D9705E" w14:textId="77777777">
      <w:pPr>
        <w:pStyle w:val="NormalWeb"/>
        <w:spacing w:before="0" w:beforeAutospacing="0" w:after="0" w:afterAutospacing="0"/>
        <w:rPr>
          <w:color w:val="000000"/>
          <w:sz w:val="22"/>
          <w:szCs w:val="22"/>
          <w:bdr w:val="none" w:sz="0" w:space="0" w:color="auto" w:frame="1"/>
        </w:rPr>
      </w:pPr>
    </w:p>
    <w:p w:rsidR="00782ED2" w:rsidP="00782ED2" w14:paraId="04B8BCEA" w14:textId="2A2E8C0B">
      <w:pPr>
        <w:pStyle w:val="NormalWeb"/>
        <w:spacing w:before="0" w:beforeAutospacing="0" w:after="0" w:afterAutospacing="0"/>
        <w:rPr>
          <w:color w:val="000000"/>
          <w:sz w:val="22"/>
          <w:szCs w:val="22"/>
          <w:bdr w:val="none" w:sz="0" w:space="0" w:color="auto" w:frame="1"/>
        </w:rPr>
      </w:pPr>
      <w:r>
        <w:rPr>
          <w:color w:val="000000"/>
          <w:sz w:val="22"/>
          <w:szCs w:val="22"/>
          <w:bdr w:val="none" w:sz="0" w:space="0" w:color="auto" w:frame="1"/>
        </w:rPr>
        <w:t>Section 315(b)(1)(A) of the Communications Act of 1934, as amended, bestows upon individuals running for public office an entitlement to the lowest unit charge for political advertising in the days preceding an election.</w:t>
      </w:r>
      <w:r>
        <w:rPr>
          <w:rStyle w:val="FootnoteReference"/>
          <w:color w:val="000000"/>
          <w:sz w:val="22"/>
          <w:szCs w:val="22"/>
          <w:bdr w:val="none" w:sz="0" w:space="0" w:color="auto" w:frame="1"/>
        </w:rPr>
        <w:footnoteReference w:id="2"/>
      </w:r>
      <w:r>
        <w:rPr>
          <w:color w:val="000000"/>
          <w:sz w:val="22"/>
          <w:szCs w:val="22"/>
          <w:bdr w:val="none" w:sz="0" w:space="0" w:color="auto" w:frame="1"/>
        </w:rPr>
        <w:t xml:space="preserve">  Specifically, the statute establishes a window </w:t>
      </w:r>
      <w:r>
        <w:rPr>
          <w:i/>
          <w:iCs/>
          <w:color w:val="000000"/>
          <w:sz w:val="22"/>
          <w:szCs w:val="22"/>
          <w:bdr w:val="none" w:sz="0" w:space="0" w:color="auto" w:frame="1"/>
        </w:rPr>
        <w:t>“</w:t>
      </w:r>
      <w:r>
        <w:rPr>
          <w:color w:val="000000"/>
          <w:sz w:val="22"/>
          <w:szCs w:val="22"/>
          <w:bdr w:val="none" w:sz="0" w:space="0" w:color="auto" w:frame="1"/>
        </w:rPr>
        <w:t>during the sixty days preceding the date of a general … election” when the lowest unit charge is available to a candidate.</w:t>
      </w:r>
      <w:r>
        <w:rPr>
          <w:rStyle w:val="FootnoteReference"/>
          <w:color w:val="000000"/>
          <w:sz w:val="22"/>
          <w:szCs w:val="22"/>
          <w:bdr w:val="none" w:sz="0" w:space="0" w:color="auto" w:frame="1"/>
        </w:rPr>
        <w:footnoteReference w:id="3"/>
      </w:r>
      <w:r>
        <w:rPr>
          <w:color w:val="000000"/>
          <w:sz w:val="22"/>
          <w:szCs w:val="22"/>
          <w:bdr w:val="none" w:sz="0" w:space="0" w:color="auto" w:frame="1"/>
        </w:rPr>
        <w:t xml:space="preserve">  Although the term “election” is not defined in Section 315, we interpret this term for purposes of</w:t>
      </w:r>
      <w:r>
        <w:t xml:space="preserve"> </w:t>
      </w:r>
      <w:r w:rsidRPr="00D164F8">
        <w:t xml:space="preserve">the </w:t>
      </w:r>
      <w:r w:rsidRPr="008F14B6">
        <w:rPr>
          <w:sz w:val="22"/>
          <w:szCs w:val="22"/>
        </w:rPr>
        <w:t xml:space="preserve">2020 election to mean November 3, 2020, the </w:t>
      </w:r>
      <w:r>
        <w:rPr>
          <w:sz w:val="22"/>
          <w:szCs w:val="22"/>
        </w:rPr>
        <w:t xml:space="preserve">election </w:t>
      </w:r>
      <w:r w:rsidRPr="008F14B6">
        <w:rPr>
          <w:sz w:val="22"/>
          <w:szCs w:val="22"/>
        </w:rPr>
        <w:t xml:space="preserve">date </w:t>
      </w:r>
      <w:r>
        <w:rPr>
          <w:sz w:val="22"/>
          <w:szCs w:val="22"/>
        </w:rPr>
        <w:t>designated by federal law</w:t>
      </w:r>
      <w:r w:rsidRPr="008F14B6">
        <w:rPr>
          <w:sz w:val="22"/>
          <w:szCs w:val="22"/>
        </w:rPr>
        <w:t>.</w:t>
      </w:r>
      <w:r>
        <w:rPr>
          <w:rStyle w:val="FootnoteReference"/>
          <w:sz w:val="22"/>
          <w:szCs w:val="22"/>
        </w:rPr>
        <w:footnoteReference w:id="4"/>
      </w:r>
      <w:r w:rsidRPr="008F14B6">
        <w:rPr>
          <w:sz w:val="22"/>
          <w:szCs w:val="22"/>
        </w:rPr>
        <w:t xml:space="preserve">  </w:t>
      </w:r>
      <w:r w:rsidRPr="00A96FE0">
        <w:rPr>
          <w:color w:val="000000"/>
          <w:sz w:val="22"/>
          <w:szCs w:val="22"/>
          <w:bdr w:val="none" w:sz="0" w:space="0" w:color="auto" w:frame="1"/>
        </w:rPr>
        <w:t xml:space="preserve">  </w:t>
      </w:r>
    </w:p>
    <w:p w:rsidR="00782ED2" w:rsidP="00782ED2" w14:paraId="3E340CAA" w14:textId="77777777">
      <w:pPr>
        <w:pStyle w:val="NormalWeb"/>
        <w:spacing w:before="0" w:beforeAutospacing="0" w:after="0" w:afterAutospacing="0"/>
        <w:rPr>
          <w:color w:val="000000"/>
          <w:sz w:val="22"/>
          <w:szCs w:val="22"/>
          <w:bdr w:val="none" w:sz="0" w:space="0" w:color="auto" w:frame="1"/>
        </w:rPr>
      </w:pPr>
    </w:p>
    <w:p w:rsidR="00782ED2" w:rsidP="00782ED2" w14:paraId="6DD69D50" w14:textId="77777777">
      <w:pPr>
        <w:pStyle w:val="NormalWeb"/>
        <w:spacing w:before="0" w:beforeAutospacing="0" w:after="0" w:afterAutospacing="0"/>
        <w:rPr>
          <w:color w:val="000000"/>
          <w:sz w:val="22"/>
          <w:szCs w:val="22"/>
        </w:rPr>
      </w:pPr>
      <w:r>
        <w:rPr>
          <w:color w:val="000000"/>
          <w:sz w:val="22"/>
          <w:szCs w:val="22"/>
          <w:bdr w:val="none" w:sz="0" w:space="0" w:color="auto" w:frame="1"/>
        </w:rPr>
        <w:t xml:space="preserve">Thus, even where the results of an election remain pending, broadcast stations are under no obligation to provide lowest unit charge after November 3, 2020.  </w:t>
      </w:r>
      <w:r w:rsidRPr="00A96FE0">
        <w:rPr>
          <w:color w:val="000000"/>
          <w:sz w:val="22"/>
          <w:szCs w:val="22"/>
          <w:bdr w:val="none" w:sz="0" w:space="0" w:color="auto" w:frame="1"/>
        </w:rPr>
        <w:t>Stations are reminded that for any ad on behalf of a legally qualified candidate or communicating</w:t>
      </w:r>
      <w:r>
        <w:rPr>
          <w:color w:val="000000"/>
          <w:sz w:val="22"/>
          <w:szCs w:val="22"/>
          <w:bdr w:val="none" w:sz="0" w:space="0" w:color="auto" w:frame="1"/>
        </w:rPr>
        <w:t xml:space="preserve"> a message relating to any political matter of national importance, the station must upload a record of the request to its online political file, pursuant to section 315(e) of the Communications Act of 1934, as amended.</w:t>
      </w:r>
      <w:r>
        <w:rPr>
          <w:rStyle w:val="FootnoteReference"/>
          <w:color w:val="000000"/>
          <w:sz w:val="22"/>
          <w:szCs w:val="22"/>
          <w:bdr w:val="none" w:sz="0" w:space="0" w:color="auto" w:frame="1"/>
        </w:rPr>
        <w:footnoteReference w:id="5"/>
      </w:r>
      <w:r>
        <w:rPr>
          <w:color w:val="000000"/>
          <w:sz w:val="22"/>
          <w:szCs w:val="22"/>
          <w:bdr w:val="none" w:sz="0" w:space="0" w:color="auto" w:frame="1"/>
        </w:rPr>
        <w:t xml:space="preserve"> </w:t>
      </w:r>
    </w:p>
    <w:p w:rsidR="00782ED2" w:rsidP="00782ED2" w14:paraId="5D5DF1CF" w14:textId="77777777">
      <w:pPr>
        <w:pStyle w:val="NormalWeb"/>
        <w:spacing w:before="0" w:beforeAutospacing="0" w:after="0" w:afterAutospacing="0"/>
      </w:pPr>
    </w:p>
    <w:p w:rsidR="00782ED2" w:rsidP="00782ED2" w14:paraId="781273D4" w14:textId="77777777">
      <w:pPr>
        <w:rPr>
          <w:bCs/>
          <w:szCs w:val="22"/>
        </w:rPr>
      </w:pPr>
      <w:r>
        <w:rPr>
          <w:bCs/>
          <w:szCs w:val="22"/>
        </w:rPr>
        <w:t xml:space="preserve">For further information, please contact Robert Baker, Media Bureau, at Robert.Baker@fcc.gov; Gary Schonman, Media Bureau, at Gary.Schonman@fcc.gov; or Sima Nilsson, Media Bureau, at Sima.Nilsson@fcc.gov. </w:t>
      </w:r>
    </w:p>
    <w:p w:rsidR="00782ED2" w:rsidP="00782ED2" w14:paraId="76F27FDA" w14:textId="77777777">
      <w:pPr>
        <w:rPr>
          <w:bCs/>
          <w:snapToGrid w:val="0"/>
          <w:szCs w:val="22"/>
        </w:rPr>
      </w:pPr>
    </w:p>
    <w:p w:rsidR="00F72607" w:rsidRPr="00782ED2" w:rsidP="00782ED2" w14:paraId="64F394FD" w14:textId="4A374BA1">
      <w:pPr>
        <w:jc w:val="center"/>
        <w:rPr>
          <w:szCs w:val="22"/>
        </w:rPr>
      </w:pPr>
      <w:r>
        <w:rPr>
          <w:b/>
          <w:snapToGrid w:val="0"/>
          <w:szCs w:val="22"/>
        </w:rPr>
        <w:t>- FCC -</w:t>
      </w:r>
    </w:p>
    <w:sectPr>
      <w:type w:val="continuous"/>
      <w:pgSz w:w="12240" w:h="15840"/>
      <w:pgMar w:top="129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ED2" w14:paraId="46FDCDB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82ED2" w14:paraId="11CA2D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6D6E" w:rsidP="00782ED2" w14:paraId="51D6610E" w14:textId="77777777">
      <w:r>
        <w:separator/>
      </w:r>
    </w:p>
  </w:footnote>
  <w:footnote w:type="continuationSeparator" w:id="1">
    <w:p w:rsidR="004D6D6E" w:rsidP="00782ED2" w14:paraId="0D9BE739" w14:textId="77777777">
      <w:r>
        <w:continuationSeparator/>
      </w:r>
    </w:p>
  </w:footnote>
  <w:footnote w:id="2">
    <w:p w:rsidR="00782ED2" w:rsidP="00782ED2" w14:paraId="6E357CB2" w14:textId="77777777">
      <w:pPr>
        <w:pStyle w:val="FootnoteText"/>
        <w:rPr>
          <w:sz w:val="20"/>
        </w:rPr>
      </w:pPr>
      <w:r>
        <w:rPr>
          <w:rStyle w:val="FootnoteReference"/>
          <w:sz w:val="20"/>
        </w:rPr>
        <w:footnoteRef/>
      </w:r>
      <w:r>
        <w:rPr>
          <w:sz w:val="20"/>
        </w:rPr>
        <w:t xml:space="preserve"> </w:t>
      </w:r>
      <w:r>
        <w:rPr>
          <w:i/>
          <w:iCs/>
          <w:sz w:val="20"/>
        </w:rPr>
        <w:t xml:space="preserve">See </w:t>
      </w:r>
      <w:r>
        <w:rPr>
          <w:sz w:val="20"/>
        </w:rPr>
        <w:t>47 U.S.C. § 315(b)(1)(A) (“</w:t>
      </w:r>
      <w:r w:rsidRPr="00BF7D6C">
        <w:rPr>
          <w:sz w:val="20"/>
        </w:rPr>
        <w:t>during the forty-five days preceding the date of a primary or primary runoff election and during the sixty days preceding the date of a general or special election in which such person is a candidate</w:t>
      </w:r>
      <w:r>
        <w:rPr>
          <w:sz w:val="20"/>
        </w:rPr>
        <w:t>”).  The obligation to provide this entitlement is applicable to broadcast stations (</w:t>
      </w:r>
      <w:r>
        <w:rPr>
          <w:i/>
          <w:iCs/>
          <w:sz w:val="20"/>
        </w:rPr>
        <w:t>see</w:t>
      </w:r>
      <w:r>
        <w:rPr>
          <w:sz w:val="20"/>
        </w:rPr>
        <w:t xml:space="preserve"> 47 CFR § 73.1212 </w:t>
      </w:r>
      <w:r>
        <w:rPr>
          <w:i/>
          <w:iCs/>
          <w:sz w:val="20"/>
        </w:rPr>
        <w:t>et seq.</w:t>
      </w:r>
      <w:r>
        <w:rPr>
          <w:sz w:val="20"/>
        </w:rPr>
        <w:t>); cable television systems (</w:t>
      </w:r>
      <w:r>
        <w:rPr>
          <w:i/>
          <w:iCs/>
          <w:sz w:val="20"/>
        </w:rPr>
        <w:t>see</w:t>
      </w:r>
      <w:r>
        <w:rPr>
          <w:sz w:val="20"/>
        </w:rPr>
        <w:t xml:space="preserve"> 47 CFR § 76.5 </w:t>
      </w:r>
      <w:r>
        <w:rPr>
          <w:i/>
          <w:iCs/>
          <w:sz w:val="20"/>
        </w:rPr>
        <w:t>et seq.</w:t>
      </w:r>
      <w:r>
        <w:rPr>
          <w:sz w:val="20"/>
        </w:rPr>
        <w:t>); and direct broadcast providers (</w:t>
      </w:r>
      <w:r>
        <w:rPr>
          <w:i/>
          <w:iCs/>
          <w:sz w:val="20"/>
        </w:rPr>
        <w:t>see</w:t>
      </w:r>
      <w:r>
        <w:rPr>
          <w:sz w:val="20"/>
        </w:rPr>
        <w:t xml:space="preserve"> 47 CFR § 25.701 </w:t>
      </w:r>
      <w:r>
        <w:rPr>
          <w:i/>
          <w:iCs/>
          <w:sz w:val="20"/>
        </w:rPr>
        <w:t>et seq.</w:t>
      </w:r>
      <w:r>
        <w:rPr>
          <w:sz w:val="20"/>
        </w:rPr>
        <w:t>).  The guidance provided herein applies to all such services.</w:t>
      </w:r>
    </w:p>
  </w:footnote>
  <w:footnote w:id="3">
    <w:p w:rsidR="00782ED2" w:rsidP="00782ED2" w14:paraId="14FDBAE4" w14:textId="77777777">
      <w:pPr>
        <w:pStyle w:val="FootnoteText"/>
      </w:pPr>
      <w:r>
        <w:rPr>
          <w:rStyle w:val="FootnoteReference"/>
        </w:rPr>
        <w:footnoteRef/>
      </w:r>
      <w:r>
        <w:t xml:space="preserve"> </w:t>
      </w:r>
      <w:r>
        <w:rPr>
          <w:sz w:val="20"/>
        </w:rPr>
        <w:t>47 U.S.C. § 315(b)(1)(A).</w:t>
      </w:r>
    </w:p>
  </w:footnote>
  <w:footnote w:id="4">
    <w:p w:rsidR="00782ED2" w:rsidP="00782ED2" w14:paraId="64F78AFA" w14:textId="77777777">
      <w:pPr>
        <w:pStyle w:val="FootnoteText"/>
      </w:pPr>
      <w:r>
        <w:rPr>
          <w:rStyle w:val="FootnoteReference"/>
        </w:rPr>
        <w:footnoteRef/>
      </w:r>
      <w:r>
        <w:t xml:space="preserve"> </w:t>
      </w:r>
      <w:r w:rsidRPr="00C23176">
        <w:rPr>
          <w:i/>
          <w:iCs/>
          <w:sz w:val="20"/>
        </w:rPr>
        <w:t>See</w:t>
      </w:r>
      <w:r>
        <w:rPr>
          <w:sz w:val="20"/>
        </w:rPr>
        <w:t xml:space="preserve"> 2 U.S.C. </w:t>
      </w:r>
      <w:r w:rsidRPr="007B6FA1">
        <w:rPr>
          <w:sz w:val="20"/>
        </w:rPr>
        <w:t>§</w:t>
      </w:r>
      <w:r>
        <w:rPr>
          <w:sz w:val="20"/>
        </w:rPr>
        <w:t xml:space="preserve"> 7; 3 U.S.C. § 1.</w:t>
      </w:r>
    </w:p>
  </w:footnote>
  <w:footnote w:id="5">
    <w:p w:rsidR="00782ED2" w:rsidP="00782ED2" w14:paraId="079B83F9" w14:textId="77777777">
      <w:pPr>
        <w:pStyle w:val="FootnoteText"/>
      </w:pPr>
      <w:r>
        <w:rPr>
          <w:rStyle w:val="FootnoteReference"/>
          <w:sz w:val="20"/>
        </w:rPr>
        <w:footnoteRef/>
      </w:r>
      <w:r>
        <w:rPr>
          <w:sz w:val="20"/>
        </w:rPr>
        <w:t xml:space="preserve"> 47 U.S.C. § 315(e).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ED2" w14:paraId="53EA3EC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9841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2ED2" w14:paraId="5C76C3B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2ED2" w14:textId="77777777">
                          <w:pPr>
                            <w:rPr>
                              <w:rFonts w:ascii="Arial" w:hAnsi="Arial"/>
                              <w:b/>
                            </w:rPr>
                          </w:pPr>
                          <w:r>
                            <w:rPr>
                              <w:rFonts w:ascii="Arial" w:hAnsi="Arial"/>
                              <w:b/>
                            </w:rPr>
                            <w:t>Federal Communications Commission</w:t>
                          </w:r>
                        </w:p>
                        <w:p w:rsidR="00782ED2" w14:textId="77777777">
                          <w:pPr>
                            <w:rPr>
                              <w:rFonts w:ascii="Arial" w:hAnsi="Arial"/>
                              <w:b/>
                            </w:rPr>
                          </w:pPr>
                          <w:r>
                            <w:rPr>
                              <w:rFonts w:ascii="Arial" w:hAnsi="Arial"/>
                              <w:b/>
                            </w:rPr>
                            <w:t>45 L St., N.E.</w:t>
                          </w:r>
                        </w:p>
                        <w:p w:rsidR="00782ED2"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782ED2" w14:paraId="74229130" w14:textId="77777777">
                    <w:pPr>
                      <w:rPr>
                        <w:rFonts w:ascii="Arial" w:hAnsi="Arial"/>
                        <w:b/>
                      </w:rPr>
                    </w:pPr>
                    <w:r>
                      <w:rPr>
                        <w:rFonts w:ascii="Arial" w:hAnsi="Arial"/>
                        <w:b/>
                      </w:rPr>
                      <w:t>Federal Communications Commission</w:t>
                    </w:r>
                  </w:p>
                  <w:p w:rsidR="00782ED2" w14:paraId="6D28E54E" w14:textId="77777777">
                    <w:pPr>
                      <w:rPr>
                        <w:rFonts w:ascii="Arial" w:hAnsi="Arial"/>
                        <w:b/>
                      </w:rPr>
                    </w:pPr>
                    <w:r>
                      <w:rPr>
                        <w:rFonts w:ascii="Arial" w:hAnsi="Arial"/>
                        <w:b/>
                      </w:rPr>
                      <w:t>45 L St., N.E.</w:t>
                    </w:r>
                  </w:p>
                  <w:p w:rsidR="00782ED2" w14:paraId="54F1DFBD"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2ED2" w14:textId="77777777">
                          <w:pPr>
                            <w:spacing w:before="40"/>
                            <w:jc w:val="right"/>
                            <w:rPr>
                              <w:rFonts w:ascii="Arial" w:hAnsi="Arial"/>
                              <w:b/>
                              <w:sz w:val="16"/>
                            </w:rPr>
                          </w:pPr>
                          <w:r>
                            <w:rPr>
                              <w:rFonts w:ascii="Arial" w:hAnsi="Arial"/>
                              <w:b/>
                              <w:sz w:val="16"/>
                            </w:rPr>
                            <w:t>News Media Information 202 / 418-0500</w:t>
                          </w:r>
                        </w:p>
                        <w:p w:rsidR="00782ED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82ED2" w14:textId="77777777">
                          <w:pPr>
                            <w:jc w:val="right"/>
                            <w:rPr>
                              <w:rFonts w:ascii="Arial" w:hAnsi="Arial"/>
                              <w:b/>
                              <w:sz w:val="16"/>
                            </w:rPr>
                          </w:pPr>
                          <w:r>
                            <w:rPr>
                              <w:rFonts w:ascii="Arial" w:hAnsi="Arial"/>
                              <w:b/>
                              <w:sz w:val="16"/>
                            </w:rPr>
                            <w:t>TTY: 1-888-835-5322</w:t>
                          </w:r>
                        </w:p>
                        <w:p w:rsidR="00782ED2"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782ED2" w14:paraId="3CA076B8" w14:textId="77777777">
                    <w:pPr>
                      <w:spacing w:before="40"/>
                      <w:jc w:val="right"/>
                      <w:rPr>
                        <w:rFonts w:ascii="Arial" w:hAnsi="Arial"/>
                        <w:b/>
                        <w:sz w:val="16"/>
                      </w:rPr>
                    </w:pPr>
                    <w:r>
                      <w:rPr>
                        <w:rFonts w:ascii="Arial" w:hAnsi="Arial"/>
                        <w:b/>
                        <w:sz w:val="16"/>
                      </w:rPr>
                      <w:t>News Media Information 202 / 418-0500</w:t>
                    </w:r>
                  </w:p>
                  <w:p w:rsidR="00782ED2" w14:paraId="72F75851"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82ED2" w14:paraId="160415B6" w14:textId="77777777">
                    <w:pPr>
                      <w:jc w:val="right"/>
                      <w:rPr>
                        <w:rFonts w:ascii="Arial" w:hAnsi="Arial"/>
                        <w:b/>
                        <w:sz w:val="16"/>
                      </w:rPr>
                    </w:pPr>
                    <w:r>
                      <w:rPr>
                        <w:rFonts w:ascii="Arial" w:hAnsi="Arial"/>
                        <w:b/>
                        <w:sz w:val="16"/>
                      </w:rPr>
                      <w:t>TTY: 1-888-835-5322</w:t>
                    </w:r>
                  </w:p>
                  <w:p w:rsidR="00782ED2" w14:paraId="35C1AB61" w14:textId="77777777">
                    <w:pPr>
                      <w:jc w:val="right"/>
                    </w:pPr>
                  </w:p>
                </w:txbxContent>
              </v:textbox>
            </v:shape>
          </w:pict>
        </mc:Fallback>
      </mc:AlternateContent>
    </w:r>
  </w:p>
  <w:p w:rsidR="00782ED2" w14:paraId="533E12A6" w14:textId="77777777">
    <w:pPr>
      <w:pStyle w:val="Header"/>
      <w:tabs>
        <w:tab w:val="left" w:pos="1080"/>
        <w:tab w:val="clear" w:pos="4320"/>
        <w:tab w:val="clear" w:pos="8640"/>
      </w:tabs>
      <w:ind w:left="720"/>
      <w:rPr>
        <w:rFonts w:ascii="Arial" w:hAnsi="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782ED2"/>
    <w:rsid w:val="00483C30"/>
    <w:rsid w:val="004D6D6E"/>
    <w:rsid w:val="00782ED2"/>
    <w:rsid w:val="007A1BCA"/>
    <w:rsid w:val="007B6FA1"/>
    <w:rsid w:val="00893CDF"/>
    <w:rsid w:val="008F14B6"/>
    <w:rsid w:val="00950344"/>
    <w:rsid w:val="00A00C69"/>
    <w:rsid w:val="00A14027"/>
    <w:rsid w:val="00A96FE0"/>
    <w:rsid w:val="00BF7D6C"/>
    <w:rsid w:val="00C23176"/>
    <w:rsid w:val="00D164F8"/>
    <w:rsid w:val="00F05CB6"/>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3D8FAA2-4586-4BC9-86F2-5C84B85A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D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82ED2"/>
    <w:pPr>
      <w:tabs>
        <w:tab w:val="center" w:pos="4320"/>
        <w:tab w:val="right" w:pos="8640"/>
      </w:tabs>
    </w:pPr>
  </w:style>
  <w:style w:type="character" w:customStyle="1" w:styleId="HeaderChar">
    <w:name w:val="Header Char"/>
    <w:basedOn w:val="DefaultParagraphFont"/>
    <w:link w:val="Header"/>
    <w:semiHidden/>
    <w:rsid w:val="00782ED2"/>
    <w:rPr>
      <w:rFonts w:ascii="Times New Roman" w:eastAsia="Times New Roman" w:hAnsi="Times New Roman" w:cs="Times New Roman"/>
      <w:szCs w:val="20"/>
    </w:rPr>
  </w:style>
  <w:style w:type="paragraph" w:styleId="Footer">
    <w:name w:val="footer"/>
    <w:basedOn w:val="Normal"/>
    <w:link w:val="FooterChar"/>
    <w:uiPriority w:val="99"/>
    <w:rsid w:val="00782ED2"/>
    <w:pPr>
      <w:tabs>
        <w:tab w:val="center" w:pos="4320"/>
        <w:tab w:val="right" w:pos="8640"/>
      </w:tabs>
    </w:pPr>
  </w:style>
  <w:style w:type="character" w:customStyle="1" w:styleId="FooterChar">
    <w:name w:val="Footer Char"/>
    <w:basedOn w:val="DefaultParagraphFont"/>
    <w:link w:val="Footer"/>
    <w:uiPriority w:val="99"/>
    <w:rsid w:val="00782ED2"/>
    <w:rPr>
      <w:rFonts w:ascii="Times New Roman" w:eastAsia="Times New Roman" w:hAnsi="Times New Roman" w:cs="Times New Roman"/>
      <w:szCs w:val="20"/>
    </w:rPr>
  </w:style>
  <w:style w:type="character" w:styleId="FootnoteReference">
    <w:name w:val="footnote reference"/>
    <w:uiPriority w:val="99"/>
    <w:rsid w:val="00782ED2"/>
    <w:rPr>
      <w:vertAlign w:val="superscript"/>
    </w:rPr>
  </w:style>
  <w:style w:type="paragraph" w:styleId="FootnoteText">
    <w:name w:val="footnote text"/>
    <w:basedOn w:val="Normal"/>
    <w:link w:val="FootnoteTextChar"/>
    <w:rsid w:val="00782ED2"/>
    <w:pPr>
      <w:tabs>
        <w:tab w:val="left" w:pos="720"/>
      </w:tabs>
      <w:spacing w:after="200"/>
    </w:pPr>
  </w:style>
  <w:style w:type="character" w:customStyle="1" w:styleId="FootnoteTextChar">
    <w:name w:val="Footnote Text Char"/>
    <w:basedOn w:val="DefaultParagraphFont"/>
    <w:link w:val="FootnoteText"/>
    <w:rsid w:val="00782ED2"/>
    <w:rPr>
      <w:rFonts w:ascii="Times New Roman" w:eastAsia="Times New Roman" w:hAnsi="Times New Roman" w:cs="Times New Roman"/>
      <w:szCs w:val="20"/>
    </w:rPr>
  </w:style>
  <w:style w:type="paragraph" w:styleId="NormalWeb">
    <w:name w:val="Normal (Web)"/>
    <w:basedOn w:val="Normal"/>
    <w:uiPriority w:val="99"/>
    <w:unhideWhenUsed/>
    <w:rsid w:val="00782ED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