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7033D">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7033D">
      <w:pPr>
        <w:jc w:val="right"/>
        <w:rPr>
          <w:b/>
          <w:szCs w:val="22"/>
        </w:rPr>
      </w:pPr>
      <w:bookmarkStart w:id="1" w:name="_Hlk26280526"/>
      <w:r>
        <w:rPr>
          <w:b/>
          <w:szCs w:val="22"/>
        </w:rPr>
        <w:t>DA 20</w:t>
      </w:r>
      <w:r w:rsidR="002D09E2">
        <w:rPr>
          <w:b/>
          <w:szCs w:val="22"/>
        </w:rPr>
        <w:t>-</w:t>
      </w:r>
      <w:r w:rsidR="00E714D1">
        <w:rPr>
          <w:b/>
          <w:szCs w:val="22"/>
        </w:rPr>
        <w:t>1308</w:t>
      </w:r>
      <w:bookmarkStart w:id="2" w:name="_GoBack"/>
      <w:bookmarkEnd w:id="2"/>
    </w:p>
    <w:p w:rsidR="00E7033D">
      <w:pPr>
        <w:spacing w:before="60"/>
        <w:jc w:val="right"/>
        <w:rPr>
          <w:b/>
          <w:szCs w:val="22"/>
        </w:rPr>
      </w:pPr>
      <w:r>
        <w:rPr>
          <w:b/>
          <w:szCs w:val="22"/>
        </w:rPr>
        <w:t>November</w:t>
      </w:r>
      <w:r w:rsidR="002D09E2">
        <w:rPr>
          <w:b/>
          <w:szCs w:val="22"/>
        </w:rPr>
        <w:t xml:space="preserve"> </w:t>
      </w:r>
      <w:r w:rsidR="00967409">
        <w:rPr>
          <w:b/>
          <w:szCs w:val="22"/>
        </w:rPr>
        <w:t>3</w:t>
      </w:r>
      <w:r w:rsidR="008C294A">
        <w:rPr>
          <w:b/>
          <w:szCs w:val="22"/>
        </w:rPr>
        <w:t>, 2020</w:t>
      </w:r>
    </w:p>
    <w:p w:rsidR="00E7033D">
      <w:pPr>
        <w:tabs>
          <w:tab w:val="left" w:pos="5900"/>
        </w:tabs>
        <w:rPr>
          <w:szCs w:val="22"/>
        </w:rPr>
      </w:pPr>
      <w:r>
        <w:rPr>
          <w:szCs w:val="22"/>
        </w:rPr>
        <w:tab/>
      </w:r>
    </w:p>
    <w:p w:rsidR="00E7033D" w:rsidP="002D09E2">
      <w:pPr>
        <w:jc w:val="center"/>
        <w:rPr>
          <w:rFonts w:eastAsia="Calibri"/>
          <w:b/>
          <w:caps/>
          <w:szCs w:val="22"/>
        </w:rPr>
      </w:pPr>
      <w:bookmarkStart w:id="3" w:name="_Hlk519509475"/>
      <w:bookmarkStart w:id="4" w:name="_Hlk502044717"/>
      <w:bookmarkStart w:id="5" w:name="_Hlk516578398"/>
      <w:r>
        <w:rPr>
          <w:b/>
          <w:bCs/>
          <w:szCs w:val="22"/>
        </w:rPr>
        <w:t xml:space="preserve">DOMESTIC </w:t>
      </w:r>
      <w:r>
        <w:rPr>
          <w:b/>
          <w:bCs/>
          <w:caps/>
          <w:szCs w:val="22"/>
        </w:rPr>
        <w:t>SECTION</w:t>
      </w:r>
      <w:r>
        <w:rPr>
          <w:b/>
          <w:bCs/>
          <w:szCs w:val="22"/>
        </w:rPr>
        <w:t xml:space="preserve"> 214 APPLICATION FILED FOR THE</w:t>
      </w:r>
      <w:r w:rsidR="005320B5">
        <w:rPr>
          <w:b/>
          <w:bCs/>
          <w:szCs w:val="22"/>
        </w:rPr>
        <w:t xml:space="preserve"> </w:t>
      </w:r>
      <w:r>
        <w:rPr>
          <w:b/>
          <w:bCs/>
          <w:szCs w:val="22"/>
        </w:rPr>
        <w:t xml:space="preserve">TRANSFER OF CONTROL OF </w:t>
      </w:r>
      <w:bookmarkEnd w:id="3"/>
      <w:bookmarkEnd w:id="4"/>
      <w:bookmarkEnd w:id="5"/>
      <w:r w:rsidR="005320B5">
        <w:rPr>
          <w:b/>
          <w:bCs/>
          <w:szCs w:val="22"/>
        </w:rPr>
        <w:t>DUCOR TELEPHONE COMPANY D/B/A VARCOMM</w:t>
      </w:r>
      <w:r w:rsidR="0060105E">
        <w:rPr>
          <w:b/>
          <w:bCs/>
          <w:szCs w:val="22"/>
        </w:rPr>
        <w:t xml:space="preserve"> HOLDINGS, INC</w:t>
      </w:r>
      <w:r w:rsidR="002C47F7">
        <w:rPr>
          <w:b/>
          <w:bCs/>
          <w:szCs w:val="22"/>
        </w:rPr>
        <w:t>.</w:t>
      </w:r>
      <w:r w:rsidR="005320B5">
        <w:rPr>
          <w:b/>
          <w:bCs/>
          <w:szCs w:val="22"/>
        </w:rPr>
        <w:t xml:space="preserve"> </w:t>
      </w:r>
    </w:p>
    <w:p w:rsidR="00E7033D" w:rsidP="00B908C9">
      <w:pPr>
        <w:autoSpaceDE w:val="0"/>
        <w:autoSpaceDN w:val="0"/>
        <w:adjustRightInd w:val="0"/>
        <w:jc w:val="right"/>
        <w:rPr>
          <w:b/>
          <w:bCs/>
          <w:szCs w:val="22"/>
        </w:rPr>
      </w:pPr>
    </w:p>
    <w:p w:rsidR="00E7033D">
      <w:pPr>
        <w:jc w:val="center"/>
        <w:rPr>
          <w:b/>
          <w:szCs w:val="22"/>
        </w:rPr>
      </w:pPr>
      <w:r>
        <w:rPr>
          <w:b/>
          <w:bCs/>
          <w:szCs w:val="22"/>
        </w:rPr>
        <w:t>STREA</w:t>
      </w:r>
      <w:r>
        <w:rPr>
          <w:b/>
          <w:szCs w:val="22"/>
        </w:rPr>
        <w:t>MLINED PLEADING CYCLE ESTABLISHED</w:t>
      </w:r>
    </w:p>
    <w:p w:rsidR="00E7033D">
      <w:pPr>
        <w:jc w:val="center"/>
        <w:rPr>
          <w:b/>
          <w:szCs w:val="22"/>
        </w:rPr>
      </w:pPr>
    </w:p>
    <w:p w:rsidR="00E7033D">
      <w:pPr>
        <w:jc w:val="center"/>
        <w:rPr>
          <w:b/>
          <w:szCs w:val="22"/>
        </w:rPr>
      </w:pPr>
      <w:r>
        <w:rPr>
          <w:b/>
          <w:szCs w:val="22"/>
        </w:rPr>
        <w:t xml:space="preserve"> WC Docket No. 20-</w:t>
      </w:r>
      <w:r w:rsidR="004913FF">
        <w:rPr>
          <w:b/>
          <w:szCs w:val="22"/>
        </w:rPr>
        <w:t>3</w:t>
      </w:r>
      <w:r w:rsidR="005320B5">
        <w:rPr>
          <w:b/>
          <w:szCs w:val="22"/>
        </w:rPr>
        <w:t>53</w:t>
      </w:r>
    </w:p>
    <w:p w:rsidR="00E7033D">
      <w:pPr>
        <w:jc w:val="center"/>
        <w:rPr>
          <w:szCs w:val="22"/>
        </w:rPr>
      </w:pPr>
    </w:p>
    <w:p w:rsidR="00E7033D">
      <w:pPr>
        <w:pStyle w:val="NoSpacing"/>
        <w:rPr>
          <w:b/>
          <w:szCs w:val="22"/>
        </w:rPr>
      </w:pPr>
      <w:r>
        <w:rPr>
          <w:b/>
          <w:szCs w:val="22"/>
        </w:rPr>
        <w:t xml:space="preserve">Comments Due:  </w:t>
      </w:r>
      <w:r w:rsidR="002D09E2">
        <w:rPr>
          <w:b/>
          <w:szCs w:val="22"/>
        </w:rPr>
        <w:t xml:space="preserve">November </w:t>
      </w:r>
      <w:r w:rsidR="00967409">
        <w:rPr>
          <w:b/>
          <w:szCs w:val="22"/>
        </w:rPr>
        <w:t>17</w:t>
      </w:r>
      <w:r>
        <w:rPr>
          <w:b/>
          <w:szCs w:val="22"/>
        </w:rPr>
        <w:t>, 2020</w:t>
      </w:r>
    </w:p>
    <w:p w:rsidR="00E7033D">
      <w:pPr>
        <w:pStyle w:val="NoSpacing"/>
        <w:rPr>
          <w:b/>
          <w:szCs w:val="22"/>
        </w:rPr>
      </w:pPr>
      <w:r>
        <w:rPr>
          <w:b/>
          <w:szCs w:val="22"/>
        </w:rPr>
        <w:t xml:space="preserve">Reply Comments Due:  </w:t>
      </w:r>
      <w:r w:rsidR="002D09E2">
        <w:rPr>
          <w:b/>
          <w:szCs w:val="22"/>
        </w:rPr>
        <w:t xml:space="preserve">November </w:t>
      </w:r>
      <w:r w:rsidR="00967409">
        <w:rPr>
          <w:b/>
          <w:szCs w:val="22"/>
        </w:rPr>
        <w:t>24</w:t>
      </w:r>
      <w:r>
        <w:rPr>
          <w:b/>
          <w:szCs w:val="22"/>
        </w:rPr>
        <w:t>, 2020</w:t>
      </w:r>
    </w:p>
    <w:bookmarkEnd w:id="1"/>
    <w:p w:rsidR="00760269" w:rsidRPr="00A92C9E" w:rsidP="007C30DA">
      <w:pPr>
        <w:tabs>
          <w:tab w:val="left" w:pos="6221"/>
        </w:tabs>
        <w:autoSpaceDE w:val="0"/>
        <w:autoSpaceDN w:val="0"/>
        <w:adjustRightInd w:val="0"/>
        <w:spacing w:after="120"/>
        <w:rPr>
          <w:rFonts w:ascii="TimesNewRomanPSMT" w:hAnsi="TimesNewRomanPSMT" w:cs="TimesNewRomanPSMT"/>
          <w:szCs w:val="22"/>
        </w:rPr>
      </w:pPr>
      <w:r>
        <w:rPr>
          <w:rFonts w:ascii="TimesNewRomanPSMT" w:hAnsi="TimesNewRomanPSMT" w:cs="TimesNewRomanPSMT"/>
          <w:szCs w:val="22"/>
        </w:rPr>
        <w:tab/>
      </w:r>
    </w:p>
    <w:p w:rsidR="005320B5" w:rsidRPr="00A92C9E" w:rsidP="007C30DA">
      <w:pPr>
        <w:autoSpaceDE w:val="0"/>
        <w:autoSpaceDN w:val="0"/>
        <w:adjustRightInd w:val="0"/>
        <w:spacing w:after="120"/>
        <w:ind w:firstLine="720"/>
        <w:rPr>
          <w:szCs w:val="22"/>
        </w:rPr>
      </w:pPr>
      <w:r w:rsidRPr="00A92C9E">
        <w:rPr>
          <w:szCs w:val="22"/>
        </w:rPr>
        <w:t>By this Public Notice, the Wireline Competition Bureau seeks comment from interested parties on an application filed by</w:t>
      </w:r>
      <w:r w:rsidRPr="00A92C9E" w:rsidR="00760269">
        <w:rPr>
          <w:szCs w:val="22"/>
        </w:rPr>
        <w:t xml:space="preserve"> </w:t>
      </w:r>
      <w:r>
        <w:rPr>
          <w:szCs w:val="22"/>
        </w:rPr>
        <w:t>Galen Norsworthy (</w:t>
      </w:r>
      <w:r w:rsidR="00AB7DD7">
        <w:rPr>
          <w:szCs w:val="22"/>
        </w:rPr>
        <w:t xml:space="preserve">the </w:t>
      </w:r>
      <w:r>
        <w:rPr>
          <w:szCs w:val="22"/>
        </w:rPr>
        <w:t>Dece</w:t>
      </w:r>
      <w:r w:rsidR="00AB7DD7">
        <w:rPr>
          <w:szCs w:val="22"/>
        </w:rPr>
        <w:t>dent</w:t>
      </w:r>
      <w:r>
        <w:rPr>
          <w:szCs w:val="22"/>
        </w:rPr>
        <w:t>)</w:t>
      </w:r>
      <w:r w:rsidR="00070D65">
        <w:rPr>
          <w:szCs w:val="22"/>
        </w:rPr>
        <w:t>,</w:t>
      </w:r>
      <w:r>
        <w:rPr>
          <w:szCs w:val="22"/>
        </w:rPr>
        <w:t xml:space="preserve"> the Estate of Galen Norsworthy</w:t>
      </w:r>
      <w:r w:rsidR="00AB7DD7">
        <w:rPr>
          <w:szCs w:val="22"/>
        </w:rPr>
        <w:t xml:space="preserve"> (the Estate)</w:t>
      </w:r>
      <w:r>
        <w:rPr>
          <w:szCs w:val="22"/>
        </w:rPr>
        <w:t xml:space="preserve">, and Ducor Telephone Company d/b/a Varcomm (Ducor) </w:t>
      </w:r>
      <w:r w:rsidRPr="00A92C9E" w:rsidR="00EE37C8">
        <w:rPr>
          <w:szCs w:val="22"/>
        </w:rPr>
        <w:t xml:space="preserve">(collectively, Applicants), </w:t>
      </w:r>
      <w:r w:rsidRPr="00A92C9E">
        <w:rPr>
          <w:szCs w:val="22"/>
        </w:rPr>
        <w:t>pursuant to section 214 of the Communications Act of 1934, as amended, and sections 63.03-04 of the Commission’s rules,</w:t>
      </w:r>
      <w:r>
        <w:rPr>
          <w:rStyle w:val="FootnoteReference"/>
          <w:szCs w:val="22"/>
        </w:rPr>
        <w:footnoteReference w:id="3"/>
      </w:r>
      <w:r w:rsidRPr="00A92C9E">
        <w:rPr>
          <w:szCs w:val="22"/>
        </w:rPr>
        <w:t xml:space="preserve"> requesting consent </w:t>
      </w:r>
      <w:r w:rsidR="009779A2">
        <w:rPr>
          <w:szCs w:val="22"/>
        </w:rPr>
        <w:t>for the</w:t>
      </w:r>
      <w:r w:rsidRPr="00A92C9E">
        <w:rPr>
          <w:szCs w:val="22"/>
        </w:rPr>
        <w:t xml:space="preserve"> transfer </w:t>
      </w:r>
      <w:r w:rsidR="002D136F">
        <w:rPr>
          <w:szCs w:val="22"/>
        </w:rPr>
        <w:t xml:space="preserve">of </w:t>
      </w:r>
      <w:r w:rsidRPr="00A92C9E">
        <w:rPr>
          <w:szCs w:val="22"/>
        </w:rPr>
        <w:t>control</w:t>
      </w:r>
      <w:r w:rsidR="00087205">
        <w:rPr>
          <w:szCs w:val="22"/>
        </w:rPr>
        <w:t xml:space="preserve"> of </w:t>
      </w:r>
      <w:r>
        <w:rPr>
          <w:szCs w:val="22"/>
        </w:rPr>
        <w:t xml:space="preserve">Ducor from </w:t>
      </w:r>
      <w:r w:rsidR="009779A2">
        <w:rPr>
          <w:szCs w:val="22"/>
        </w:rPr>
        <w:t>the Dece</w:t>
      </w:r>
      <w:r w:rsidR="00AB7DD7">
        <w:rPr>
          <w:szCs w:val="22"/>
        </w:rPr>
        <w:t>dent</w:t>
      </w:r>
      <w:r>
        <w:rPr>
          <w:szCs w:val="22"/>
        </w:rPr>
        <w:t xml:space="preserve"> to </w:t>
      </w:r>
      <w:r w:rsidR="00AB7DD7">
        <w:rPr>
          <w:szCs w:val="22"/>
        </w:rPr>
        <w:t>the</w:t>
      </w:r>
      <w:r>
        <w:rPr>
          <w:szCs w:val="22"/>
        </w:rPr>
        <w:t xml:space="preserve"> </w:t>
      </w:r>
      <w:r w:rsidR="00AB7DD7">
        <w:rPr>
          <w:szCs w:val="22"/>
        </w:rPr>
        <w:t>E</w:t>
      </w:r>
      <w:r>
        <w:rPr>
          <w:szCs w:val="22"/>
        </w:rPr>
        <w:t>state.</w:t>
      </w:r>
      <w:r>
        <w:rPr>
          <w:rStyle w:val="FootnoteReference"/>
          <w:szCs w:val="22"/>
        </w:rPr>
        <w:footnoteReference w:id="4"/>
      </w:r>
      <w:r w:rsidRPr="00A92C9E" w:rsidR="00434C96">
        <w:rPr>
          <w:szCs w:val="22"/>
        </w:rPr>
        <w:t xml:space="preserve"> </w:t>
      </w:r>
    </w:p>
    <w:p w:rsidR="00B958E7" w:rsidRPr="0008381D" w:rsidP="007C30DA">
      <w:pPr>
        <w:autoSpaceDE w:val="0"/>
        <w:autoSpaceDN w:val="0"/>
        <w:adjustRightInd w:val="0"/>
        <w:spacing w:after="120"/>
      </w:pPr>
      <w:r>
        <w:tab/>
      </w:r>
      <w:r w:rsidR="0060105E">
        <w:t>Ducor</w:t>
      </w:r>
      <w:r w:rsidR="009779A2">
        <w:t xml:space="preserve">, </w:t>
      </w:r>
      <w:r w:rsidR="0060105E">
        <w:t>a California corporation</w:t>
      </w:r>
      <w:r w:rsidR="009779A2">
        <w:t>,</w:t>
      </w:r>
      <w:r w:rsidR="0060105E">
        <w:t xml:space="preserve"> provides service as an incumbent local exchange carrier (LEC) in three rural exchanges (approximately 985 total access lines) that serve the communities of Ducor and Kennedy Meadows in Tulare County in south central California and Rancho Tehama Reserve in Tehama County in northern Cali</w:t>
      </w:r>
      <w:r w:rsidR="00F65523">
        <w:t>f</w:t>
      </w:r>
      <w:r w:rsidR="0060105E">
        <w:t>ornia.</w:t>
      </w:r>
      <w:r>
        <w:t xml:space="preserve"> </w:t>
      </w:r>
      <w:r w:rsidR="0030742E">
        <w:t xml:space="preserve"> Ducor is wholly owned </w:t>
      </w:r>
      <w:r w:rsidR="002D136F">
        <w:t xml:space="preserve">by </w:t>
      </w:r>
      <w:r w:rsidR="0030742E">
        <w:t xml:space="preserve">Varcomm, a California corporation and holding company, which, </w:t>
      </w:r>
      <w:r w:rsidR="00F107E6">
        <w:t>prior to September 25, 2020</w:t>
      </w:r>
      <w:r w:rsidR="0030742E">
        <w:t xml:space="preserve">, </w:t>
      </w:r>
      <w:r w:rsidR="00F107E6">
        <w:t>wa</w:t>
      </w:r>
      <w:r w:rsidR="0030742E">
        <w:t>s owned by the Dece</w:t>
      </w:r>
      <w:r w:rsidR="002D136F">
        <w:t>dent</w:t>
      </w:r>
      <w:r w:rsidR="0030742E">
        <w:t xml:space="preserve"> (67%) and Ronald Roome (19%), a U.S. citizen.</w:t>
      </w:r>
      <w:r>
        <w:rPr>
          <w:rStyle w:val="FootnoteReference"/>
        </w:rPr>
        <w:footnoteReference w:id="5"/>
      </w:r>
      <w:r w:rsidR="0030742E">
        <w:t xml:space="preserve">  </w:t>
      </w:r>
      <w:r w:rsidR="00F65523">
        <w:t xml:space="preserve"> </w:t>
      </w:r>
    </w:p>
    <w:p w:rsidR="00460914" w:rsidRPr="009779A2" w:rsidP="007C30DA">
      <w:pPr>
        <w:autoSpaceDE w:val="0"/>
        <w:autoSpaceDN w:val="0"/>
        <w:adjustRightInd w:val="0"/>
        <w:spacing w:after="120"/>
        <w:ind w:firstLine="720"/>
        <w:rPr>
          <w:szCs w:val="22"/>
        </w:rPr>
      </w:pPr>
      <w:r>
        <w:rPr>
          <w:szCs w:val="22"/>
        </w:rPr>
        <w:t>Pursuant to the transfer, t</w:t>
      </w:r>
      <w:r>
        <w:rPr>
          <w:szCs w:val="22"/>
        </w:rPr>
        <w:t xml:space="preserve">he 67% ownership interest </w:t>
      </w:r>
      <w:r w:rsidR="00AB7DD7">
        <w:rPr>
          <w:szCs w:val="22"/>
        </w:rPr>
        <w:t>held by</w:t>
      </w:r>
      <w:r>
        <w:rPr>
          <w:szCs w:val="22"/>
        </w:rPr>
        <w:t xml:space="preserve"> the Estate in Varcomm gives the Estate control of Ducor. </w:t>
      </w:r>
      <w:r>
        <w:rPr>
          <w:szCs w:val="22"/>
        </w:rPr>
        <w:t xml:space="preserve"> </w:t>
      </w:r>
      <w:r w:rsidR="00066D12">
        <w:rPr>
          <w:bCs/>
          <w:szCs w:val="22"/>
        </w:rPr>
        <w:t xml:space="preserve">Applicants request streamlined treatment of the transaction under the Commission’s rules and assert that a grant of the application would serve the public interest, convenience, and necessity. </w:t>
      </w:r>
      <w:r w:rsidR="00395A7A">
        <w:rPr>
          <w:bCs/>
          <w:szCs w:val="22"/>
        </w:rPr>
        <w:t xml:space="preserve"> </w:t>
      </w:r>
      <w:r w:rsidR="00066D12">
        <w:rPr>
          <w:bCs/>
          <w:szCs w:val="22"/>
        </w:rPr>
        <w:t xml:space="preserve">We accept this application for filing under section </w:t>
      </w:r>
      <w:r w:rsidRPr="00412DA6" w:rsidR="00066D12">
        <w:rPr>
          <w:bCs/>
          <w:szCs w:val="22"/>
        </w:rPr>
        <w:t>63.03(b)(</w:t>
      </w:r>
      <w:r w:rsidR="00CC2C01">
        <w:rPr>
          <w:bCs/>
          <w:szCs w:val="22"/>
        </w:rPr>
        <w:t>1</w:t>
      </w:r>
      <w:r w:rsidRPr="00412DA6" w:rsidR="00066D12">
        <w:rPr>
          <w:bCs/>
          <w:szCs w:val="22"/>
        </w:rPr>
        <w:t>)(</w:t>
      </w:r>
      <w:r w:rsidRPr="00412DA6" w:rsidR="0001280D">
        <w:rPr>
          <w:bCs/>
          <w:szCs w:val="22"/>
        </w:rPr>
        <w:t>i</w:t>
      </w:r>
      <w:r w:rsidRPr="00412DA6" w:rsidR="00066D12">
        <w:rPr>
          <w:bCs/>
          <w:szCs w:val="22"/>
        </w:rPr>
        <w:t>i)</w:t>
      </w:r>
      <w:r w:rsidR="00066D12">
        <w:rPr>
          <w:bCs/>
          <w:szCs w:val="22"/>
        </w:rPr>
        <w:t xml:space="preserve"> of the Commission’s rules.</w:t>
      </w:r>
      <w:r>
        <w:rPr>
          <w:bCs/>
          <w:szCs w:val="22"/>
          <w:vertAlign w:val="superscript"/>
        </w:rPr>
        <w:footnoteReference w:id="6"/>
      </w:r>
      <w:r w:rsidR="00066D12">
        <w:rPr>
          <w:bCs/>
          <w:szCs w:val="22"/>
        </w:rPr>
        <w:t xml:space="preserve"> </w:t>
      </w:r>
    </w:p>
    <w:p w:rsidR="003855A0" w:rsidP="003855A0">
      <w:pPr>
        <w:ind w:left="720"/>
        <w:rPr>
          <w:szCs w:val="22"/>
        </w:rPr>
      </w:pPr>
      <w:r>
        <w:rPr>
          <w:szCs w:val="22"/>
        </w:rPr>
        <w:t>Domestic Section 214 Application Filed for the Transfer of Control of</w:t>
      </w:r>
      <w:r>
        <w:rPr>
          <w:szCs w:val="22"/>
        </w:rPr>
        <w:t xml:space="preserve"> </w:t>
      </w:r>
    </w:p>
    <w:p w:rsidR="003855A0" w:rsidP="003855A0">
      <w:pPr>
        <w:ind w:left="720"/>
        <w:rPr>
          <w:szCs w:val="22"/>
        </w:rPr>
      </w:pPr>
      <w:r>
        <w:rPr>
          <w:szCs w:val="22"/>
        </w:rPr>
        <w:t xml:space="preserve">Ducor Telephone Company d/b/a Varcomm Holdings, Inc., </w:t>
      </w:r>
    </w:p>
    <w:p w:rsidR="00E7033D" w:rsidP="00EB2E3F">
      <w:pPr>
        <w:ind w:left="720"/>
        <w:rPr>
          <w:bCs/>
          <w:szCs w:val="22"/>
        </w:rPr>
      </w:pPr>
      <w:r>
        <w:rPr>
          <w:szCs w:val="22"/>
        </w:rPr>
        <w:t>WC Docket No. 20-</w:t>
      </w:r>
      <w:r w:rsidR="004913FF">
        <w:rPr>
          <w:szCs w:val="22"/>
        </w:rPr>
        <w:t>3</w:t>
      </w:r>
      <w:r w:rsidR="0060105E">
        <w:rPr>
          <w:szCs w:val="22"/>
        </w:rPr>
        <w:t>53</w:t>
      </w:r>
      <w:r>
        <w:rPr>
          <w:szCs w:val="22"/>
        </w:rPr>
        <w:t xml:space="preserve"> (filed </w:t>
      </w:r>
      <w:r w:rsidR="003855A0">
        <w:rPr>
          <w:szCs w:val="22"/>
        </w:rPr>
        <w:t>Oct</w:t>
      </w:r>
      <w:r w:rsidR="009101A4">
        <w:rPr>
          <w:szCs w:val="22"/>
        </w:rPr>
        <w:t>.</w:t>
      </w:r>
      <w:r w:rsidR="003855A0">
        <w:rPr>
          <w:szCs w:val="22"/>
        </w:rPr>
        <w:t xml:space="preserve"> 2</w:t>
      </w:r>
      <w:r w:rsidR="0060105E">
        <w:rPr>
          <w:szCs w:val="22"/>
        </w:rPr>
        <w:t>9</w:t>
      </w:r>
      <w:r>
        <w:rPr>
          <w:szCs w:val="22"/>
        </w:rPr>
        <w:t>, 2020).</w:t>
      </w:r>
    </w:p>
    <w:p w:rsidR="00821491">
      <w:pPr>
        <w:autoSpaceDE w:val="0"/>
        <w:autoSpaceDN w:val="0"/>
        <w:adjustRightInd w:val="0"/>
        <w:rPr>
          <w:szCs w:val="22"/>
        </w:rPr>
      </w:pPr>
    </w:p>
    <w:p w:rsidR="00E7033D">
      <w:pPr>
        <w:autoSpaceDE w:val="0"/>
        <w:autoSpaceDN w:val="0"/>
        <w:adjustRightInd w:val="0"/>
        <w:rPr>
          <w:szCs w:val="22"/>
        </w:rPr>
      </w:pPr>
      <w:r>
        <w:rPr>
          <w:b/>
          <w:szCs w:val="22"/>
          <w:u w:val="single"/>
        </w:rPr>
        <w:t>GENERAL INFORMATION</w:t>
      </w:r>
    </w:p>
    <w:p w:rsidR="00E7033D">
      <w:pPr>
        <w:autoSpaceDE w:val="0"/>
        <w:autoSpaceDN w:val="0"/>
        <w:adjustRightInd w:val="0"/>
        <w:rPr>
          <w:szCs w:val="22"/>
        </w:rPr>
      </w:pPr>
    </w:p>
    <w:p w:rsidR="00E7033D" w:rsidP="0008381D">
      <w:pPr>
        <w:autoSpaceDE w:val="0"/>
        <w:autoSpaceDN w:val="0"/>
        <w:adjustRightInd w:val="0"/>
        <w:spacing w:after="120"/>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on or before</w:t>
      </w:r>
      <w:r w:rsidR="005932BA">
        <w:rPr>
          <w:b/>
          <w:szCs w:val="22"/>
        </w:rPr>
        <w:t xml:space="preserve"> </w:t>
      </w:r>
      <w:r w:rsidR="006F4D60">
        <w:rPr>
          <w:b/>
          <w:szCs w:val="22"/>
        </w:rPr>
        <w:t xml:space="preserve">November </w:t>
      </w:r>
      <w:r w:rsidR="00967409">
        <w:rPr>
          <w:b/>
          <w:szCs w:val="22"/>
        </w:rPr>
        <w:t>17</w:t>
      </w:r>
      <w:r>
        <w:rPr>
          <w:b/>
          <w:szCs w:val="22"/>
        </w:rPr>
        <w:t>, 2020</w:t>
      </w:r>
      <w:r>
        <w:rPr>
          <w:szCs w:val="22"/>
        </w:rPr>
        <w:t xml:space="preserve">, and reply comments </w:t>
      </w:r>
      <w:r>
        <w:rPr>
          <w:b/>
          <w:szCs w:val="22"/>
        </w:rPr>
        <w:t xml:space="preserve">on or before </w:t>
      </w:r>
      <w:r w:rsidR="006F4D60">
        <w:rPr>
          <w:b/>
          <w:bCs/>
          <w:szCs w:val="22"/>
        </w:rPr>
        <w:t xml:space="preserve">November </w:t>
      </w:r>
      <w:r w:rsidR="00967409">
        <w:rPr>
          <w:b/>
          <w:bCs/>
          <w:szCs w:val="22"/>
        </w:rPr>
        <w:t>24</w:t>
      </w:r>
      <w:r>
        <w:rPr>
          <w:b/>
          <w:szCs w:val="22"/>
        </w:rPr>
        <w:t>, 2020</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E7033D" w:rsidRPr="0008381D" w:rsidP="0008381D">
      <w:pPr>
        <w:autoSpaceDE w:val="0"/>
        <w:autoSpaceDN w:val="0"/>
        <w:adjustRightInd w:val="0"/>
        <w:spacing w:after="12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E7033D" w:rsidP="0008381D">
      <w:pPr>
        <w:autoSpaceDE w:val="0"/>
        <w:autoSpaceDN w:val="0"/>
        <w:adjustRightInd w:val="0"/>
        <w:spacing w:after="120"/>
        <w:ind w:firstLine="720"/>
        <w:rPr>
          <w:b/>
          <w:szCs w:val="22"/>
        </w:rPr>
      </w:pPr>
      <w:r>
        <w:rPr>
          <w:b/>
          <w:szCs w:val="22"/>
        </w:rPr>
        <w:t>In addition, e-mail one copy of each pleading to each of the following:</w:t>
      </w:r>
    </w:p>
    <w:p w:rsidR="00E7033D" w:rsidRPr="0008381D" w:rsidP="0008381D">
      <w:pPr>
        <w:numPr>
          <w:ilvl w:val="0"/>
          <w:numId w:val="18"/>
        </w:numPr>
        <w:autoSpaceDE w:val="0"/>
        <w:autoSpaceDN w:val="0"/>
        <w:adjustRightInd w:val="0"/>
        <w:spacing w:after="120"/>
        <w:rPr>
          <w:szCs w:val="22"/>
        </w:rPr>
      </w:pPr>
      <w:r>
        <w:rPr>
          <w:szCs w:val="22"/>
        </w:rPr>
        <w:t>Tracey Wilson</w:t>
      </w:r>
      <w:r w:rsidR="00066D12">
        <w:rPr>
          <w:szCs w:val="22"/>
        </w:rPr>
        <w:t xml:space="preserve">, Competition Policy Division, Wireline Competition Bureau,  </w:t>
      </w:r>
      <w:hyperlink r:id="rId8" w:history="1">
        <w:r w:rsidRPr="002E0BAF">
          <w:rPr>
            <w:rStyle w:val="Hyperlink"/>
            <w:szCs w:val="22"/>
          </w:rPr>
          <w:t>tracey.wilson@fcc.gov</w:t>
        </w:r>
      </w:hyperlink>
      <w:r w:rsidR="00066D12">
        <w:rPr>
          <w:szCs w:val="22"/>
        </w:rPr>
        <w:t>;</w:t>
      </w:r>
    </w:p>
    <w:p w:rsidR="00E7033D" w:rsidRPr="0008381D" w:rsidP="0008381D">
      <w:pPr>
        <w:numPr>
          <w:ilvl w:val="0"/>
          <w:numId w:val="18"/>
        </w:numPr>
        <w:autoSpaceDE w:val="0"/>
        <w:autoSpaceDN w:val="0"/>
        <w:adjustRightInd w:val="0"/>
        <w:spacing w:after="120"/>
        <w:rPr>
          <w:szCs w:val="22"/>
        </w:rPr>
      </w:pPr>
      <w:r>
        <w:rPr>
          <w:szCs w:val="22"/>
        </w:rPr>
        <w:t>Gregory Kwan</w:t>
      </w:r>
      <w:r w:rsidR="008C294A">
        <w:rPr>
          <w:szCs w:val="22"/>
        </w:rPr>
        <w:t xml:space="preserve">, Competition Policy Division, Wireline Competition Bureau, </w:t>
      </w:r>
      <w:hyperlink r:id="rId9" w:history="1">
        <w:r w:rsidRPr="005D6611">
          <w:rPr>
            <w:rStyle w:val="Hyperlink"/>
            <w:szCs w:val="22"/>
          </w:rPr>
          <w:t>gregory.kwan@fcc.gov</w:t>
        </w:r>
      </w:hyperlink>
      <w:r w:rsidR="008C294A">
        <w:rPr>
          <w:szCs w:val="22"/>
        </w:rPr>
        <w:t xml:space="preserve">; </w:t>
      </w:r>
    </w:p>
    <w:p w:rsidR="00E7033D" w:rsidRPr="0008381D" w:rsidP="0008381D">
      <w:pPr>
        <w:numPr>
          <w:ilvl w:val="0"/>
          <w:numId w:val="18"/>
        </w:numPr>
        <w:autoSpaceDE w:val="0"/>
        <w:autoSpaceDN w:val="0"/>
        <w:adjustRightInd w:val="0"/>
        <w:spacing w:after="120"/>
        <w:rPr>
          <w:szCs w:val="22"/>
        </w:rPr>
      </w:pPr>
      <w:r>
        <w:rPr>
          <w:szCs w:val="22"/>
        </w:rPr>
        <w:t xml:space="preserve">Jim Bird, Office of General Counsel, </w:t>
      </w:r>
      <w:hyperlink r:id="rId10" w:history="1">
        <w:r>
          <w:rPr>
            <w:rStyle w:val="Hyperlink"/>
            <w:szCs w:val="22"/>
          </w:rPr>
          <w:t>jim.bird@fcc.gov</w:t>
        </w:r>
      </w:hyperlink>
      <w:r>
        <w:rPr>
          <w:szCs w:val="22"/>
        </w:rPr>
        <w:t>.</w:t>
      </w:r>
    </w:p>
    <w:p w:rsidR="00E7033D" w:rsidP="0008381D">
      <w:pPr>
        <w:autoSpaceDE w:val="0"/>
        <w:autoSpaceDN w:val="0"/>
        <w:adjustRightInd w:val="0"/>
        <w:spacing w:after="120"/>
        <w:ind w:firstLine="72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E7033D" w:rsidP="0008381D">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t>
      </w:r>
      <w:r>
        <w:rPr>
          <w:szCs w:val="22"/>
        </w:rPr>
        <w:t xml:space="preserve">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E7033D" w:rsidRPr="0008381D" w:rsidP="0008381D">
      <w:pPr>
        <w:autoSpaceDE w:val="0"/>
        <w:autoSpaceDN w:val="0"/>
        <w:adjustRightInd w:val="0"/>
        <w:spacing w:after="120"/>
        <w:ind w:firstLine="720"/>
        <w:rPr>
          <w:szCs w:val="22"/>
        </w:rPr>
      </w:pPr>
      <w:r>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7"/>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7033D" w:rsidP="0008381D">
      <w:pPr>
        <w:autoSpaceDE w:val="0"/>
        <w:autoSpaceDN w:val="0"/>
        <w:adjustRightInd w:val="0"/>
        <w:spacing w:after="120"/>
        <w:ind w:firstLine="720"/>
        <w:rPr>
          <w:szCs w:val="22"/>
        </w:rPr>
      </w:pPr>
      <w:r>
        <w:rPr>
          <w:szCs w:val="22"/>
        </w:rPr>
        <w:t xml:space="preserve">For further information, please contact </w:t>
      </w:r>
      <w:r w:rsidR="0060105E">
        <w:rPr>
          <w:szCs w:val="22"/>
        </w:rPr>
        <w:t>Tracey Wilson</w:t>
      </w:r>
      <w:r w:rsidR="004913FF">
        <w:rPr>
          <w:szCs w:val="22"/>
        </w:rPr>
        <w:t xml:space="preserve"> at (202) 418-1</w:t>
      </w:r>
      <w:r w:rsidR="0060105E">
        <w:rPr>
          <w:szCs w:val="22"/>
        </w:rPr>
        <w:t>394</w:t>
      </w:r>
      <w:r>
        <w:rPr>
          <w:szCs w:val="22"/>
        </w:rPr>
        <w:t xml:space="preserve"> or</w:t>
      </w:r>
      <w:r w:rsidR="009C3EC2">
        <w:rPr>
          <w:szCs w:val="22"/>
        </w:rPr>
        <w:t xml:space="preserve"> </w:t>
      </w:r>
      <w:r w:rsidR="002F6E56">
        <w:rPr>
          <w:szCs w:val="22"/>
        </w:rPr>
        <w:t>Gregory Kwan</w:t>
      </w:r>
      <w:r>
        <w:rPr>
          <w:szCs w:val="22"/>
        </w:rPr>
        <w:t xml:space="preserve"> at (202) 418-</w:t>
      </w:r>
      <w:r w:rsidR="002F6E56">
        <w:rPr>
          <w:szCs w:val="22"/>
        </w:rPr>
        <w:t>1191</w:t>
      </w:r>
      <w:r>
        <w:rPr>
          <w:szCs w:val="22"/>
        </w:rPr>
        <w:t>.</w:t>
      </w:r>
    </w:p>
    <w:p w:rsidR="00E7033D">
      <w:pPr>
        <w:autoSpaceDE w:val="0"/>
        <w:autoSpaceDN w:val="0"/>
        <w:adjustRightInd w:val="0"/>
        <w:ind w:firstLine="720"/>
        <w:rPr>
          <w:szCs w:val="22"/>
        </w:rPr>
      </w:pPr>
    </w:p>
    <w:p w:rsidR="00E7033D">
      <w:pPr>
        <w:autoSpaceDE w:val="0"/>
        <w:autoSpaceDN w:val="0"/>
        <w:adjustRightInd w:val="0"/>
        <w:rPr>
          <w:szCs w:val="22"/>
        </w:rPr>
      </w:pPr>
    </w:p>
    <w:p w:rsidR="00E7033D">
      <w:pPr>
        <w:autoSpaceDE w:val="0"/>
        <w:autoSpaceDN w:val="0"/>
        <w:adjustRightInd w:val="0"/>
        <w:jc w:val="center"/>
        <w:rPr>
          <w:color w:val="000000"/>
          <w:szCs w:val="22"/>
        </w:rPr>
      </w:pPr>
      <w:r>
        <w:rPr>
          <w:b/>
          <w:szCs w:val="22"/>
        </w:rPr>
        <w:t>FCC</w:t>
      </w:r>
    </w:p>
    <w:p w:rsidR="00E7033D">
      <w:pPr>
        <w:autoSpaceDE w:val="0"/>
        <w:autoSpaceDN w:val="0"/>
        <w:adjustRightInd w:val="0"/>
        <w:spacing w:after="120"/>
        <w:jc w:val="center"/>
        <w:rPr>
          <w:b/>
          <w:szCs w:val="22"/>
        </w:rPr>
      </w:pPr>
    </w:p>
    <w:p w:rsidR="00E7033D">
      <w:pPr>
        <w:autoSpaceDE w:val="0"/>
        <w:autoSpaceDN w:val="0"/>
        <w:adjustRightInd w:val="0"/>
        <w:jc w:val="center"/>
        <w:rPr>
          <w:b/>
          <w:szCs w:val="22"/>
        </w:rPr>
      </w:pPr>
    </w:p>
    <w:p w:rsidR="00E7033D">
      <w:pPr>
        <w:autoSpaceDE w:val="0"/>
        <w:autoSpaceDN w:val="0"/>
        <w:adjustRightInd w:val="0"/>
        <w:rPr>
          <w:color w:val="000000"/>
          <w:szCs w:val="22"/>
        </w:rPr>
      </w:pPr>
    </w:p>
    <w:sectPr>
      <w:footerReference w:type="default" r:id="rId11"/>
      <w:headerReference w:type="first" r:id="rId12"/>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p w:rsidR="00E703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945C4">
      <w:r>
        <w:separator/>
      </w:r>
    </w:p>
  </w:footnote>
  <w:footnote w:type="continuationSeparator" w:id="1">
    <w:p w:rsidR="003945C4">
      <w:r>
        <w:continuationSeparator/>
      </w:r>
    </w:p>
  </w:footnote>
  <w:footnote w:type="continuationNotice" w:id="2">
    <w:p w:rsidR="003945C4"/>
  </w:footnote>
  <w:footnote w:id="3">
    <w:p w:rsidR="00070D65" w:rsidRPr="007C30DA" w:rsidP="007C30DA">
      <w:pPr>
        <w:spacing w:after="120"/>
        <w:rPr>
          <w:sz w:val="20"/>
        </w:rPr>
      </w:pPr>
      <w:r w:rsidRPr="007C30DA">
        <w:rPr>
          <w:rStyle w:val="FootnoteReference"/>
          <w:sz w:val="20"/>
        </w:rPr>
        <w:footnoteRef/>
      </w:r>
      <w:r w:rsidRPr="007C30DA">
        <w:rPr>
          <w:sz w:val="20"/>
        </w:rPr>
        <w:t xml:space="preserve"> </w:t>
      </w:r>
      <w:r w:rsidRPr="007C30DA">
        <w:rPr>
          <w:i/>
          <w:sz w:val="20"/>
        </w:rPr>
        <w:t>See</w:t>
      </w:r>
      <w:r w:rsidRPr="007C30DA">
        <w:rPr>
          <w:sz w:val="20"/>
        </w:rPr>
        <w:t xml:space="preserve"> 47 U.S.C. § 214; 47 CFR §§ 63.03-04.</w:t>
      </w:r>
      <w:r w:rsidR="003A443A">
        <w:rPr>
          <w:sz w:val="20"/>
        </w:rPr>
        <w:t xml:space="preserve"> </w:t>
      </w:r>
      <w:r w:rsidRPr="007C30DA">
        <w:rPr>
          <w:sz w:val="20"/>
        </w:rPr>
        <w:t xml:space="preserve"> Applicants also filed applications for the transfer of authorizations associated with wireless authorizations.  Any action on this domestic section 214 application is without prejudice to Commission action on other related, pending applications</w:t>
      </w:r>
      <w:r w:rsidRPr="007C30DA">
        <w:rPr>
          <w:rFonts w:eastAsia="Calibri"/>
          <w:sz w:val="20"/>
        </w:rPr>
        <w:t xml:space="preserve">.  </w:t>
      </w:r>
    </w:p>
  </w:footnote>
  <w:footnote w:id="4">
    <w:p w:rsidR="00070D65" w:rsidRPr="007C30DA" w:rsidP="007C30DA">
      <w:pPr>
        <w:pStyle w:val="FootnoteText"/>
        <w:spacing w:after="120"/>
        <w:rPr>
          <w:sz w:val="20"/>
        </w:rPr>
      </w:pPr>
      <w:r w:rsidRPr="007C30DA">
        <w:rPr>
          <w:rStyle w:val="FootnoteReference"/>
          <w:sz w:val="20"/>
        </w:rPr>
        <w:footnoteRef/>
      </w:r>
      <w:r w:rsidRPr="007C30DA">
        <w:rPr>
          <w:sz w:val="20"/>
        </w:rPr>
        <w:t xml:space="preserve"> </w:t>
      </w:r>
      <w:r w:rsidRPr="009779A2">
        <w:rPr>
          <w:sz w:val="20"/>
        </w:rPr>
        <w:t>Applicants state, at the time of Mr. Norsworthy death</w:t>
      </w:r>
      <w:r w:rsidRPr="007C30DA">
        <w:rPr>
          <w:sz w:val="20"/>
        </w:rPr>
        <w:t xml:space="preserve"> on May 9, 2020</w:t>
      </w:r>
      <w:r w:rsidRPr="009779A2">
        <w:rPr>
          <w:sz w:val="20"/>
        </w:rPr>
        <w:t xml:space="preserve">, </w:t>
      </w:r>
      <w:r w:rsidR="003A443A">
        <w:rPr>
          <w:sz w:val="20"/>
        </w:rPr>
        <w:t>the Decedent</w:t>
      </w:r>
      <w:r w:rsidRPr="009779A2">
        <w:rPr>
          <w:sz w:val="20"/>
        </w:rPr>
        <w:t xml:space="preserve"> owned a controlling (67%) interest in the stock of Varcomm Holdings, Inc. (Varcomm), the parent company of Ducor.</w:t>
      </w:r>
      <w:r w:rsidRPr="007C30DA">
        <w:rPr>
          <w:sz w:val="20"/>
        </w:rPr>
        <w:t xml:space="preserve">  </w:t>
      </w:r>
      <w:r w:rsidRPr="007C30DA" w:rsidR="00BB417E">
        <w:rPr>
          <w:sz w:val="20"/>
        </w:rPr>
        <w:t xml:space="preserve">On </w:t>
      </w:r>
      <w:r w:rsidRPr="007C30DA">
        <w:rPr>
          <w:sz w:val="20"/>
        </w:rPr>
        <w:t xml:space="preserve">September 25, 2020, </w:t>
      </w:r>
      <w:r w:rsidRPr="007C30DA" w:rsidR="00BB417E">
        <w:rPr>
          <w:sz w:val="20"/>
        </w:rPr>
        <w:t xml:space="preserve">the Superior Court of California, County of Inyo, </w:t>
      </w:r>
      <w:r w:rsidRPr="007C30DA">
        <w:rPr>
          <w:sz w:val="20"/>
        </w:rPr>
        <w:t>admitt</w:t>
      </w:r>
      <w:r w:rsidRPr="007C30DA" w:rsidR="00BB417E">
        <w:rPr>
          <w:sz w:val="20"/>
        </w:rPr>
        <w:t>ed</w:t>
      </w:r>
      <w:r w:rsidRPr="007C30DA">
        <w:rPr>
          <w:sz w:val="20"/>
        </w:rPr>
        <w:t xml:space="preserve"> </w:t>
      </w:r>
      <w:r w:rsidRPr="007C30DA" w:rsidR="00BB417E">
        <w:rPr>
          <w:sz w:val="20"/>
        </w:rPr>
        <w:t>the Dece</w:t>
      </w:r>
      <w:r w:rsidR="00AB7DD7">
        <w:rPr>
          <w:sz w:val="20"/>
        </w:rPr>
        <w:t>dent</w:t>
      </w:r>
      <w:r w:rsidRPr="007C30DA" w:rsidR="00BB417E">
        <w:rPr>
          <w:sz w:val="20"/>
        </w:rPr>
        <w:t>’s</w:t>
      </w:r>
      <w:r w:rsidRPr="007C30DA">
        <w:rPr>
          <w:sz w:val="20"/>
        </w:rPr>
        <w:t xml:space="preserve"> will to probate and appoint</w:t>
      </w:r>
      <w:r w:rsidRPr="007C30DA" w:rsidR="00BB417E">
        <w:rPr>
          <w:sz w:val="20"/>
        </w:rPr>
        <w:t>ed</w:t>
      </w:r>
      <w:r w:rsidRPr="007C30DA">
        <w:rPr>
          <w:sz w:val="20"/>
        </w:rPr>
        <w:t xml:space="preserve"> his wife Isabel Nita Norsworthy as the Executrix of his Estate. </w:t>
      </w:r>
      <w:r w:rsidRPr="007C30DA" w:rsidR="00BB417E">
        <w:rPr>
          <w:sz w:val="20"/>
        </w:rPr>
        <w:t xml:space="preserve"> Applicants state that only after obtaining that court order was Mrs. Norsworthy able to transfer the Dece</w:t>
      </w:r>
      <w:r w:rsidR="00AB7DD7">
        <w:rPr>
          <w:sz w:val="20"/>
        </w:rPr>
        <w:t>dent’s</w:t>
      </w:r>
      <w:r w:rsidRPr="007C30DA" w:rsidR="00BB417E">
        <w:rPr>
          <w:sz w:val="20"/>
        </w:rPr>
        <w:t xml:space="preserve"> interests in Varcomm to</w:t>
      </w:r>
      <w:r w:rsidR="00AB7DD7">
        <w:rPr>
          <w:sz w:val="20"/>
        </w:rPr>
        <w:t xml:space="preserve"> the</w:t>
      </w:r>
      <w:r w:rsidRPr="007C30DA" w:rsidR="00BB417E">
        <w:rPr>
          <w:sz w:val="20"/>
        </w:rPr>
        <w:t xml:space="preserve"> Estate.</w:t>
      </w:r>
    </w:p>
  </w:footnote>
  <w:footnote w:id="5">
    <w:p w:rsidR="0030742E" w:rsidRPr="007C30DA" w:rsidP="007C30DA">
      <w:pPr>
        <w:autoSpaceDE w:val="0"/>
        <w:autoSpaceDN w:val="0"/>
        <w:adjustRightInd w:val="0"/>
        <w:spacing w:after="120"/>
        <w:rPr>
          <w:sz w:val="20"/>
        </w:rPr>
      </w:pPr>
      <w:r w:rsidRPr="007C30DA">
        <w:rPr>
          <w:rStyle w:val="FootnoteReference"/>
          <w:sz w:val="20"/>
        </w:rPr>
        <w:footnoteRef/>
      </w:r>
      <w:r w:rsidRPr="007C30DA">
        <w:rPr>
          <w:sz w:val="20"/>
        </w:rPr>
        <w:t xml:space="preserve"> Applicants state that </w:t>
      </w:r>
      <w:r w:rsidR="00A34A3D">
        <w:rPr>
          <w:sz w:val="20"/>
        </w:rPr>
        <w:t>Ronal</w:t>
      </w:r>
      <w:r w:rsidR="00CC2C01">
        <w:rPr>
          <w:sz w:val="20"/>
        </w:rPr>
        <w:t>d</w:t>
      </w:r>
      <w:r w:rsidR="00A34A3D">
        <w:rPr>
          <w:sz w:val="20"/>
        </w:rPr>
        <w:t xml:space="preserve"> Roome continues to hold 19% of Varcomm and that </w:t>
      </w:r>
      <w:r w:rsidRPr="007C30DA">
        <w:rPr>
          <w:sz w:val="20"/>
        </w:rPr>
        <w:t xml:space="preserve">the two other shareholders of Varcomm each own less than 10% of its equity and voting power. </w:t>
      </w:r>
      <w:r w:rsidR="00A9279F">
        <w:rPr>
          <w:sz w:val="20"/>
        </w:rPr>
        <w:t xml:space="preserve"> </w:t>
      </w:r>
      <w:r w:rsidRPr="007C30DA">
        <w:rPr>
          <w:sz w:val="20"/>
        </w:rPr>
        <w:t xml:space="preserve">Applicants further state that Varcomm Broadband, Inc., a California corporation and wholly owned subsidiary of Varcomm, provides </w:t>
      </w:r>
      <w:r w:rsidR="00CC2C01">
        <w:rPr>
          <w:sz w:val="20"/>
        </w:rPr>
        <w:t xml:space="preserve">broadband </w:t>
      </w:r>
      <w:r w:rsidRPr="007C30DA">
        <w:rPr>
          <w:sz w:val="20"/>
        </w:rPr>
        <w:t xml:space="preserve">services in Ducor, Kennedy Meadows, and Rancho Tehama Reserve, California. </w:t>
      </w:r>
    </w:p>
  </w:footnote>
  <w:footnote w:id="6">
    <w:p w:rsidR="00E7033D" w:rsidRPr="0008381D" w:rsidP="007C30DA">
      <w:pPr>
        <w:pStyle w:val="FootnoteText"/>
        <w:spacing w:after="120"/>
        <w:rPr>
          <w:sz w:val="20"/>
        </w:rPr>
      </w:pPr>
      <w:r w:rsidRPr="007C30DA">
        <w:rPr>
          <w:rStyle w:val="FootnoteReference"/>
          <w:sz w:val="20"/>
        </w:rPr>
        <w:footnoteRef/>
      </w:r>
      <w:r w:rsidRPr="007C30DA">
        <w:rPr>
          <w:sz w:val="20"/>
        </w:rPr>
        <w:t xml:space="preserve"> </w:t>
      </w:r>
      <w:r w:rsidRPr="007C30DA">
        <w:rPr>
          <w:color w:val="020100"/>
          <w:sz w:val="20"/>
        </w:rPr>
        <w:t>47 CFR § 63.03(b)(</w:t>
      </w:r>
      <w:r w:rsidR="00CC2C01">
        <w:rPr>
          <w:color w:val="020100"/>
          <w:sz w:val="20"/>
        </w:rPr>
        <w:t>1</w:t>
      </w:r>
      <w:r w:rsidRPr="007C30DA">
        <w:rPr>
          <w:color w:val="020100"/>
          <w:sz w:val="20"/>
        </w:rPr>
        <w:t>)(i</w:t>
      </w:r>
      <w:r w:rsidRPr="007C30DA" w:rsidR="0015217F">
        <w:rPr>
          <w:color w:val="020100"/>
          <w:sz w:val="20"/>
        </w:rPr>
        <w:t>i</w:t>
      </w:r>
      <w:r w:rsidRPr="007C30DA">
        <w:rPr>
          <w:color w:val="020100"/>
          <w:sz w:val="20"/>
        </w:rPr>
        <w:t>).</w:t>
      </w:r>
    </w:p>
  </w:footnote>
  <w:footnote w:id="7">
    <w:p w:rsidR="00E7033D" w:rsidRPr="0008381D">
      <w:pPr>
        <w:pStyle w:val="FootnoteText"/>
        <w:tabs>
          <w:tab w:val="clear" w:pos="720"/>
        </w:tabs>
        <w:spacing w:after="120"/>
        <w:rPr>
          <w:sz w:val="20"/>
        </w:rPr>
      </w:pPr>
      <w:r w:rsidRPr="0008381D">
        <w:rPr>
          <w:rStyle w:val="FootnoteReference"/>
          <w:sz w:val="20"/>
        </w:rPr>
        <w:footnoteRef/>
      </w:r>
      <w:r w:rsidRPr="0008381D">
        <w:rPr>
          <w:sz w:val="20"/>
        </w:rPr>
        <w:t xml:space="preserve"> </w:t>
      </w:r>
      <w:r w:rsidRPr="0008381D">
        <w:rPr>
          <w:i/>
          <w:sz w:val="20"/>
        </w:rPr>
        <w:t>See</w:t>
      </w:r>
      <w:r w:rsidRPr="0008381D">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pPr>
                  <w:rPr>
                    <w:rFonts w:ascii="Arial" w:hAnsi="Arial"/>
                    <w:b/>
                  </w:rPr>
                </w:pPr>
                <w:r>
                  <w:rPr>
                    <w:rFonts w:ascii="Arial" w:hAnsi="Arial"/>
                    <w:b/>
                  </w:rPr>
                  <w:t>Federal Communications Commission</w:t>
                </w:r>
              </w:p>
              <w:p w:rsidR="00E7033D">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pPr>
                  <w:spacing w:before="40"/>
                  <w:jc w:val="right"/>
                  <w:rPr>
                    <w:rFonts w:ascii="Arial" w:hAnsi="Arial"/>
                    <w:b/>
                    <w:sz w:val="16"/>
                  </w:rPr>
                </w:pPr>
                <w:r>
                  <w:rPr>
                    <w:rFonts w:ascii="Arial" w:hAnsi="Arial"/>
                    <w:b/>
                    <w:sz w:val="16"/>
                  </w:rPr>
                  <w:t>News Media Information 202 / 418-0500</w:t>
                </w:r>
              </w:p>
              <w:p w:rsidR="00E7033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pPr>
                  <w:jc w:val="right"/>
                  <w:rPr>
                    <w:rFonts w:ascii="Arial" w:hAnsi="Arial"/>
                    <w:b/>
                    <w:sz w:val="16"/>
                  </w:rPr>
                </w:pPr>
                <w:r>
                  <w:rPr>
                    <w:rFonts w:ascii="Arial" w:hAnsi="Arial"/>
                    <w:b/>
                    <w:sz w:val="16"/>
                  </w:rPr>
                  <w:t>TTY: 1-888-835-5322</w:t>
                </w:r>
              </w:p>
              <w:p w:rsidR="00E7033D">
                <w:pPr>
                  <w:jc w:val="right"/>
                </w:pPr>
              </w:p>
            </w:txbxContent>
          </v:textbox>
        </v:shape>
      </w:pict>
    </w:r>
  </w:p>
  <w:p w:rsidR="00E7033D">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1135F"/>
    <w:rsid w:val="000113A2"/>
    <w:rsid w:val="0001280D"/>
    <w:rsid w:val="00017A3A"/>
    <w:rsid w:val="00040610"/>
    <w:rsid w:val="00041C01"/>
    <w:rsid w:val="000534AC"/>
    <w:rsid w:val="00066D12"/>
    <w:rsid w:val="00070D65"/>
    <w:rsid w:val="000735C8"/>
    <w:rsid w:val="0008381D"/>
    <w:rsid w:val="00087205"/>
    <w:rsid w:val="000B4EDD"/>
    <w:rsid w:val="000F02F7"/>
    <w:rsid w:val="00101D0B"/>
    <w:rsid w:val="0013405D"/>
    <w:rsid w:val="00141388"/>
    <w:rsid w:val="0015217F"/>
    <w:rsid w:val="001A3813"/>
    <w:rsid w:val="001B69F9"/>
    <w:rsid w:val="001C4E34"/>
    <w:rsid w:val="001F1E04"/>
    <w:rsid w:val="001F6762"/>
    <w:rsid w:val="0022449B"/>
    <w:rsid w:val="00253247"/>
    <w:rsid w:val="00262E65"/>
    <w:rsid w:val="00285612"/>
    <w:rsid w:val="002B16FA"/>
    <w:rsid w:val="002C203E"/>
    <w:rsid w:val="002C22F3"/>
    <w:rsid w:val="002C27F4"/>
    <w:rsid w:val="002C47F7"/>
    <w:rsid w:val="002D09E2"/>
    <w:rsid w:val="002D136F"/>
    <w:rsid w:val="002D6F61"/>
    <w:rsid w:val="002E0BAF"/>
    <w:rsid w:val="002F6E56"/>
    <w:rsid w:val="0030157A"/>
    <w:rsid w:val="0030742E"/>
    <w:rsid w:val="00353CB5"/>
    <w:rsid w:val="00365194"/>
    <w:rsid w:val="003855A0"/>
    <w:rsid w:val="003945C4"/>
    <w:rsid w:val="00395A7A"/>
    <w:rsid w:val="003A18A0"/>
    <w:rsid w:val="003A443A"/>
    <w:rsid w:val="003B5CEE"/>
    <w:rsid w:val="003F0ECD"/>
    <w:rsid w:val="004077D0"/>
    <w:rsid w:val="00412DA6"/>
    <w:rsid w:val="004331D7"/>
    <w:rsid w:val="00433D8C"/>
    <w:rsid w:val="00434C96"/>
    <w:rsid w:val="00460914"/>
    <w:rsid w:val="004609A4"/>
    <w:rsid w:val="00464E8A"/>
    <w:rsid w:val="004808FC"/>
    <w:rsid w:val="00482EB0"/>
    <w:rsid w:val="004913FF"/>
    <w:rsid w:val="004951AE"/>
    <w:rsid w:val="004C712F"/>
    <w:rsid w:val="004F3603"/>
    <w:rsid w:val="004F6F64"/>
    <w:rsid w:val="00511202"/>
    <w:rsid w:val="0052334B"/>
    <w:rsid w:val="005243E7"/>
    <w:rsid w:val="005320B5"/>
    <w:rsid w:val="0056058F"/>
    <w:rsid w:val="005932BA"/>
    <w:rsid w:val="005A13D0"/>
    <w:rsid w:val="005A64A7"/>
    <w:rsid w:val="005C403A"/>
    <w:rsid w:val="005D6611"/>
    <w:rsid w:val="0060105E"/>
    <w:rsid w:val="0060106A"/>
    <w:rsid w:val="00604A3C"/>
    <w:rsid w:val="00604CFF"/>
    <w:rsid w:val="0061137C"/>
    <w:rsid w:val="00616221"/>
    <w:rsid w:val="006768CC"/>
    <w:rsid w:val="00691832"/>
    <w:rsid w:val="006B5C06"/>
    <w:rsid w:val="006C32C8"/>
    <w:rsid w:val="006C591C"/>
    <w:rsid w:val="006E155C"/>
    <w:rsid w:val="006E3E11"/>
    <w:rsid w:val="006E61ED"/>
    <w:rsid w:val="006E7452"/>
    <w:rsid w:val="006F4D60"/>
    <w:rsid w:val="00706D49"/>
    <w:rsid w:val="0071041E"/>
    <w:rsid w:val="00724722"/>
    <w:rsid w:val="00733B9B"/>
    <w:rsid w:val="007569C5"/>
    <w:rsid w:val="00760269"/>
    <w:rsid w:val="00780F55"/>
    <w:rsid w:val="007C263F"/>
    <w:rsid w:val="007C30DA"/>
    <w:rsid w:val="007E5753"/>
    <w:rsid w:val="00813C6D"/>
    <w:rsid w:val="00821491"/>
    <w:rsid w:val="00824765"/>
    <w:rsid w:val="0084778A"/>
    <w:rsid w:val="00853114"/>
    <w:rsid w:val="0085579D"/>
    <w:rsid w:val="0086691C"/>
    <w:rsid w:val="008675C7"/>
    <w:rsid w:val="0087554B"/>
    <w:rsid w:val="00877D35"/>
    <w:rsid w:val="008C294A"/>
    <w:rsid w:val="008D2804"/>
    <w:rsid w:val="008E27B4"/>
    <w:rsid w:val="008F6981"/>
    <w:rsid w:val="00903154"/>
    <w:rsid w:val="00903DE0"/>
    <w:rsid w:val="009075DA"/>
    <w:rsid w:val="009101A4"/>
    <w:rsid w:val="00950639"/>
    <w:rsid w:val="00967409"/>
    <w:rsid w:val="009779A2"/>
    <w:rsid w:val="0098015F"/>
    <w:rsid w:val="009A0D7F"/>
    <w:rsid w:val="009A124E"/>
    <w:rsid w:val="009B0128"/>
    <w:rsid w:val="009B6797"/>
    <w:rsid w:val="009C3EC2"/>
    <w:rsid w:val="00A11865"/>
    <w:rsid w:val="00A15248"/>
    <w:rsid w:val="00A25C41"/>
    <w:rsid w:val="00A34A3D"/>
    <w:rsid w:val="00A47815"/>
    <w:rsid w:val="00A55F2F"/>
    <w:rsid w:val="00A569E4"/>
    <w:rsid w:val="00A61D2B"/>
    <w:rsid w:val="00A9279F"/>
    <w:rsid w:val="00A92C9E"/>
    <w:rsid w:val="00AB7DD7"/>
    <w:rsid w:val="00AD0360"/>
    <w:rsid w:val="00AE4EB4"/>
    <w:rsid w:val="00B00CBF"/>
    <w:rsid w:val="00B02CE4"/>
    <w:rsid w:val="00B335D6"/>
    <w:rsid w:val="00B55A93"/>
    <w:rsid w:val="00B73AED"/>
    <w:rsid w:val="00B908C9"/>
    <w:rsid w:val="00B958E7"/>
    <w:rsid w:val="00BB417E"/>
    <w:rsid w:val="00BC7555"/>
    <w:rsid w:val="00BF0B00"/>
    <w:rsid w:val="00C117C2"/>
    <w:rsid w:val="00C612FD"/>
    <w:rsid w:val="00C749BC"/>
    <w:rsid w:val="00C75DF3"/>
    <w:rsid w:val="00C82D34"/>
    <w:rsid w:val="00CB08EA"/>
    <w:rsid w:val="00CC2C01"/>
    <w:rsid w:val="00CE03DE"/>
    <w:rsid w:val="00CE49B4"/>
    <w:rsid w:val="00D024AA"/>
    <w:rsid w:val="00D04DB0"/>
    <w:rsid w:val="00D111DF"/>
    <w:rsid w:val="00D252B2"/>
    <w:rsid w:val="00D30DAA"/>
    <w:rsid w:val="00D3174C"/>
    <w:rsid w:val="00D702F3"/>
    <w:rsid w:val="00DB59FD"/>
    <w:rsid w:val="00DD0968"/>
    <w:rsid w:val="00DF1AD9"/>
    <w:rsid w:val="00E54722"/>
    <w:rsid w:val="00E55A96"/>
    <w:rsid w:val="00E7033D"/>
    <w:rsid w:val="00E714D1"/>
    <w:rsid w:val="00E90A56"/>
    <w:rsid w:val="00EB2E3F"/>
    <w:rsid w:val="00EC0FDA"/>
    <w:rsid w:val="00EC3BF9"/>
    <w:rsid w:val="00EC3CCE"/>
    <w:rsid w:val="00ED40B2"/>
    <w:rsid w:val="00EE37C8"/>
    <w:rsid w:val="00F04273"/>
    <w:rsid w:val="00F05755"/>
    <w:rsid w:val="00F107E6"/>
    <w:rsid w:val="00F25C6B"/>
    <w:rsid w:val="00F3092F"/>
    <w:rsid w:val="00F65523"/>
    <w:rsid w:val="00F700CA"/>
    <w:rsid w:val="00FA546C"/>
    <w:rsid w:val="00FB729A"/>
    <w:rsid w:val="00FC3E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
    <w:name w:val="Unresolved Mention"/>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footer" Target="footer3.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tracey.wilson@fcc.gov" TargetMode="External" /><Relationship Id="rId9" Type="http://schemas.openxmlformats.org/officeDocument/2006/relationships/hyperlink" Target="mailto:gregory.kwan@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