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F2117" w:rsidRPr="005E4925" w14:paraId="40B28852" w14:textId="77777777">
      <w:pPr>
        <w:spacing w:before="120" w:after="240"/>
        <w:rPr>
          <w:b/>
          <w:szCs w:val="22"/>
        </w:rPr>
      </w:pPr>
    </w:p>
    <w:p w:rsidR="0005026C" w:rsidRPr="0005026C" w:rsidP="0005026C" w14:paraId="69751B0D" w14:textId="1AB87394">
      <w:pPr>
        <w:suppressAutoHyphens/>
        <w:spacing w:after="120"/>
        <w:ind w:left="7920"/>
        <w:jc w:val="right"/>
        <w:rPr>
          <w:b/>
          <w:szCs w:val="22"/>
        </w:rPr>
      </w:pPr>
      <w:r w:rsidRPr="0005026C">
        <w:rPr>
          <w:b/>
          <w:szCs w:val="22"/>
        </w:rPr>
        <w:t>DA 20-</w:t>
      </w:r>
      <w:r w:rsidR="00165F1D">
        <w:rPr>
          <w:b/>
          <w:szCs w:val="22"/>
        </w:rPr>
        <w:t>1325</w:t>
      </w:r>
      <w:bookmarkStart w:id="0" w:name="_GoBack"/>
      <w:bookmarkEnd w:id="0"/>
    </w:p>
    <w:p w:rsidR="0005026C" w:rsidRPr="0005026C" w:rsidP="0005026C" w14:paraId="4C9BABBF" w14:textId="77777777">
      <w:pPr>
        <w:suppressAutoHyphens/>
        <w:spacing w:after="240"/>
        <w:ind w:left="720"/>
        <w:jc w:val="right"/>
        <w:rPr>
          <w:b/>
          <w:szCs w:val="22"/>
        </w:rPr>
      </w:pPr>
      <w:r w:rsidRPr="0005026C">
        <w:rPr>
          <w:b/>
          <w:szCs w:val="22"/>
        </w:rPr>
        <w:t>Released:  November 6, 2020</w:t>
      </w:r>
    </w:p>
    <w:p w:rsidR="0005026C" w:rsidRPr="0005026C" w:rsidP="0005026C" w14:paraId="0B18A484" w14:textId="77777777">
      <w:pPr>
        <w:autoSpaceDE w:val="0"/>
        <w:autoSpaceDN w:val="0"/>
        <w:adjustRightInd w:val="0"/>
        <w:jc w:val="center"/>
        <w:rPr>
          <w:b/>
          <w:bCs/>
          <w:szCs w:val="22"/>
        </w:rPr>
      </w:pPr>
      <w:bookmarkStart w:id="1" w:name="_Hlk519509475"/>
      <w:bookmarkStart w:id="2" w:name="_Hlk502044717"/>
      <w:bookmarkStart w:id="3" w:name="_Hlk516578398"/>
      <w:r w:rsidRPr="0005026C">
        <w:rPr>
          <w:b/>
          <w:bCs/>
          <w:szCs w:val="22"/>
        </w:rPr>
        <w:t xml:space="preserve">DOMESTIC </w:t>
      </w:r>
      <w:r w:rsidRPr="0005026C">
        <w:rPr>
          <w:b/>
          <w:bCs/>
          <w:caps/>
          <w:szCs w:val="22"/>
        </w:rPr>
        <w:t>SECTION</w:t>
      </w:r>
      <w:r w:rsidRPr="0005026C">
        <w:rPr>
          <w:b/>
          <w:bCs/>
          <w:szCs w:val="22"/>
        </w:rPr>
        <w:t xml:space="preserve"> 214 APPLICATION FILED FOR THE TRANSFER OF CONTROL OF </w:t>
      </w:r>
      <w:bookmarkEnd w:id="1"/>
      <w:bookmarkEnd w:id="2"/>
      <w:bookmarkEnd w:id="3"/>
      <w:r w:rsidRPr="0005026C">
        <w:rPr>
          <w:b/>
          <w:bCs/>
          <w:szCs w:val="22"/>
        </w:rPr>
        <w:t>LIGHTSPEED NETWORKS, INC. D/B/A LS NETWORKS</w:t>
      </w:r>
    </w:p>
    <w:p w:rsidR="0005026C" w:rsidRPr="0005026C" w:rsidP="0005026C" w14:paraId="4B6C2588" w14:textId="77777777">
      <w:pPr>
        <w:autoSpaceDE w:val="0"/>
        <w:autoSpaceDN w:val="0"/>
        <w:adjustRightInd w:val="0"/>
        <w:jc w:val="center"/>
        <w:rPr>
          <w:b/>
          <w:szCs w:val="22"/>
        </w:rPr>
      </w:pPr>
      <w:r w:rsidRPr="0005026C">
        <w:rPr>
          <w:b/>
          <w:bCs/>
          <w:szCs w:val="22"/>
        </w:rPr>
        <w:t>TO PACIFIC BROADBAND PARTNERS IA LLC</w:t>
      </w:r>
    </w:p>
    <w:p w:rsidR="0005026C" w:rsidRPr="0005026C" w:rsidP="0005026C" w14:paraId="0EE8BA7C" w14:textId="77777777">
      <w:pPr>
        <w:autoSpaceDE w:val="0"/>
        <w:autoSpaceDN w:val="0"/>
        <w:adjustRightInd w:val="0"/>
        <w:jc w:val="center"/>
        <w:rPr>
          <w:b/>
          <w:szCs w:val="22"/>
        </w:rPr>
      </w:pPr>
    </w:p>
    <w:p w:rsidR="0005026C" w:rsidRPr="0005026C" w:rsidP="0005026C" w14:paraId="1146E5FD" w14:textId="77777777">
      <w:pPr>
        <w:suppressAutoHyphens/>
        <w:spacing w:after="240"/>
        <w:jc w:val="center"/>
        <w:rPr>
          <w:b/>
          <w:caps/>
          <w:szCs w:val="22"/>
        </w:rPr>
      </w:pPr>
      <w:r w:rsidRPr="0005026C">
        <w:rPr>
          <w:b/>
          <w:caps/>
          <w:szCs w:val="22"/>
        </w:rPr>
        <w:t>STREAMLINED Pleading Cycle Established</w:t>
      </w:r>
    </w:p>
    <w:p w:rsidR="0005026C" w:rsidRPr="0005026C" w:rsidP="0005026C" w14:paraId="67F1E490" w14:textId="77777777">
      <w:pPr>
        <w:suppressAutoHyphens/>
        <w:spacing w:after="240"/>
        <w:jc w:val="center"/>
        <w:rPr>
          <w:b/>
          <w:szCs w:val="22"/>
        </w:rPr>
      </w:pPr>
      <w:r w:rsidRPr="0005026C">
        <w:rPr>
          <w:b/>
          <w:szCs w:val="22"/>
        </w:rPr>
        <w:t>WC Docket No. 20-352</w:t>
      </w:r>
    </w:p>
    <w:p w:rsidR="0005026C" w:rsidRPr="0005026C" w:rsidP="0005026C" w14:paraId="45DA575B" w14:textId="77777777">
      <w:pPr>
        <w:suppressAutoHyphens/>
        <w:rPr>
          <w:b/>
          <w:szCs w:val="22"/>
        </w:rPr>
      </w:pPr>
      <w:r w:rsidRPr="0005026C">
        <w:rPr>
          <w:b/>
          <w:szCs w:val="22"/>
        </w:rPr>
        <w:t>Comments Due:  November 20, 2020</w:t>
      </w:r>
    </w:p>
    <w:p w:rsidR="0005026C" w:rsidRPr="0005026C" w:rsidP="0005026C" w14:paraId="64561F3D" w14:textId="77777777">
      <w:pPr>
        <w:suppressAutoHyphens/>
        <w:rPr>
          <w:b/>
          <w:szCs w:val="22"/>
        </w:rPr>
      </w:pPr>
      <w:r w:rsidRPr="0005026C">
        <w:rPr>
          <w:b/>
          <w:szCs w:val="22"/>
        </w:rPr>
        <w:t>Reply Comments Due:  November 27, 2020</w:t>
      </w:r>
    </w:p>
    <w:p w:rsidR="0005026C" w:rsidRPr="0005026C" w:rsidP="0005026C" w14:paraId="56F9578D" w14:textId="77777777">
      <w:pPr>
        <w:autoSpaceDE w:val="0"/>
        <w:autoSpaceDN w:val="0"/>
        <w:adjustRightInd w:val="0"/>
        <w:rPr>
          <w:szCs w:val="22"/>
        </w:rPr>
      </w:pPr>
    </w:p>
    <w:p w:rsidR="0005026C" w:rsidRPr="0005026C" w:rsidP="0005026C" w14:paraId="36A0A7BF" w14:textId="77777777">
      <w:pPr>
        <w:autoSpaceDE w:val="0"/>
        <w:autoSpaceDN w:val="0"/>
        <w:adjustRightInd w:val="0"/>
        <w:spacing w:after="120"/>
        <w:ind w:firstLine="720"/>
        <w:rPr>
          <w:kern w:val="0"/>
          <w:szCs w:val="22"/>
        </w:rPr>
      </w:pPr>
      <w:r w:rsidRPr="0005026C">
        <w:rPr>
          <w:szCs w:val="22"/>
        </w:rPr>
        <w:t xml:space="preserve">By this Public Notice, the Wireline Competition Bureau seeks comment from interested parties on an application filed by </w:t>
      </w:r>
      <w:r w:rsidRPr="0005026C">
        <w:rPr>
          <w:snapToGrid/>
          <w:kern w:val="0"/>
          <w:szCs w:val="22"/>
        </w:rPr>
        <w:t>CEC Resources, Inc., (CEC Resources), LightSpeed Networks, Inc., d/b/a LS Networks (LS Networks), and Pacific Broadband Partners IA LLC (Pacific Broadband) (collectively, Applicants), pursuant to section 214 of the Communications Act of 1934, as amended, and sections 63.03-04 of the Commission’s rules, requesting consent to transfer control of LS Networks to Pacific Broadband.</w:t>
      </w:r>
      <w:r>
        <w:rPr>
          <w:snapToGrid/>
          <w:kern w:val="0"/>
          <w:szCs w:val="22"/>
          <w:vertAlign w:val="superscript"/>
        </w:rPr>
        <w:footnoteReference w:id="3"/>
      </w:r>
      <w:r w:rsidRPr="0005026C">
        <w:rPr>
          <w:kern w:val="0"/>
          <w:szCs w:val="22"/>
        </w:rPr>
        <w:t xml:space="preserve">  </w:t>
      </w:r>
    </w:p>
    <w:p w:rsidR="0005026C" w:rsidRPr="0005026C" w:rsidP="0005026C" w14:paraId="4C5016F7" w14:textId="77777777">
      <w:pPr>
        <w:widowControl/>
        <w:autoSpaceDE w:val="0"/>
        <w:autoSpaceDN w:val="0"/>
        <w:adjustRightInd w:val="0"/>
        <w:spacing w:after="120"/>
        <w:ind w:firstLine="720"/>
        <w:rPr>
          <w:snapToGrid/>
          <w:kern w:val="0"/>
          <w:szCs w:val="22"/>
        </w:rPr>
      </w:pPr>
      <w:bookmarkStart w:id="4" w:name="_Hlk54971390"/>
      <w:r w:rsidRPr="0005026C">
        <w:rPr>
          <w:snapToGrid/>
          <w:kern w:val="0"/>
          <w:szCs w:val="22"/>
        </w:rPr>
        <w:t>LS Networks, an Oregon corporation, operates a fiber-optic communications network primarily located in Oregon and Washington, but which also serves customers in California and Idaho.  It provides competitive communications services to schools, libraries, and medical facilities in its operating region and to residential customers.</w:t>
      </w:r>
      <w:r>
        <w:rPr>
          <w:snapToGrid/>
          <w:kern w:val="0"/>
          <w:szCs w:val="22"/>
          <w:vertAlign w:val="superscript"/>
        </w:rPr>
        <w:footnoteReference w:id="4"/>
      </w:r>
      <w:r w:rsidRPr="0005026C">
        <w:rPr>
          <w:snapToGrid/>
          <w:kern w:val="0"/>
          <w:szCs w:val="22"/>
        </w:rPr>
        <w:t xml:space="preserve">  </w:t>
      </w:r>
      <w:bookmarkEnd w:id="4"/>
      <w:r w:rsidRPr="0005026C">
        <w:rPr>
          <w:snapToGrid/>
          <w:kern w:val="0"/>
          <w:szCs w:val="22"/>
        </w:rPr>
        <w:t>CEC Resources, an Oregon corporation, is currently the controlling majority shareholder of LS Networks and is a wholly owned subsidiary of Central Electric Cooperative, Inc., a not-for-profit electric cooperative operating throughout central Oregon.</w:t>
      </w:r>
      <w:r>
        <w:rPr>
          <w:snapToGrid/>
          <w:kern w:val="0"/>
          <w:szCs w:val="22"/>
          <w:vertAlign w:val="superscript"/>
        </w:rPr>
        <w:footnoteReference w:id="5"/>
      </w:r>
      <w:r w:rsidRPr="0005026C">
        <w:rPr>
          <w:snapToGrid/>
          <w:kern w:val="0"/>
          <w:szCs w:val="22"/>
        </w:rPr>
        <w:t xml:space="preserve"> </w:t>
      </w:r>
    </w:p>
    <w:p w:rsidR="0005026C" w:rsidRPr="0005026C" w:rsidP="0005026C" w14:paraId="378DCDA2" w14:textId="77777777">
      <w:pPr>
        <w:widowControl/>
        <w:autoSpaceDE w:val="0"/>
        <w:autoSpaceDN w:val="0"/>
        <w:adjustRightInd w:val="0"/>
        <w:spacing w:after="120"/>
        <w:ind w:firstLine="720"/>
        <w:rPr>
          <w:snapToGrid/>
          <w:kern w:val="0"/>
          <w:szCs w:val="22"/>
        </w:rPr>
      </w:pPr>
      <w:r w:rsidRPr="0005026C">
        <w:rPr>
          <w:snapToGrid/>
          <w:kern w:val="0"/>
          <w:szCs w:val="22"/>
        </w:rPr>
        <w:t xml:space="preserve">Pacific Broadband, a Delaware corporation created for purposes of the proposed transaction, does not provide telecommunications services and is an indirect wholly owned subsidiary of </w:t>
      </w:r>
      <w:r w:rsidRPr="0005026C">
        <w:rPr>
          <w:snapToGrid/>
          <w:kern w:val="0"/>
          <w:szCs w:val="22"/>
        </w:rPr>
        <w:t>Infralink</w:t>
      </w:r>
      <w:r w:rsidRPr="0005026C">
        <w:rPr>
          <w:snapToGrid/>
          <w:kern w:val="0"/>
          <w:szCs w:val="22"/>
        </w:rPr>
        <w:t xml:space="preserve"> Holdings </w:t>
      </w:r>
      <w:r w:rsidRPr="0005026C">
        <w:rPr>
          <w:snapToGrid/>
          <w:kern w:val="0"/>
          <w:szCs w:val="22"/>
        </w:rPr>
        <w:t>IA LP, a limited partnership investment fund and Delaware corporation.</w:t>
      </w:r>
      <w:r>
        <w:rPr>
          <w:snapToGrid/>
          <w:kern w:val="0"/>
          <w:szCs w:val="22"/>
          <w:vertAlign w:val="superscript"/>
        </w:rPr>
        <w:footnoteReference w:id="6"/>
      </w:r>
      <w:r w:rsidRPr="0005026C">
        <w:rPr>
          <w:snapToGrid/>
          <w:kern w:val="0"/>
          <w:szCs w:val="22"/>
        </w:rPr>
        <w:t xml:space="preserve">  Applicants state that the following five limited partners hold a 10% or greater interest in </w:t>
      </w:r>
      <w:r w:rsidRPr="0005026C">
        <w:rPr>
          <w:snapToGrid/>
          <w:kern w:val="0"/>
          <w:szCs w:val="22"/>
        </w:rPr>
        <w:t>Infralink</w:t>
      </w:r>
      <w:r w:rsidRPr="0005026C">
        <w:rPr>
          <w:snapToGrid/>
          <w:kern w:val="0"/>
          <w:szCs w:val="22"/>
        </w:rPr>
        <w:t xml:space="preserve"> Holdings IA LP and, thus, Pacific Broadband:  </w:t>
      </w:r>
      <w:r w:rsidRPr="0005026C">
        <w:rPr>
          <w:snapToGrid/>
          <w:kern w:val="0"/>
          <w:szCs w:val="22"/>
        </w:rPr>
        <w:t>InstarAGF</w:t>
      </w:r>
      <w:r w:rsidRPr="0005026C">
        <w:rPr>
          <w:snapToGrid/>
          <w:kern w:val="0"/>
          <w:szCs w:val="22"/>
        </w:rPr>
        <w:t xml:space="preserve"> Essential Infrastructure II (CAD) LP (Canada citizenship, 18.2% ); </w:t>
      </w:r>
      <w:r w:rsidRPr="0005026C">
        <w:rPr>
          <w:snapToGrid/>
          <w:kern w:val="0"/>
          <w:szCs w:val="22"/>
        </w:rPr>
        <w:t>InstarAGF</w:t>
      </w:r>
      <w:r w:rsidRPr="0005026C">
        <w:rPr>
          <w:snapToGrid/>
          <w:kern w:val="0"/>
          <w:szCs w:val="22"/>
        </w:rPr>
        <w:t xml:space="preserve"> Essential Infrastructure II (USP-USD) LP (Canada citizenship, 22.5%); Instar AGF Essential Infrastructure II (QFPF-CAD) LP (Canada citizenship, 12.2%); Instar AGF Essential Infrastructure II (QFPF-USD) LP (Canada citizenship, 13.6%); and </w:t>
      </w:r>
      <w:r w:rsidRPr="0005026C">
        <w:rPr>
          <w:snapToGrid/>
          <w:kern w:val="0"/>
          <w:szCs w:val="22"/>
        </w:rPr>
        <w:t>InstarAGF</w:t>
      </w:r>
      <w:r w:rsidRPr="0005026C">
        <w:rPr>
          <w:snapToGrid/>
          <w:kern w:val="0"/>
          <w:szCs w:val="22"/>
        </w:rPr>
        <w:t xml:space="preserve"> Essential Infrastructure Fund II (LUX-USD) </w:t>
      </w:r>
      <w:r w:rsidRPr="0005026C">
        <w:rPr>
          <w:snapToGrid/>
          <w:kern w:val="0"/>
          <w:szCs w:val="22"/>
        </w:rPr>
        <w:t>SCSp</w:t>
      </w:r>
      <w:r w:rsidRPr="0005026C">
        <w:rPr>
          <w:snapToGrid/>
          <w:kern w:val="0"/>
          <w:szCs w:val="22"/>
        </w:rPr>
        <w:t xml:space="preserve"> (</w:t>
      </w:r>
      <w:r w:rsidRPr="0005026C">
        <w:rPr>
          <w:snapToGrid/>
          <w:kern w:val="0"/>
          <w:szCs w:val="22"/>
        </w:rPr>
        <w:t>InstarAGF</w:t>
      </w:r>
      <w:r w:rsidRPr="0005026C">
        <w:rPr>
          <w:snapToGrid/>
          <w:kern w:val="0"/>
          <w:szCs w:val="22"/>
        </w:rPr>
        <w:t xml:space="preserve"> LUX-USD) (Luxembourg citizenship, 32.5%) (these five limited partners, collectively, Fund II).</w:t>
      </w:r>
      <w:r>
        <w:rPr>
          <w:snapToGrid/>
          <w:kern w:val="0"/>
          <w:szCs w:val="22"/>
          <w:vertAlign w:val="superscript"/>
        </w:rPr>
        <w:footnoteReference w:id="7"/>
      </w:r>
      <w:r w:rsidRPr="0005026C">
        <w:rPr>
          <w:snapToGrid/>
          <w:kern w:val="0"/>
          <w:szCs w:val="22"/>
        </w:rPr>
        <w:t xml:space="preserve">  The general partner for </w:t>
      </w:r>
      <w:r w:rsidRPr="0005026C">
        <w:rPr>
          <w:snapToGrid/>
          <w:kern w:val="0"/>
          <w:szCs w:val="22"/>
        </w:rPr>
        <w:t>InstarAGF</w:t>
      </w:r>
      <w:r w:rsidRPr="0005026C">
        <w:rPr>
          <w:snapToGrid/>
          <w:kern w:val="0"/>
          <w:szCs w:val="22"/>
        </w:rPr>
        <w:t xml:space="preserve"> LUX-USD is </w:t>
      </w:r>
      <w:r w:rsidRPr="0005026C">
        <w:rPr>
          <w:snapToGrid/>
          <w:kern w:val="0"/>
          <w:szCs w:val="22"/>
        </w:rPr>
        <w:t>InstarAGF</w:t>
      </w:r>
      <w:r w:rsidRPr="0005026C">
        <w:rPr>
          <w:snapToGrid/>
          <w:kern w:val="0"/>
          <w:szCs w:val="22"/>
        </w:rPr>
        <w:t xml:space="preserve"> Essential Infrastructure II Lux, SARL (Instar AGF SARL), a Luxembourg entity, and the general partner for the other four Fund II entities is </w:t>
      </w:r>
      <w:r w:rsidRPr="0005026C">
        <w:rPr>
          <w:snapToGrid/>
          <w:kern w:val="0"/>
          <w:szCs w:val="22"/>
        </w:rPr>
        <w:t>InstarAGF</w:t>
      </w:r>
      <w:r w:rsidRPr="0005026C">
        <w:rPr>
          <w:snapToGrid/>
          <w:kern w:val="0"/>
          <w:szCs w:val="22"/>
        </w:rPr>
        <w:t xml:space="preserve"> Essential Infrastructure II GP, Inc. (</w:t>
      </w:r>
      <w:r w:rsidRPr="0005026C">
        <w:rPr>
          <w:snapToGrid/>
          <w:kern w:val="0"/>
          <w:szCs w:val="22"/>
        </w:rPr>
        <w:t>InstarAGF</w:t>
      </w:r>
      <w:r w:rsidRPr="0005026C">
        <w:rPr>
          <w:snapToGrid/>
          <w:kern w:val="0"/>
          <w:szCs w:val="22"/>
        </w:rPr>
        <w:t xml:space="preserve"> GP), a Cayman Islands entity.</w:t>
      </w:r>
      <w:r>
        <w:rPr>
          <w:snapToGrid/>
          <w:kern w:val="0"/>
          <w:szCs w:val="22"/>
          <w:vertAlign w:val="superscript"/>
        </w:rPr>
        <w:footnoteReference w:id="8"/>
      </w:r>
      <w:r w:rsidRPr="0005026C">
        <w:rPr>
          <w:snapToGrid/>
          <w:kern w:val="0"/>
          <w:szCs w:val="22"/>
        </w:rPr>
        <w:t xml:space="preserve">  Instar AGF SARL and </w:t>
      </w:r>
      <w:r w:rsidRPr="0005026C">
        <w:rPr>
          <w:snapToGrid/>
          <w:kern w:val="0"/>
          <w:szCs w:val="22"/>
        </w:rPr>
        <w:t>InstarAGF</w:t>
      </w:r>
      <w:r w:rsidRPr="0005026C">
        <w:rPr>
          <w:snapToGrid/>
          <w:kern w:val="0"/>
          <w:szCs w:val="22"/>
        </w:rPr>
        <w:t xml:space="preserve"> GP are both wholly owned entities of Instar AGF Asset Management Inc., a Canadian entity, which, in turn, is directly owned by </w:t>
      </w:r>
      <w:r w:rsidRPr="0005026C">
        <w:rPr>
          <w:snapToGrid/>
          <w:kern w:val="0"/>
          <w:szCs w:val="22"/>
        </w:rPr>
        <w:t>InstarAGF</w:t>
      </w:r>
      <w:r w:rsidRPr="0005026C">
        <w:rPr>
          <w:snapToGrid/>
          <w:kern w:val="0"/>
          <w:szCs w:val="22"/>
        </w:rPr>
        <w:t xml:space="preserve"> Inc., also a Canadian entity.</w:t>
      </w:r>
      <w:r>
        <w:rPr>
          <w:snapToGrid/>
          <w:kern w:val="0"/>
          <w:szCs w:val="22"/>
          <w:vertAlign w:val="superscript"/>
        </w:rPr>
        <w:footnoteReference w:id="9"/>
      </w:r>
      <w:r w:rsidRPr="0005026C">
        <w:rPr>
          <w:snapToGrid/>
          <w:kern w:val="0"/>
          <w:szCs w:val="22"/>
        </w:rPr>
        <w:t xml:space="preserve">  AGF Management Limited Inc. and Instar Group, Inc., both Canadian entities, each own 50% of </w:t>
      </w:r>
      <w:r w:rsidRPr="0005026C">
        <w:rPr>
          <w:snapToGrid/>
          <w:kern w:val="0"/>
          <w:szCs w:val="22"/>
        </w:rPr>
        <w:t>InstarAGF</w:t>
      </w:r>
      <w:r w:rsidRPr="0005026C">
        <w:rPr>
          <w:snapToGrid/>
          <w:kern w:val="0"/>
          <w:szCs w:val="22"/>
        </w:rPr>
        <w:t xml:space="preserve"> Inc.</w:t>
      </w:r>
      <w:r>
        <w:rPr>
          <w:snapToGrid/>
          <w:kern w:val="0"/>
          <w:szCs w:val="22"/>
          <w:vertAlign w:val="superscript"/>
        </w:rPr>
        <w:footnoteReference w:id="10"/>
      </w:r>
      <w:r w:rsidRPr="0005026C">
        <w:rPr>
          <w:snapToGrid/>
          <w:kern w:val="0"/>
          <w:szCs w:val="22"/>
        </w:rPr>
        <w:t xml:space="preserve">  Applicants state that neither Pacific Broadband, nor any of its affiliates, currently holds a 10% or greater interest in any provider of domestic telecommunications services.</w:t>
      </w:r>
      <w:r>
        <w:rPr>
          <w:snapToGrid/>
          <w:kern w:val="0"/>
          <w:szCs w:val="22"/>
          <w:vertAlign w:val="superscript"/>
        </w:rPr>
        <w:footnoteReference w:id="11"/>
      </w:r>
    </w:p>
    <w:p w:rsidR="0005026C" w:rsidRPr="0005026C" w:rsidP="0005026C" w14:paraId="561699C4" w14:textId="77777777">
      <w:pPr>
        <w:widowControl/>
        <w:autoSpaceDE w:val="0"/>
        <w:autoSpaceDN w:val="0"/>
        <w:adjustRightInd w:val="0"/>
        <w:spacing w:after="120"/>
        <w:ind w:firstLine="720"/>
        <w:rPr>
          <w:szCs w:val="22"/>
        </w:rPr>
      </w:pPr>
      <w:r w:rsidRPr="0005026C">
        <w:rPr>
          <w:snapToGrid/>
          <w:kern w:val="0"/>
          <w:szCs w:val="22"/>
        </w:rPr>
        <w:t>Pursuant to the terms of the proposed transaction</w:t>
      </w:r>
      <w:r w:rsidRPr="0005026C">
        <w:rPr>
          <w:szCs w:val="22"/>
        </w:rPr>
        <w:t>, Pacific Broadband will purchase all of the existing shares in LS Networks from its current shareholders, including CEC Resources, which holds the majority of shares of LS Networks.  Following the consummation of the proposed transaction, Pacific Broadband will therefore directly own and control LS Networks.</w:t>
      </w:r>
      <w:r>
        <w:rPr>
          <w:szCs w:val="22"/>
          <w:vertAlign w:val="superscript"/>
        </w:rPr>
        <w:footnoteReference w:id="12"/>
      </w:r>
      <w:r w:rsidRPr="0005026C">
        <w:rPr>
          <w:szCs w:val="22"/>
        </w:rPr>
        <w:t xml:space="preserve">  </w:t>
      </w:r>
    </w:p>
    <w:p w:rsidR="0005026C" w:rsidRPr="0005026C" w:rsidP="0005026C" w14:paraId="3C15CCD8" w14:textId="77777777">
      <w:pPr>
        <w:widowControl/>
        <w:autoSpaceDE w:val="0"/>
        <w:autoSpaceDN w:val="0"/>
        <w:adjustRightInd w:val="0"/>
        <w:spacing w:after="120"/>
        <w:ind w:firstLine="720"/>
        <w:rPr>
          <w:rFonts w:eastAsia="Calibri"/>
          <w:snapToGrid/>
          <w:kern w:val="0"/>
          <w:szCs w:val="22"/>
        </w:rPr>
      </w:pPr>
      <w:r w:rsidRPr="0005026C">
        <w:rPr>
          <w:bCs/>
          <w:snapToGrid/>
          <w:kern w:val="0"/>
          <w:szCs w:val="22"/>
        </w:rPr>
        <w:t>Applicants request streamlined treatment of the transaction under the Commission’s rules and assert that a grant of the application would serve the public interest, convenience, and necessity.</w:t>
      </w:r>
      <w:r>
        <w:rPr>
          <w:bCs/>
          <w:snapToGrid/>
          <w:kern w:val="0"/>
          <w:szCs w:val="22"/>
          <w:vertAlign w:val="superscript"/>
        </w:rPr>
        <w:footnoteReference w:id="13"/>
      </w:r>
      <w:r w:rsidRPr="0005026C">
        <w:rPr>
          <w:bCs/>
          <w:snapToGrid/>
          <w:kern w:val="0"/>
          <w:szCs w:val="22"/>
        </w:rPr>
        <w:t xml:space="preserve">  We accept this application for filing under section 63.03(b)(1)(ii) of the Commission’s rules.</w:t>
      </w:r>
      <w:r>
        <w:rPr>
          <w:bCs/>
          <w:snapToGrid/>
          <w:kern w:val="0"/>
          <w:szCs w:val="22"/>
          <w:vertAlign w:val="superscript"/>
        </w:rPr>
        <w:footnoteReference w:id="14"/>
      </w:r>
    </w:p>
    <w:p w:rsidR="0005026C" w:rsidRPr="0005026C" w:rsidP="0005026C" w14:paraId="2B604FBD" w14:textId="77777777">
      <w:pPr>
        <w:widowControl/>
        <w:autoSpaceDE w:val="0"/>
        <w:autoSpaceDN w:val="0"/>
        <w:spacing w:after="120"/>
        <w:ind w:left="720"/>
        <w:rPr>
          <w:rFonts w:eastAsia="Calibri"/>
          <w:snapToGrid/>
          <w:kern w:val="0"/>
          <w:szCs w:val="22"/>
        </w:rPr>
      </w:pPr>
      <w:r w:rsidRPr="0005026C">
        <w:rPr>
          <w:rFonts w:eastAsia="Calibri"/>
          <w:snapToGrid/>
          <w:kern w:val="0"/>
          <w:szCs w:val="22"/>
        </w:rPr>
        <w:t>Domestic Section 214 Application Filed for the Transfer of Control of LightSpeed Networks, Inc. to Pacific Broadband Partners IA LLC, WC Docket No. 20-352 (filed Oct. 28, 2020)</w:t>
      </w:r>
      <w:r w:rsidRPr="0005026C">
        <w:rPr>
          <w:rFonts w:eastAsia="Calibri"/>
          <w:b/>
          <w:bCs/>
          <w:snapToGrid/>
          <w:kern w:val="0"/>
          <w:szCs w:val="22"/>
        </w:rPr>
        <w:t>.</w:t>
      </w:r>
    </w:p>
    <w:p w:rsidR="0005026C" w:rsidRPr="0005026C" w:rsidP="0005026C" w14:paraId="28DFD443" w14:textId="77777777">
      <w:pPr>
        <w:widowControl/>
        <w:autoSpaceDE w:val="0"/>
        <w:autoSpaceDN w:val="0"/>
        <w:adjustRightInd w:val="0"/>
        <w:rPr>
          <w:b/>
          <w:snapToGrid/>
          <w:kern w:val="0"/>
          <w:szCs w:val="22"/>
          <w:u w:val="single"/>
        </w:rPr>
      </w:pPr>
    </w:p>
    <w:p w:rsidR="0005026C" w:rsidRPr="0005026C" w:rsidP="0005026C" w14:paraId="2DDED692" w14:textId="77777777">
      <w:pPr>
        <w:widowControl/>
        <w:autoSpaceDE w:val="0"/>
        <w:autoSpaceDN w:val="0"/>
        <w:adjustRightInd w:val="0"/>
        <w:rPr>
          <w:snapToGrid/>
          <w:kern w:val="0"/>
          <w:szCs w:val="22"/>
        </w:rPr>
      </w:pPr>
      <w:r w:rsidRPr="0005026C">
        <w:rPr>
          <w:b/>
          <w:snapToGrid/>
          <w:kern w:val="0"/>
          <w:szCs w:val="22"/>
          <w:u w:val="single"/>
        </w:rPr>
        <w:t>GENERAL INFORMATION</w:t>
      </w:r>
    </w:p>
    <w:p w:rsidR="0005026C" w:rsidRPr="0005026C" w:rsidP="0005026C" w14:paraId="58DA7CC6" w14:textId="77777777">
      <w:pPr>
        <w:widowControl/>
        <w:autoSpaceDE w:val="0"/>
        <w:autoSpaceDN w:val="0"/>
        <w:adjustRightInd w:val="0"/>
        <w:spacing w:after="120"/>
        <w:rPr>
          <w:snapToGrid/>
          <w:kern w:val="0"/>
          <w:szCs w:val="22"/>
        </w:rPr>
      </w:pPr>
    </w:p>
    <w:p w:rsidR="0005026C" w:rsidRPr="0005026C" w:rsidP="0005026C" w14:paraId="50F19AAF" w14:textId="77777777">
      <w:pPr>
        <w:widowControl/>
        <w:autoSpaceDE w:val="0"/>
        <w:autoSpaceDN w:val="0"/>
        <w:adjustRightInd w:val="0"/>
        <w:spacing w:after="120"/>
        <w:ind w:firstLine="720"/>
        <w:rPr>
          <w:snapToGrid/>
          <w:kern w:val="0"/>
          <w:szCs w:val="22"/>
        </w:rPr>
      </w:pPr>
      <w:r w:rsidRPr="0005026C">
        <w:rPr>
          <w:snapToGrid/>
          <w:kern w:val="0"/>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05026C">
        <w:rPr>
          <w:b/>
          <w:snapToGrid/>
          <w:kern w:val="0"/>
          <w:szCs w:val="22"/>
        </w:rPr>
        <w:t>on or before November 20, 2020</w:t>
      </w:r>
      <w:r w:rsidRPr="0005026C">
        <w:rPr>
          <w:snapToGrid/>
          <w:kern w:val="0"/>
          <w:szCs w:val="22"/>
        </w:rPr>
        <w:t xml:space="preserve">, and reply comments </w:t>
      </w:r>
      <w:r w:rsidRPr="0005026C">
        <w:rPr>
          <w:b/>
          <w:snapToGrid/>
          <w:kern w:val="0"/>
          <w:szCs w:val="22"/>
        </w:rPr>
        <w:t xml:space="preserve">on or before </w:t>
      </w:r>
      <w:r w:rsidRPr="0005026C">
        <w:rPr>
          <w:b/>
          <w:bCs/>
          <w:snapToGrid/>
          <w:kern w:val="0"/>
          <w:szCs w:val="22"/>
        </w:rPr>
        <w:t>November 27</w:t>
      </w:r>
      <w:r w:rsidRPr="0005026C">
        <w:rPr>
          <w:b/>
          <w:snapToGrid/>
          <w:kern w:val="0"/>
          <w:szCs w:val="22"/>
        </w:rPr>
        <w:t>, 2020</w:t>
      </w:r>
      <w:r w:rsidRPr="0005026C">
        <w:rPr>
          <w:snapToGrid/>
          <w:kern w:val="0"/>
          <w:szCs w:val="22"/>
        </w:rPr>
        <w:t xml:space="preserve">.  Pursuant to section 63.52 of the Commission’s rules, 47 CFR § 63.52, commenters must serve a copy of comments on the Applicants no later than the above comment filing </w:t>
      </w:r>
      <w:r w:rsidRPr="0005026C">
        <w:rPr>
          <w:snapToGrid/>
          <w:kern w:val="0"/>
          <w:szCs w:val="22"/>
        </w:rPr>
        <w:t>date.  Unless otherwise notified by the Commission, the Applicants may transfer control on the 31st day after the date of this notice.</w:t>
      </w:r>
    </w:p>
    <w:p w:rsidR="0005026C" w:rsidRPr="0005026C" w:rsidP="0005026C" w14:paraId="5FC814D9" w14:textId="77777777">
      <w:pPr>
        <w:widowControl/>
        <w:autoSpaceDE w:val="0"/>
        <w:autoSpaceDN w:val="0"/>
        <w:adjustRightInd w:val="0"/>
        <w:spacing w:after="120"/>
        <w:ind w:firstLine="720"/>
        <w:rPr>
          <w:snapToGrid/>
          <w:kern w:val="0"/>
          <w:szCs w:val="22"/>
        </w:rPr>
      </w:pPr>
      <w:r w:rsidRPr="0005026C">
        <w:rPr>
          <w:snapToGrid/>
          <w:kern w:val="0"/>
          <w:szCs w:val="22"/>
        </w:rPr>
        <w:t xml:space="preserve">Pursuant to section 63.03 of the Commission’s rules, 47 CFR § 63.03, parties to this proceeding should file any documents using the Commission’s Electronic Comment Filing System (ECFS):  http://apps.fcc.gov/ecfs/.  </w:t>
      </w:r>
    </w:p>
    <w:p w:rsidR="0005026C" w:rsidRPr="0005026C" w:rsidP="0005026C" w14:paraId="19D4AA8B" w14:textId="77777777">
      <w:pPr>
        <w:widowControl/>
        <w:autoSpaceDE w:val="0"/>
        <w:autoSpaceDN w:val="0"/>
        <w:adjustRightInd w:val="0"/>
        <w:spacing w:after="120"/>
        <w:ind w:firstLine="720"/>
        <w:rPr>
          <w:b/>
          <w:snapToGrid/>
          <w:kern w:val="0"/>
          <w:szCs w:val="22"/>
        </w:rPr>
      </w:pPr>
      <w:r w:rsidRPr="0005026C">
        <w:rPr>
          <w:b/>
          <w:snapToGrid/>
          <w:kern w:val="0"/>
          <w:szCs w:val="22"/>
        </w:rPr>
        <w:t>In addition, e-mail one copy of each pleading to each of the following:</w:t>
      </w:r>
    </w:p>
    <w:p w:rsidR="0005026C" w:rsidRPr="0005026C" w:rsidP="0005026C" w14:paraId="0E9F4495" w14:textId="77777777">
      <w:pPr>
        <w:widowControl/>
        <w:numPr>
          <w:ilvl w:val="0"/>
          <w:numId w:val="8"/>
        </w:numPr>
        <w:autoSpaceDE w:val="0"/>
        <w:autoSpaceDN w:val="0"/>
        <w:adjustRightInd w:val="0"/>
        <w:spacing w:after="120"/>
        <w:ind w:left="720"/>
        <w:rPr>
          <w:snapToGrid/>
          <w:kern w:val="0"/>
          <w:szCs w:val="22"/>
        </w:rPr>
      </w:pPr>
      <w:r w:rsidRPr="0005026C">
        <w:rPr>
          <w:snapToGrid/>
          <w:kern w:val="0"/>
          <w:szCs w:val="22"/>
        </w:rPr>
        <w:t xml:space="preserve">Tracey Wilson, Competition Policy Division, Wireline Competition Bureau,  </w:t>
      </w:r>
      <w:hyperlink r:id="rId5" w:history="1">
        <w:r w:rsidRPr="0005026C">
          <w:rPr>
            <w:snapToGrid/>
            <w:color w:val="0000FF"/>
            <w:kern w:val="0"/>
            <w:szCs w:val="22"/>
            <w:u w:val="single"/>
          </w:rPr>
          <w:t>tracey.wilson@fcc.gov</w:t>
        </w:r>
      </w:hyperlink>
      <w:r w:rsidRPr="0005026C">
        <w:rPr>
          <w:snapToGrid/>
          <w:kern w:val="0"/>
          <w:szCs w:val="22"/>
        </w:rPr>
        <w:t>;</w:t>
      </w:r>
    </w:p>
    <w:p w:rsidR="0005026C" w:rsidRPr="0005026C" w:rsidP="0005026C" w14:paraId="0F16B072" w14:textId="77777777">
      <w:pPr>
        <w:widowControl/>
        <w:numPr>
          <w:ilvl w:val="0"/>
          <w:numId w:val="8"/>
        </w:numPr>
        <w:autoSpaceDE w:val="0"/>
        <w:autoSpaceDN w:val="0"/>
        <w:adjustRightInd w:val="0"/>
        <w:spacing w:after="120"/>
        <w:ind w:left="720"/>
        <w:rPr>
          <w:snapToGrid/>
          <w:kern w:val="0"/>
          <w:szCs w:val="22"/>
        </w:rPr>
      </w:pPr>
      <w:r w:rsidRPr="0005026C">
        <w:rPr>
          <w:snapToGrid/>
          <w:kern w:val="0"/>
          <w:szCs w:val="22"/>
        </w:rPr>
        <w:t xml:space="preserve">Gregory Kwan, Competition Policy Division, Wireline Competition Bureau, </w:t>
      </w:r>
      <w:hyperlink r:id="rId6" w:history="1">
        <w:r w:rsidRPr="0005026C">
          <w:rPr>
            <w:snapToGrid/>
            <w:color w:val="0000FF"/>
            <w:kern w:val="0"/>
            <w:szCs w:val="22"/>
            <w:u w:val="single"/>
          </w:rPr>
          <w:t>gregory.kwan@fcc.gov</w:t>
        </w:r>
      </w:hyperlink>
      <w:r w:rsidRPr="0005026C">
        <w:rPr>
          <w:snapToGrid/>
          <w:kern w:val="0"/>
          <w:szCs w:val="22"/>
        </w:rPr>
        <w:t xml:space="preserve">; </w:t>
      </w:r>
    </w:p>
    <w:p w:rsidR="0005026C" w:rsidRPr="0005026C" w:rsidP="0005026C" w14:paraId="747BAE3F" w14:textId="77777777">
      <w:pPr>
        <w:widowControl/>
        <w:numPr>
          <w:ilvl w:val="0"/>
          <w:numId w:val="8"/>
        </w:numPr>
        <w:autoSpaceDE w:val="0"/>
        <w:autoSpaceDN w:val="0"/>
        <w:adjustRightInd w:val="0"/>
        <w:spacing w:after="120"/>
        <w:ind w:left="720"/>
        <w:rPr>
          <w:snapToGrid/>
          <w:kern w:val="0"/>
          <w:szCs w:val="22"/>
        </w:rPr>
      </w:pPr>
      <w:r w:rsidRPr="0005026C">
        <w:rPr>
          <w:snapToGrid/>
          <w:kern w:val="0"/>
          <w:szCs w:val="22"/>
        </w:rPr>
        <w:t xml:space="preserve">Jim Bird, Office of General Counsel, </w:t>
      </w:r>
      <w:hyperlink r:id="rId7" w:history="1">
        <w:r w:rsidRPr="0005026C">
          <w:rPr>
            <w:snapToGrid/>
            <w:color w:val="0000FF"/>
            <w:kern w:val="0"/>
            <w:szCs w:val="22"/>
            <w:u w:val="single"/>
          </w:rPr>
          <w:t>jim.bird@fcc.gov</w:t>
        </w:r>
      </w:hyperlink>
      <w:r w:rsidRPr="0005026C">
        <w:rPr>
          <w:snapToGrid/>
          <w:kern w:val="0"/>
          <w:szCs w:val="22"/>
        </w:rPr>
        <w:t>.</w:t>
      </w:r>
    </w:p>
    <w:p w:rsidR="0005026C" w:rsidRPr="0005026C" w:rsidP="0005026C" w14:paraId="47D8A6DD" w14:textId="77777777">
      <w:pPr>
        <w:widowControl/>
        <w:autoSpaceDE w:val="0"/>
        <w:autoSpaceDN w:val="0"/>
        <w:adjustRightInd w:val="0"/>
        <w:spacing w:after="120"/>
        <w:ind w:firstLine="720"/>
        <w:rPr>
          <w:snapToGrid/>
          <w:kern w:val="0"/>
          <w:szCs w:val="22"/>
        </w:rPr>
      </w:pPr>
      <w:r w:rsidRPr="0005026C">
        <w:rPr>
          <w:snapToGrid/>
          <w:kern w:val="0"/>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w:t>
      </w:r>
      <w:r w:rsidRPr="0005026C">
        <w:rPr>
          <w:snapToGrid/>
          <w:kern w:val="0"/>
          <w:szCs w:val="22"/>
        </w:rPr>
        <w:t>tty</w:t>
      </w:r>
      <w:r w:rsidRPr="0005026C">
        <w:rPr>
          <w:snapToGrid/>
          <w:kern w:val="0"/>
          <w:szCs w:val="22"/>
        </w:rPr>
        <w:t>).</w:t>
      </w:r>
    </w:p>
    <w:p w:rsidR="0005026C" w:rsidRPr="0005026C" w:rsidP="0005026C" w14:paraId="5D864F6A" w14:textId="77777777">
      <w:pPr>
        <w:widowControl/>
        <w:autoSpaceDE w:val="0"/>
        <w:autoSpaceDN w:val="0"/>
        <w:adjustRightInd w:val="0"/>
        <w:spacing w:after="120"/>
        <w:ind w:firstLine="720"/>
        <w:rPr>
          <w:snapToGrid/>
          <w:kern w:val="0"/>
          <w:szCs w:val="22"/>
        </w:rPr>
      </w:pPr>
      <w:r w:rsidRPr="0005026C">
        <w:rPr>
          <w:snapToGrid/>
          <w:kern w:val="0"/>
          <w:szCs w:val="22"/>
        </w:rPr>
        <w:t xml:space="preserve">The proceeding in this Notice shall be treated as a “permit-but-disclose” proceeding in accordance with the Commission’s </w:t>
      </w:r>
      <w:r w:rsidRPr="0005026C">
        <w:rPr>
          <w:i/>
          <w:snapToGrid/>
          <w:kern w:val="0"/>
          <w:szCs w:val="22"/>
        </w:rPr>
        <w:t xml:space="preserve">ex </w:t>
      </w:r>
      <w:r w:rsidRPr="0005026C">
        <w:rPr>
          <w:i/>
          <w:snapToGrid/>
          <w:kern w:val="0"/>
          <w:szCs w:val="22"/>
        </w:rPr>
        <w:t>parte</w:t>
      </w:r>
      <w:r w:rsidRPr="0005026C">
        <w:rPr>
          <w:snapToGrid/>
          <w:kern w:val="0"/>
          <w:szCs w:val="22"/>
        </w:rPr>
        <w:t xml:space="preserve"> rules.  Persons making </w:t>
      </w:r>
      <w:r w:rsidRPr="0005026C">
        <w:rPr>
          <w:i/>
          <w:snapToGrid/>
          <w:kern w:val="0"/>
          <w:szCs w:val="22"/>
        </w:rPr>
        <w:t xml:space="preserve">ex </w:t>
      </w:r>
      <w:r w:rsidRPr="0005026C">
        <w:rPr>
          <w:i/>
          <w:snapToGrid/>
          <w:kern w:val="0"/>
          <w:szCs w:val="22"/>
        </w:rPr>
        <w:t>parte</w:t>
      </w:r>
      <w:r w:rsidRPr="0005026C">
        <w:rPr>
          <w:snapToGrid/>
          <w:kern w:val="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5026C">
        <w:rPr>
          <w:i/>
          <w:snapToGrid/>
          <w:kern w:val="0"/>
          <w:szCs w:val="22"/>
        </w:rPr>
        <w:t xml:space="preserve">ex </w:t>
      </w:r>
      <w:r w:rsidRPr="0005026C">
        <w:rPr>
          <w:i/>
          <w:snapToGrid/>
          <w:kern w:val="0"/>
          <w:szCs w:val="22"/>
        </w:rPr>
        <w:t>parte</w:t>
      </w:r>
      <w:r w:rsidRPr="0005026C">
        <w:rPr>
          <w:snapToGrid/>
          <w:kern w:val="0"/>
          <w:szCs w:val="22"/>
        </w:rPr>
        <w:t xml:space="preserve"> presentations are reminded that memoranda summarizing the presentation must (1) list all persons attending or otherwise participating in the meeting at which the </w:t>
      </w:r>
      <w:r w:rsidRPr="0005026C">
        <w:rPr>
          <w:i/>
          <w:snapToGrid/>
          <w:kern w:val="0"/>
          <w:szCs w:val="22"/>
        </w:rPr>
        <w:t xml:space="preserve">ex </w:t>
      </w:r>
      <w:r w:rsidRPr="0005026C">
        <w:rPr>
          <w:i/>
          <w:snapToGrid/>
          <w:kern w:val="0"/>
          <w:szCs w:val="22"/>
        </w:rPr>
        <w:t>parte</w:t>
      </w:r>
      <w:r w:rsidRPr="0005026C">
        <w:rPr>
          <w:snapToGrid/>
          <w:kern w:val="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026C">
        <w:rPr>
          <w:i/>
          <w:snapToGrid/>
          <w:kern w:val="0"/>
          <w:szCs w:val="22"/>
        </w:rPr>
        <w:t xml:space="preserve">ex </w:t>
      </w:r>
      <w:r w:rsidRPr="0005026C">
        <w:rPr>
          <w:i/>
          <w:snapToGrid/>
          <w:kern w:val="0"/>
          <w:szCs w:val="22"/>
        </w:rPr>
        <w:t>parte</w:t>
      </w:r>
      <w:r w:rsidRPr="0005026C">
        <w:rPr>
          <w:snapToGrid/>
          <w:kern w:val="0"/>
          <w:szCs w:val="22"/>
        </w:rPr>
        <w:t xml:space="preserve"> meetings are deemed to be written </w:t>
      </w:r>
      <w:r w:rsidRPr="0005026C">
        <w:rPr>
          <w:i/>
          <w:snapToGrid/>
          <w:kern w:val="0"/>
          <w:szCs w:val="22"/>
        </w:rPr>
        <w:t xml:space="preserve">ex </w:t>
      </w:r>
      <w:r w:rsidRPr="0005026C">
        <w:rPr>
          <w:i/>
          <w:snapToGrid/>
          <w:kern w:val="0"/>
          <w:szCs w:val="22"/>
        </w:rPr>
        <w:t>parte</w:t>
      </w:r>
      <w:r w:rsidRPr="0005026C">
        <w:rPr>
          <w:snapToGrid/>
          <w:kern w:val="0"/>
          <w:szCs w:val="22"/>
        </w:rPr>
        <w:t xml:space="preserve"> presentations and must be filed consistent with rule 1.1206(b), 47 CFR § 1.1206(b).  Participants in this proceeding should familiarize themselves with the Commission’s </w:t>
      </w:r>
      <w:r w:rsidRPr="0005026C">
        <w:rPr>
          <w:i/>
          <w:snapToGrid/>
          <w:kern w:val="0"/>
          <w:szCs w:val="22"/>
        </w:rPr>
        <w:t xml:space="preserve">ex </w:t>
      </w:r>
      <w:r w:rsidRPr="0005026C">
        <w:rPr>
          <w:i/>
          <w:snapToGrid/>
          <w:kern w:val="0"/>
          <w:szCs w:val="22"/>
        </w:rPr>
        <w:t>parte</w:t>
      </w:r>
      <w:r w:rsidRPr="0005026C">
        <w:rPr>
          <w:snapToGrid/>
          <w:kern w:val="0"/>
          <w:szCs w:val="22"/>
        </w:rPr>
        <w:t xml:space="preserve"> rules.</w:t>
      </w:r>
    </w:p>
    <w:p w:rsidR="0005026C" w:rsidRPr="0005026C" w:rsidP="0005026C" w14:paraId="04A17B44" w14:textId="77777777">
      <w:pPr>
        <w:widowControl/>
        <w:autoSpaceDE w:val="0"/>
        <w:autoSpaceDN w:val="0"/>
        <w:adjustRightInd w:val="0"/>
        <w:spacing w:after="120"/>
        <w:ind w:firstLine="720"/>
        <w:rPr>
          <w:snapToGrid/>
          <w:kern w:val="0"/>
          <w:szCs w:val="22"/>
        </w:rPr>
      </w:pPr>
      <w:r w:rsidRPr="0005026C">
        <w:rPr>
          <w:snapToGrid/>
          <w:kern w:val="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napToGrid/>
          <w:kern w:val="0"/>
          <w:szCs w:val="22"/>
          <w:vertAlign w:val="superscript"/>
        </w:rPr>
        <w:footnoteReference w:id="15"/>
      </w:r>
      <w:r w:rsidRPr="0005026C">
        <w:rPr>
          <w:snapToGrid/>
          <w:kern w:val="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05026C" w:rsidRPr="0005026C" w:rsidP="0005026C" w14:paraId="42028671" w14:textId="77777777">
      <w:pPr>
        <w:widowControl/>
        <w:autoSpaceDE w:val="0"/>
        <w:autoSpaceDN w:val="0"/>
        <w:adjustRightInd w:val="0"/>
        <w:spacing w:after="120"/>
        <w:ind w:firstLine="720"/>
        <w:rPr>
          <w:snapToGrid/>
          <w:kern w:val="0"/>
          <w:szCs w:val="22"/>
        </w:rPr>
      </w:pPr>
      <w:r w:rsidRPr="0005026C">
        <w:rPr>
          <w:snapToGrid/>
          <w:kern w:val="0"/>
          <w:szCs w:val="22"/>
        </w:rPr>
        <w:t>For further information, please contact Tracey Wilson at (202) 418-1394 or Gregory Kwan at (202) 418-1191.</w:t>
      </w:r>
    </w:p>
    <w:p w:rsidR="0005026C" w:rsidRPr="0005026C" w:rsidP="0005026C" w14:paraId="75EC735D" w14:textId="77777777">
      <w:pPr>
        <w:widowControl/>
        <w:autoSpaceDE w:val="0"/>
        <w:autoSpaceDN w:val="0"/>
        <w:adjustRightInd w:val="0"/>
        <w:rPr>
          <w:snapToGrid/>
          <w:kern w:val="0"/>
          <w:szCs w:val="22"/>
        </w:rPr>
      </w:pPr>
    </w:p>
    <w:p w:rsidR="0005026C" w:rsidRPr="0005026C" w:rsidP="0005026C" w14:paraId="0B12C095" w14:textId="77777777">
      <w:pPr>
        <w:widowControl/>
        <w:autoSpaceDE w:val="0"/>
        <w:autoSpaceDN w:val="0"/>
        <w:adjustRightInd w:val="0"/>
        <w:rPr>
          <w:snapToGrid/>
          <w:kern w:val="0"/>
          <w:szCs w:val="22"/>
        </w:rPr>
      </w:pPr>
    </w:p>
    <w:p w:rsidR="0005026C" w:rsidRPr="0005026C" w:rsidP="0005026C" w14:paraId="6972C91A" w14:textId="77777777">
      <w:pPr>
        <w:widowControl/>
        <w:autoSpaceDE w:val="0"/>
        <w:autoSpaceDN w:val="0"/>
        <w:adjustRightInd w:val="0"/>
        <w:jc w:val="center"/>
        <w:rPr>
          <w:b/>
          <w:snapToGrid/>
          <w:kern w:val="0"/>
          <w:szCs w:val="22"/>
          <w:u w:val="single"/>
        </w:rPr>
      </w:pPr>
      <w:r w:rsidRPr="0005026C">
        <w:rPr>
          <w:b/>
          <w:snapToGrid/>
          <w:kern w:val="0"/>
          <w:szCs w:val="22"/>
        </w:rPr>
        <w:t>-FCC-</w:t>
      </w:r>
    </w:p>
    <w:p w:rsidR="0005026C" w:rsidRPr="0005026C" w:rsidP="0005026C" w14:paraId="7399D464" w14:textId="77777777">
      <w:pPr>
        <w:widowControl/>
        <w:autoSpaceDE w:val="0"/>
        <w:autoSpaceDN w:val="0"/>
        <w:adjustRightInd w:val="0"/>
        <w:rPr>
          <w:snapToGrid/>
          <w:kern w:val="0"/>
          <w:szCs w:val="22"/>
        </w:rPr>
      </w:pPr>
    </w:p>
    <w:p w:rsidR="0005026C" w:rsidRPr="0005026C" w:rsidP="0005026C" w14:paraId="32CC5491" w14:textId="77777777">
      <w:pPr>
        <w:widowControl/>
        <w:autoSpaceDE w:val="0"/>
        <w:autoSpaceDN w:val="0"/>
        <w:adjustRightInd w:val="0"/>
        <w:rPr>
          <w:b/>
          <w:snapToGrid/>
          <w:kern w:val="0"/>
          <w:szCs w:val="22"/>
        </w:rPr>
      </w:pPr>
      <w:r w:rsidRPr="0005026C">
        <w:rPr>
          <w:b/>
          <w:snapToGrid/>
          <w:kern w:val="0"/>
          <w:szCs w:val="22"/>
        </w:rPr>
        <w:t xml:space="preserve"> </w:t>
      </w:r>
    </w:p>
    <w:p w:rsidR="005F2117" w14:paraId="69D54DE9" w14:textId="77777777">
      <w:pPr>
        <w:jc w:val="right"/>
        <w:rPr>
          <w:sz w:val="24"/>
        </w:rPr>
      </w:pPr>
    </w:p>
    <w:sectPr>
      <w:footerReference w:type="even" r:id="rId8"/>
      <w:footerReference w:type="default" r:id="rId9"/>
      <w:headerReference w:type="first" r:id="rId10"/>
      <w:footerReference w:type="first" r:id="rId11"/>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27C72B9B" w14:textId="77777777">
    <w:pPr>
      <w:pStyle w:val="Footer"/>
      <w:framePr w:wrap="around" w:vAnchor="text" w:hAnchor="margin" w:xAlign="center" w:y="1"/>
    </w:pPr>
    <w:r>
      <w:fldChar w:fldCharType="begin"/>
    </w:r>
    <w:r>
      <w:instrText xml:space="preserve">PAGE  </w:instrText>
    </w:r>
    <w:r>
      <w:fldChar w:fldCharType="separate"/>
    </w:r>
    <w:r>
      <w:fldChar w:fldCharType="end"/>
    </w:r>
  </w:p>
  <w:p w:rsidR="005F2117" w14:paraId="1EE0AD3B" w14:textId="77777777">
    <w:pPr>
      <w:pStyle w:val="Footer"/>
    </w:pPr>
  </w:p>
  <w:p w:rsidR="005F2117" w14:paraId="2C6274B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684BAB52"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14:paraId="39F86492"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208244AD"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0F0E" w14:paraId="371AC893" w14:textId="77777777">
      <w:r>
        <w:separator/>
      </w:r>
    </w:p>
  </w:footnote>
  <w:footnote w:type="continuationSeparator" w:id="1">
    <w:p w:rsidR="006B0F0E" w14:paraId="63F1170D" w14:textId="77777777">
      <w:pPr>
        <w:spacing w:before="120"/>
        <w:rPr>
          <w:sz w:val="20"/>
        </w:rPr>
      </w:pPr>
      <w:r>
        <w:rPr>
          <w:sz w:val="20"/>
        </w:rPr>
        <w:t xml:space="preserve">(Continued from previous page)  </w:t>
      </w:r>
      <w:r>
        <w:rPr>
          <w:sz w:val="20"/>
        </w:rPr>
        <w:separator/>
      </w:r>
    </w:p>
  </w:footnote>
  <w:footnote w:type="continuationNotice" w:id="2">
    <w:p w:rsidR="006B0F0E" w14:paraId="41E2678B" w14:textId="77777777">
      <w:pPr>
        <w:jc w:val="right"/>
        <w:rPr>
          <w:sz w:val="20"/>
        </w:rPr>
      </w:pPr>
      <w:r>
        <w:rPr>
          <w:sz w:val="20"/>
        </w:rPr>
        <w:t>(continued….)</w:t>
      </w:r>
    </w:p>
  </w:footnote>
  <w:footnote w:id="3">
    <w:p w:rsidR="0005026C" w:rsidRPr="00C908E0" w:rsidP="0005026C" w14:paraId="63D51764" w14:textId="77777777">
      <w:pPr>
        <w:spacing w:after="120"/>
        <w:rPr>
          <w:sz w:val="20"/>
        </w:rPr>
      </w:pPr>
      <w:r w:rsidRPr="00DD0FDA">
        <w:rPr>
          <w:rStyle w:val="FootnoteReference"/>
        </w:rPr>
        <w:footnoteRef/>
      </w:r>
      <w:r w:rsidRPr="00DD0FDA">
        <w:rPr>
          <w:sz w:val="20"/>
        </w:rPr>
        <w:t xml:space="preserve"> </w:t>
      </w:r>
      <w:r w:rsidRPr="00C908E0">
        <w:rPr>
          <w:i/>
          <w:sz w:val="20"/>
        </w:rPr>
        <w:t>See</w:t>
      </w:r>
      <w:r w:rsidRPr="00C908E0">
        <w:rPr>
          <w:sz w:val="20"/>
        </w:rPr>
        <w:t xml:space="preserve"> 47 U.S.C. § 214; 47 CFR §§ 63.03-04.  Application of CEC Resources, Inc., LightSpeed Networks, Inc., and Pacific Broadband Partners IA LLC for Consent to Transfer Control of Domestic Authority Pursuant to Section 214 of the Communications Act of 1934, as amended, WC Docket No. 20-352 (filed Oct. 28, 2020) (Application).  On November 4, 2020, Applicants filed a supplement to their domestic section 214 application.  Letter from Nancy J. Victory, Counsel for Pacific Broadband, to Marlene H. Dortch, Secretary, FCC (Nov. 3, 2020) (on file in WC Docket No. 20-352 (Supplement).  Applicants also filed applications for the transfer of authorizations associated with wireless authorizations.  Any action on this domestic section 214 application is without prejudice to Commission action on other related, pending applications</w:t>
      </w:r>
      <w:r w:rsidRPr="00C908E0">
        <w:rPr>
          <w:rFonts w:eastAsia="Calibri"/>
          <w:sz w:val="20"/>
        </w:rPr>
        <w:t xml:space="preserve">.  </w:t>
      </w:r>
    </w:p>
  </w:footnote>
  <w:footnote w:id="4">
    <w:p w:rsidR="0005026C" w:rsidRPr="00C908E0" w:rsidP="0005026C" w14:paraId="00EF3392" w14:textId="77777777">
      <w:pPr>
        <w:pStyle w:val="FootnoteText"/>
        <w:rPr>
          <w:i/>
          <w:iCs/>
        </w:rPr>
      </w:pPr>
      <w:r w:rsidRPr="00C908E0">
        <w:rPr>
          <w:rStyle w:val="FootnoteReference"/>
        </w:rPr>
        <w:footnoteRef/>
      </w:r>
      <w:r w:rsidRPr="00C908E0">
        <w:t xml:space="preserve"> Application at 2.  Applicants state that LS Networks ability to serve schools, libraries, and medical facilities </w:t>
      </w:r>
      <w:bookmarkStart w:id="5" w:name="_Hlk54962348"/>
      <w:r w:rsidRPr="00C908E0">
        <w:t>is supported in part by its participation in the federal universal service E-Rate and Rural Healthcare programs.</w:t>
      </w:r>
      <w:bookmarkEnd w:id="5"/>
      <w:r w:rsidRPr="00C908E0">
        <w:t xml:space="preserve">  </w:t>
      </w:r>
      <w:r w:rsidRPr="00C908E0">
        <w:rPr>
          <w:i/>
          <w:iCs/>
        </w:rPr>
        <w:t>Id.</w:t>
      </w:r>
    </w:p>
  </w:footnote>
  <w:footnote w:id="5">
    <w:p w:rsidR="0005026C" w:rsidRPr="00C908E0" w:rsidP="0005026C" w14:paraId="739A0C27" w14:textId="77777777">
      <w:pPr>
        <w:pStyle w:val="FootnoteText"/>
        <w:rPr>
          <w:i/>
          <w:iCs/>
        </w:rPr>
      </w:pPr>
      <w:r w:rsidRPr="00C908E0">
        <w:rPr>
          <w:rStyle w:val="FootnoteReference"/>
        </w:rPr>
        <w:footnoteRef/>
      </w:r>
      <w:r w:rsidRPr="00C908E0">
        <w:t xml:space="preserve"> </w:t>
      </w:r>
      <w:r w:rsidRPr="00C908E0">
        <w:rPr>
          <w:i/>
          <w:iCs/>
        </w:rPr>
        <w:t>Id.</w:t>
      </w:r>
    </w:p>
  </w:footnote>
  <w:footnote w:id="6">
    <w:p w:rsidR="0005026C" w:rsidRPr="00C908E0" w:rsidP="0005026C" w14:paraId="77D12323" w14:textId="77777777">
      <w:pPr>
        <w:pStyle w:val="FootnoteText"/>
      </w:pPr>
      <w:r w:rsidRPr="00C908E0">
        <w:rPr>
          <w:rStyle w:val="FootnoteReference"/>
        </w:rPr>
        <w:footnoteRef/>
      </w:r>
      <w:r w:rsidRPr="00C908E0">
        <w:t xml:space="preserve"> </w:t>
      </w:r>
      <w:r w:rsidRPr="00C908E0">
        <w:rPr>
          <w:i/>
          <w:iCs/>
        </w:rPr>
        <w:t xml:space="preserve">Id.  </w:t>
      </w:r>
      <w:r w:rsidRPr="00C908E0">
        <w:t xml:space="preserve">Applicants provide charts showing the pre and post-consummation ownership structure of LS Networks.  </w:t>
      </w:r>
      <w:r w:rsidRPr="00C908E0">
        <w:rPr>
          <w:i/>
          <w:iCs/>
        </w:rPr>
        <w:t xml:space="preserve">Id. </w:t>
      </w:r>
      <w:r w:rsidRPr="00C908E0">
        <w:t xml:space="preserve">at </w:t>
      </w:r>
      <w:r w:rsidRPr="00C908E0">
        <w:t>Exh</w:t>
      </w:r>
      <w:r w:rsidRPr="00C908E0">
        <w:t xml:space="preserve">. A.  Applicants state that the general partner for </w:t>
      </w:r>
      <w:r w:rsidRPr="00C908E0">
        <w:t>Infralink</w:t>
      </w:r>
      <w:r w:rsidRPr="00C908E0">
        <w:t xml:space="preserve"> Holdings IA LP is </w:t>
      </w:r>
      <w:bookmarkStart w:id="6" w:name="_Hlk55212498"/>
      <w:r w:rsidRPr="00C908E0">
        <w:t>InstarAGF</w:t>
      </w:r>
      <w:r w:rsidRPr="00C908E0">
        <w:t xml:space="preserve"> Infrastructure Management II LLC</w:t>
      </w:r>
      <w:bookmarkEnd w:id="6"/>
      <w:r w:rsidRPr="00C908E0">
        <w:t xml:space="preserve">, a Delaware limited liability corporation.  </w:t>
      </w:r>
      <w:r w:rsidRPr="00C908E0">
        <w:rPr>
          <w:i/>
          <w:iCs/>
        </w:rPr>
        <w:t xml:space="preserve">Id. </w:t>
      </w:r>
      <w:r w:rsidRPr="00C908E0">
        <w:t>at 7.</w:t>
      </w:r>
    </w:p>
  </w:footnote>
  <w:footnote w:id="7">
    <w:p w:rsidR="0005026C" w:rsidRPr="00C908E0" w:rsidP="0005026C" w14:paraId="2D3DDB8B" w14:textId="77777777">
      <w:pPr>
        <w:pStyle w:val="FootnoteText"/>
      </w:pPr>
      <w:r w:rsidRPr="00C908E0">
        <w:rPr>
          <w:rStyle w:val="FootnoteReference"/>
        </w:rPr>
        <w:footnoteRef/>
      </w:r>
      <w:r w:rsidRPr="00C908E0">
        <w:t xml:space="preserve"> Application</w:t>
      </w:r>
      <w:r w:rsidRPr="00C908E0">
        <w:rPr>
          <w:i/>
          <w:iCs/>
        </w:rPr>
        <w:t xml:space="preserve"> </w:t>
      </w:r>
      <w:r w:rsidRPr="00C908E0">
        <w:t>at 2 and 7-9.</w:t>
      </w:r>
      <w:r w:rsidRPr="00C908E0">
        <w:rPr>
          <w:i/>
          <w:iCs/>
        </w:rPr>
        <w:t xml:space="preserve">  </w:t>
      </w:r>
    </w:p>
  </w:footnote>
  <w:footnote w:id="8">
    <w:p w:rsidR="0005026C" w:rsidRPr="00C908E0" w:rsidP="0005026C" w14:paraId="391C37A4" w14:textId="77777777">
      <w:pPr>
        <w:pStyle w:val="FootnoteText"/>
      </w:pPr>
      <w:r w:rsidRPr="00C908E0">
        <w:rPr>
          <w:rStyle w:val="FootnoteReference"/>
        </w:rPr>
        <w:footnoteRef/>
      </w:r>
      <w:r w:rsidRPr="00C908E0">
        <w:t xml:space="preserve"> </w:t>
      </w:r>
      <w:r w:rsidRPr="00C908E0">
        <w:rPr>
          <w:i/>
          <w:iCs/>
        </w:rPr>
        <w:t xml:space="preserve">Id. </w:t>
      </w:r>
      <w:r w:rsidRPr="00C908E0">
        <w:t xml:space="preserve">at 8-9. </w:t>
      </w:r>
    </w:p>
  </w:footnote>
  <w:footnote w:id="9">
    <w:p w:rsidR="0005026C" w:rsidRPr="00C908E0" w:rsidP="0005026C" w14:paraId="0A8F67BF" w14:textId="77777777">
      <w:pPr>
        <w:pStyle w:val="FootnoteText"/>
      </w:pPr>
      <w:r w:rsidRPr="00C908E0">
        <w:rPr>
          <w:rStyle w:val="FootnoteReference"/>
        </w:rPr>
        <w:footnoteRef/>
      </w:r>
      <w:r w:rsidRPr="00C908E0">
        <w:t xml:space="preserve"> </w:t>
      </w:r>
      <w:r w:rsidRPr="00C908E0">
        <w:rPr>
          <w:i/>
          <w:iCs/>
        </w:rPr>
        <w:t xml:space="preserve">Id. </w:t>
      </w:r>
      <w:r w:rsidRPr="00C908E0">
        <w:t xml:space="preserve">at 9.  </w:t>
      </w:r>
    </w:p>
  </w:footnote>
  <w:footnote w:id="10">
    <w:p w:rsidR="0005026C" w:rsidRPr="00C908E0" w:rsidP="0005026C" w14:paraId="3A8BC3B5" w14:textId="77777777">
      <w:pPr>
        <w:pStyle w:val="FootnoteText"/>
        <w:rPr>
          <w:i/>
          <w:iCs/>
        </w:rPr>
      </w:pPr>
      <w:r w:rsidRPr="00C908E0">
        <w:rPr>
          <w:rStyle w:val="FootnoteReference"/>
        </w:rPr>
        <w:footnoteRef/>
      </w:r>
      <w:r w:rsidRPr="00C908E0">
        <w:t xml:space="preserve"> </w:t>
      </w:r>
      <w:r w:rsidRPr="00C908E0">
        <w:rPr>
          <w:i/>
          <w:iCs/>
        </w:rPr>
        <w:t>Id.</w:t>
      </w:r>
      <w:r w:rsidRPr="00C908E0">
        <w:t xml:space="preserve"> at 10.  Applicants state that Instar Group Inc. is owned by Gregory Smith (50.5%), a Canadian citizen, and other Canadian investors (49.5%).  </w:t>
      </w:r>
      <w:r w:rsidRPr="00C908E0">
        <w:rPr>
          <w:i/>
          <w:iCs/>
        </w:rPr>
        <w:t>Id.</w:t>
      </w:r>
    </w:p>
  </w:footnote>
  <w:footnote w:id="11">
    <w:p w:rsidR="0005026C" w:rsidRPr="00C908E0" w:rsidP="0005026C" w14:paraId="1EDFCEDF" w14:textId="77777777">
      <w:pPr>
        <w:pStyle w:val="FootnoteText"/>
      </w:pPr>
      <w:r w:rsidRPr="00C908E0">
        <w:rPr>
          <w:rStyle w:val="FootnoteReference"/>
        </w:rPr>
        <w:footnoteRef/>
      </w:r>
      <w:r w:rsidRPr="00C908E0">
        <w:t xml:space="preserve"> Supplement at 1.</w:t>
      </w:r>
    </w:p>
  </w:footnote>
  <w:footnote w:id="12">
    <w:p w:rsidR="0005026C" w:rsidRPr="00C908E0" w:rsidP="0005026C" w14:paraId="0B100BDE" w14:textId="77777777">
      <w:pPr>
        <w:pStyle w:val="FootnoteText"/>
      </w:pPr>
      <w:r w:rsidRPr="00C908E0">
        <w:rPr>
          <w:rStyle w:val="FootnoteReference"/>
        </w:rPr>
        <w:footnoteRef/>
      </w:r>
      <w:r w:rsidRPr="00C908E0">
        <w:t xml:space="preserve"> Application at 3.</w:t>
      </w:r>
    </w:p>
  </w:footnote>
  <w:footnote w:id="13">
    <w:p w:rsidR="0005026C" w:rsidRPr="00C908E0" w:rsidP="0005026C" w14:paraId="01A408BD" w14:textId="77777777">
      <w:pPr>
        <w:pStyle w:val="FootnoteText"/>
      </w:pPr>
      <w:r w:rsidRPr="00C908E0">
        <w:rPr>
          <w:rStyle w:val="FootnoteReference"/>
        </w:rPr>
        <w:footnoteRef/>
      </w:r>
      <w:r w:rsidRPr="00C908E0">
        <w:t xml:space="preserve"> </w:t>
      </w:r>
      <w:r w:rsidRPr="00C908E0">
        <w:rPr>
          <w:i/>
          <w:iCs/>
        </w:rPr>
        <w:t>Id</w:t>
      </w:r>
      <w:r w:rsidRPr="00C908E0">
        <w:t>. at 12.</w:t>
      </w:r>
    </w:p>
  </w:footnote>
  <w:footnote w:id="14">
    <w:p w:rsidR="0005026C" w:rsidRPr="00C908E0" w:rsidP="0005026C" w14:paraId="0CEFD9E9" w14:textId="77777777">
      <w:pPr>
        <w:pStyle w:val="FootnoteText"/>
      </w:pPr>
      <w:r w:rsidRPr="00C908E0">
        <w:rPr>
          <w:rStyle w:val="FootnoteReference"/>
        </w:rPr>
        <w:footnoteRef/>
      </w:r>
      <w:r w:rsidRPr="00C908E0">
        <w:t xml:space="preserve"> </w:t>
      </w:r>
      <w:r w:rsidRPr="00C908E0">
        <w:rPr>
          <w:color w:val="020100"/>
        </w:rPr>
        <w:t>47 CFR § 63.03(b)(1)(ii).</w:t>
      </w:r>
    </w:p>
  </w:footnote>
  <w:footnote w:id="15">
    <w:p w:rsidR="0005026C" w:rsidRPr="0008381D" w:rsidP="0005026C" w14:paraId="6887694E" w14:textId="77777777">
      <w:pPr>
        <w:pStyle w:val="FootnoteText"/>
      </w:pPr>
      <w:r w:rsidRPr="0008381D">
        <w:rPr>
          <w:rStyle w:val="FootnoteReference"/>
        </w:rPr>
        <w:footnoteRef/>
      </w:r>
      <w:r w:rsidRPr="0008381D">
        <w:t xml:space="preserve"> </w:t>
      </w:r>
      <w:r w:rsidRPr="0008381D">
        <w:rPr>
          <w:i/>
        </w:rPr>
        <w:t>See</w:t>
      </w:r>
      <w:r w:rsidRPr="0008381D">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20AA1AC2" w14:textId="38B9976E">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2176" w:rsidP="00A62176" w14:textId="77777777">
                          <w:pPr>
                            <w:rPr>
                              <w:rFonts w:ascii="Arial" w:hAnsi="Arial"/>
                              <w:b/>
                            </w:rPr>
                          </w:pPr>
                          <w:r w:rsidRPr="00A62176">
                            <w:rPr>
                              <w:rFonts w:ascii="Arial" w:hAnsi="Arial"/>
                              <w:b/>
                            </w:rPr>
                            <w:t xml:space="preserve">Federal Communications Commission </w:t>
                          </w:r>
                        </w:p>
                        <w:p w:rsidR="005F2117" w:rsidP="00A62176" w14:textId="1C324D05">
                          <w:pPr>
                            <w:rPr>
                              <w:rFonts w:ascii="Arial" w:hAnsi="Arial"/>
                              <w:b/>
                            </w:rPr>
                          </w:pPr>
                          <w:r w:rsidRPr="00A62176">
                            <w:rPr>
                              <w:rFonts w:ascii="Arial" w:hAnsi="Arial"/>
                              <w:b/>
                            </w:rPr>
                            <w:t xml:space="preserve">45 L St., N.E. </w:t>
                          </w:r>
                        </w:p>
                        <w:p w:rsidR="005F211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A62176" w:rsidP="00A62176" w14:paraId="545067C9" w14:textId="77777777">
                    <w:pPr>
                      <w:rPr>
                        <w:rFonts w:ascii="Arial" w:hAnsi="Arial"/>
                        <w:b/>
                      </w:rPr>
                    </w:pPr>
                    <w:r w:rsidRPr="00A62176">
                      <w:rPr>
                        <w:rFonts w:ascii="Arial" w:hAnsi="Arial"/>
                        <w:b/>
                      </w:rPr>
                      <w:t xml:space="preserve">Federal Communications Commission </w:t>
                    </w:r>
                  </w:p>
                  <w:p w:rsidR="005F2117" w:rsidP="00A62176" w14:paraId="6DA88DD4" w14:textId="1C324D05">
                    <w:pPr>
                      <w:rPr>
                        <w:rFonts w:ascii="Arial" w:hAnsi="Arial"/>
                        <w:b/>
                      </w:rPr>
                    </w:pPr>
                    <w:r w:rsidRPr="00A62176">
                      <w:rPr>
                        <w:rFonts w:ascii="Arial" w:hAnsi="Arial"/>
                        <w:b/>
                      </w:rPr>
                      <w:t xml:space="preserve">45 L St., N.E. </w:t>
                    </w:r>
                  </w:p>
                  <w:p w:rsidR="005F2117" w14:paraId="7655F88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76048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A47A2">
      <w:t>PUBLIC NOTICE</w:t>
    </w:r>
  </w:p>
  <w:p w:rsidR="005F2117" w14:paraId="38D13C99" w14:textId="484DA60D">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11430" t="5715" r="7620" b="13335"/>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14:textId="77777777">
                          <w:pPr>
                            <w:spacing w:before="40"/>
                            <w:jc w:val="right"/>
                            <w:rPr>
                              <w:rFonts w:ascii="Arial" w:hAnsi="Arial"/>
                              <w:b/>
                              <w:sz w:val="16"/>
                            </w:rPr>
                          </w:pPr>
                          <w:r>
                            <w:rPr>
                              <w:rFonts w:ascii="Arial" w:hAnsi="Arial"/>
                              <w:b/>
                              <w:sz w:val="16"/>
                            </w:rPr>
                            <w:t>News Media Information 202 / 418-0500</w:t>
                          </w:r>
                        </w:p>
                        <w:p w:rsidR="005F2117" w14:textId="77777777">
                          <w:pPr>
                            <w:jc w:val="right"/>
                            <w:rPr>
                              <w:rFonts w:ascii="Arial" w:hAnsi="Arial"/>
                              <w:b/>
                              <w:sz w:val="16"/>
                            </w:rPr>
                          </w:pPr>
                          <w:r>
                            <w:rPr>
                              <w:rFonts w:ascii="Arial" w:hAnsi="Arial"/>
                              <w:b/>
                              <w:sz w:val="16"/>
                            </w:rPr>
                            <w:t xml:space="preserve">Internet: </w:t>
                          </w:r>
                          <w:bookmarkStart w:id="7" w:name="_Hlt233824"/>
                          <w:hyperlink r:id="rId2" w:history="1">
                            <w:r>
                              <w:rPr>
                                <w:rStyle w:val="Hyperlink"/>
                                <w:rFonts w:ascii="Arial" w:hAnsi="Arial"/>
                                <w:b/>
                                <w:sz w:val="16"/>
                              </w:rPr>
                              <w:t>h</w:t>
                            </w:r>
                            <w:bookmarkEnd w:id="7"/>
                            <w:r>
                              <w:rPr>
                                <w:rStyle w:val="Hyperlink"/>
                                <w:rFonts w:ascii="Arial" w:hAnsi="Arial"/>
                                <w:b/>
                                <w:sz w:val="16"/>
                              </w:rPr>
                              <w:t>ttps://www.fcc.gov</w:t>
                            </w:r>
                          </w:hyperlink>
                        </w:p>
                        <w:p w:rsidR="005F2117"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F2117" w14:paraId="42EBEF19" w14:textId="77777777">
                    <w:pPr>
                      <w:spacing w:before="40"/>
                      <w:jc w:val="right"/>
                      <w:rPr>
                        <w:rFonts w:ascii="Arial" w:hAnsi="Arial"/>
                        <w:b/>
                        <w:sz w:val="16"/>
                      </w:rPr>
                    </w:pPr>
                    <w:r>
                      <w:rPr>
                        <w:rFonts w:ascii="Arial" w:hAnsi="Arial"/>
                        <w:b/>
                        <w:sz w:val="16"/>
                      </w:rPr>
                      <w:t>News Media Information 202 / 418-0500</w:t>
                    </w:r>
                  </w:p>
                  <w:p w:rsidR="005F2117" w14:paraId="70406D0B" w14:textId="77777777">
                    <w:pPr>
                      <w:jc w:val="right"/>
                      <w:rPr>
                        <w:rFonts w:ascii="Arial" w:hAnsi="Arial"/>
                        <w:b/>
                        <w:sz w:val="16"/>
                      </w:rPr>
                    </w:pPr>
                    <w:r>
                      <w:rPr>
                        <w:rFonts w:ascii="Arial" w:hAnsi="Arial"/>
                        <w:b/>
                        <w:sz w:val="16"/>
                      </w:rPr>
                      <w:t xml:space="preserve">Internet: </w:t>
                    </w:r>
                    <w:bookmarkStart w:id="7" w:name="_Hlt233824"/>
                    <w:hyperlink r:id="rId2" w:history="1">
                      <w:r>
                        <w:rPr>
                          <w:rStyle w:val="Hyperlink"/>
                          <w:rFonts w:ascii="Arial" w:hAnsi="Arial"/>
                          <w:b/>
                          <w:sz w:val="16"/>
                        </w:rPr>
                        <w:t>h</w:t>
                      </w:r>
                      <w:bookmarkEnd w:id="7"/>
                      <w:r>
                        <w:rPr>
                          <w:rStyle w:val="Hyperlink"/>
                          <w:rFonts w:ascii="Arial" w:hAnsi="Arial"/>
                          <w:b/>
                          <w:sz w:val="16"/>
                        </w:rPr>
                        <w:t>ttps://www.fcc.gov</w:t>
                      </w:r>
                    </w:hyperlink>
                  </w:p>
                  <w:p w:rsidR="005F2117" w14:paraId="72A42C7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989C177C"/>
    <w:lvl w:ilvl="0">
      <w:start w:val="1"/>
      <w:numFmt w:val="decimal"/>
      <w:lvlText w:val="%1)"/>
      <w:lvlJc w:val="left"/>
      <w:pPr>
        <w:ind w:left="90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2F"/>
    <w:rsid w:val="0005026C"/>
    <w:rsid w:val="00060A2F"/>
    <w:rsid w:val="000653A5"/>
    <w:rsid w:val="0008381D"/>
    <w:rsid w:val="000A1835"/>
    <w:rsid w:val="000A3BA3"/>
    <w:rsid w:val="000B3377"/>
    <w:rsid w:val="000B5342"/>
    <w:rsid w:val="000E0747"/>
    <w:rsid w:val="001264C9"/>
    <w:rsid w:val="0013145F"/>
    <w:rsid w:val="00133C82"/>
    <w:rsid w:val="0015603D"/>
    <w:rsid w:val="00156143"/>
    <w:rsid w:val="00165F1D"/>
    <w:rsid w:val="00173198"/>
    <w:rsid w:val="0019579C"/>
    <w:rsid w:val="00196C65"/>
    <w:rsid w:val="001A121B"/>
    <w:rsid w:val="00200296"/>
    <w:rsid w:val="00211D73"/>
    <w:rsid w:val="00243084"/>
    <w:rsid w:val="002D022F"/>
    <w:rsid w:val="00305194"/>
    <w:rsid w:val="003129F6"/>
    <w:rsid w:val="00335FA8"/>
    <w:rsid w:val="00344A9D"/>
    <w:rsid w:val="00361ADD"/>
    <w:rsid w:val="00371B78"/>
    <w:rsid w:val="00395243"/>
    <w:rsid w:val="00396731"/>
    <w:rsid w:val="003A3E1F"/>
    <w:rsid w:val="003F530B"/>
    <w:rsid w:val="003F7A32"/>
    <w:rsid w:val="0040365D"/>
    <w:rsid w:val="004257A5"/>
    <w:rsid w:val="004301FC"/>
    <w:rsid w:val="0043636B"/>
    <w:rsid w:val="00440F35"/>
    <w:rsid w:val="004437AE"/>
    <w:rsid w:val="00466328"/>
    <w:rsid w:val="004C64BE"/>
    <w:rsid w:val="004E5C2C"/>
    <w:rsid w:val="00532267"/>
    <w:rsid w:val="00532F9E"/>
    <w:rsid w:val="00535F00"/>
    <w:rsid w:val="00571B4A"/>
    <w:rsid w:val="005A05C2"/>
    <w:rsid w:val="005E4925"/>
    <w:rsid w:val="005F2117"/>
    <w:rsid w:val="00691CF2"/>
    <w:rsid w:val="006B0F0E"/>
    <w:rsid w:val="006C201B"/>
    <w:rsid w:val="006D23CF"/>
    <w:rsid w:val="00715C8C"/>
    <w:rsid w:val="00724DFB"/>
    <w:rsid w:val="00762548"/>
    <w:rsid w:val="00767F4C"/>
    <w:rsid w:val="007C3125"/>
    <w:rsid w:val="00802DBA"/>
    <w:rsid w:val="00802FCC"/>
    <w:rsid w:val="00816D43"/>
    <w:rsid w:val="00841C88"/>
    <w:rsid w:val="00862818"/>
    <w:rsid w:val="00875A48"/>
    <w:rsid w:val="00882A69"/>
    <w:rsid w:val="008A4BAF"/>
    <w:rsid w:val="008A734D"/>
    <w:rsid w:val="008D77CD"/>
    <w:rsid w:val="008E6000"/>
    <w:rsid w:val="008F6379"/>
    <w:rsid w:val="00901C44"/>
    <w:rsid w:val="00936DF4"/>
    <w:rsid w:val="009802E8"/>
    <w:rsid w:val="00984307"/>
    <w:rsid w:val="009E7DF4"/>
    <w:rsid w:val="00A10D56"/>
    <w:rsid w:val="00A3620A"/>
    <w:rsid w:val="00A44BFC"/>
    <w:rsid w:val="00A45E99"/>
    <w:rsid w:val="00A567D3"/>
    <w:rsid w:val="00A6163F"/>
    <w:rsid w:val="00A62176"/>
    <w:rsid w:val="00A80CE5"/>
    <w:rsid w:val="00AB2229"/>
    <w:rsid w:val="00B1437B"/>
    <w:rsid w:val="00B32865"/>
    <w:rsid w:val="00B37B50"/>
    <w:rsid w:val="00B41FA1"/>
    <w:rsid w:val="00B43AAE"/>
    <w:rsid w:val="00B52B8E"/>
    <w:rsid w:val="00B54EE2"/>
    <w:rsid w:val="00B57C64"/>
    <w:rsid w:val="00B611A2"/>
    <w:rsid w:val="00B81D9E"/>
    <w:rsid w:val="00B9151E"/>
    <w:rsid w:val="00BF3D6F"/>
    <w:rsid w:val="00BF567E"/>
    <w:rsid w:val="00C264EF"/>
    <w:rsid w:val="00C30849"/>
    <w:rsid w:val="00C6127B"/>
    <w:rsid w:val="00C908E0"/>
    <w:rsid w:val="00C949EE"/>
    <w:rsid w:val="00CB2DB5"/>
    <w:rsid w:val="00CC6CFA"/>
    <w:rsid w:val="00CE19F2"/>
    <w:rsid w:val="00D40334"/>
    <w:rsid w:val="00D42704"/>
    <w:rsid w:val="00D60A96"/>
    <w:rsid w:val="00D70D90"/>
    <w:rsid w:val="00D75BF8"/>
    <w:rsid w:val="00DA47A2"/>
    <w:rsid w:val="00DA7DB4"/>
    <w:rsid w:val="00DB428B"/>
    <w:rsid w:val="00DD0FDA"/>
    <w:rsid w:val="00DD7A7F"/>
    <w:rsid w:val="00DE3D4C"/>
    <w:rsid w:val="00DF2E9A"/>
    <w:rsid w:val="00E21E19"/>
    <w:rsid w:val="00E33A76"/>
    <w:rsid w:val="00E41D28"/>
    <w:rsid w:val="00E46CED"/>
    <w:rsid w:val="00E84FAE"/>
    <w:rsid w:val="00E95B9C"/>
    <w:rsid w:val="00EC5D0A"/>
    <w:rsid w:val="00EF7662"/>
    <w:rsid w:val="00FA19A9"/>
    <w:rsid w:val="00FE053E"/>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racey.wilson@fcc.gov" TargetMode="External" /><Relationship Id="rId6" Type="http://schemas.openxmlformats.org/officeDocument/2006/relationships/hyperlink" Target="mailto:gregory.kwan@fcc.gov" TargetMode="External" /><Relationship Id="rId7" Type="http://schemas.openxmlformats.org/officeDocument/2006/relationships/hyperlink" Target="mailto:jim.bird@fcc.gov" TargetMode="Externa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