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54C0" w:rsidRPr="009D446F" w:rsidP="002454C0" w14:paraId="49F65005" w14:textId="2670FCA8">
      <w:pPr>
        <w:jc w:val="right"/>
        <w:rPr>
          <w:b/>
          <w:szCs w:val="22"/>
        </w:rPr>
      </w:pPr>
      <w:r>
        <w:rPr>
          <w:b/>
          <w:szCs w:val="22"/>
        </w:rPr>
        <w:t>DA</w:t>
      </w:r>
      <w:r w:rsidR="007A0959">
        <w:rPr>
          <w:b/>
          <w:szCs w:val="22"/>
        </w:rPr>
        <w:t xml:space="preserve"> </w:t>
      </w:r>
      <w:r w:rsidR="00354990">
        <w:rPr>
          <w:b/>
          <w:szCs w:val="22"/>
        </w:rPr>
        <w:t>20</w:t>
      </w:r>
      <w:r>
        <w:rPr>
          <w:b/>
          <w:szCs w:val="22"/>
        </w:rPr>
        <w:t>-</w:t>
      </w:r>
      <w:r w:rsidR="00620DAF">
        <w:rPr>
          <w:b/>
          <w:szCs w:val="22"/>
        </w:rPr>
        <w:t>133</w:t>
      </w:r>
    </w:p>
    <w:p w:rsidR="002454C0" w:rsidRPr="009D446F" w:rsidP="002454C0" w14:paraId="0968B1C0" w14:textId="041EF186">
      <w:pPr>
        <w:spacing w:before="60"/>
        <w:jc w:val="right"/>
        <w:rPr>
          <w:b/>
          <w:szCs w:val="22"/>
        </w:rPr>
      </w:pPr>
      <w:r>
        <w:rPr>
          <w:b/>
          <w:szCs w:val="22"/>
        </w:rPr>
        <w:t xml:space="preserve">Released:  </w:t>
      </w:r>
      <w:r w:rsidR="00F1109D">
        <w:rPr>
          <w:b/>
          <w:szCs w:val="22"/>
        </w:rPr>
        <w:t xml:space="preserve">February </w:t>
      </w:r>
      <w:r w:rsidR="00701932">
        <w:rPr>
          <w:b/>
          <w:szCs w:val="22"/>
        </w:rPr>
        <w:t>5</w:t>
      </w:r>
      <w:r w:rsidR="00A23249">
        <w:rPr>
          <w:b/>
          <w:szCs w:val="22"/>
        </w:rPr>
        <w:t xml:space="preserve">, </w:t>
      </w:r>
      <w:r w:rsidR="00BA7AF9">
        <w:rPr>
          <w:b/>
          <w:szCs w:val="22"/>
        </w:rPr>
        <w:t>2020</w:t>
      </w:r>
    </w:p>
    <w:p w:rsidR="002454C0" w:rsidRPr="009D446F" w:rsidP="002454C0" w14:paraId="1077D5BD" w14:textId="77777777">
      <w:pPr>
        <w:jc w:val="right"/>
        <w:rPr>
          <w:szCs w:val="22"/>
        </w:rPr>
      </w:pPr>
    </w:p>
    <w:p w:rsidR="00354990" w:rsidRPr="009D446F" w:rsidP="00354990" w14:paraId="604F75F8" w14:textId="77777777">
      <w:pPr>
        <w:jc w:val="right"/>
        <w:rPr>
          <w:szCs w:val="22"/>
        </w:rPr>
      </w:pPr>
    </w:p>
    <w:p w:rsidR="00354990" w:rsidP="00354990" w14:paraId="636DA1C7" w14:textId="301A7E04">
      <w:pPr>
        <w:jc w:val="center"/>
        <w:rPr>
          <w:rFonts w:ascii="Times New Roman Bold" w:hAnsi="Times New Roman Bold"/>
          <w:b/>
          <w:caps/>
          <w:szCs w:val="22"/>
        </w:rPr>
      </w:pPr>
      <w:r>
        <w:rPr>
          <w:rFonts w:ascii="Times New Roman Bold" w:hAnsi="Times New Roman Bold"/>
          <w:b/>
          <w:caps/>
          <w:szCs w:val="22"/>
        </w:rPr>
        <w:t xml:space="preserve">Uniendo a puerto rico fund and connect usvi fund </w:t>
      </w:r>
    </w:p>
    <w:p w:rsidR="00354990" w:rsidP="00354990" w14:paraId="7FE444B4" w14:textId="77777777">
      <w:pPr>
        <w:jc w:val="center"/>
        <w:rPr>
          <w:rFonts w:ascii="Times New Roman Bold" w:hAnsi="Times New Roman Bold"/>
          <w:b/>
          <w:caps/>
          <w:szCs w:val="22"/>
        </w:rPr>
      </w:pPr>
      <w:r>
        <w:rPr>
          <w:rFonts w:ascii="Times New Roman Bold" w:hAnsi="Times New Roman Bold"/>
          <w:b/>
          <w:caps/>
          <w:szCs w:val="22"/>
        </w:rPr>
        <w:t xml:space="preserve">NOTICE AND FILING REQUIREMENTS AND OTHER PROCEDURES </w:t>
      </w:r>
      <w:r w:rsidRPr="009D446F">
        <w:rPr>
          <w:rFonts w:ascii="Times New Roman Bold" w:hAnsi="Times New Roman Bold"/>
          <w:b/>
          <w:caps/>
          <w:szCs w:val="22"/>
        </w:rPr>
        <w:t>for</w:t>
      </w:r>
      <w:r>
        <w:rPr>
          <w:rFonts w:ascii="Times New Roman Bold" w:hAnsi="Times New Roman Bold"/>
          <w:b/>
          <w:caps/>
          <w:szCs w:val="22"/>
        </w:rPr>
        <w:t xml:space="preserve"> STAGE 2 fixed</w:t>
      </w:r>
      <w:r w:rsidRPr="009D446F">
        <w:rPr>
          <w:rFonts w:ascii="Times New Roman Bold" w:hAnsi="Times New Roman Bold"/>
          <w:b/>
          <w:caps/>
          <w:szCs w:val="22"/>
        </w:rPr>
        <w:t xml:space="preserve"> </w:t>
      </w:r>
      <w:r>
        <w:rPr>
          <w:rFonts w:ascii="Times New Roman Bold" w:hAnsi="Times New Roman Bold"/>
          <w:b/>
          <w:caps/>
          <w:szCs w:val="22"/>
        </w:rPr>
        <w:t>competitive proposal process</w:t>
      </w:r>
      <w:r w:rsidRPr="009D446F">
        <w:rPr>
          <w:rFonts w:ascii="Times New Roman Bold" w:hAnsi="Times New Roman Bold"/>
          <w:b/>
          <w:caps/>
          <w:szCs w:val="22"/>
        </w:rPr>
        <w:t xml:space="preserve"> </w:t>
      </w:r>
    </w:p>
    <w:p w:rsidR="002454C0" w:rsidRPr="009D446F" w:rsidP="002454C0" w14:paraId="732C9F6E" w14:textId="77777777">
      <w:pPr>
        <w:jc w:val="center"/>
        <w:rPr>
          <w:rFonts w:ascii="Times New Roman Bold" w:hAnsi="Times New Roman Bold"/>
          <w:b/>
          <w:caps/>
          <w:szCs w:val="22"/>
        </w:rPr>
      </w:pPr>
    </w:p>
    <w:p w:rsidR="002454C0" w:rsidP="002454C0" w14:paraId="11ED2A7C" w14:textId="77777777">
      <w:pPr>
        <w:jc w:val="center"/>
        <w:rPr>
          <w:b/>
          <w:szCs w:val="22"/>
        </w:rPr>
      </w:pPr>
      <w:r>
        <w:rPr>
          <w:b/>
          <w:szCs w:val="22"/>
        </w:rPr>
        <w:t>WC Docket No</w:t>
      </w:r>
      <w:r w:rsidR="00A23249">
        <w:rPr>
          <w:b/>
          <w:szCs w:val="22"/>
        </w:rPr>
        <w:t>s</w:t>
      </w:r>
      <w:r>
        <w:rPr>
          <w:b/>
          <w:szCs w:val="22"/>
        </w:rPr>
        <w:t>.</w:t>
      </w:r>
      <w:r w:rsidR="00A23249">
        <w:rPr>
          <w:b/>
          <w:szCs w:val="22"/>
        </w:rPr>
        <w:t xml:space="preserve"> 18-143,</w:t>
      </w:r>
      <w:r>
        <w:rPr>
          <w:b/>
          <w:szCs w:val="22"/>
        </w:rPr>
        <w:t xml:space="preserve"> 10-90</w:t>
      </w:r>
      <w:r w:rsidR="00A23249">
        <w:rPr>
          <w:b/>
          <w:szCs w:val="22"/>
        </w:rPr>
        <w:t xml:space="preserve">, 14-58 </w:t>
      </w:r>
    </w:p>
    <w:p w:rsidR="002454C0" w:rsidRPr="009D446F" w:rsidP="002454C0" w14:paraId="5283A3B3" w14:textId="77777777">
      <w:pPr>
        <w:jc w:val="center"/>
        <w:rPr>
          <w:b/>
          <w:szCs w:val="22"/>
        </w:rPr>
      </w:pPr>
    </w:p>
    <w:p w:rsidR="006D7533" w:rsidP="006D7533" w14:paraId="55158358" w14:textId="1385D87F">
      <w:pPr>
        <w:pStyle w:val="TOCTitle"/>
      </w:pPr>
      <w:bookmarkStart w:id="0" w:name="TOChere"/>
      <w:r>
        <w:t>Table of Contents</w:t>
      </w:r>
    </w:p>
    <w:p w:rsidR="006D7533" w:rsidP="006D7533" w14:paraId="10CF2AA0" w14:textId="63C05943">
      <w:pPr>
        <w:pStyle w:val="Paratitle"/>
      </w:pPr>
      <w:r>
        <w:t>Heading</w:t>
      </w:r>
      <w:r>
        <w:tab/>
        <w:t>Paragraph #</w:t>
      </w:r>
      <w:bookmarkStart w:id="1" w:name="start_here"/>
      <w:bookmarkEnd w:id="1"/>
    </w:p>
    <w:p w:rsidR="006D7533" w:rsidP="006D7533" w14:paraId="4E1FF714" w14:textId="197F7D3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6D7533" w:rsidP="006D7533" w14:paraId="3B569C92" w14:textId="4AA441B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6D7533" w:rsidP="006D7533" w14:paraId="04C172DF" w14:textId="430D9F3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 and Relevant Authority</w:t>
      </w:r>
      <w:r>
        <w:tab/>
        <w:t>2</w:t>
      </w:r>
    </w:p>
    <w:p w:rsidR="006D7533" w:rsidP="006D7533" w14:paraId="0C6082B9" w14:textId="17C10AB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Requirements for Participation</w:t>
      </w:r>
      <w:r>
        <w:tab/>
        <w:t>6</w:t>
      </w:r>
    </w:p>
    <w:p w:rsidR="006D7533" w:rsidP="006D7533" w14:paraId="6D839F0A" w14:textId="3713DC9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Public Interest Obligations</w:t>
      </w:r>
      <w:r>
        <w:tab/>
        <w:t>7</w:t>
      </w:r>
    </w:p>
    <w:p w:rsidR="006D7533" w:rsidP="006D7533" w14:paraId="6D79266F" w14:textId="3F89E67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APPLYING TO COMPETE IN THE STAGE 2 COMPETITION</w:t>
      </w:r>
      <w:r>
        <w:tab/>
        <w:t>15</w:t>
      </w:r>
    </w:p>
    <w:p w:rsidR="006D7533" w:rsidP="006D7533" w14:paraId="5BC46E6D" w14:textId="58866A2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Competition Structure</w:t>
      </w:r>
      <w:r>
        <w:tab/>
        <w:t>15</w:t>
      </w:r>
    </w:p>
    <w:p w:rsidR="006D7533" w:rsidP="006D7533" w14:paraId="19CD406A" w14:textId="2D2DB7E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Single-Round Competition Format</w:t>
      </w:r>
      <w:r>
        <w:tab/>
        <w:t>15</w:t>
      </w:r>
    </w:p>
    <w:p w:rsidR="006D7533" w:rsidP="006D7533" w14:paraId="722CDCCD" w14:textId="33A3856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Eligible Providers</w:t>
      </w:r>
      <w:r>
        <w:tab/>
        <w:t>16</w:t>
      </w:r>
    </w:p>
    <w:p w:rsidR="006D7533" w:rsidP="006D7533" w14:paraId="3E1F8A73" w14:textId="2E197DE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Eligible Areas and Minimum Geographic Area</w:t>
      </w:r>
      <w:r>
        <w:tab/>
        <w:t>17</w:t>
      </w:r>
    </w:p>
    <w:p w:rsidR="006D7533" w:rsidP="006D7533" w14:paraId="5B0F3FDB" w14:textId="093077F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Prices</w:t>
      </w:r>
      <w:r>
        <w:tab/>
        <w:t>20</w:t>
      </w:r>
    </w:p>
    <w:p w:rsidR="006D7533" w:rsidP="006D7533" w14:paraId="7311ABD7" w14:textId="3A38982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Competition Delay or Suspension</w:t>
      </w:r>
      <w:r>
        <w:tab/>
        <w:t>21</w:t>
      </w:r>
    </w:p>
    <w:p w:rsidR="006D7533" w:rsidP="006D7533" w14:paraId="07FA5DE8" w14:textId="0A918E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Application Procedures</w:t>
      </w:r>
      <w:r>
        <w:tab/>
        <w:t>22</w:t>
      </w:r>
    </w:p>
    <w:p w:rsidR="006D7533" w:rsidP="006D7533" w14:paraId="2AF13811" w14:textId="059EA95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Overview</w:t>
      </w:r>
      <w:r>
        <w:tab/>
        <w:t>22</w:t>
      </w:r>
    </w:p>
    <w:p w:rsidR="006D7533" w:rsidP="006D7533" w14:paraId="0300B327" w14:textId="6F4AC80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Required Application Form</w:t>
      </w:r>
      <w:r>
        <w:tab/>
        <w:t>24</w:t>
      </w:r>
    </w:p>
    <w:p w:rsidR="006D7533" w:rsidP="006D7533" w14:paraId="4CE5A3E0" w14:textId="4FFCDB2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Application Submission</w:t>
      </w:r>
      <w:r>
        <w:tab/>
        <w:t>25</w:t>
      </w:r>
    </w:p>
    <w:p w:rsidR="006D7533" w:rsidP="006D7533" w14:paraId="20CCB7DF" w14:textId="0264C6C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Acceptable Applications</w:t>
      </w:r>
      <w:r>
        <w:tab/>
        <w:t>30</w:t>
      </w:r>
    </w:p>
    <w:p w:rsidR="006D7533" w:rsidP="006D7533" w14:paraId="68B6BB47" w14:textId="7E5F482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Modifying the Application Form</w:t>
      </w:r>
      <w:r>
        <w:tab/>
        <w:t>34</w:t>
      </w:r>
    </w:p>
    <w:p w:rsidR="006D7533" w:rsidP="006D7533" w14:paraId="453B87C2" w14:textId="1C0A241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Application Requirements</w:t>
      </w:r>
      <w:r>
        <w:tab/>
        <w:t>42</w:t>
      </w:r>
    </w:p>
    <w:p w:rsidR="006D7533" w:rsidP="006D7533" w14:paraId="17D3E5B6" w14:textId="720ED1E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Disclosure of Agreements</w:t>
      </w:r>
      <w:r>
        <w:tab/>
        <w:t>42</w:t>
      </w:r>
    </w:p>
    <w:p w:rsidR="006D7533" w:rsidP="006D7533" w14:paraId="37202E7D" w14:textId="1E7300D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Ownership Disclosure Requirements</w:t>
      </w:r>
      <w:r>
        <w:tab/>
        <w:t>44</w:t>
      </w:r>
    </w:p>
    <w:p w:rsidR="006D7533" w:rsidP="006D7533" w14:paraId="68A4542A" w14:textId="3F45EE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Specific Universal Service Certifications</w:t>
      </w:r>
      <w:r>
        <w:tab/>
        <w:t>46</w:t>
      </w:r>
    </w:p>
    <w:p w:rsidR="006D7533" w:rsidP="006D7533" w14:paraId="033DB889" w14:textId="639ACD2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Specific Stage 2 Eligibility Requirements and Certifications</w:t>
      </w:r>
      <w:r>
        <w:tab/>
        <w:t>48</w:t>
      </w:r>
    </w:p>
    <w:p w:rsidR="006D7533" w:rsidP="006D7533" w14:paraId="71DD1B1C" w14:textId="710A43E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Procedures for Limited Disclosure of Application Information</w:t>
      </w:r>
      <w:r>
        <w:tab/>
        <w:t>82</w:t>
      </w:r>
    </w:p>
    <w:p w:rsidR="006D7533" w:rsidP="006D7533" w14:paraId="4A65FBFB" w14:textId="5805730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Prohibited Communications and Compliance with Antitrust Laws</w:t>
      </w:r>
      <w:r>
        <w:tab/>
        <w:t>87</w:t>
      </w:r>
    </w:p>
    <w:p w:rsidR="006D7533" w:rsidP="006D7533" w14:paraId="4580B1DC" w14:textId="195D0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Covered by Communications Prohibition</w:t>
      </w:r>
      <w:r>
        <w:tab/>
        <w:t>89</w:t>
      </w:r>
    </w:p>
    <w:p w:rsidR="006D7533" w:rsidP="006D7533" w14:paraId="7534316A" w14:textId="3459F27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Applies Until Deadline</w:t>
      </w:r>
      <w:r>
        <w:tab/>
        <w:t>93</w:t>
      </w:r>
    </w:p>
    <w:p w:rsidR="006D7533" w:rsidP="006D7533" w14:paraId="6E58B04F" w14:textId="3AAE0C7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Prohibited Communications</w:t>
      </w:r>
      <w:r>
        <w:tab/>
        <w:t>94</w:t>
      </w:r>
    </w:p>
    <w:p w:rsidR="006D7533" w:rsidP="006D7533" w14:paraId="5B70A9D4" w14:textId="7647631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Communicating with Third Parties</w:t>
      </w:r>
      <w:r>
        <w:tab/>
        <w:t>101</w:t>
      </w:r>
    </w:p>
    <w:p w:rsidR="006D7533" w:rsidP="006D7533" w14:paraId="0C300FD9" w14:textId="1820BB0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Certification</w:t>
      </w:r>
      <w:r>
        <w:tab/>
        <w:t>104</w:t>
      </w:r>
    </w:p>
    <w:p w:rsidR="006D7533" w:rsidP="006D7533" w14:paraId="2ADCA58A" w14:textId="2D00E0E4">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Duty to Report Prohibited Communications</w:t>
      </w:r>
      <w:r>
        <w:tab/>
        <w:t>106</w:t>
      </w:r>
    </w:p>
    <w:p w:rsidR="006D7533" w:rsidP="006D7533" w14:paraId="6DC77154" w14:textId="2859D9B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Procedure for Reporting Prohibited Communications</w:t>
      </w:r>
      <w:r>
        <w:tab/>
        <w:t>109</w:t>
      </w:r>
    </w:p>
    <w:p w:rsidR="006D7533" w:rsidP="006D7533" w14:paraId="17538753" w14:textId="4EFE7F09">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Disclosure of Agreement Terms</w:t>
      </w:r>
      <w:r>
        <w:tab/>
        <w:t>112</w:t>
      </w:r>
    </w:p>
    <w:p w:rsidR="006D7533" w:rsidP="006D7533" w14:paraId="7A7B2C87" w14:textId="6E05C808">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Additional Information Concerning Prohibition of Certain Communications</w:t>
      </w:r>
      <w:r>
        <w:tab/>
        <w:t>113</w:t>
      </w:r>
    </w:p>
    <w:p w:rsidR="006D7533" w:rsidP="006D7533" w14:paraId="62682BC8" w14:textId="28AAFC9D">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Antitrust Laws</w:t>
      </w:r>
      <w:r>
        <w:tab/>
        <w:t>114</w:t>
      </w:r>
    </w:p>
    <w:p w:rsidR="006D7533" w:rsidP="006D7533" w14:paraId="5164717F" w14:textId="6E5A9197">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Red Light Rule</w:t>
      </w:r>
      <w:r>
        <w:tab/>
        <w:t>116</w:t>
      </w:r>
    </w:p>
    <w:p w:rsidR="006D7533" w:rsidP="006D7533" w14:paraId="1562E6D0" w14:textId="3D2418C2">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USF Debarment</w:t>
      </w:r>
      <w:r>
        <w:tab/>
        <w:t>120</w:t>
      </w:r>
    </w:p>
    <w:p w:rsidR="006D7533" w:rsidP="006D7533" w14:paraId="0E3D6C98" w14:textId="5716007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EVALUATING STAGE 2 COMPETITION APPLICATIONS AND Proposals</w:t>
      </w:r>
      <w:r>
        <w:tab/>
        <w:t>121</w:t>
      </w:r>
    </w:p>
    <w:p w:rsidR="006D7533" w:rsidP="006D7533" w14:paraId="657BAB14" w14:textId="40F7EDE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Evaluation of Applications</w:t>
      </w:r>
      <w:r>
        <w:tab/>
        <w:t>121</w:t>
      </w:r>
    </w:p>
    <w:p w:rsidR="006D7533" w:rsidP="006D7533" w14:paraId="545F1061" w14:textId="7527307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Evaluation Process Overview</w:t>
      </w:r>
      <w:r>
        <w:tab/>
        <w:t>121</w:t>
      </w:r>
    </w:p>
    <w:p w:rsidR="006D7533" w:rsidP="006D7533" w14:paraId="5E044B94" w14:textId="00DD19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Overall Scoring and Weighting</w:t>
      </w:r>
      <w:r>
        <w:tab/>
        <w:t>124</w:t>
      </w:r>
    </w:p>
    <w:p w:rsidR="006D7533" w:rsidP="006D7533" w14:paraId="65D44DA5" w14:textId="591FF9C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Price Per Location</w:t>
      </w:r>
      <w:r>
        <w:tab/>
        <w:t>126</w:t>
      </w:r>
    </w:p>
    <w:p w:rsidR="006D7533" w:rsidP="006D7533" w14:paraId="1CB3ADD4" w14:textId="46BA99A3">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Network Performance</w:t>
      </w:r>
      <w:r>
        <w:tab/>
        <w:t>128</w:t>
      </w:r>
    </w:p>
    <w:p w:rsidR="006D7533" w:rsidP="006D7533" w14:paraId="34204D4C" w14:textId="07CEAFBF">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Network Resiliency and Redundancy</w:t>
      </w:r>
      <w:r>
        <w:tab/>
        <w:t>132</w:t>
      </w:r>
    </w:p>
    <w:p w:rsidR="006D7533" w:rsidP="006D7533" w14:paraId="564227B0" w14:textId="61A24A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Confidentiality and Availability of Competition Information</w:t>
      </w:r>
      <w:r>
        <w:tab/>
        <w:t>135</w:t>
      </w:r>
    </w:p>
    <w:p w:rsidR="006D7533" w:rsidP="006D7533" w14:paraId="42F964ED" w14:textId="67F54F2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Default Payment Requirements</w:t>
      </w:r>
      <w:r>
        <w:tab/>
        <w:t>136</w:t>
      </w:r>
    </w:p>
    <w:p w:rsidR="006D7533" w:rsidP="006D7533" w14:paraId="74A1B7B4" w14:textId="67C1107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Forfeiture</w:t>
      </w:r>
      <w:r>
        <w:tab/>
        <w:t>136</w:t>
      </w:r>
    </w:p>
    <w:p w:rsidR="006D7533" w:rsidP="006D7533" w14:paraId="7B116BE6" w14:textId="3BB13E8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Non-Compliance Measures Post-Authorization</w:t>
      </w:r>
      <w:r>
        <w:tab/>
        <w:t>140</w:t>
      </w:r>
    </w:p>
    <w:p w:rsidR="006D7533" w:rsidP="006D7533" w14:paraId="66654BF7" w14:textId="78E81A1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Closing Conditions</w:t>
      </w:r>
      <w:r>
        <w:tab/>
        <w:t>141</w:t>
      </w:r>
    </w:p>
    <w:p w:rsidR="006D7533" w:rsidP="006D7533" w14:paraId="572034D8" w14:textId="71917D6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Competition Announcements</w:t>
      </w:r>
      <w:r>
        <w:tab/>
        <w:t>142</w:t>
      </w:r>
    </w:p>
    <w:p w:rsidR="006D7533" w:rsidP="006D7533" w14:paraId="099834D0" w14:textId="36DB55E7">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Competition Results</w:t>
      </w:r>
      <w:r>
        <w:tab/>
        <w:t>143</w:t>
      </w:r>
    </w:p>
    <w:p w:rsidR="006D7533" w:rsidP="006D7533" w14:paraId="2F2ECA15" w14:textId="21DED0C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POST-COMPETITION PROCEDURES</w:t>
      </w:r>
      <w:r>
        <w:tab/>
        <w:t>144</w:t>
      </w:r>
    </w:p>
    <w:p w:rsidR="006D7533" w:rsidP="006D7533" w14:paraId="310B5C26" w14:textId="7068F8D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Authorization Public Notice</w:t>
      </w:r>
      <w:r>
        <w:tab/>
        <w:t>144</w:t>
      </w:r>
    </w:p>
    <w:p w:rsidR="006D7533" w:rsidP="006D7533" w14:paraId="1BDAF373" w14:textId="0198074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Eligible Telecommunications Carrier Designation and Certification</w:t>
      </w:r>
      <w:r>
        <w:tab/>
        <w:t>145</w:t>
      </w:r>
    </w:p>
    <w:p w:rsidR="006D7533" w:rsidP="006D7533" w14:paraId="39BA4DDB" w14:textId="40A5403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Letter of Credit and Bankruptcy Code Opinion Letter</w:t>
      </w:r>
      <w:r>
        <w:tab/>
        <w:t>146</w:t>
      </w:r>
    </w:p>
    <w:p w:rsidR="006D7533" w:rsidP="006D7533" w14:paraId="3B49A48C" w14:textId="0810F13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New and Renewed Letter of Credit</w:t>
      </w:r>
      <w:r>
        <w:tab/>
        <w:t>148</w:t>
      </w:r>
    </w:p>
    <w:p w:rsidR="006D7533" w:rsidP="006D7533" w14:paraId="133A6E79" w14:textId="37A47B5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Location Adjustment Process</w:t>
      </w:r>
      <w:r>
        <w:tab/>
        <w:t>150</w:t>
      </w:r>
    </w:p>
    <w:p w:rsidR="006D7533" w:rsidP="006D7533" w14:paraId="43ACC2BE" w14:textId="675E36A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Submission Due Date and Format for Submission</w:t>
      </w:r>
      <w:r>
        <w:tab/>
        <w:t>150</w:t>
      </w:r>
    </w:p>
    <w:p w:rsidR="006D7533" w:rsidP="006D7533" w14:paraId="55B7C1FF" w14:textId="4F9C2B0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Stakeholder Comment Period</w:t>
      </w:r>
      <w:r>
        <w:tab/>
        <w:t>152</w:t>
      </w:r>
    </w:p>
    <w:p w:rsidR="006D7533" w:rsidP="006D7533" w14:paraId="059A3EB7" w14:textId="0BDE0BF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Adjustment Order</w:t>
      </w:r>
      <w:r>
        <w:tab/>
        <w:t>153</w:t>
      </w:r>
    </w:p>
    <w:p w:rsidR="006D7533" w:rsidP="006D7533" w14:paraId="09649540" w14:textId="3C44188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Five-Year Review</w:t>
      </w:r>
      <w:r>
        <w:tab/>
        <w:t>154</w:t>
      </w:r>
    </w:p>
    <w:p w:rsidR="006D7533" w:rsidP="006D7533" w14:paraId="72BE7683" w14:textId="26BF117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Updating the Disaster Preparation and Response Plan</w:t>
      </w:r>
      <w:r>
        <w:tab/>
        <w:t>155</w:t>
      </w:r>
    </w:p>
    <w:p w:rsidR="006D7533" w:rsidP="006D7533" w14:paraId="0FD57D9F" w14:textId="47381DD9">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Mandatory Filing in Disaster Information Reporting System (DIRS)</w:t>
      </w:r>
      <w:r>
        <w:tab/>
        <w:t>156</w:t>
      </w:r>
    </w:p>
    <w:p w:rsidR="006D7533" w:rsidP="006D7533" w14:paraId="0C410452" w14:textId="1C90EA5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158</w:t>
      </w:r>
    </w:p>
    <w:p w:rsidR="006D7533" w:rsidP="006D7533" w14:paraId="354F832C" w14:textId="7459D15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Legal Authority</w:t>
      </w:r>
      <w:r>
        <w:tab/>
        <w:t>158</w:t>
      </w:r>
    </w:p>
    <w:p w:rsidR="006D7533" w:rsidP="006D7533" w14:paraId="46681077" w14:textId="4782CF1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159</w:t>
      </w:r>
    </w:p>
    <w:p w:rsidR="006D7533" w:rsidP="006D7533" w14:paraId="214C8B23" w14:textId="76B9997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Regulatory Flexibility Analysis</w:t>
      </w:r>
      <w:r>
        <w:tab/>
        <w:t>160</w:t>
      </w:r>
    </w:p>
    <w:p w:rsidR="006D7533" w:rsidP="006D7533" w14:paraId="10827265" w14:textId="743F051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Congressional Review Act</w:t>
      </w:r>
      <w:r>
        <w:tab/>
        <w:t>162</w:t>
      </w:r>
    </w:p>
    <w:p w:rsidR="006D7533" w:rsidP="006D7533" w14:paraId="776B3466" w14:textId="1F37CF2C">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CONTACT INFORMATION</w:t>
      </w:r>
      <w:r>
        <w:tab/>
        <w:t>163</w:t>
      </w:r>
    </w:p>
    <w:p w:rsidR="006D7533" w:rsidP="006D7533" w14:paraId="0F327A81" w14:textId="77777777">
      <w:bookmarkStart w:id="2" w:name="comebackhere"/>
      <w:bookmarkEnd w:id="0"/>
      <w:bookmarkEnd w:id="2"/>
      <w:r>
        <w:t>APPENDIX A:  Spectrum Chart</w:t>
      </w:r>
    </w:p>
    <w:p w:rsidR="006D7533" w:rsidP="006D7533" w14:paraId="1E926581" w14:textId="77777777">
      <w:r>
        <w:t>APPENDIX B:  Illustrative Form of Letter of Credit</w:t>
      </w:r>
    </w:p>
    <w:p w:rsidR="006D7533" w:rsidP="006D7533" w14:paraId="714CDA01" w14:textId="77777777">
      <w:r>
        <w:t>APPENDIX C:  Guide for Disaster Preparation and Response Plan</w:t>
      </w:r>
      <w:r w:rsidRPr="00C36789">
        <w:t xml:space="preserve"> </w:t>
      </w:r>
    </w:p>
    <w:p w:rsidR="002454C0" w:rsidRPr="00742308" w:rsidP="00742308" w14:paraId="76CFB8BE" w14:textId="32E604E9"/>
    <w:p w:rsidR="002454C0" w:rsidP="002454C0" w14:paraId="19EF5008" w14:textId="77777777">
      <w:pPr>
        <w:pStyle w:val="Heading1"/>
      </w:pPr>
      <w:bookmarkStart w:id="3" w:name="_Toc491262544"/>
      <w:bookmarkStart w:id="4" w:name="_Toc491263108"/>
      <w:bookmarkStart w:id="5" w:name="_Toc491676644"/>
      <w:bookmarkStart w:id="6" w:name="_Toc491677463"/>
      <w:bookmarkStart w:id="7" w:name="_Toc491697153"/>
      <w:bookmarkStart w:id="8" w:name="_Toc491764989"/>
      <w:bookmarkStart w:id="9" w:name="_Toc491765577"/>
      <w:bookmarkStart w:id="10" w:name="_Toc491786313"/>
      <w:bookmarkStart w:id="11" w:name="_Toc491789517"/>
      <w:bookmarkStart w:id="12" w:name="_Toc491849690"/>
      <w:bookmarkStart w:id="13" w:name="_Toc491850142"/>
      <w:bookmarkStart w:id="14" w:name="_Toc491850892"/>
      <w:bookmarkStart w:id="15" w:name="_Toc491941472"/>
      <w:bookmarkStart w:id="16" w:name="_Toc492976049"/>
      <w:bookmarkStart w:id="17" w:name="_Toc493232260"/>
      <w:bookmarkStart w:id="18" w:name="_Toc493234366"/>
      <w:bookmarkStart w:id="19" w:name="_Toc493244282"/>
      <w:bookmarkStart w:id="20" w:name="_Toc493772241"/>
      <w:bookmarkStart w:id="21" w:name="_Toc493862806"/>
      <w:bookmarkStart w:id="22" w:name="_Toc495058400"/>
      <w:bookmarkStart w:id="23" w:name="_Toc495678589"/>
      <w:bookmarkStart w:id="24" w:name="_Toc496104371"/>
      <w:bookmarkStart w:id="25" w:name="_Toc496619109"/>
      <w:bookmarkStart w:id="26" w:name="_Toc496620153"/>
      <w:bookmarkStart w:id="27" w:name="_Toc496780649"/>
      <w:bookmarkStart w:id="28" w:name="_Toc496886138"/>
      <w:bookmarkStart w:id="29" w:name="_Toc496889376"/>
      <w:bookmarkStart w:id="30" w:name="_Toc497122354"/>
      <w:bookmarkStart w:id="31" w:name="_Toc497214456"/>
      <w:bookmarkStart w:id="32" w:name="_Toc497403580"/>
      <w:bookmarkStart w:id="33" w:name="_Toc497490888"/>
      <w:bookmarkStart w:id="34" w:name="_Toc497914342"/>
      <w:bookmarkStart w:id="35" w:name="_Toc498007814"/>
      <w:bookmarkStart w:id="36" w:name="_Toc498008527"/>
      <w:bookmarkStart w:id="37" w:name="_Toc498442139"/>
      <w:bookmarkStart w:id="38" w:name="_Toc498505739"/>
      <w:bookmarkStart w:id="39" w:name="_Toc498507692"/>
      <w:bookmarkStart w:id="40" w:name="_Toc498519768"/>
      <w:bookmarkStart w:id="41" w:name="_Toc498527941"/>
      <w:bookmarkStart w:id="42" w:name="_Toc499285902"/>
      <w:bookmarkStart w:id="43" w:name="_Toc499794109"/>
      <w:bookmarkStart w:id="44" w:name="_Toc499902544"/>
      <w:bookmarkStart w:id="45" w:name="_Toc500921814"/>
      <w:bookmarkStart w:id="46" w:name="_Toc501095357"/>
      <w:bookmarkStart w:id="47" w:name="_Toc501361419"/>
      <w:bookmarkStart w:id="48" w:name="_Toc501361627"/>
      <w:bookmarkStart w:id="49" w:name="_Toc502758328"/>
      <w:bookmarkStart w:id="50" w:name="_Toc502845740"/>
      <w:bookmarkStart w:id="51" w:name="_Toc502926675"/>
      <w:bookmarkStart w:id="52" w:name="_Toc502932070"/>
      <w:bookmarkStart w:id="53" w:name="_Toc504660949"/>
      <w:bookmarkStart w:id="54" w:name="_Toc504721740"/>
      <w:bookmarkStart w:id="55" w:name="_Toc505008676"/>
      <w:bookmarkStart w:id="56" w:name="_Toc505161604"/>
      <w:bookmarkStart w:id="57" w:name="_Toc22643835"/>
      <w:bookmarkStart w:id="58" w:name="_Toc30099815"/>
      <w:bookmarkStart w:id="59" w:name="_Toc487450645"/>
      <w:bookmarkStart w:id="60" w:name="_Toc487552678"/>
      <w:bookmarkStart w:id="61" w:name="_Toc487553963"/>
      <w:bookmarkStart w:id="62" w:name="_Toc487619794"/>
      <w:bookmarkStart w:id="63" w:name="_Toc489345725"/>
      <w:bookmarkStart w:id="64" w:name="_Toc484779499"/>
      <w:bookmarkStart w:id="65" w:name="_Toc485026097"/>
      <w:bookmarkStart w:id="66" w:name="_Toc485108655"/>
      <w:bookmarkStart w:id="67" w:name="_Toc485142644"/>
      <w:bookmarkStart w:id="68" w:name="_Toc485312842"/>
      <w:bookmarkStart w:id="69" w:name="_Toc485653028"/>
      <w:bookmarkStart w:id="70" w:name="_Toc485736902"/>
      <w:bookmarkStart w:id="71" w:name="_Toc485830539"/>
      <w:bookmarkStart w:id="72" w:name="_Toc485914094"/>
      <w:bookmarkStart w:id="73" w:name="_Toc486434284"/>
      <w:bookmarkStart w:id="74" w:name="_Toc486580243"/>
      <w:bookmarkStart w:id="75" w:name="_Toc486580488"/>
      <w:bookmarkStart w:id="76" w:name="_Toc486580613"/>
      <w:bookmarkStart w:id="77" w:name="_Toc486592709"/>
      <w:bookmarkStart w:id="78" w:name="_Toc487191737"/>
      <w:bookmarkStart w:id="79" w:name="_Toc31809532"/>
      <w:r>
        <w:t>General Information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79"/>
    </w:p>
    <w:p w:rsidR="002454C0" w:rsidRPr="00EF6824" w:rsidP="00701932" w14:paraId="0CDDF1E4" w14:textId="77777777">
      <w:pPr>
        <w:pStyle w:val="Heading2"/>
      </w:pPr>
      <w:bookmarkStart w:id="80" w:name="_Toc491262545"/>
      <w:bookmarkStart w:id="81" w:name="_Toc491263109"/>
      <w:bookmarkStart w:id="82" w:name="_Toc491676645"/>
      <w:bookmarkStart w:id="83" w:name="_Toc491677464"/>
      <w:bookmarkStart w:id="84" w:name="_Toc491697154"/>
      <w:bookmarkStart w:id="85" w:name="_Toc491764990"/>
      <w:bookmarkStart w:id="86" w:name="_Toc491765578"/>
      <w:bookmarkStart w:id="87" w:name="_Toc491786314"/>
      <w:bookmarkStart w:id="88" w:name="_Toc491789518"/>
      <w:bookmarkStart w:id="89" w:name="_Toc491849691"/>
      <w:bookmarkStart w:id="90" w:name="_Toc491850143"/>
      <w:bookmarkStart w:id="91" w:name="_Toc491850893"/>
      <w:bookmarkStart w:id="92" w:name="_Toc491941473"/>
      <w:bookmarkStart w:id="93" w:name="_Toc492976050"/>
      <w:bookmarkStart w:id="94" w:name="_Toc493232261"/>
      <w:bookmarkStart w:id="95" w:name="_Toc493234367"/>
      <w:bookmarkStart w:id="96" w:name="_Toc493244283"/>
      <w:bookmarkStart w:id="97" w:name="_Toc493772242"/>
      <w:bookmarkStart w:id="98" w:name="_Toc493862807"/>
      <w:bookmarkStart w:id="99" w:name="_Toc495058401"/>
      <w:bookmarkStart w:id="100" w:name="_Toc495678590"/>
      <w:bookmarkStart w:id="101" w:name="_Toc496104372"/>
      <w:bookmarkStart w:id="102" w:name="_Toc496619110"/>
      <w:bookmarkStart w:id="103" w:name="_Toc496620154"/>
      <w:bookmarkStart w:id="104" w:name="_Toc496780650"/>
      <w:bookmarkStart w:id="105" w:name="_Toc496886139"/>
      <w:bookmarkStart w:id="106" w:name="_Toc496889377"/>
      <w:bookmarkStart w:id="107" w:name="_Toc497122355"/>
      <w:bookmarkStart w:id="108" w:name="_Toc497214457"/>
      <w:bookmarkStart w:id="109" w:name="_Toc497403581"/>
      <w:bookmarkStart w:id="110" w:name="_Toc497490889"/>
      <w:bookmarkStart w:id="111" w:name="_Toc497914343"/>
      <w:bookmarkStart w:id="112" w:name="_Toc498007815"/>
      <w:bookmarkStart w:id="113" w:name="_Toc498008528"/>
      <w:bookmarkStart w:id="114" w:name="_Toc498442140"/>
      <w:bookmarkStart w:id="115" w:name="_Toc498505740"/>
      <w:bookmarkStart w:id="116" w:name="_Toc498507693"/>
      <w:bookmarkStart w:id="117" w:name="_Toc498519769"/>
      <w:bookmarkStart w:id="118" w:name="_Toc498527942"/>
      <w:bookmarkStart w:id="119" w:name="_Toc499285903"/>
      <w:bookmarkStart w:id="120" w:name="_Toc499794110"/>
      <w:bookmarkStart w:id="121" w:name="_Toc499902545"/>
      <w:bookmarkStart w:id="122" w:name="_Toc500921815"/>
      <w:bookmarkStart w:id="123" w:name="_Toc501095358"/>
      <w:bookmarkStart w:id="124" w:name="_Toc501361420"/>
      <w:bookmarkStart w:id="125" w:name="_Toc501361628"/>
      <w:bookmarkStart w:id="126" w:name="_Toc502758329"/>
      <w:bookmarkStart w:id="127" w:name="_Toc502845741"/>
      <w:bookmarkStart w:id="128" w:name="_Toc502926676"/>
      <w:bookmarkStart w:id="129" w:name="_Toc502932071"/>
      <w:bookmarkStart w:id="130" w:name="_Toc504660950"/>
      <w:bookmarkStart w:id="131" w:name="_Toc504721741"/>
      <w:bookmarkStart w:id="132" w:name="_Toc505008677"/>
      <w:bookmarkStart w:id="133" w:name="_Toc505161605"/>
      <w:bookmarkStart w:id="134" w:name="_Toc22643836"/>
      <w:bookmarkStart w:id="135" w:name="_Toc30099816"/>
      <w:bookmarkStart w:id="136" w:name="_Toc31809533"/>
      <w:r w:rsidRPr="009D446F">
        <w:t>Introduction</w:t>
      </w:r>
      <w:bookmarkEnd w:id="59"/>
      <w:bookmarkEnd w:id="60"/>
      <w:bookmarkEnd w:id="61"/>
      <w:bookmarkEnd w:id="62"/>
      <w:bookmarkEnd w:id="6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9D446F">
        <w:t xml:space="preserve">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2454C0" w:rsidRPr="009D446F" w:rsidP="002454C0" w14:paraId="39956709" w14:textId="3C056C3A">
      <w:pPr>
        <w:pStyle w:val="ParaNum"/>
      </w:pPr>
      <w:r w:rsidRPr="009D446F">
        <w:t xml:space="preserve">By this Public Notice, </w:t>
      </w:r>
      <w:r w:rsidR="00D07369">
        <w:t>the Wir</w:t>
      </w:r>
      <w:r w:rsidR="00CE16BA">
        <w:t>e</w:t>
      </w:r>
      <w:r w:rsidR="00D07369">
        <w:t>line Competition Bureau (Bureau)</w:t>
      </w:r>
      <w:r w:rsidRPr="009D446F">
        <w:t xml:space="preserve"> </w:t>
      </w:r>
      <w:r>
        <w:t>establish</w:t>
      </w:r>
      <w:r w:rsidR="00D07369">
        <w:t>es</w:t>
      </w:r>
      <w:r>
        <w:t xml:space="preserve"> procedures for the</w:t>
      </w:r>
      <w:r w:rsidRPr="009D446F">
        <w:t xml:space="preserve"> </w:t>
      </w:r>
      <w:r w:rsidR="0067435F">
        <w:t>Uniendo a Puerto R</w:t>
      </w:r>
      <w:r w:rsidR="003A6820">
        <w:t>ico Fund and the Connect USVI Fund</w:t>
      </w:r>
      <w:r w:rsidR="008471CA">
        <w:t xml:space="preserve"> </w:t>
      </w:r>
      <w:r w:rsidR="00C6622B">
        <w:t>Stage 2 Competition</w:t>
      </w:r>
      <w:r w:rsidRPr="009D446F">
        <w:t xml:space="preserve"> </w:t>
      </w:r>
      <w:r>
        <w:t>(</w:t>
      </w:r>
      <w:r w:rsidR="008471CA">
        <w:t xml:space="preserve">PR-USVI </w:t>
      </w:r>
      <w:r w:rsidR="00C6622B">
        <w:t>Stage 2 Competition</w:t>
      </w:r>
      <w:r w:rsidR="008471CA">
        <w:t>, Stage 2 Competition</w:t>
      </w:r>
      <w:r w:rsidR="00B309A5">
        <w:t>,</w:t>
      </w:r>
      <w:r w:rsidR="008471CA">
        <w:t xml:space="preserve"> or the Competition</w:t>
      </w:r>
      <w:r>
        <w:t xml:space="preserve">), thus furthering </w:t>
      </w:r>
      <w:r w:rsidR="00CE16BA">
        <w:t>the Commission’s goal of</w:t>
      </w:r>
      <w:r>
        <w:t xml:space="preserve"> closing the digital divide for all Americans, including those in </w:t>
      </w:r>
      <w:r w:rsidR="008471CA">
        <w:t>non-contiguous areas of our country</w:t>
      </w:r>
      <w:r>
        <w:t>.</w:t>
      </w:r>
      <w:r>
        <w:rPr>
          <w:rStyle w:val="FootnoteReference"/>
        </w:rPr>
        <w:footnoteReference w:id="3"/>
      </w:r>
      <w:r>
        <w:t xml:space="preserve">  The </w:t>
      </w:r>
      <w:r w:rsidR="008471CA">
        <w:t>Stage 2 Competition</w:t>
      </w:r>
      <w:r w:rsidRPr="009D446F">
        <w:t xml:space="preserve"> will award up to</w:t>
      </w:r>
      <w:r>
        <w:t xml:space="preserve"> </w:t>
      </w:r>
      <w:r w:rsidR="00A85452">
        <w:t>$691.2</w:t>
      </w:r>
      <w:r>
        <w:t xml:space="preserve"> million annually for 10 </w:t>
      </w:r>
      <w:r w:rsidRPr="009D446F">
        <w:t>year</w:t>
      </w:r>
      <w:r>
        <w:t>s</w:t>
      </w:r>
      <w:r w:rsidRPr="009D446F">
        <w:t xml:space="preserve"> to service providers that commit to offer voice and broadband services </w:t>
      </w:r>
      <w:r>
        <w:t xml:space="preserve">to </w:t>
      </w:r>
      <w:r w:rsidR="008471CA">
        <w:t xml:space="preserve">all </w:t>
      </w:r>
      <w:r>
        <w:t xml:space="preserve">fixed locations </w:t>
      </w:r>
      <w:r w:rsidRPr="009D446F">
        <w:t>in</w:t>
      </w:r>
      <w:r w:rsidR="008471CA">
        <w:t xml:space="preserve"> the Commonwealth of</w:t>
      </w:r>
      <w:r w:rsidRPr="009D446F">
        <w:t xml:space="preserve"> </w:t>
      </w:r>
      <w:r w:rsidR="008471CA">
        <w:t xml:space="preserve">Puerto Rico </w:t>
      </w:r>
      <w:r w:rsidR="00A85452">
        <w:t>and</w:t>
      </w:r>
      <w:r w:rsidR="008471CA">
        <w:t xml:space="preserve"> the U.S. Virgin Islands</w:t>
      </w:r>
      <w:r w:rsidR="00CE16BA">
        <w:t xml:space="preserve"> (USVI)</w:t>
      </w:r>
      <w:r w:rsidR="007A6D2B">
        <w:t xml:space="preserve"> (</w:t>
      </w:r>
      <w:r w:rsidR="00CE16BA">
        <w:t xml:space="preserve">together, </w:t>
      </w:r>
      <w:r w:rsidR="007A6D2B">
        <w:t>the “Territories”)</w:t>
      </w:r>
      <w:r w:rsidRPr="009D446F">
        <w:t>.</w:t>
      </w:r>
      <w:r>
        <w:rPr>
          <w:rStyle w:val="FootnoteReference"/>
          <w:szCs w:val="22"/>
        </w:rPr>
        <w:footnoteReference w:id="4"/>
      </w:r>
      <w:r w:rsidRPr="009D446F">
        <w:t xml:space="preserve">  The </w:t>
      </w:r>
      <w:r w:rsidR="007F62B1">
        <w:t xml:space="preserve">Bureau will </w:t>
      </w:r>
      <w:r w:rsidR="00DE0D9C">
        <w:t xml:space="preserve">release </w:t>
      </w:r>
      <w:r w:rsidR="00CC2992">
        <w:t xml:space="preserve">an </w:t>
      </w:r>
      <w:r w:rsidR="00DE0D9C">
        <w:t xml:space="preserve">application form and instructions, and </w:t>
      </w:r>
      <w:r w:rsidR="007F62B1">
        <w:t xml:space="preserve">announce the </w:t>
      </w:r>
      <w:r w:rsidR="004F065B">
        <w:t>application deadline</w:t>
      </w:r>
      <w:r w:rsidR="00DE0D9C">
        <w:t xml:space="preserve"> in a public notice following Paperwork Reduction Act approval from the Office of Management and Budget</w:t>
      </w:r>
      <w:r>
        <w:t>.</w:t>
      </w:r>
      <w:r>
        <w:rPr>
          <w:rStyle w:val="FootnoteReference"/>
        </w:rPr>
        <w:footnoteReference w:id="5"/>
      </w:r>
      <w:r w:rsidRPr="009D446F">
        <w:t xml:space="preserve">  </w:t>
      </w:r>
    </w:p>
    <w:p w:rsidR="002454C0" w:rsidRPr="009D446F" w:rsidP="00701932" w14:paraId="339E8861" w14:textId="77777777">
      <w:pPr>
        <w:pStyle w:val="Heading2"/>
      </w:pPr>
      <w:bookmarkStart w:id="137" w:name="_Toc487450646"/>
      <w:bookmarkStart w:id="138" w:name="_Toc487552679"/>
      <w:bookmarkStart w:id="139" w:name="_Toc487553964"/>
      <w:bookmarkStart w:id="140" w:name="_Toc487619795"/>
      <w:bookmarkStart w:id="141" w:name="_Toc489345726"/>
      <w:bookmarkStart w:id="142" w:name="_Toc484779500"/>
      <w:bookmarkStart w:id="143" w:name="_Toc485026098"/>
      <w:bookmarkStart w:id="144" w:name="_Toc485108656"/>
      <w:bookmarkStart w:id="145" w:name="_Toc485142645"/>
      <w:bookmarkStart w:id="146" w:name="_Toc485312843"/>
      <w:bookmarkStart w:id="147" w:name="_Toc485653029"/>
      <w:bookmarkStart w:id="148" w:name="_Toc485736903"/>
      <w:bookmarkStart w:id="149" w:name="_Toc485830540"/>
      <w:bookmarkStart w:id="150" w:name="_Toc485914095"/>
      <w:bookmarkStart w:id="151" w:name="_Toc486434285"/>
      <w:bookmarkStart w:id="152" w:name="_Toc486580244"/>
      <w:bookmarkStart w:id="153" w:name="_Toc486580489"/>
      <w:bookmarkStart w:id="154" w:name="_Toc486580614"/>
      <w:bookmarkStart w:id="155" w:name="_Toc486592710"/>
      <w:bookmarkStart w:id="156" w:name="_Toc487191738"/>
      <w:bookmarkStart w:id="157" w:name="_Toc491262546"/>
      <w:bookmarkStart w:id="158" w:name="_Toc491263110"/>
      <w:bookmarkStart w:id="159" w:name="_Toc491676646"/>
      <w:bookmarkStart w:id="160" w:name="_Toc491677465"/>
      <w:bookmarkStart w:id="161" w:name="_Toc491697155"/>
      <w:bookmarkStart w:id="162" w:name="_Toc491764991"/>
      <w:bookmarkStart w:id="163" w:name="_Toc491765579"/>
      <w:bookmarkStart w:id="164" w:name="_Toc491786315"/>
      <w:bookmarkStart w:id="165" w:name="_Toc491789519"/>
      <w:bookmarkStart w:id="166" w:name="_Toc491849692"/>
      <w:bookmarkStart w:id="167" w:name="_Toc491850144"/>
      <w:bookmarkStart w:id="168" w:name="_Toc491850894"/>
      <w:bookmarkStart w:id="169" w:name="_Toc491941474"/>
      <w:bookmarkStart w:id="170" w:name="_Toc492976051"/>
      <w:bookmarkStart w:id="171" w:name="_Toc493232262"/>
      <w:bookmarkStart w:id="172" w:name="_Toc493234368"/>
      <w:bookmarkStart w:id="173" w:name="_Toc493244284"/>
      <w:bookmarkStart w:id="174" w:name="_Toc493772243"/>
      <w:bookmarkStart w:id="175" w:name="_Toc493862808"/>
      <w:bookmarkStart w:id="176" w:name="_Toc495058402"/>
      <w:bookmarkStart w:id="177" w:name="_Toc495678591"/>
      <w:bookmarkStart w:id="178" w:name="_Toc496104373"/>
      <w:bookmarkStart w:id="179" w:name="_Toc496619111"/>
      <w:bookmarkStart w:id="180" w:name="_Toc496620155"/>
      <w:bookmarkStart w:id="181" w:name="_Toc496780651"/>
      <w:bookmarkStart w:id="182" w:name="_Toc496886140"/>
      <w:bookmarkStart w:id="183" w:name="_Toc496889378"/>
      <w:bookmarkStart w:id="184" w:name="_Toc497122356"/>
      <w:bookmarkStart w:id="185" w:name="_Toc497214458"/>
      <w:bookmarkStart w:id="186" w:name="_Toc497403582"/>
      <w:bookmarkStart w:id="187" w:name="_Toc497490890"/>
      <w:bookmarkStart w:id="188" w:name="_Toc497914344"/>
      <w:bookmarkStart w:id="189" w:name="_Toc498007816"/>
      <w:bookmarkStart w:id="190" w:name="_Toc498008529"/>
      <w:bookmarkStart w:id="191" w:name="_Toc498442141"/>
      <w:bookmarkStart w:id="192" w:name="_Toc498505741"/>
      <w:bookmarkStart w:id="193" w:name="_Toc498507694"/>
      <w:bookmarkStart w:id="194" w:name="_Toc498519770"/>
      <w:bookmarkStart w:id="195" w:name="_Toc498527943"/>
      <w:bookmarkStart w:id="196" w:name="_Toc499285904"/>
      <w:bookmarkStart w:id="197" w:name="_Toc499794111"/>
      <w:bookmarkStart w:id="198" w:name="_Toc499902546"/>
      <w:bookmarkStart w:id="199" w:name="_Toc500921816"/>
      <w:bookmarkStart w:id="200" w:name="_Toc501095359"/>
      <w:bookmarkStart w:id="201" w:name="_Toc501361421"/>
      <w:bookmarkStart w:id="202" w:name="_Toc501361629"/>
      <w:bookmarkStart w:id="203" w:name="_Toc502758330"/>
      <w:bookmarkStart w:id="204" w:name="_Toc502845742"/>
      <w:bookmarkStart w:id="205" w:name="_Toc502926677"/>
      <w:bookmarkStart w:id="206" w:name="_Toc502932072"/>
      <w:bookmarkStart w:id="207" w:name="_Toc504660951"/>
      <w:bookmarkStart w:id="208" w:name="_Toc504721742"/>
      <w:bookmarkStart w:id="209" w:name="_Toc505008678"/>
      <w:bookmarkStart w:id="210" w:name="_Toc505161606"/>
      <w:bookmarkStart w:id="211" w:name="_Toc22643837"/>
      <w:bookmarkStart w:id="212" w:name="_Toc30099817"/>
      <w:bookmarkStart w:id="213" w:name="_Toc31809534"/>
      <w:r>
        <w:t>Background</w:t>
      </w:r>
      <w:bookmarkEnd w:id="137"/>
      <w:bookmarkEnd w:id="138"/>
      <w:bookmarkEnd w:id="139"/>
      <w:bookmarkEnd w:id="140"/>
      <w:bookmarkEnd w:id="141"/>
      <w:r>
        <w:t xml:space="preserve"> </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and Relevant Authority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471CA" w:rsidRPr="001C39E4" w:rsidP="004B4FB1" w14:paraId="0F396892" w14:textId="31021C25">
      <w:pPr>
        <w:pStyle w:val="ParaNum"/>
        <w:widowControl/>
        <w:rPr>
          <w:szCs w:val="22"/>
        </w:rPr>
      </w:pPr>
      <w:r w:rsidRPr="009D446F">
        <w:rPr>
          <w:szCs w:val="22"/>
        </w:rPr>
        <w:t xml:space="preserve">In the </w:t>
      </w:r>
      <w:r>
        <w:rPr>
          <w:i/>
          <w:szCs w:val="22"/>
        </w:rPr>
        <w:t>PR-USVI Stage 2 Order</w:t>
      </w:r>
      <w:r w:rsidRPr="009D446F">
        <w:rPr>
          <w:szCs w:val="22"/>
        </w:rPr>
        <w:t xml:space="preserve">, the Commission </w:t>
      </w:r>
      <w:r w:rsidR="007A6D2B">
        <w:t xml:space="preserve">took major steps to promote the deployment of advanced, hardened networks in the Territories by allocating nearly a billion dollars in federal universal service support </w:t>
      </w:r>
      <w:r w:rsidR="007A5A30">
        <w:t xml:space="preserve">to </w:t>
      </w:r>
      <w:r w:rsidR="007A6D2B">
        <w:t xml:space="preserve">Puerto Rico and the U.S. Virgin Islands.  For Stage 2 of the Uniendo a Puerto Rico Fund, </w:t>
      </w:r>
      <w:r w:rsidR="004B4FB1">
        <w:t>the Commission</w:t>
      </w:r>
      <w:r w:rsidR="007A6D2B">
        <w:t xml:space="preserve"> allocate</w:t>
      </w:r>
      <w:r w:rsidR="004B4FB1">
        <w:t>d</w:t>
      </w:r>
      <w:r w:rsidR="007A6D2B">
        <w:t xml:space="preserve"> more than $500 million over ten years in fixed broadband support.  </w:t>
      </w:r>
      <w:r w:rsidR="004B4FB1">
        <w:t>The Commission also allocated</w:t>
      </w:r>
      <w:r w:rsidR="007A6D2B">
        <w:t xml:space="preserve"> more than $180 million over ten years for Stage 2 Connect USVI Fund fixed support.</w:t>
      </w:r>
      <w:r>
        <w:rPr>
          <w:rStyle w:val="FootnoteReference"/>
        </w:rPr>
        <w:footnoteReference w:id="6"/>
      </w:r>
      <w:r w:rsidR="007A6D2B">
        <w:t xml:space="preserve">  The</w:t>
      </w:r>
      <w:r w:rsidR="007A5A30">
        <w:t xml:space="preserve"> Commission directed the</w:t>
      </w:r>
      <w:r w:rsidR="007A6D2B">
        <w:t xml:space="preserve">se funds </w:t>
      </w:r>
      <w:r w:rsidR="004B4FB1">
        <w:t>to</w:t>
      </w:r>
      <w:r w:rsidR="007A6D2B">
        <w:t xml:space="preserve"> facilitate the improvement and expansion of existing fixed networks in the Territories and </w:t>
      </w:r>
      <w:r w:rsidR="004B4FB1">
        <w:t xml:space="preserve">to </w:t>
      </w:r>
      <w:r w:rsidR="007A6D2B">
        <w:t>provide for the deployment of new broadband networks, so that those living in Puerto Rico and the U.S. Virgin Islands will have access to and benefit from the same high-speed broadband services that residents of the mainland United States enjoy.</w:t>
      </w:r>
      <w:r w:rsidR="004B4FB1">
        <w:t xml:space="preserve">  </w:t>
      </w:r>
    </w:p>
    <w:p w:rsidR="001C39E4" w:rsidRPr="004B4FB1" w:rsidP="004B4FB1" w14:paraId="1D6653B6" w14:textId="73D1355A">
      <w:pPr>
        <w:pStyle w:val="ParaNum"/>
        <w:widowControl/>
        <w:rPr>
          <w:szCs w:val="22"/>
        </w:rPr>
      </w:pPr>
      <w:r>
        <w:t xml:space="preserve">In the </w:t>
      </w:r>
      <w:r w:rsidRPr="00793FCB">
        <w:rPr>
          <w:i/>
        </w:rPr>
        <w:t>PR-USVI Stage 2 Order</w:t>
      </w:r>
      <w:r>
        <w:t>, the Commission adopted a single-round competitive proposal process to select applicants based on the lowest score for a series of weighted objective criteria.</w:t>
      </w:r>
      <w:r>
        <w:rPr>
          <w:rStyle w:val="FootnoteReference"/>
        </w:rPr>
        <w:footnoteReference w:id="7"/>
      </w:r>
      <w:r w:rsidR="009138F4">
        <w:t xml:space="preserve">  Similar to the Connect America Fund Phase II auction, the Stage 2 </w:t>
      </w:r>
      <w:r w:rsidR="005018A4">
        <w:t xml:space="preserve">fixed </w:t>
      </w:r>
      <w:r w:rsidR="009138F4">
        <w:t xml:space="preserve">competitive process will award support competitively based on </w:t>
      </w:r>
      <w:r w:rsidR="003A6820">
        <w:t>the weighting</w:t>
      </w:r>
      <w:r w:rsidR="009138F4">
        <w:t xml:space="preserve"> of price and network performance</w:t>
      </w:r>
      <w:r w:rsidR="005018A4">
        <w:t>, including speed, latency, and usage allowance</w:t>
      </w:r>
      <w:r w:rsidR="009138F4">
        <w:t>.</w:t>
      </w:r>
      <w:r>
        <w:rPr>
          <w:rStyle w:val="FootnoteReference"/>
        </w:rPr>
        <w:footnoteReference w:id="8"/>
      </w:r>
      <w:r w:rsidR="009138F4">
        <w:t xml:space="preserve">  The Stage 2 </w:t>
      </w:r>
      <w:r w:rsidR="005018A4">
        <w:t xml:space="preserve">fixed </w:t>
      </w:r>
      <w:r w:rsidR="009138F4">
        <w:t xml:space="preserve">competitive process will also </w:t>
      </w:r>
      <w:r w:rsidR="00911822">
        <w:t>assign scores based on</w:t>
      </w:r>
      <w:r w:rsidR="009138F4">
        <w:t xml:space="preserve"> resiliency and redundancy to account for the particular circumstances of the Territories.  </w:t>
      </w:r>
      <w:r w:rsidR="005018A4">
        <w:t xml:space="preserve">Under this competitive process, applicants for </w:t>
      </w:r>
      <w:r w:rsidR="00911822">
        <w:t xml:space="preserve">fixed </w:t>
      </w:r>
      <w:r w:rsidR="005018A4">
        <w:t>high-cost support will submit proposals that will be scored using a 270-point scale for price, performance, and network resiliency and redundancy for each geographic area for which it seeks support.</w:t>
      </w:r>
      <w:r>
        <w:rPr>
          <w:rStyle w:val="FootnoteReference"/>
        </w:rPr>
        <w:footnoteReference w:id="9"/>
      </w:r>
      <w:r w:rsidR="005018A4">
        <w:t xml:space="preserve">  The applicant with the lowest combined overall score for a specific geographic area will win support for that area.</w:t>
      </w:r>
      <w:r>
        <w:rPr>
          <w:rStyle w:val="FootnoteReference"/>
        </w:rPr>
        <w:footnoteReference w:id="10"/>
      </w:r>
    </w:p>
    <w:p w:rsidR="002454C0" w:rsidRPr="006060D5" w:rsidP="002454C0" w14:paraId="286D5759" w14:textId="74021AD9">
      <w:pPr>
        <w:pStyle w:val="ParaNum"/>
        <w:rPr>
          <w:szCs w:val="22"/>
        </w:rPr>
      </w:pPr>
      <w:r>
        <w:t>P</w:t>
      </w:r>
      <w:r w:rsidRPr="00CA0202" w:rsidR="007A0959">
        <w:t xml:space="preserve">rospective applicants </w:t>
      </w:r>
      <w:r>
        <w:t>should carefully</w:t>
      </w:r>
      <w:r w:rsidR="007A0959">
        <w:t xml:space="preserve"> review </w:t>
      </w:r>
      <w:r w:rsidRPr="00CA0202" w:rsidR="007A0959">
        <w:t xml:space="preserve">the Commission’s orders and public notices relating to the </w:t>
      </w:r>
      <w:r w:rsidR="008471CA">
        <w:t>Uniendo a Puerto Rico Fund and Connect USVI Fund</w:t>
      </w:r>
      <w:r w:rsidRPr="00752FA5" w:rsidR="007A0959">
        <w:t xml:space="preserve"> </w:t>
      </w:r>
      <w:r w:rsidR="007A0959">
        <w:t>cit</w:t>
      </w:r>
      <w:r w:rsidRPr="00CA0202" w:rsidR="007A0959">
        <w:t xml:space="preserve">ed above.  Prospective applicants in </w:t>
      </w:r>
      <w:r w:rsidR="008471CA">
        <w:t>the Stage 2 Competition</w:t>
      </w:r>
      <w:r w:rsidRPr="00CA0202" w:rsidR="007A0959">
        <w:t xml:space="preserve"> should also familiarize themselves with the Commission’s general universal service rules, contained in 47 CFR Part 54</w:t>
      </w:r>
      <w:r w:rsidR="007A0959">
        <w:t>;</w:t>
      </w:r>
      <w:r w:rsidRPr="00CA0202" w:rsidR="007A0959">
        <w:t xml:space="preserve"> the</w:t>
      </w:r>
      <w:r w:rsidR="007A0959">
        <w:t xml:space="preserve"> rules for the</w:t>
      </w:r>
      <w:r w:rsidRPr="00CA0202" w:rsidR="007A0959">
        <w:t xml:space="preserve"> Connect America Fund specifically, </w:t>
      </w:r>
      <w:r w:rsidR="007A0959">
        <w:t xml:space="preserve">contained in </w:t>
      </w:r>
      <w:r w:rsidRPr="00CA0202" w:rsidR="007A0959">
        <w:t xml:space="preserve">47 CFR </w:t>
      </w:r>
      <w:r w:rsidR="003A6820">
        <w:t>sections</w:t>
      </w:r>
      <w:r w:rsidRPr="00CA0202" w:rsidR="003A6820">
        <w:t xml:space="preserve"> </w:t>
      </w:r>
      <w:r w:rsidRPr="00CA0202" w:rsidR="007A0959">
        <w:t>54.302-54.321</w:t>
      </w:r>
      <w:r w:rsidR="007A0959">
        <w:t xml:space="preserve">; and </w:t>
      </w:r>
      <w:r w:rsidRPr="00CA0202" w:rsidR="007A0959">
        <w:t xml:space="preserve">the specific </w:t>
      </w:r>
      <w:r w:rsidR="00696957">
        <w:t xml:space="preserve">procedures for Stage 2 fixed support established in the </w:t>
      </w:r>
      <w:r w:rsidR="00696957">
        <w:rPr>
          <w:i/>
        </w:rPr>
        <w:t xml:space="preserve">PR-USVI Stage 2 Order </w:t>
      </w:r>
      <w:r w:rsidR="00696957">
        <w:t xml:space="preserve">and 47 CFR </w:t>
      </w:r>
      <w:r w:rsidR="000518C5">
        <w:t xml:space="preserve">sections </w:t>
      </w:r>
      <w:r w:rsidR="0031106D">
        <w:t>54.1501-1515</w:t>
      </w:r>
      <w:r w:rsidR="007A0959">
        <w:t xml:space="preserve">.  </w:t>
      </w:r>
      <w:r w:rsidRPr="00CA0202" w:rsidR="007A0959">
        <w:t xml:space="preserve">Additionally, prospective </w:t>
      </w:r>
      <w:r w:rsidR="008471CA">
        <w:t>applicants</w:t>
      </w:r>
      <w:r w:rsidRPr="00CA0202" w:rsidR="007A0959">
        <w:t xml:space="preserve"> </w:t>
      </w:r>
      <w:r w:rsidR="007A0959">
        <w:t>may</w:t>
      </w:r>
      <w:r w:rsidRPr="00CA0202" w:rsidR="007A0959">
        <w:t xml:space="preserve"> find it helpful to familiarize themselves with the Commission’s general </w:t>
      </w:r>
      <w:r w:rsidR="0053171D">
        <w:t>competitive bidding</w:t>
      </w:r>
      <w:r w:rsidRPr="00CA0202" w:rsidR="007A0959">
        <w:t xml:space="preserve"> rules</w:t>
      </w:r>
      <w:r w:rsidR="00132ED1">
        <w:t xml:space="preserve"> </w:t>
      </w:r>
      <w:r w:rsidRPr="00CA0202" w:rsidR="007A0959">
        <w:t xml:space="preserve">as well as Commission decisions in proceedings regarding competitive </w:t>
      </w:r>
      <w:r w:rsidR="001E5061">
        <w:t xml:space="preserve">bidding </w:t>
      </w:r>
      <w:r w:rsidRPr="00CA0202" w:rsidR="007A0959">
        <w:t>procedures, application requirements, and obligations of Commission licensees</w:t>
      </w:r>
      <w:r w:rsidR="007A0959">
        <w:t xml:space="preserve"> and authorization holders</w:t>
      </w:r>
      <w:r w:rsidRPr="00CA0202" w:rsidR="007A0959">
        <w:t>.</w:t>
      </w:r>
      <w:r>
        <w:rPr>
          <w:rStyle w:val="FootnoteReference"/>
          <w:szCs w:val="22"/>
        </w:rPr>
        <w:footnoteReference w:id="11"/>
      </w:r>
      <w:r w:rsidRPr="00CA0202" w:rsidR="007A0959">
        <w:t xml:space="preserve">  </w:t>
      </w:r>
    </w:p>
    <w:p w:rsidR="002454C0" w:rsidRPr="00CB53BC" w:rsidP="002454C0" w14:paraId="05BCAE8D" w14:textId="6FB83507">
      <w:pPr>
        <w:pStyle w:val="ParaNum"/>
      </w:pPr>
      <w:r w:rsidRPr="006060D5">
        <w:rPr>
          <w:szCs w:val="22"/>
        </w:rPr>
        <w:t xml:space="preserve">The Commission </w:t>
      </w:r>
      <w:r w:rsidR="00767A6C">
        <w:rPr>
          <w:szCs w:val="22"/>
        </w:rPr>
        <w:t xml:space="preserve">or Bureau </w:t>
      </w:r>
      <w:r w:rsidRPr="006060D5">
        <w:rPr>
          <w:szCs w:val="22"/>
        </w:rPr>
        <w:t>may amend or supplement the information contained in its public notices at any time and will issue public notices to convey any new or supplemental information</w:t>
      </w:r>
      <w:r>
        <w:rPr>
          <w:szCs w:val="22"/>
        </w:rPr>
        <w:t xml:space="preserve"> to applicants</w:t>
      </w:r>
      <w:r w:rsidRPr="006060D5">
        <w:rPr>
          <w:szCs w:val="22"/>
        </w:rPr>
        <w:t xml:space="preserve">.  It is the responsibility of all applicants to remain current with all Commission </w:t>
      </w:r>
      <w:r w:rsidR="00767A6C">
        <w:rPr>
          <w:szCs w:val="22"/>
        </w:rPr>
        <w:t xml:space="preserve">orders and </w:t>
      </w:r>
      <w:r w:rsidRPr="006060D5">
        <w:rPr>
          <w:szCs w:val="22"/>
        </w:rPr>
        <w:t xml:space="preserve">rules and with all public notices pertaining to this </w:t>
      </w:r>
      <w:r w:rsidR="00FD050E">
        <w:rPr>
          <w:szCs w:val="22"/>
        </w:rPr>
        <w:t>competition</w:t>
      </w:r>
      <w:r w:rsidRPr="006060D5">
        <w:rPr>
          <w:szCs w:val="22"/>
        </w:rPr>
        <w:t xml:space="preserve">. </w:t>
      </w:r>
    </w:p>
    <w:p w:rsidR="002454C0" w:rsidP="00701932" w14:paraId="32811A0F" w14:textId="33A36A3F">
      <w:pPr>
        <w:pStyle w:val="Heading2"/>
      </w:pPr>
      <w:bookmarkStart w:id="214" w:name="_Toc30099818"/>
      <w:bookmarkStart w:id="215" w:name="_Toc31809535"/>
      <w:r>
        <w:t>Requirements for Participation</w:t>
      </w:r>
      <w:bookmarkEnd w:id="214"/>
      <w:bookmarkEnd w:id="215"/>
    </w:p>
    <w:p w:rsidR="002454C0" w:rsidP="002454C0" w14:paraId="79192F26" w14:textId="77777777">
      <w:pPr>
        <w:pStyle w:val="ParaNum"/>
        <w:rPr>
          <w:szCs w:val="22"/>
        </w:rPr>
      </w:pPr>
      <w:r>
        <w:rPr>
          <w:szCs w:val="22"/>
        </w:rPr>
        <w:t xml:space="preserve">Those </w:t>
      </w:r>
      <w:r w:rsidRPr="00385714">
        <w:t>wishing</w:t>
      </w:r>
      <w:r>
        <w:rPr>
          <w:szCs w:val="22"/>
        </w:rPr>
        <w:t xml:space="preserve"> to participate in this </w:t>
      </w:r>
      <w:r w:rsidR="004C3E43">
        <w:rPr>
          <w:szCs w:val="22"/>
        </w:rPr>
        <w:t>competition</w:t>
      </w:r>
      <w:r>
        <w:rPr>
          <w:szCs w:val="22"/>
        </w:rPr>
        <w:t xml:space="preserve"> must:  </w:t>
      </w:r>
    </w:p>
    <w:p w:rsidR="002454C0" w:rsidP="002454C0" w14:paraId="5632B160" w14:textId="0FCCF7C9">
      <w:pPr>
        <w:pStyle w:val="BulletCharChar"/>
        <w:widowControl/>
        <w:numPr>
          <w:ilvl w:val="0"/>
          <w:numId w:val="1"/>
        </w:numPr>
        <w:tabs>
          <w:tab w:val="clear" w:pos="360"/>
          <w:tab w:val="clear" w:pos="2160"/>
        </w:tabs>
        <w:spacing w:after="120"/>
        <w:ind w:left="1080"/>
      </w:pPr>
      <w:r>
        <w:t>Submit a</w:t>
      </w:r>
      <w:r w:rsidR="004C3E43">
        <w:t xml:space="preserve">n </w:t>
      </w:r>
      <w:r>
        <w:t>application</w:t>
      </w:r>
      <w:r w:rsidR="00A64641">
        <w:t xml:space="preserve"> form for Stage 2 of the Uniendo a Puerto Rico Fund or the Connect USVI Fund</w:t>
      </w:r>
      <w:r>
        <w:t xml:space="preserve"> (</w:t>
      </w:r>
      <w:r w:rsidR="00F667A2">
        <w:t xml:space="preserve">Application </w:t>
      </w:r>
      <w:r>
        <w:t>Form</w:t>
      </w:r>
      <w:r w:rsidRPr="00936D0A">
        <w:t>)</w:t>
      </w:r>
      <w:r>
        <w:t xml:space="preserve"> </w:t>
      </w:r>
      <w:r w:rsidR="004C3E43">
        <w:t>via electronic mail</w:t>
      </w:r>
      <w:r>
        <w:t xml:space="preserve"> prior to </w:t>
      </w:r>
      <w:r w:rsidR="00592DF3">
        <w:t xml:space="preserve">the application deadline </w:t>
      </w:r>
      <w:r w:rsidR="007D221A">
        <w:t xml:space="preserve">the Bureau will subsequently announce by </w:t>
      </w:r>
      <w:r w:rsidR="00D33EC5">
        <w:t>public notice</w:t>
      </w:r>
      <w:r>
        <w:t>; and</w:t>
      </w:r>
    </w:p>
    <w:p w:rsidR="002454C0" w:rsidP="002454C0" w14:paraId="71CB915B" w14:textId="77777777">
      <w:pPr>
        <w:pStyle w:val="BulletCharChar"/>
        <w:widowControl/>
        <w:numPr>
          <w:ilvl w:val="0"/>
          <w:numId w:val="1"/>
        </w:numPr>
        <w:tabs>
          <w:tab w:val="clear" w:pos="360"/>
          <w:tab w:val="clear" w:pos="2160"/>
        </w:tabs>
        <w:spacing w:after="120"/>
        <w:ind w:left="1080"/>
      </w:pPr>
      <w:r>
        <w:t xml:space="preserve">Comply with all provisions outlined in this Public Notice and applicable Commission rules. </w:t>
      </w:r>
      <w:bookmarkStart w:id="216" w:name="_Toc491262563"/>
      <w:bookmarkStart w:id="217" w:name="_Toc491263126"/>
      <w:bookmarkStart w:id="218" w:name="_Toc491676662"/>
      <w:bookmarkStart w:id="219" w:name="_Toc491677481"/>
    </w:p>
    <w:p w:rsidR="00C51F70" w:rsidP="00701932" w14:paraId="299435F6" w14:textId="77777777">
      <w:pPr>
        <w:pStyle w:val="Heading2"/>
      </w:pPr>
      <w:bookmarkStart w:id="220" w:name="_Toc492976056"/>
      <w:bookmarkStart w:id="221" w:name="_Toc493232267"/>
      <w:bookmarkStart w:id="222" w:name="_Toc493234373"/>
      <w:bookmarkStart w:id="223" w:name="_Toc493244289"/>
      <w:bookmarkStart w:id="224" w:name="_Toc493772248"/>
      <w:bookmarkStart w:id="225" w:name="_Toc493862813"/>
      <w:bookmarkStart w:id="226" w:name="_Toc495058407"/>
      <w:bookmarkStart w:id="227" w:name="_Toc495678596"/>
      <w:bookmarkStart w:id="228" w:name="_Toc496104378"/>
      <w:bookmarkStart w:id="229" w:name="_Toc496619116"/>
      <w:bookmarkStart w:id="230" w:name="_Toc496620160"/>
      <w:bookmarkStart w:id="231" w:name="_Toc496780656"/>
      <w:bookmarkStart w:id="232" w:name="_Toc496886145"/>
      <w:bookmarkStart w:id="233" w:name="_Toc496889383"/>
      <w:bookmarkStart w:id="234" w:name="_Toc497122361"/>
      <w:bookmarkStart w:id="235" w:name="_Toc497214463"/>
      <w:bookmarkStart w:id="236" w:name="_Toc497403587"/>
      <w:bookmarkStart w:id="237" w:name="_Toc497490895"/>
      <w:bookmarkStart w:id="238" w:name="_Toc497914349"/>
      <w:bookmarkStart w:id="239" w:name="_Toc498007821"/>
      <w:bookmarkStart w:id="240" w:name="_Toc498008534"/>
      <w:bookmarkStart w:id="241" w:name="_Toc498442146"/>
      <w:bookmarkStart w:id="242" w:name="_Toc498505746"/>
      <w:bookmarkStart w:id="243" w:name="_Toc498507699"/>
      <w:bookmarkStart w:id="244" w:name="_Toc498519775"/>
      <w:bookmarkStart w:id="245" w:name="_Toc498527948"/>
      <w:bookmarkStart w:id="246" w:name="_Toc499285909"/>
      <w:bookmarkStart w:id="247" w:name="_Toc501095364"/>
      <w:bookmarkStart w:id="248" w:name="_Toc501361426"/>
      <w:bookmarkStart w:id="249" w:name="_Toc501361634"/>
      <w:bookmarkStart w:id="250" w:name="_Toc502758335"/>
      <w:bookmarkStart w:id="251" w:name="_Toc502845747"/>
      <w:bookmarkStart w:id="252" w:name="_Toc502926682"/>
      <w:bookmarkStart w:id="253" w:name="_Toc502932077"/>
      <w:bookmarkStart w:id="254" w:name="_Toc504660956"/>
      <w:bookmarkStart w:id="255" w:name="_Toc504721747"/>
      <w:bookmarkStart w:id="256" w:name="_Toc505008683"/>
      <w:bookmarkStart w:id="257" w:name="_Toc505161611"/>
      <w:bookmarkStart w:id="258" w:name="_Toc22643842"/>
      <w:bookmarkStart w:id="259" w:name="_Toc30099819"/>
      <w:bookmarkStart w:id="260" w:name="_Toc491697161"/>
      <w:bookmarkStart w:id="261" w:name="_Toc491764996"/>
      <w:bookmarkStart w:id="262" w:name="_Toc491765584"/>
      <w:bookmarkStart w:id="263" w:name="_Toc491786320"/>
      <w:bookmarkStart w:id="264" w:name="_Toc491789524"/>
      <w:bookmarkStart w:id="265" w:name="_Toc491849697"/>
      <w:bookmarkStart w:id="266" w:name="_Toc491850149"/>
      <w:bookmarkStart w:id="267" w:name="_Toc491850899"/>
      <w:bookmarkStart w:id="268" w:name="_Toc491941479"/>
      <w:bookmarkStart w:id="269" w:name="_Toc31809536"/>
      <w:r>
        <w:t>Public Interest Obligations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9"/>
    </w:p>
    <w:p w:rsidR="00BC5214" w:rsidP="002454C0" w14:paraId="35E6F968" w14:textId="77777777">
      <w:pPr>
        <w:pStyle w:val="ParaNum"/>
      </w:pPr>
      <w:r>
        <w:t xml:space="preserve">Each winning </w:t>
      </w:r>
      <w:r w:rsidR="00C51F70">
        <w:t>applicant</w:t>
      </w:r>
      <w:r>
        <w:t xml:space="preserve"> that is authorized to receive </w:t>
      </w:r>
      <w:r w:rsidR="00C51F70">
        <w:t>Stage 2 Fixed</w:t>
      </w:r>
      <w:r>
        <w:t xml:space="preserve"> support will be required to offer voice and broadband services meeting the relevant performance requirements to fixed locations.</w:t>
      </w:r>
      <w:r>
        <w:rPr>
          <w:rStyle w:val="FootnoteReference"/>
        </w:rPr>
        <w:footnoteReference w:id="12"/>
      </w:r>
      <w:r>
        <w:t xml:space="preserve">  It must make these services available to </w:t>
      </w:r>
      <w:r w:rsidR="00C51F70">
        <w:t>all fixed</w:t>
      </w:r>
      <w:r>
        <w:t xml:space="preserve"> locations associated with the </w:t>
      </w:r>
      <w:r w:rsidR="00C51F70">
        <w:t>minimum geographic area</w:t>
      </w:r>
      <w:r>
        <w:t xml:space="preserve"> for which it is the winning </w:t>
      </w:r>
      <w:r w:rsidR="00C51F70">
        <w:t>applicant</w:t>
      </w:r>
      <w:r>
        <w:t>.</w:t>
      </w:r>
      <w:r>
        <w:rPr>
          <w:rStyle w:val="FootnoteReference"/>
        </w:rPr>
        <w:footnoteReference w:id="13"/>
      </w:r>
      <w:r>
        <w:t xml:space="preserve">  </w:t>
      </w:r>
    </w:p>
    <w:p w:rsidR="002454C0" w:rsidP="00BC5214" w14:paraId="78FAD8DA" w14:textId="08D73792">
      <w:pPr>
        <w:pStyle w:val="ParaNum"/>
      </w:pPr>
      <w:r>
        <w:t xml:space="preserve">In the </w:t>
      </w:r>
      <w:r w:rsidR="00FD050E">
        <w:t>competition</w:t>
      </w:r>
      <w:r>
        <w:t xml:space="preserve">, the </w:t>
      </w:r>
      <w:r w:rsidR="0063321D">
        <w:t xml:space="preserve">Bureau </w:t>
      </w:r>
      <w:r>
        <w:t xml:space="preserve">will accept </w:t>
      </w:r>
      <w:r w:rsidR="00FD050E">
        <w:t>application</w:t>
      </w:r>
      <w:r>
        <w:t xml:space="preserve">s for service at one of </w:t>
      </w:r>
      <w:r w:rsidR="00151831">
        <w:t>three</w:t>
      </w:r>
      <w:r>
        <w:t xml:space="preserve"> performance </w:t>
      </w:r>
      <w:r w:rsidR="00151831">
        <w:t>levels</w:t>
      </w:r>
      <w:r>
        <w:t xml:space="preserve">, each with its own minimum download and upload speed and usage allowance, and for either high or low latency service, as shown in the tables below.  Winning </w:t>
      </w:r>
      <w:r w:rsidR="007E23F5">
        <w:t>applicant</w:t>
      </w:r>
      <w:r>
        <w:t xml:space="preserve">s that become authorized to receive </w:t>
      </w:r>
      <w:r w:rsidR="00FD050E">
        <w:t>Stage 2</w:t>
      </w:r>
      <w:r w:rsidR="00B97B07">
        <w:t xml:space="preserve"> fixed </w:t>
      </w:r>
      <w:r>
        <w:t xml:space="preserve">support must deploy broadband service that meets the performance </w:t>
      </w:r>
      <w:r w:rsidR="00B97B07">
        <w:t>speed, usage</w:t>
      </w:r>
      <w:r>
        <w:t xml:space="preserve"> and latency requirements associated with their winning </w:t>
      </w:r>
      <w:r w:rsidR="00FD050E">
        <w:t>application</w:t>
      </w:r>
      <w:r>
        <w:t xml:space="preserve">s.  The performance requirements for authorized winning </w:t>
      </w:r>
      <w:r w:rsidR="007E23F5">
        <w:t>applicant</w:t>
      </w:r>
      <w:r>
        <w:t xml:space="preserve">s are described in more detail </w:t>
      </w:r>
      <w:r w:rsidR="0027483C">
        <w:t xml:space="preserve">below and </w:t>
      </w:r>
      <w:r>
        <w:t xml:space="preserve">in the </w:t>
      </w:r>
      <w:r w:rsidRPr="00BC5214" w:rsidR="00FD050E">
        <w:rPr>
          <w:i/>
        </w:rPr>
        <w:t>PR-USVI Stage 2 Order</w:t>
      </w:r>
      <w:r w:rsidR="00BC5214">
        <w:t>.</w:t>
      </w:r>
      <w:r>
        <w:rPr>
          <w:rStyle w:val="FootnoteReference"/>
        </w:rPr>
        <w:footnoteReference w:id="14"/>
      </w:r>
    </w:p>
    <w:tbl>
      <w:tblPr>
        <w:tblW w:w="0" w:type="auto"/>
        <w:jc w:val="center"/>
        <w:tblLook w:val="04A0"/>
      </w:tblPr>
      <w:tblGrid>
        <w:gridCol w:w="9026"/>
      </w:tblGrid>
      <w:tr w14:paraId="5FD8087E" w14:textId="77777777" w:rsidTr="002454C0">
        <w:tblPrEx>
          <w:tblW w:w="0" w:type="auto"/>
          <w:jc w:val="center"/>
          <w:tblLook w:val="04A0"/>
        </w:tblPrEx>
        <w:trPr>
          <w:trHeight w:val="2232"/>
          <w:jc w:val="center"/>
        </w:trPr>
        <w:tc>
          <w:tcPr>
            <w:tcW w:w="9026"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09"/>
              <w:gridCol w:w="1458"/>
            </w:tblGrid>
            <w:tr w14:paraId="7D2DA818" w14:textId="77777777" w:rsidTr="003418A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2187" w:type="dxa"/>
                  <w:shd w:val="clear" w:color="auto" w:fill="8EAADB"/>
                </w:tcPr>
                <w:p w:rsidR="00BC5214" w:rsidRPr="003313AD" w:rsidP="00BC5214" w14:paraId="1A0D7FF5" w14:textId="77777777">
                  <w:pPr>
                    <w:pStyle w:val="ParaNum"/>
                    <w:keepNext/>
                    <w:keepLines/>
                    <w:numPr>
                      <w:ilvl w:val="0"/>
                      <w:numId w:val="0"/>
                    </w:numPr>
                    <w:rPr>
                      <w:b/>
                    </w:rPr>
                  </w:pPr>
                  <w:r w:rsidRPr="003313AD">
                    <w:rPr>
                      <w:b/>
                    </w:rPr>
                    <w:t>Speed</w:t>
                  </w:r>
                </w:p>
              </w:tc>
              <w:tc>
                <w:tcPr>
                  <w:tcW w:w="2709" w:type="dxa"/>
                  <w:shd w:val="clear" w:color="auto" w:fill="8EAADB"/>
                </w:tcPr>
                <w:p w:rsidR="00BC5214" w:rsidRPr="003313AD" w:rsidP="00BC5214" w14:paraId="12F29ABF" w14:textId="77777777">
                  <w:pPr>
                    <w:pStyle w:val="ParaNum"/>
                    <w:keepNext/>
                    <w:keepLines/>
                    <w:numPr>
                      <w:ilvl w:val="0"/>
                      <w:numId w:val="0"/>
                    </w:numPr>
                    <w:rPr>
                      <w:b/>
                    </w:rPr>
                  </w:pPr>
                  <w:r>
                    <w:rPr>
                      <w:b/>
                    </w:rPr>
                    <w:t xml:space="preserve">Monthly </w:t>
                  </w:r>
                  <w:r w:rsidRPr="003313AD">
                    <w:rPr>
                      <w:b/>
                    </w:rPr>
                    <w:t>Usage Allowance</w:t>
                  </w:r>
                </w:p>
              </w:tc>
              <w:tc>
                <w:tcPr>
                  <w:tcW w:w="1458" w:type="dxa"/>
                  <w:shd w:val="clear" w:color="auto" w:fill="8EAADB"/>
                </w:tcPr>
                <w:p w:rsidR="00BC5214" w:rsidRPr="003313AD" w:rsidP="00BC5214" w14:paraId="00274278" w14:textId="77777777">
                  <w:pPr>
                    <w:pStyle w:val="ParaNum"/>
                    <w:keepNext/>
                    <w:keepLines/>
                    <w:numPr>
                      <w:ilvl w:val="0"/>
                      <w:numId w:val="0"/>
                    </w:numPr>
                    <w:rPr>
                      <w:b/>
                    </w:rPr>
                  </w:pPr>
                  <w:r>
                    <w:rPr>
                      <w:b/>
                    </w:rPr>
                    <w:t xml:space="preserve">Assigned </w:t>
                  </w:r>
                  <w:r w:rsidRPr="003313AD">
                    <w:rPr>
                      <w:b/>
                    </w:rPr>
                    <w:t>Points</w:t>
                  </w:r>
                  <w:r>
                    <w:rPr>
                      <w:b/>
                    </w:rPr>
                    <w:t xml:space="preserve"> </w:t>
                  </w:r>
                </w:p>
              </w:tc>
            </w:tr>
            <w:tr w14:paraId="59CC797E" w14:textId="77777777" w:rsidTr="003418A4">
              <w:tblPrEx>
                <w:tblW w:w="0" w:type="auto"/>
                <w:jc w:val="center"/>
                <w:tblLook w:val="04A0"/>
              </w:tblPrEx>
              <w:trPr>
                <w:cantSplit/>
                <w:jc w:val="center"/>
              </w:trPr>
              <w:tc>
                <w:tcPr>
                  <w:tcW w:w="2187" w:type="dxa"/>
                  <w:shd w:val="clear" w:color="auto" w:fill="D9E2F3"/>
                </w:tcPr>
                <w:p w:rsidR="00BC5214" w:rsidRPr="00B90D02" w:rsidP="00BC5214" w14:paraId="5B968AE4" w14:textId="77777777">
                  <w:pPr>
                    <w:pStyle w:val="ParaNum"/>
                    <w:keepNext/>
                    <w:keepLines/>
                    <w:numPr>
                      <w:ilvl w:val="0"/>
                      <w:numId w:val="0"/>
                    </w:numPr>
                  </w:pPr>
                  <w:r w:rsidRPr="003313AD">
                    <w:rPr>
                      <w:rFonts w:eastAsia="Calibri"/>
                      <w:kern w:val="0"/>
                      <w:szCs w:val="22"/>
                    </w:rPr>
                    <w:t>≥ 25/3 Mbps</w:t>
                  </w:r>
                </w:p>
              </w:tc>
              <w:tc>
                <w:tcPr>
                  <w:tcW w:w="2709" w:type="dxa"/>
                  <w:shd w:val="clear" w:color="auto" w:fill="D9E2F3"/>
                </w:tcPr>
                <w:p w:rsidR="00BC5214" w:rsidRPr="00B90D02" w:rsidP="00BC5214" w14:paraId="395B43E4" w14:textId="34EEF712">
                  <w:pPr>
                    <w:pStyle w:val="ParaNum"/>
                    <w:keepNext/>
                    <w:keepLines/>
                    <w:numPr>
                      <w:ilvl w:val="0"/>
                      <w:numId w:val="0"/>
                    </w:numPr>
                  </w:pPr>
                  <w:r w:rsidRPr="003313AD">
                    <w:rPr>
                      <w:rFonts w:eastAsia="Calibri"/>
                      <w:kern w:val="0"/>
                      <w:szCs w:val="22"/>
                    </w:rPr>
                    <w:t>≥ 2</w:t>
                  </w:r>
                  <w:r w:rsidR="0062665A">
                    <w:rPr>
                      <w:rFonts w:eastAsia="Calibri"/>
                      <w:kern w:val="0"/>
                      <w:szCs w:val="22"/>
                    </w:rPr>
                    <w:t>5</w:t>
                  </w:r>
                  <w:r w:rsidRPr="003313AD">
                    <w:rPr>
                      <w:rFonts w:eastAsia="Calibri"/>
                      <w:kern w:val="0"/>
                      <w:szCs w:val="22"/>
                    </w:rPr>
                    <w:t>0 GB or U.S. median, whichever is higher</w:t>
                  </w:r>
                </w:p>
              </w:tc>
              <w:tc>
                <w:tcPr>
                  <w:tcW w:w="1458" w:type="dxa"/>
                  <w:shd w:val="clear" w:color="auto" w:fill="D9E2F3"/>
                </w:tcPr>
                <w:p w:rsidR="00BC5214" w:rsidP="00BC5214" w14:paraId="7D484D5A" w14:textId="77777777">
                  <w:pPr>
                    <w:pStyle w:val="ParaNum"/>
                    <w:keepNext/>
                    <w:keepLines/>
                    <w:numPr>
                      <w:ilvl w:val="0"/>
                      <w:numId w:val="0"/>
                    </w:numPr>
                  </w:pPr>
                  <w:r>
                    <w:t>50</w:t>
                  </w:r>
                </w:p>
              </w:tc>
            </w:tr>
            <w:tr w14:paraId="34E4CB76" w14:textId="77777777" w:rsidTr="003418A4">
              <w:tblPrEx>
                <w:tblW w:w="0" w:type="auto"/>
                <w:jc w:val="center"/>
                <w:tblLook w:val="04A0"/>
              </w:tblPrEx>
              <w:trPr>
                <w:cantSplit/>
                <w:jc w:val="center"/>
              </w:trPr>
              <w:tc>
                <w:tcPr>
                  <w:tcW w:w="2187" w:type="dxa"/>
                  <w:shd w:val="clear" w:color="auto" w:fill="B4C6E7"/>
                </w:tcPr>
                <w:p w:rsidR="00BC5214" w:rsidRPr="00B90D02" w:rsidP="00BC5214" w14:paraId="145DC419" w14:textId="77777777">
                  <w:pPr>
                    <w:pStyle w:val="ParaNum"/>
                    <w:keepNext/>
                    <w:keepLines/>
                    <w:numPr>
                      <w:ilvl w:val="0"/>
                      <w:numId w:val="0"/>
                    </w:numPr>
                  </w:pPr>
                  <w:r w:rsidRPr="003313AD">
                    <w:rPr>
                      <w:rFonts w:eastAsia="Calibri"/>
                      <w:kern w:val="0"/>
                      <w:szCs w:val="22"/>
                    </w:rPr>
                    <w:t>≥100/20 Mbps</w:t>
                  </w:r>
                </w:p>
              </w:tc>
              <w:tc>
                <w:tcPr>
                  <w:tcW w:w="2709" w:type="dxa"/>
                  <w:shd w:val="clear" w:color="auto" w:fill="B4C6E7"/>
                </w:tcPr>
                <w:p w:rsidR="00BC5214" w:rsidRPr="00B90D02" w:rsidP="00BC5214" w14:paraId="6C38A714" w14:textId="77777777">
                  <w:pPr>
                    <w:pStyle w:val="ParaNum"/>
                    <w:keepNext/>
                    <w:keepLines/>
                    <w:numPr>
                      <w:ilvl w:val="0"/>
                      <w:numId w:val="0"/>
                    </w:numPr>
                  </w:pPr>
                  <w:r w:rsidRPr="003313AD">
                    <w:rPr>
                      <w:rFonts w:eastAsia="Calibri"/>
                      <w:kern w:val="0"/>
                      <w:szCs w:val="22"/>
                    </w:rPr>
                    <w:t>≥ 2 TB</w:t>
                  </w:r>
                </w:p>
              </w:tc>
              <w:tc>
                <w:tcPr>
                  <w:tcW w:w="1458" w:type="dxa"/>
                  <w:shd w:val="clear" w:color="auto" w:fill="B4C6E7"/>
                </w:tcPr>
                <w:p w:rsidR="00BC5214" w:rsidP="00BC5214" w14:paraId="546EACB7" w14:textId="77777777">
                  <w:pPr>
                    <w:pStyle w:val="ParaNum"/>
                    <w:keepNext/>
                    <w:keepLines/>
                    <w:numPr>
                      <w:ilvl w:val="0"/>
                      <w:numId w:val="0"/>
                    </w:numPr>
                  </w:pPr>
                  <w:r>
                    <w:t>25</w:t>
                  </w:r>
                </w:p>
              </w:tc>
            </w:tr>
            <w:tr w14:paraId="252C94AA" w14:textId="77777777" w:rsidTr="003418A4">
              <w:tblPrEx>
                <w:tblW w:w="0" w:type="auto"/>
                <w:jc w:val="center"/>
                <w:tblLook w:val="04A0"/>
              </w:tblPrEx>
              <w:trPr>
                <w:cantSplit/>
                <w:jc w:val="center"/>
              </w:trPr>
              <w:tc>
                <w:tcPr>
                  <w:tcW w:w="2187" w:type="dxa"/>
                  <w:shd w:val="clear" w:color="auto" w:fill="D9E2F3"/>
                </w:tcPr>
                <w:p w:rsidR="00BC5214" w:rsidRPr="00B90D02" w:rsidP="00BC5214" w14:paraId="485E45AF" w14:textId="77777777">
                  <w:pPr>
                    <w:pStyle w:val="ParaNum"/>
                    <w:keepNext/>
                    <w:keepLines/>
                    <w:numPr>
                      <w:ilvl w:val="0"/>
                      <w:numId w:val="0"/>
                    </w:numPr>
                  </w:pPr>
                  <w:r w:rsidRPr="003313AD">
                    <w:rPr>
                      <w:rFonts w:eastAsia="Calibri"/>
                      <w:kern w:val="0"/>
                      <w:szCs w:val="22"/>
                    </w:rPr>
                    <w:t>1 Gbps/500 Mbps</w:t>
                  </w:r>
                </w:p>
              </w:tc>
              <w:tc>
                <w:tcPr>
                  <w:tcW w:w="2709" w:type="dxa"/>
                  <w:shd w:val="clear" w:color="auto" w:fill="D9E2F3"/>
                </w:tcPr>
                <w:p w:rsidR="00BC5214" w:rsidRPr="00B90D02" w:rsidP="00BC5214" w14:paraId="63A41FEA" w14:textId="77777777">
                  <w:pPr>
                    <w:pStyle w:val="ParaNum"/>
                    <w:keepNext/>
                    <w:keepLines/>
                    <w:numPr>
                      <w:ilvl w:val="0"/>
                      <w:numId w:val="0"/>
                    </w:numPr>
                  </w:pPr>
                  <w:r w:rsidRPr="003313AD">
                    <w:rPr>
                      <w:rFonts w:eastAsia="Calibri"/>
                      <w:kern w:val="0"/>
                      <w:szCs w:val="22"/>
                    </w:rPr>
                    <w:t>≥ 2 TB</w:t>
                  </w:r>
                </w:p>
              </w:tc>
              <w:tc>
                <w:tcPr>
                  <w:tcW w:w="1458" w:type="dxa"/>
                  <w:shd w:val="clear" w:color="auto" w:fill="D9E2F3"/>
                </w:tcPr>
                <w:p w:rsidR="00BC5214" w:rsidP="00BC5214" w14:paraId="2A694FF1" w14:textId="77777777">
                  <w:pPr>
                    <w:pStyle w:val="ParaNum"/>
                    <w:keepNext/>
                    <w:keepLines/>
                    <w:numPr>
                      <w:ilvl w:val="0"/>
                      <w:numId w:val="0"/>
                    </w:numPr>
                  </w:pPr>
                  <w:r>
                    <w:t>0</w:t>
                  </w:r>
                </w:p>
              </w:tc>
            </w:tr>
          </w:tbl>
          <w:p w:rsidR="002454C0" w:rsidP="002454C0" w14:paraId="3A4FF581" w14:textId="77777777">
            <w:pPr>
              <w:widowControl/>
              <w:jc w:val="center"/>
              <w:rPr>
                <w:color w:val="FFFFFF"/>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09"/>
              <w:gridCol w:w="1458"/>
            </w:tblGrid>
            <w:tr w14:paraId="44F758B7" w14:textId="77777777" w:rsidTr="003418A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2187" w:type="dxa"/>
                  <w:shd w:val="clear" w:color="auto" w:fill="8EAADB"/>
                </w:tcPr>
                <w:p w:rsidR="00BC5214" w:rsidRPr="003313AD" w:rsidP="00BC5214" w14:paraId="288A3519" w14:textId="77777777">
                  <w:pPr>
                    <w:pStyle w:val="ParaNum"/>
                    <w:keepNext/>
                    <w:keepLines/>
                    <w:numPr>
                      <w:ilvl w:val="0"/>
                      <w:numId w:val="0"/>
                    </w:numPr>
                    <w:rPr>
                      <w:b/>
                    </w:rPr>
                  </w:pPr>
                  <w:r w:rsidRPr="003313AD">
                    <w:rPr>
                      <w:b/>
                    </w:rPr>
                    <w:t>Latency</w:t>
                  </w:r>
                </w:p>
              </w:tc>
              <w:tc>
                <w:tcPr>
                  <w:tcW w:w="2709" w:type="dxa"/>
                  <w:shd w:val="clear" w:color="auto" w:fill="8EAADB"/>
                </w:tcPr>
                <w:p w:rsidR="00BC5214" w:rsidRPr="003313AD" w:rsidP="00BC5214" w14:paraId="5923D4C0" w14:textId="77777777">
                  <w:pPr>
                    <w:pStyle w:val="ParaNum"/>
                    <w:keepNext/>
                    <w:keepLines/>
                    <w:numPr>
                      <w:ilvl w:val="0"/>
                      <w:numId w:val="0"/>
                    </w:numPr>
                    <w:rPr>
                      <w:b/>
                    </w:rPr>
                  </w:pPr>
                  <w:r w:rsidRPr="003313AD">
                    <w:rPr>
                      <w:b/>
                    </w:rPr>
                    <w:t>Requirement</w:t>
                  </w:r>
                </w:p>
              </w:tc>
              <w:tc>
                <w:tcPr>
                  <w:tcW w:w="1458" w:type="dxa"/>
                  <w:shd w:val="clear" w:color="auto" w:fill="8EAADB"/>
                </w:tcPr>
                <w:p w:rsidR="00BC5214" w:rsidRPr="003313AD" w:rsidP="00BC5214" w14:paraId="4EA5AD54" w14:textId="77777777">
                  <w:pPr>
                    <w:pStyle w:val="ParaNum"/>
                    <w:keepNext/>
                    <w:keepLines/>
                    <w:numPr>
                      <w:ilvl w:val="0"/>
                      <w:numId w:val="0"/>
                    </w:numPr>
                    <w:rPr>
                      <w:b/>
                    </w:rPr>
                  </w:pPr>
                  <w:r>
                    <w:rPr>
                      <w:b/>
                    </w:rPr>
                    <w:t xml:space="preserve">Assigned </w:t>
                  </w:r>
                  <w:r w:rsidRPr="003313AD">
                    <w:rPr>
                      <w:b/>
                    </w:rPr>
                    <w:t>Points</w:t>
                  </w:r>
                  <w:r>
                    <w:rPr>
                      <w:b/>
                    </w:rPr>
                    <w:t xml:space="preserve"> </w:t>
                  </w:r>
                </w:p>
              </w:tc>
            </w:tr>
            <w:tr w14:paraId="1C6745A3" w14:textId="77777777" w:rsidTr="003418A4">
              <w:tblPrEx>
                <w:tblW w:w="0" w:type="auto"/>
                <w:jc w:val="center"/>
                <w:tblLook w:val="04A0"/>
              </w:tblPrEx>
              <w:trPr>
                <w:cantSplit/>
                <w:jc w:val="center"/>
              </w:trPr>
              <w:tc>
                <w:tcPr>
                  <w:tcW w:w="2187" w:type="dxa"/>
                  <w:shd w:val="clear" w:color="auto" w:fill="D9E2F3"/>
                </w:tcPr>
                <w:p w:rsidR="00BC5214" w:rsidRPr="00B90D02" w:rsidP="00BC5214" w14:paraId="60133F38" w14:textId="77777777">
                  <w:pPr>
                    <w:pStyle w:val="ParaNum"/>
                    <w:keepNext/>
                    <w:keepLines/>
                    <w:numPr>
                      <w:ilvl w:val="0"/>
                      <w:numId w:val="0"/>
                    </w:numPr>
                  </w:pPr>
                  <w:r w:rsidRPr="003313AD">
                    <w:rPr>
                      <w:rFonts w:eastAsia="Calibri"/>
                      <w:kern w:val="0"/>
                      <w:szCs w:val="22"/>
                    </w:rPr>
                    <w:t>Low</w:t>
                  </w:r>
                </w:p>
              </w:tc>
              <w:tc>
                <w:tcPr>
                  <w:tcW w:w="2709" w:type="dxa"/>
                  <w:shd w:val="clear" w:color="auto" w:fill="D9E2F3"/>
                </w:tcPr>
                <w:p w:rsidR="00BC5214" w:rsidRPr="00B90D02" w:rsidP="00BC5214" w14:paraId="5D6D1FE8" w14:textId="77777777">
                  <w:pPr>
                    <w:pStyle w:val="ParaNum"/>
                    <w:keepNext/>
                    <w:keepLines/>
                    <w:numPr>
                      <w:ilvl w:val="0"/>
                      <w:numId w:val="0"/>
                    </w:numPr>
                  </w:pPr>
                  <w:r w:rsidRPr="003313AD">
                    <w:rPr>
                      <w:rFonts w:eastAsia="Calibri"/>
                      <w:kern w:val="0"/>
                      <w:szCs w:val="22"/>
                    </w:rPr>
                    <w:t>≤ 100 ms</w:t>
                  </w:r>
                </w:p>
              </w:tc>
              <w:tc>
                <w:tcPr>
                  <w:tcW w:w="1458" w:type="dxa"/>
                  <w:shd w:val="clear" w:color="auto" w:fill="D9E2F3"/>
                </w:tcPr>
                <w:p w:rsidR="00BC5214" w:rsidP="00BC5214" w14:paraId="3E6DFBF2" w14:textId="77777777">
                  <w:pPr>
                    <w:pStyle w:val="ParaNum"/>
                    <w:keepNext/>
                    <w:keepLines/>
                    <w:numPr>
                      <w:ilvl w:val="0"/>
                      <w:numId w:val="0"/>
                    </w:numPr>
                  </w:pPr>
                  <w:r>
                    <w:t>0</w:t>
                  </w:r>
                </w:p>
              </w:tc>
            </w:tr>
            <w:tr w14:paraId="7B7BB335" w14:textId="77777777" w:rsidTr="003418A4">
              <w:tblPrEx>
                <w:tblW w:w="0" w:type="auto"/>
                <w:jc w:val="center"/>
                <w:tblLook w:val="04A0"/>
              </w:tblPrEx>
              <w:trPr>
                <w:cantSplit/>
                <w:jc w:val="center"/>
              </w:trPr>
              <w:tc>
                <w:tcPr>
                  <w:tcW w:w="2187" w:type="dxa"/>
                  <w:shd w:val="clear" w:color="auto" w:fill="B4C6E7"/>
                </w:tcPr>
                <w:p w:rsidR="00BC5214" w:rsidRPr="00B90D02" w:rsidP="00BC5214" w14:paraId="40E74612" w14:textId="77777777">
                  <w:pPr>
                    <w:pStyle w:val="ParaNum"/>
                    <w:keepNext/>
                    <w:keepLines/>
                    <w:numPr>
                      <w:ilvl w:val="0"/>
                      <w:numId w:val="0"/>
                    </w:numPr>
                  </w:pPr>
                  <w:r w:rsidRPr="003313AD">
                    <w:rPr>
                      <w:rFonts w:eastAsia="Calibri"/>
                      <w:kern w:val="0"/>
                      <w:szCs w:val="22"/>
                    </w:rPr>
                    <w:t>High</w:t>
                  </w:r>
                </w:p>
              </w:tc>
              <w:tc>
                <w:tcPr>
                  <w:tcW w:w="2709" w:type="dxa"/>
                  <w:shd w:val="clear" w:color="auto" w:fill="B4C6E7"/>
                </w:tcPr>
                <w:p w:rsidR="00BC5214" w:rsidRPr="00B90D02" w:rsidP="00BC5214" w14:paraId="037801CD" w14:textId="77777777">
                  <w:pPr>
                    <w:pStyle w:val="ParaNum"/>
                    <w:keepNext/>
                    <w:keepLines/>
                    <w:numPr>
                      <w:ilvl w:val="0"/>
                      <w:numId w:val="0"/>
                    </w:numPr>
                  </w:pPr>
                  <w:r w:rsidRPr="003313AD">
                    <w:rPr>
                      <w:rFonts w:eastAsia="Calibri"/>
                      <w:kern w:val="0"/>
                      <w:szCs w:val="22"/>
                    </w:rPr>
                    <w:t>≤ 750 ms</w:t>
                  </w:r>
                </w:p>
              </w:tc>
              <w:tc>
                <w:tcPr>
                  <w:tcW w:w="1458" w:type="dxa"/>
                  <w:shd w:val="clear" w:color="auto" w:fill="B4C6E7"/>
                </w:tcPr>
                <w:p w:rsidR="00BC5214" w:rsidP="00BC5214" w14:paraId="2DE9C01C" w14:textId="77777777">
                  <w:pPr>
                    <w:pStyle w:val="ParaNum"/>
                    <w:keepNext/>
                    <w:keepLines/>
                    <w:numPr>
                      <w:ilvl w:val="0"/>
                      <w:numId w:val="0"/>
                    </w:numPr>
                  </w:pPr>
                  <w:r>
                    <w:t>40</w:t>
                  </w:r>
                </w:p>
              </w:tc>
            </w:tr>
          </w:tbl>
          <w:p w:rsidR="00BC5214" w:rsidRPr="00546975" w:rsidP="002454C0" w14:paraId="5396EB91" w14:textId="77777777">
            <w:pPr>
              <w:widowControl/>
              <w:jc w:val="center"/>
              <w:rPr>
                <w:color w:val="FFFFFF"/>
                <w:kern w:val="0"/>
              </w:rPr>
            </w:pPr>
          </w:p>
        </w:tc>
      </w:tr>
    </w:tbl>
    <w:p w:rsidR="002454C0" w:rsidP="005913B3" w14:paraId="65AB04E6" w14:textId="5115EBB0">
      <w:pPr>
        <w:pStyle w:val="ParaNum"/>
        <w:widowControl/>
        <w:spacing w:before="120"/>
      </w:pPr>
      <w:r>
        <w:t>Stage 2</w:t>
      </w:r>
      <w:r w:rsidR="00B97B07">
        <w:t xml:space="preserve"> </w:t>
      </w:r>
      <w:r w:rsidR="007A0959">
        <w:t xml:space="preserve">support recipients </w:t>
      </w:r>
      <w:r w:rsidR="00215A3D">
        <w:t>may</w:t>
      </w:r>
      <w:r w:rsidR="007A0959">
        <w:t xml:space="preserve"> offer a variety of broadband service offerings as long as they offer at least one standalone voice plan and one service plan that provides broadband at the relevant performance tie</w:t>
      </w:r>
      <w:r w:rsidR="00315A96">
        <w:t>r</w:t>
      </w:r>
      <w:r w:rsidR="007A0959">
        <w:t xml:space="preserve"> and latency requirements, and these plans must be offered at rates that are reasonably comparable to rates offered in urban areas.</w:t>
      </w:r>
      <w:r>
        <w:rPr>
          <w:rStyle w:val="FootnoteReference"/>
        </w:rPr>
        <w:footnoteReference w:id="15"/>
      </w:r>
      <w:r w:rsidR="007A0959">
        <w:t xml:space="preserve">  For voice service, a support recipient will be required to certify </w:t>
      </w:r>
      <w:r w:rsidR="00ED3A5A">
        <w:t xml:space="preserve">annually </w:t>
      </w:r>
      <w:r w:rsidR="007A0959">
        <w:t>that the pricing of its service is no more than the applicable reasonably comparable rate benchmark that the Bureau releases each year.</w:t>
      </w:r>
      <w:r>
        <w:rPr>
          <w:rStyle w:val="FootnoteReference"/>
        </w:rPr>
        <w:footnoteReference w:id="16"/>
      </w:r>
      <w:r w:rsidR="007A0959">
        <w:t xml:space="preserve">  For broadband services, a support recipient will be required to certify that the pricing of a service that meets the required performance tier and latency performance requirements is no more than the applicable reasonably comparable rate benchmark, or that it is no more than the non-promotional price charged for a comparable fixed wireline broadband service in the state or U.S. territory where the eligible telecommunication carrier (ETC) receives support.</w:t>
      </w:r>
      <w:r>
        <w:rPr>
          <w:rStyle w:val="FootnoteReference"/>
        </w:rPr>
        <w:footnoteReference w:id="17"/>
      </w:r>
      <w:r w:rsidR="007A0959">
        <w:t xml:space="preserve">  </w:t>
      </w:r>
    </w:p>
    <w:p w:rsidR="002454C0" w:rsidP="002454C0" w14:paraId="6CE7D606" w14:textId="50A70778">
      <w:pPr>
        <w:pStyle w:val="ParaNum"/>
      </w:pPr>
      <w:r>
        <w:t xml:space="preserve">The Commission has adopted specific service </w:t>
      </w:r>
      <w:r w:rsidR="0027483C">
        <w:t xml:space="preserve">deployment </w:t>
      </w:r>
      <w:r>
        <w:t xml:space="preserve">milestones that require each winning </w:t>
      </w:r>
      <w:r w:rsidR="007E23F5">
        <w:t>applicant</w:t>
      </w:r>
      <w:r>
        <w:t xml:space="preserve"> authorized to receive </w:t>
      </w:r>
      <w:r w:rsidR="00FD050E">
        <w:t>Stage 2</w:t>
      </w:r>
      <w:r w:rsidR="0027483C">
        <w:t xml:space="preserve"> </w:t>
      </w:r>
      <w:r>
        <w:t xml:space="preserve">support to offer service to </w:t>
      </w:r>
      <w:r w:rsidR="0027483C">
        <w:t>all</w:t>
      </w:r>
      <w:r>
        <w:t xml:space="preserve"> locations associated with the </w:t>
      </w:r>
      <w:r w:rsidR="0027483C">
        <w:t>minimum geographic area</w:t>
      </w:r>
      <w:r>
        <w:t xml:space="preserve"> included in its authorized winning </w:t>
      </w:r>
      <w:r w:rsidR="00FD050E">
        <w:t>application</w:t>
      </w:r>
      <w:r>
        <w:t>.</w:t>
      </w:r>
      <w:r>
        <w:rPr>
          <w:rStyle w:val="FootnoteReference"/>
        </w:rPr>
        <w:footnoteReference w:id="18"/>
      </w:r>
      <w:r>
        <w:t xml:space="preserve">  Specifically, each support recipient must complete construction and begin commercially offering service to</w:t>
      </w:r>
      <w:r w:rsidR="0027483C">
        <w:t xml:space="preserve"> at least</w:t>
      </w:r>
      <w:r>
        <w:t xml:space="preserve"> 40</w:t>
      </w:r>
      <w:r w:rsidR="0027483C">
        <w:t>%</w:t>
      </w:r>
      <w:r>
        <w:t xml:space="preserve"> of the locations in a</w:t>
      </w:r>
      <w:r w:rsidR="0027483C">
        <w:t>n area</w:t>
      </w:r>
      <w:r>
        <w:t xml:space="preserve"> by the end of the third year of </w:t>
      </w:r>
      <w:r w:rsidR="0027483C">
        <w:t>support, to at least 60% by the end of the fourth year, at least 80%</w:t>
      </w:r>
      <w:r>
        <w:t xml:space="preserve"> and </w:t>
      </w:r>
      <w:r w:rsidR="0027483C">
        <w:t>by the end of the fifth</w:t>
      </w:r>
      <w:r>
        <w:t xml:space="preserve"> year, </w:t>
      </w:r>
      <w:r w:rsidR="0027483C">
        <w:t>and to</w:t>
      </w:r>
      <w:r>
        <w:t xml:space="preserve"> 100</w:t>
      </w:r>
      <w:r w:rsidR="00866BC4">
        <w:t xml:space="preserve">% </w:t>
      </w:r>
      <w:r>
        <w:t>by the end of the sixth year.</w:t>
      </w:r>
      <w:r>
        <w:rPr>
          <w:rStyle w:val="FootnoteReference"/>
        </w:rPr>
        <w:footnoteReference w:id="19"/>
      </w:r>
      <w:r>
        <w:t xml:space="preserve">  A support recipient is deemed to be commercially offering voice and/or broadband service to a location if it provides service to the location or could provide it within 10 business days upon request.</w:t>
      </w:r>
      <w:r>
        <w:rPr>
          <w:rStyle w:val="FootnoteReference"/>
        </w:rPr>
        <w:footnoteReference w:id="20"/>
      </w:r>
      <w:r>
        <w:t xml:space="preserve">  </w:t>
      </w:r>
    </w:p>
    <w:p w:rsidR="00877F6F" w:rsidP="002454C0" w14:paraId="7B445E26" w14:textId="2FBFC1C9">
      <w:pPr>
        <w:pStyle w:val="ParaNum"/>
      </w:pPr>
      <w:r>
        <w:t xml:space="preserve">Compliance will be determined </w:t>
      </w:r>
      <w:r w:rsidR="00C930B5">
        <w:t xml:space="preserve">by </w:t>
      </w:r>
      <w:r w:rsidR="00CD786B">
        <w:t>geographic area</w:t>
      </w:r>
      <w:r>
        <w:t xml:space="preserve">.  The </w:t>
      </w:r>
      <w:r w:rsidR="005B421A">
        <w:t xml:space="preserve">Bureau </w:t>
      </w:r>
      <w:r>
        <w:t xml:space="preserve">will verify that the support recipient offers the required service to the total number of locations across all </w:t>
      </w:r>
      <w:r w:rsidR="009723F1">
        <w:t>winning areas</w:t>
      </w:r>
      <w:r>
        <w:t xml:space="preserve"> included in the support recipient’s authorized </w:t>
      </w:r>
      <w:r w:rsidR="00FD050E">
        <w:t>application</w:t>
      </w:r>
      <w:r>
        <w:t xml:space="preserve"> areas (i.e., </w:t>
      </w:r>
      <w:r w:rsidR="009723F1">
        <w:t>municipios</w:t>
      </w:r>
      <w:r w:rsidR="005B421A">
        <w:t xml:space="preserve"> or island(s)</w:t>
      </w:r>
      <w:r>
        <w:t>).</w:t>
      </w:r>
      <w:r>
        <w:rPr>
          <w:rStyle w:val="FootnoteReference"/>
        </w:rPr>
        <w:footnoteReference w:id="21"/>
      </w:r>
      <w:r>
        <w:t xml:space="preserve">  If a support recipient is authorized to receive support in </w:t>
      </w:r>
      <w:r w:rsidR="00F972C1">
        <w:t>an area</w:t>
      </w:r>
      <w:r>
        <w:t xml:space="preserve"> for different performance tier</w:t>
      </w:r>
      <w:r w:rsidR="00B6185D">
        <w:t>/</w:t>
      </w:r>
      <w:r>
        <w:t>latency</w:t>
      </w:r>
      <w:r w:rsidR="00B6185D">
        <w:t xml:space="preserve"> and resiliency/redundancy</w:t>
      </w:r>
      <w:r>
        <w:t xml:space="preserve"> combinations, it will be required to demonstrate that it is offering service meeting the relevant performance requirements to </w:t>
      </w:r>
      <w:r w:rsidR="00953A43">
        <w:t xml:space="preserve">the </w:t>
      </w:r>
      <w:r w:rsidR="0033051A">
        <w:t xml:space="preserve">required number of </w:t>
      </w:r>
      <w:r>
        <w:t xml:space="preserve">locations </w:t>
      </w:r>
      <w:r w:rsidR="0033051A">
        <w:t xml:space="preserve">throughout </w:t>
      </w:r>
      <w:r w:rsidR="00CD786B">
        <w:t>each geographic area</w:t>
      </w:r>
      <w:r w:rsidR="0033051A">
        <w:t xml:space="preserve"> </w:t>
      </w:r>
      <w:r>
        <w:t xml:space="preserve">for each </w:t>
      </w:r>
      <w:r w:rsidR="00B6185D">
        <w:t>such</w:t>
      </w:r>
      <w:r>
        <w:t xml:space="preserve"> combination within </w:t>
      </w:r>
      <w:r w:rsidR="00F972C1">
        <w:t>the application</w:t>
      </w:r>
      <w:r>
        <w:t xml:space="preserve">.  </w:t>
      </w:r>
    </w:p>
    <w:p w:rsidR="006D20A0" w:rsidP="006D20A0" w14:paraId="2C46E918" w14:textId="22B8C4D4">
      <w:pPr>
        <w:pStyle w:val="ParaNum"/>
      </w:pPr>
      <w:r>
        <w:t xml:space="preserve">The Commission established a one-year </w:t>
      </w:r>
      <w:r w:rsidR="00B22CA2">
        <w:t xml:space="preserve">location </w:t>
      </w:r>
      <w:r>
        <w:t xml:space="preserve">adjustment process, as described more completely in the </w:t>
      </w:r>
      <w:r w:rsidRPr="00F972C1">
        <w:rPr>
          <w:i/>
        </w:rPr>
        <w:t>PR-USVI Stage 2 Orde</w:t>
      </w:r>
      <w:r>
        <w:rPr>
          <w:i/>
        </w:rPr>
        <w:t>r</w:t>
      </w:r>
      <w:r>
        <w:t xml:space="preserve"> and below.</w:t>
      </w:r>
      <w:r>
        <w:rPr>
          <w:rStyle w:val="FootnoteReference"/>
        </w:rPr>
        <w:footnoteReference w:id="22"/>
      </w:r>
      <w:r>
        <w:t xml:space="preserve">  In the event a support recipient cannot identify all locations in its winning geographic areas, it will have one year from release of the Stage 2 Competition winning applicants public notice to file evidence of the total number of locations in those blocks, including geolocation data of all the locations it was able to identify.</w:t>
      </w:r>
      <w:r>
        <w:rPr>
          <w:rStyle w:val="FootnoteReference"/>
        </w:rPr>
        <w:footnoteReference w:id="23"/>
      </w:r>
      <w:r>
        <w:t xml:space="preserve">  The support recipient’s filing will be subject to review and comment by relevant stakeholders and </w:t>
      </w:r>
      <w:r w:rsidR="00A807CF">
        <w:t xml:space="preserve">to </w:t>
      </w:r>
      <w:r>
        <w:t xml:space="preserve">audit.  If the support recipient demonstrates that the number of actual, on-the-ground locations is lower than the number </w:t>
      </w:r>
      <w:r w:rsidR="004268E1">
        <w:t>announced by the Bureau on December 19, 2019</w:t>
      </w:r>
      <w:r>
        <w:t>,</w:t>
      </w:r>
      <w:r>
        <w:rPr>
          <w:rStyle w:val="FootnoteReference"/>
        </w:rPr>
        <w:footnoteReference w:id="24"/>
      </w:r>
      <w:r>
        <w:t xml:space="preserve"> its location total will be adjusted, and its support will be reduced on a pro rata basis.  If a support recipient finds that the number of actual locations has increased, its total support will not be increased</w:t>
      </w:r>
      <w:r w:rsidR="00F66562">
        <w:t>, but it will be required to deploy to all actual locations</w:t>
      </w:r>
      <w:r>
        <w:t>.</w:t>
      </w:r>
    </w:p>
    <w:p w:rsidR="006D20A0" w:rsidP="006D20A0" w14:paraId="157172AF" w14:textId="53101478">
      <w:pPr>
        <w:pStyle w:val="ParaNum"/>
      </w:pPr>
      <w:r>
        <w:t>Additionally, the Commission adopted a voluntary f</w:t>
      </w:r>
      <w:r w:rsidR="00F972C1">
        <w:t xml:space="preserve">ive-year assessment prior to the end of the fifth year of support, as described more completely in the </w:t>
      </w:r>
      <w:r w:rsidRPr="00F972C1" w:rsidR="00F972C1">
        <w:rPr>
          <w:i/>
        </w:rPr>
        <w:t>PR-USVI Stage 2 Order</w:t>
      </w:r>
      <w:r w:rsidR="00F972C1">
        <w:t>.</w:t>
      </w:r>
      <w:r>
        <w:rPr>
          <w:rStyle w:val="FootnoteReference"/>
        </w:rPr>
        <w:footnoteReference w:id="25"/>
      </w:r>
      <w:r w:rsidR="00F972C1">
        <w:t xml:space="preserve">  </w:t>
      </w:r>
      <w:r w:rsidR="001230F7">
        <w:t>This</w:t>
      </w:r>
      <w:r w:rsidR="00F972C1">
        <w:t xml:space="preserve"> process</w:t>
      </w:r>
      <w:r w:rsidR="007A0959">
        <w:t xml:space="preserve"> a</w:t>
      </w:r>
      <w:r w:rsidR="00F972C1">
        <w:t>llows a</w:t>
      </w:r>
      <w:r w:rsidR="007A0959">
        <w:t xml:space="preserve"> support recipient that faces unforeseen challenges </w:t>
      </w:r>
      <w:r w:rsidR="001230F7">
        <w:t>to request a review of and adjustment to its deployment obligations</w:t>
      </w:r>
      <w:r w:rsidR="007A0959">
        <w:t>.</w:t>
      </w:r>
      <w:r>
        <w:rPr>
          <w:rStyle w:val="FootnoteReference"/>
        </w:rPr>
        <w:footnoteReference w:id="26"/>
      </w:r>
      <w:bookmarkStart w:id="270" w:name="_Hlk504737308"/>
      <w:r>
        <w:t xml:space="preserve">  As directed by the Commission, the Bureau will establish a process no later than the beginning of the fifth year of support to provide recipients an opportunity to request reassessment of their obligations.  The support recipient’s filing will be subject to review and public comment.  If, based on the Bureau’s review, an adjustment of deployment obligations or locations is warranted for any winning applicant, the Bureau will announce those changes in a public notice.</w:t>
      </w:r>
    </w:p>
    <w:bookmarkEnd w:id="270"/>
    <w:p w:rsidR="002454C0" w:rsidP="002454C0" w14:paraId="53578B96" w14:textId="014355F1">
      <w:pPr>
        <w:pStyle w:val="ParaNum"/>
      </w:pPr>
      <w:r>
        <w:t xml:space="preserve">To monitor each support recipient’s compliance with the </w:t>
      </w:r>
      <w:r w:rsidR="00FD050E">
        <w:t>Stage 2</w:t>
      </w:r>
      <w:r w:rsidR="006D20A0">
        <w:t xml:space="preserve"> </w:t>
      </w:r>
      <w:r>
        <w:t xml:space="preserve">public interest obligations, the Commission has adopted reporting requirements described in detail in the </w:t>
      </w:r>
      <w:r w:rsidR="00FD050E">
        <w:rPr>
          <w:i/>
        </w:rPr>
        <w:t>PR-USVI Stage 2 Order</w:t>
      </w:r>
      <w:r>
        <w:t>.</w:t>
      </w:r>
      <w:r>
        <w:rPr>
          <w:rStyle w:val="FootnoteReference"/>
        </w:rPr>
        <w:footnoteReference w:id="27"/>
      </w:r>
      <w:r>
        <w:t xml:space="preserve">  These include reporting a list of geocoded locations each year to which the support recipient is offering the required voice and broadband services,</w:t>
      </w:r>
      <w:r>
        <w:rPr>
          <w:rStyle w:val="FootnoteReference"/>
        </w:rPr>
        <w:footnoteReference w:id="28"/>
      </w:r>
      <w:r>
        <w:t xml:space="preserve"> making a certification when the support recipient has met service milestones,</w:t>
      </w:r>
      <w:r>
        <w:rPr>
          <w:rStyle w:val="FootnoteReference"/>
        </w:rPr>
        <w:footnoteReference w:id="29"/>
      </w:r>
      <w:r>
        <w:t xml:space="preserve"> and submitting the annual FCC Form 481 report.</w:t>
      </w:r>
      <w:r>
        <w:rPr>
          <w:rStyle w:val="FootnoteReference"/>
        </w:rPr>
        <w:footnoteReference w:id="30"/>
      </w:r>
      <w:r>
        <w:t xml:space="preserve">  A support recipient that fails to offer service to </w:t>
      </w:r>
      <w:r w:rsidR="000B4841">
        <w:t>all</w:t>
      </w:r>
      <w:r>
        <w:t xml:space="preserve"> locations by a service milestone will be subject to non-compliance measures.</w:t>
      </w:r>
      <w:r>
        <w:rPr>
          <w:rStyle w:val="FootnoteReference"/>
        </w:rPr>
        <w:footnoteReference w:id="31"/>
      </w:r>
      <w:r>
        <w:t xml:space="preserve">  A support recipient will also be subject to any non-compliance measures that are adopted in conjunction with </w:t>
      </w:r>
      <w:r w:rsidR="007F0330">
        <w:t xml:space="preserve">the uniform </w:t>
      </w:r>
      <w:r>
        <w:t xml:space="preserve">methodology </w:t>
      </w:r>
      <w:r w:rsidR="00484014">
        <w:t xml:space="preserve">applicable to </w:t>
      </w:r>
      <w:r>
        <w:t xml:space="preserve">high-cost support recipients </w:t>
      </w:r>
      <w:r w:rsidR="00484014">
        <w:t>for</w:t>
      </w:r>
      <w:r>
        <w:t xml:space="preserve"> </w:t>
      </w:r>
      <w:r w:rsidR="00484014">
        <w:t xml:space="preserve">testing </w:t>
      </w:r>
      <w:r>
        <w:t>and report</w:t>
      </w:r>
      <w:r w:rsidR="00484014">
        <w:t>ing</w:t>
      </w:r>
      <w:r>
        <w:t xml:space="preserve"> network performance.</w:t>
      </w:r>
      <w:r>
        <w:rPr>
          <w:rStyle w:val="FootnoteReference"/>
        </w:rPr>
        <w:footnoteReference w:id="32"/>
      </w:r>
    </w:p>
    <w:p w:rsidR="0093359F" w:rsidP="0093359F" w14:paraId="45F57EB2" w14:textId="19142451">
      <w:pPr>
        <w:pStyle w:val="Heading1"/>
      </w:pPr>
      <w:bookmarkStart w:id="271" w:name="_Toc30099820"/>
      <w:bookmarkStart w:id="272" w:name="_Toc22643845"/>
      <w:bookmarkStart w:id="273" w:name="_Toc491262570"/>
      <w:bookmarkStart w:id="274" w:name="_Toc491263133"/>
      <w:bookmarkStart w:id="275" w:name="_Toc491676669"/>
      <w:bookmarkStart w:id="276" w:name="_Toc491677488"/>
      <w:bookmarkStart w:id="277" w:name="_Toc491697163"/>
      <w:bookmarkStart w:id="278" w:name="_Toc491764998"/>
      <w:bookmarkStart w:id="279" w:name="_Toc491765586"/>
      <w:bookmarkStart w:id="280" w:name="_Toc491786322"/>
      <w:bookmarkStart w:id="281" w:name="_Toc491789526"/>
      <w:bookmarkStart w:id="282" w:name="_Toc491849699"/>
      <w:bookmarkStart w:id="283" w:name="_Toc491850151"/>
      <w:bookmarkStart w:id="284" w:name="_Toc491850901"/>
      <w:bookmarkStart w:id="285" w:name="_Toc491941481"/>
      <w:bookmarkStart w:id="286" w:name="_Toc492976059"/>
      <w:bookmarkStart w:id="287" w:name="_Toc493232270"/>
      <w:bookmarkStart w:id="288" w:name="_Toc493234376"/>
      <w:bookmarkStart w:id="289" w:name="_Toc493244292"/>
      <w:bookmarkStart w:id="290" w:name="_Toc493772250"/>
      <w:bookmarkStart w:id="291" w:name="_Toc493862815"/>
      <w:bookmarkStart w:id="292" w:name="_Toc495058410"/>
      <w:bookmarkStart w:id="293" w:name="_Toc495678599"/>
      <w:bookmarkStart w:id="294" w:name="_Toc496104381"/>
      <w:bookmarkStart w:id="295" w:name="_Toc496619119"/>
      <w:bookmarkStart w:id="296" w:name="_Toc496620163"/>
      <w:bookmarkStart w:id="297" w:name="_Toc496780659"/>
      <w:bookmarkStart w:id="298" w:name="_Toc496886148"/>
      <w:bookmarkStart w:id="299" w:name="_Toc496889386"/>
      <w:bookmarkStart w:id="300" w:name="_Toc497122364"/>
      <w:bookmarkStart w:id="301" w:name="_Toc497214466"/>
      <w:bookmarkStart w:id="302" w:name="_Toc497403590"/>
      <w:bookmarkStart w:id="303" w:name="_Toc497490898"/>
      <w:bookmarkStart w:id="304" w:name="_Toc497914352"/>
      <w:bookmarkStart w:id="305" w:name="_Toc498007824"/>
      <w:bookmarkStart w:id="306" w:name="_Toc498008537"/>
      <w:bookmarkStart w:id="307" w:name="_Toc498442149"/>
      <w:bookmarkStart w:id="308" w:name="_Toc498505749"/>
      <w:bookmarkStart w:id="309" w:name="_Toc498507702"/>
      <w:bookmarkStart w:id="310" w:name="_Toc498519778"/>
      <w:bookmarkStart w:id="311" w:name="_Toc498527951"/>
      <w:bookmarkStart w:id="312" w:name="_Toc499285912"/>
      <w:bookmarkStart w:id="313" w:name="_Toc499794119"/>
      <w:bookmarkStart w:id="314" w:name="_Toc499902554"/>
      <w:bookmarkStart w:id="315" w:name="_Toc500921824"/>
      <w:bookmarkStart w:id="316" w:name="_Toc501095367"/>
      <w:bookmarkStart w:id="317" w:name="_Toc501361429"/>
      <w:bookmarkStart w:id="318" w:name="_Toc501361637"/>
      <w:bookmarkStart w:id="319" w:name="_Toc502758338"/>
      <w:bookmarkStart w:id="320" w:name="_Toc502845750"/>
      <w:bookmarkStart w:id="321" w:name="_Toc502926685"/>
      <w:bookmarkStart w:id="322" w:name="_Toc502932080"/>
      <w:bookmarkStart w:id="323" w:name="_Toc504660959"/>
      <w:bookmarkStart w:id="324" w:name="_Toc504721750"/>
      <w:bookmarkStart w:id="325" w:name="_Toc505008686"/>
      <w:bookmarkStart w:id="326" w:name="_Toc505161614"/>
      <w:bookmarkStart w:id="327" w:name="_Toc31809537"/>
      <w:bookmarkEnd w:id="216"/>
      <w:bookmarkEnd w:id="217"/>
      <w:bookmarkEnd w:id="218"/>
      <w:bookmarkEnd w:id="219"/>
      <w:bookmarkEnd w:id="260"/>
      <w:bookmarkEnd w:id="261"/>
      <w:bookmarkEnd w:id="262"/>
      <w:bookmarkEnd w:id="263"/>
      <w:bookmarkEnd w:id="264"/>
      <w:bookmarkEnd w:id="265"/>
      <w:bookmarkEnd w:id="266"/>
      <w:bookmarkEnd w:id="267"/>
      <w:bookmarkEnd w:id="268"/>
      <w:r>
        <w:t xml:space="preserve">APPLYING TO COMPETE IN THE </w:t>
      </w:r>
      <w:r w:rsidR="00C6622B">
        <w:t>STAGE 2 COMPETITION</w:t>
      </w:r>
      <w:bookmarkEnd w:id="271"/>
      <w:bookmarkEnd w:id="327"/>
    </w:p>
    <w:p w:rsidR="00676A10" w:rsidP="00701932" w14:paraId="2A256A79" w14:textId="77777777">
      <w:pPr>
        <w:pStyle w:val="Heading2"/>
      </w:pPr>
      <w:bookmarkStart w:id="328" w:name="_Toc491262601"/>
      <w:bookmarkStart w:id="329" w:name="_Toc491263164"/>
      <w:bookmarkStart w:id="330" w:name="_Toc491676700"/>
      <w:bookmarkStart w:id="331" w:name="_Toc491677519"/>
      <w:bookmarkStart w:id="332" w:name="_Toc491697205"/>
      <w:bookmarkStart w:id="333" w:name="_Toc491765040"/>
      <w:bookmarkStart w:id="334" w:name="_Toc491765628"/>
      <w:bookmarkStart w:id="335" w:name="_Toc491786364"/>
      <w:bookmarkStart w:id="336" w:name="_Toc491789568"/>
      <w:bookmarkStart w:id="337" w:name="_Toc491849741"/>
      <w:bookmarkStart w:id="338" w:name="_Toc491850193"/>
      <w:bookmarkStart w:id="339" w:name="_Toc491850943"/>
      <w:bookmarkStart w:id="340" w:name="_Toc491941524"/>
      <w:bookmarkStart w:id="341" w:name="_Toc492976102"/>
      <w:bookmarkStart w:id="342" w:name="_Toc493232313"/>
      <w:bookmarkStart w:id="343" w:name="_Toc493234419"/>
      <w:bookmarkStart w:id="344" w:name="_Toc493244335"/>
      <w:bookmarkStart w:id="345" w:name="_Toc493772293"/>
      <w:bookmarkStart w:id="346" w:name="_Toc493862859"/>
      <w:bookmarkStart w:id="347" w:name="_Toc495058455"/>
      <w:bookmarkStart w:id="348" w:name="_Toc495678644"/>
      <w:bookmarkStart w:id="349" w:name="_Toc496104427"/>
      <w:bookmarkStart w:id="350" w:name="_Toc496619165"/>
      <w:bookmarkStart w:id="351" w:name="_Toc496620208"/>
      <w:bookmarkStart w:id="352" w:name="_Toc496780704"/>
      <w:bookmarkStart w:id="353" w:name="_Toc496886194"/>
      <w:bookmarkStart w:id="354" w:name="_Toc496889432"/>
      <w:bookmarkStart w:id="355" w:name="_Toc497122411"/>
      <w:bookmarkStart w:id="356" w:name="_Toc497214513"/>
      <w:bookmarkStart w:id="357" w:name="_Toc497403637"/>
      <w:bookmarkStart w:id="358" w:name="_Toc497490945"/>
      <w:bookmarkStart w:id="359" w:name="_Toc497914399"/>
      <w:bookmarkStart w:id="360" w:name="_Toc498007871"/>
      <w:bookmarkStart w:id="361" w:name="_Toc498008584"/>
      <w:bookmarkStart w:id="362" w:name="_Toc498442196"/>
      <w:bookmarkStart w:id="363" w:name="_Toc498505796"/>
      <w:bookmarkStart w:id="364" w:name="_Toc498507749"/>
      <w:bookmarkStart w:id="365" w:name="_Toc498519825"/>
      <w:bookmarkStart w:id="366" w:name="_Toc498527998"/>
      <w:bookmarkStart w:id="367" w:name="_Toc499285961"/>
      <w:bookmarkStart w:id="368" w:name="_Toc499794168"/>
      <w:bookmarkStart w:id="369" w:name="_Toc499902601"/>
      <w:bookmarkStart w:id="370" w:name="_Toc500921871"/>
      <w:bookmarkStart w:id="371" w:name="_Toc501095414"/>
      <w:bookmarkStart w:id="372" w:name="_Toc501361476"/>
      <w:bookmarkStart w:id="373" w:name="_Toc501361684"/>
      <w:bookmarkStart w:id="374" w:name="_Toc502758385"/>
      <w:bookmarkStart w:id="375" w:name="_Toc502845797"/>
      <w:bookmarkStart w:id="376" w:name="_Toc502926732"/>
      <w:bookmarkStart w:id="377" w:name="_Toc502932127"/>
      <w:bookmarkStart w:id="378" w:name="_Toc504661006"/>
      <w:bookmarkStart w:id="379" w:name="_Toc504721797"/>
      <w:bookmarkStart w:id="380" w:name="_Toc505008733"/>
      <w:bookmarkStart w:id="381" w:name="_Toc505161661"/>
      <w:bookmarkStart w:id="382" w:name="_Toc22643882"/>
      <w:bookmarkStart w:id="383" w:name="_Toc30099821"/>
      <w:bookmarkStart w:id="384" w:name="_Toc31809538"/>
      <w:r>
        <w:t>Competition Structure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676A10" w:rsidP="00676A10" w14:paraId="78727B9F" w14:textId="77777777">
      <w:pPr>
        <w:pStyle w:val="Heading3"/>
      </w:pPr>
      <w:bookmarkStart w:id="385" w:name="_Toc491262602"/>
      <w:bookmarkStart w:id="386" w:name="_Toc491263165"/>
      <w:bookmarkStart w:id="387" w:name="_Toc491676701"/>
      <w:bookmarkStart w:id="388" w:name="_Toc491677520"/>
      <w:bookmarkStart w:id="389" w:name="_Toc491697206"/>
      <w:bookmarkStart w:id="390" w:name="_Toc491765041"/>
      <w:bookmarkStart w:id="391" w:name="_Toc491765629"/>
      <w:bookmarkStart w:id="392" w:name="_Toc491786365"/>
      <w:bookmarkStart w:id="393" w:name="_Toc491789569"/>
      <w:bookmarkStart w:id="394" w:name="_Toc491849742"/>
      <w:bookmarkStart w:id="395" w:name="_Toc491850194"/>
      <w:bookmarkStart w:id="396" w:name="_Toc491850944"/>
      <w:bookmarkStart w:id="397" w:name="_Toc491941525"/>
      <w:bookmarkStart w:id="398" w:name="_Toc492976103"/>
      <w:bookmarkStart w:id="399" w:name="_Toc493232314"/>
      <w:bookmarkStart w:id="400" w:name="_Toc493234420"/>
      <w:bookmarkStart w:id="401" w:name="_Toc493244336"/>
      <w:bookmarkStart w:id="402" w:name="_Toc493772294"/>
      <w:bookmarkStart w:id="403" w:name="_Toc493862860"/>
      <w:bookmarkStart w:id="404" w:name="_Toc495058456"/>
      <w:bookmarkStart w:id="405" w:name="_Toc495678645"/>
      <w:bookmarkStart w:id="406" w:name="_Toc496104428"/>
      <w:bookmarkStart w:id="407" w:name="_Toc496619166"/>
      <w:bookmarkStart w:id="408" w:name="_Toc496620209"/>
      <w:bookmarkStart w:id="409" w:name="_Toc496780705"/>
      <w:bookmarkStart w:id="410" w:name="_Toc496886195"/>
      <w:bookmarkStart w:id="411" w:name="_Toc496889433"/>
      <w:bookmarkStart w:id="412" w:name="_Toc497122412"/>
      <w:bookmarkStart w:id="413" w:name="_Toc497214514"/>
      <w:bookmarkStart w:id="414" w:name="_Toc497403638"/>
      <w:bookmarkStart w:id="415" w:name="_Toc497490946"/>
      <w:bookmarkStart w:id="416" w:name="_Toc497914400"/>
      <w:bookmarkStart w:id="417" w:name="_Toc498007872"/>
      <w:bookmarkStart w:id="418" w:name="_Toc498008585"/>
      <w:bookmarkStart w:id="419" w:name="_Toc498442197"/>
      <w:bookmarkStart w:id="420" w:name="_Toc498505797"/>
      <w:bookmarkStart w:id="421" w:name="_Toc498507750"/>
      <w:bookmarkStart w:id="422" w:name="_Toc498519826"/>
      <w:bookmarkStart w:id="423" w:name="_Toc498527999"/>
      <w:bookmarkStart w:id="424" w:name="_Toc499285962"/>
      <w:bookmarkStart w:id="425" w:name="_Toc499794169"/>
      <w:bookmarkStart w:id="426" w:name="_Toc499902602"/>
      <w:bookmarkStart w:id="427" w:name="_Toc500921872"/>
      <w:bookmarkStart w:id="428" w:name="_Toc501095415"/>
      <w:bookmarkStart w:id="429" w:name="_Toc501361477"/>
      <w:bookmarkStart w:id="430" w:name="_Toc501361685"/>
      <w:bookmarkStart w:id="431" w:name="_Toc502758386"/>
      <w:bookmarkStart w:id="432" w:name="_Toc502845798"/>
      <w:bookmarkStart w:id="433" w:name="_Toc502926733"/>
      <w:bookmarkStart w:id="434" w:name="_Toc502932128"/>
      <w:bookmarkStart w:id="435" w:name="_Toc504661007"/>
      <w:bookmarkStart w:id="436" w:name="_Toc504721798"/>
      <w:bookmarkStart w:id="437" w:name="_Toc505008734"/>
      <w:bookmarkStart w:id="438" w:name="_Toc505161662"/>
      <w:bookmarkStart w:id="439" w:name="_Toc22643883"/>
      <w:bookmarkStart w:id="440" w:name="_Toc30099822"/>
      <w:bookmarkStart w:id="441" w:name="_Toc31809539"/>
      <w:r>
        <w:t>Single-Round Competition Format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676A10" w:rsidRPr="009D446F" w:rsidP="00936D0A" w14:paraId="47D2EF4B" w14:textId="3860A968">
      <w:pPr>
        <w:pStyle w:val="ParaNum"/>
        <w:widowControl/>
      </w:pPr>
      <w:r>
        <w:t xml:space="preserve">As adopted in the </w:t>
      </w:r>
      <w:r w:rsidRPr="00EB625C">
        <w:rPr>
          <w:i/>
        </w:rPr>
        <w:t>PR-USVI Stage 2 Order</w:t>
      </w:r>
      <w:r>
        <w:t xml:space="preserve">, </w:t>
      </w:r>
      <w:r w:rsidR="00F478DB">
        <w:t>the Bureau</w:t>
      </w:r>
      <w:r>
        <w:t xml:space="preserve"> will conduct </w:t>
      </w:r>
      <w:r w:rsidR="00A86866">
        <w:t xml:space="preserve">the </w:t>
      </w:r>
      <w:r>
        <w:t>Stage 2 Competition using a single-round, confidential submission, objective scoring process</w:t>
      </w:r>
      <w:r w:rsidRPr="00EB625C">
        <w:t>.</w:t>
      </w:r>
      <w:r>
        <w:rPr>
          <w:rStyle w:val="FootnoteReference"/>
        </w:rPr>
        <w:footnoteReference w:id="33"/>
      </w:r>
      <w:r w:rsidRPr="00EB625C">
        <w:t xml:space="preserve">  </w:t>
      </w:r>
      <w:r>
        <w:t>The</w:t>
      </w:r>
      <w:r w:rsidRPr="00EB625C">
        <w:t xml:space="preserve"> </w:t>
      </w:r>
      <w:r w:rsidR="00A63EA4">
        <w:t>Bureau</w:t>
      </w:r>
      <w:r>
        <w:t xml:space="preserve"> </w:t>
      </w:r>
      <w:r w:rsidRPr="00C34893">
        <w:t xml:space="preserve">will consider </w:t>
      </w:r>
      <w:r>
        <w:t>all</w:t>
      </w:r>
      <w:r w:rsidRPr="00C34893">
        <w:t xml:space="preserve"> </w:t>
      </w:r>
      <w:r>
        <w:t xml:space="preserve">eligible Stage 2 </w:t>
      </w:r>
      <w:r w:rsidRPr="00C34893">
        <w:t xml:space="preserve">applications simultaneously and select applicants based on </w:t>
      </w:r>
      <w:r>
        <w:t xml:space="preserve">the lowest score for </w:t>
      </w:r>
      <w:r w:rsidRPr="00C34893">
        <w:t xml:space="preserve">a series of weighted objective criteria.  </w:t>
      </w:r>
      <w:r>
        <w:t>Applicants must commit to meeting the established minimum performance requirements</w:t>
      </w:r>
      <w:r w:rsidR="006A2797">
        <w:t xml:space="preserve"> identified in its application</w:t>
      </w:r>
      <w:r>
        <w:t>, and the scoring gives greater preference</w:t>
      </w:r>
      <w:r w:rsidRPr="00C34893">
        <w:t xml:space="preserve"> to </w:t>
      </w:r>
      <w:r>
        <w:t xml:space="preserve">proposals based on how much they exceed the minimum thresholds.  </w:t>
      </w:r>
      <w:r w:rsidR="00AE5F40">
        <w:rPr>
          <w:szCs w:val="22"/>
        </w:rPr>
        <w:t>The Bureau</w:t>
      </w:r>
      <w:r w:rsidR="007327AA">
        <w:rPr>
          <w:szCs w:val="22"/>
        </w:rPr>
        <w:t xml:space="preserve"> </w:t>
      </w:r>
      <w:r>
        <w:t>establish</w:t>
      </w:r>
      <w:r w:rsidR="00F478DB">
        <w:t>es</w:t>
      </w:r>
      <w:r>
        <w:t xml:space="preserve"> the procedures below</w:t>
      </w:r>
      <w:r w:rsidRPr="00C34893">
        <w:t xml:space="preserve"> </w:t>
      </w:r>
      <w:r>
        <w:t>in order to implement a competition that is</w:t>
      </w:r>
      <w:r w:rsidRPr="00C34893">
        <w:t xml:space="preserve"> </w:t>
      </w:r>
      <w:r>
        <w:t>efficient, orderly,</w:t>
      </w:r>
      <w:r w:rsidRPr="00C34893">
        <w:t xml:space="preserve"> </w:t>
      </w:r>
      <w:r>
        <w:t xml:space="preserve">transparent, and impartial. </w:t>
      </w:r>
    </w:p>
    <w:p w:rsidR="007B294D" w:rsidRPr="001C38D6" w:rsidP="001C38D6" w14:paraId="28E0CC69" w14:textId="50B9BE80">
      <w:pPr>
        <w:pStyle w:val="Heading3"/>
      </w:pPr>
      <w:bookmarkStart w:id="442" w:name="_Toc22643885"/>
      <w:bookmarkStart w:id="443" w:name="_Toc30099823"/>
      <w:bookmarkStart w:id="444" w:name="_Toc491262606"/>
      <w:bookmarkStart w:id="445" w:name="_Toc491263170"/>
      <w:bookmarkStart w:id="446" w:name="_Toc491676706"/>
      <w:bookmarkStart w:id="447" w:name="_Toc491677525"/>
      <w:bookmarkStart w:id="448" w:name="_Toc491697211"/>
      <w:bookmarkStart w:id="449" w:name="_Toc491765046"/>
      <w:bookmarkStart w:id="450" w:name="_Toc491765634"/>
      <w:bookmarkStart w:id="451" w:name="_Toc491786370"/>
      <w:bookmarkStart w:id="452" w:name="_Toc491789574"/>
      <w:bookmarkStart w:id="453" w:name="_Toc491849747"/>
      <w:bookmarkStart w:id="454" w:name="_Toc491850199"/>
      <w:bookmarkStart w:id="455" w:name="_Toc491850949"/>
      <w:bookmarkStart w:id="456" w:name="_Toc491941530"/>
      <w:bookmarkStart w:id="457" w:name="_Toc492976108"/>
      <w:bookmarkStart w:id="458" w:name="_Toc493232319"/>
      <w:bookmarkStart w:id="459" w:name="_Toc493234425"/>
      <w:bookmarkStart w:id="460" w:name="_Toc493244341"/>
      <w:bookmarkStart w:id="461" w:name="_Toc493772299"/>
      <w:bookmarkStart w:id="462" w:name="_Toc493862865"/>
      <w:bookmarkStart w:id="463" w:name="_Toc495058461"/>
      <w:bookmarkStart w:id="464" w:name="_Toc495678650"/>
      <w:bookmarkStart w:id="465" w:name="_Toc496104433"/>
      <w:bookmarkStart w:id="466" w:name="_Toc496619171"/>
      <w:bookmarkStart w:id="467" w:name="_Toc496620214"/>
      <w:bookmarkStart w:id="468" w:name="_Toc496780710"/>
      <w:bookmarkStart w:id="469" w:name="_Toc496886200"/>
      <w:bookmarkStart w:id="470" w:name="_Toc496889438"/>
      <w:bookmarkStart w:id="471" w:name="_Toc497122415"/>
      <w:bookmarkStart w:id="472" w:name="_Toc497214517"/>
      <w:bookmarkStart w:id="473" w:name="_Toc497403641"/>
      <w:bookmarkStart w:id="474" w:name="_Toc497490949"/>
      <w:bookmarkStart w:id="475" w:name="_Toc497914403"/>
      <w:bookmarkStart w:id="476" w:name="_Toc498007875"/>
      <w:bookmarkStart w:id="477" w:name="_Toc498008588"/>
      <w:bookmarkStart w:id="478" w:name="_Toc498442200"/>
      <w:bookmarkStart w:id="479" w:name="_Toc498505800"/>
      <w:bookmarkStart w:id="480" w:name="_Toc498507753"/>
      <w:bookmarkStart w:id="481" w:name="_Toc498519829"/>
      <w:bookmarkStart w:id="482" w:name="_Toc498528001"/>
      <w:bookmarkStart w:id="483" w:name="_Toc499285964"/>
      <w:bookmarkStart w:id="484" w:name="_Toc499794171"/>
      <w:bookmarkStart w:id="485" w:name="_Toc499902604"/>
      <w:bookmarkStart w:id="486" w:name="_Toc500921874"/>
      <w:bookmarkStart w:id="487" w:name="_Toc501095417"/>
      <w:bookmarkStart w:id="488" w:name="_Toc501361479"/>
      <w:bookmarkStart w:id="489" w:name="_Toc501361687"/>
      <w:bookmarkStart w:id="490" w:name="_Toc502758388"/>
      <w:bookmarkStart w:id="491" w:name="_Toc502845800"/>
      <w:bookmarkStart w:id="492" w:name="_Toc502926735"/>
      <w:bookmarkStart w:id="493" w:name="_Toc502932130"/>
      <w:bookmarkStart w:id="494" w:name="_Toc504661009"/>
      <w:bookmarkStart w:id="495" w:name="_Toc504721800"/>
      <w:bookmarkStart w:id="496" w:name="_Toc505008736"/>
      <w:bookmarkStart w:id="497" w:name="_Toc505161664"/>
      <w:bookmarkStart w:id="498" w:name="_Toc31809540"/>
      <w:r>
        <w:t>Eligible Providers</w:t>
      </w:r>
      <w:bookmarkEnd w:id="442"/>
      <w:bookmarkEnd w:id="443"/>
      <w:bookmarkEnd w:id="498"/>
    </w:p>
    <w:p w:rsidR="00676A10" w:rsidP="00676A10" w14:paraId="101AF6C9" w14:textId="6C192E53">
      <w:pPr>
        <w:pStyle w:val="ParaNum"/>
      </w:pPr>
      <w:r>
        <w:t xml:space="preserve">The Commission determined that it would </w:t>
      </w:r>
      <w:r w:rsidRPr="006F0EAD">
        <w:t>allow all providers that had existing fixed network</w:t>
      </w:r>
      <w:r>
        <w:t xml:space="preserve"> facilities</w:t>
      </w:r>
      <w:r w:rsidRPr="006F0EAD">
        <w:t xml:space="preserve"> and </w:t>
      </w:r>
      <w:r>
        <w:t xml:space="preserve">made </w:t>
      </w:r>
      <w:r w:rsidRPr="006F0EAD">
        <w:t xml:space="preserve">broadband service </w:t>
      </w:r>
      <w:r>
        <w:t xml:space="preserve">available </w:t>
      </w:r>
      <w:r w:rsidRPr="006F0EAD">
        <w:t xml:space="preserve">in Puerto Rico or in the U.S. Virgin Islands, according to </w:t>
      </w:r>
      <w:bookmarkStart w:id="499" w:name="_Hlk28948249"/>
      <w:r w:rsidRPr="006F0EAD">
        <w:t>June 2018 FCC Form 477</w:t>
      </w:r>
      <w:bookmarkEnd w:id="499"/>
      <w:r w:rsidRPr="006F0EAD">
        <w:t xml:space="preserve"> data, to be eligible to participate in their respective territory’s competitive process.</w:t>
      </w:r>
      <w:r>
        <w:rPr>
          <w:rStyle w:val="FootnoteReference"/>
        </w:rPr>
        <w:footnoteReference w:id="34"/>
      </w:r>
      <w:r w:rsidRPr="006F0EAD">
        <w:t xml:space="preserve">  </w:t>
      </w:r>
      <w:r>
        <w:t xml:space="preserve">Therefore, for example, a provider that has deployed broadband in Puerto Rico but not the U.S. Virgin Islands according to June 2018 FCC Form 477 data would be eligible to apply for support throughout Puerto Rico, but not in the U.S. Virgin Islands.  </w:t>
      </w:r>
      <w:r>
        <w:t xml:space="preserve">The Commission determined that it would </w:t>
      </w:r>
      <w:r>
        <w:t>allow broadband providers that, according to June 2018 FCC Form 477 data, serve only business locations to participate.</w:t>
      </w:r>
      <w:r>
        <w:rPr>
          <w:rStyle w:val="FootnoteReference"/>
        </w:rPr>
        <w:footnoteReference w:id="35"/>
      </w:r>
      <w:r>
        <w:t xml:space="preserve">  </w:t>
      </w:r>
      <w:r>
        <w:t>The Commission</w:t>
      </w:r>
      <w:r w:rsidRPr="006F0EAD">
        <w:t xml:space="preserve"> </w:t>
      </w:r>
      <w:r>
        <w:t xml:space="preserve">also </w:t>
      </w:r>
      <w:r w:rsidRPr="006F0EAD">
        <w:t>allow</w:t>
      </w:r>
      <w:r>
        <w:t>ed</w:t>
      </w:r>
      <w:r w:rsidRPr="006F0EAD">
        <w:t xml:space="preserve"> participation by fixed providers who rely on any technology, including satellite</w:t>
      </w:r>
      <w:r>
        <w:t>, that can meet the Stage 2 service requirements</w:t>
      </w:r>
      <w:r w:rsidRPr="006F0EAD">
        <w:t>.</w:t>
      </w:r>
      <w:r>
        <w:t xml:space="preserve"> </w:t>
      </w:r>
    </w:p>
    <w:p w:rsidR="007B294D" w:rsidP="00456306" w14:paraId="714F5367" w14:textId="00CE1011">
      <w:pPr>
        <w:pStyle w:val="Heading3"/>
      </w:pPr>
      <w:bookmarkStart w:id="500" w:name="_Toc30099824"/>
      <w:bookmarkStart w:id="501" w:name="_Toc31809541"/>
      <w:r>
        <w:t>Eligible Areas and Minimum G</w:t>
      </w:r>
      <w:r w:rsidRPr="009D446F">
        <w:t xml:space="preserve">eographic </w:t>
      </w:r>
      <w:r>
        <w:t>Area</w:t>
      </w:r>
      <w:bookmarkEnd w:id="500"/>
      <w:bookmarkEnd w:id="501"/>
    </w:p>
    <w:p w:rsidR="007B294D" w:rsidP="007B294D" w14:paraId="68428F2F" w14:textId="0ABF9C76">
      <w:pPr>
        <w:pStyle w:val="ParaNum"/>
        <w:widowControl/>
      </w:pPr>
      <w:r>
        <w:t>All areas of</w:t>
      </w:r>
      <w:r w:rsidRPr="6D69B3D8">
        <w:t xml:space="preserve"> </w:t>
      </w:r>
      <w:r w:rsidR="00A86866">
        <w:t>the</w:t>
      </w:r>
      <w:r w:rsidR="00C209E3">
        <w:t xml:space="preserve"> </w:t>
      </w:r>
      <w:r>
        <w:t>Territories</w:t>
      </w:r>
      <w:r w:rsidRPr="6D69B3D8">
        <w:t xml:space="preserve"> </w:t>
      </w:r>
      <w:r>
        <w:t xml:space="preserve">are </w:t>
      </w:r>
      <w:r w:rsidRPr="00CA7E28">
        <w:t xml:space="preserve">eligible </w:t>
      </w:r>
      <w:r>
        <w:t>for support.</w:t>
      </w:r>
      <w:r>
        <w:rPr>
          <w:rStyle w:val="FootnoteReference"/>
        </w:rPr>
        <w:footnoteReference w:id="36"/>
      </w:r>
      <w:r>
        <w:t xml:space="preserve">  </w:t>
      </w:r>
      <w:r w:rsidR="007E24D4">
        <w:t>As the Commission determined</w:t>
      </w:r>
      <w:r>
        <w:t xml:space="preserve"> in the </w:t>
      </w:r>
      <w:r>
        <w:rPr>
          <w:i/>
        </w:rPr>
        <w:t>PR-USVI Stage 2 Order</w:t>
      </w:r>
      <w:r>
        <w:t>,</w:t>
      </w:r>
      <w:r w:rsidRPr="00391C90">
        <w:t xml:space="preserve"> </w:t>
      </w:r>
      <w:r w:rsidR="00F478DB">
        <w:t>the Bureau</w:t>
      </w:r>
      <w:r>
        <w:t xml:space="preserve"> will </w:t>
      </w:r>
      <w:r w:rsidRPr="00391C90">
        <w:t xml:space="preserve">use </w:t>
      </w:r>
      <w:r>
        <w:t>the 78 municipios in Puerto Rico and create two areas in USVI</w:t>
      </w:r>
      <w:r w:rsidR="00FE45D8">
        <w:t>—</w:t>
      </w:r>
      <w:r w:rsidRPr="008F106F">
        <w:t>one</w:t>
      </w:r>
      <w:r>
        <w:t xml:space="preserve"> </w:t>
      </w:r>
      <w:r w:rsidRPr="008F106F">
        <w:t>that is composed of St. John and St. Thomas islands together and a second of just St. Croix island</w:t>
      </w:r>
      <w:r w:rsidR="00FE45D8">
        <w:t>—</w:t>
      </w:r>
      <w:r w:rsidRPr="00391C90">
        <w:t>as the geographic area</w:t>
      </w:r>
      <w:r w:rsidR="00FE45D8">
        <w:t>s for which applicants may request support</w:t>
      </w:r>
      <w:r w:rsidRPr="00391C90">
        <w:t xml:space="preserve"> in the </w:t>
      </w:r>
      <w:r>
        <w:t>competition</w:t>
      </w:r>
      <w:r w:rsidRPr="00391C90">
        <w:t>.</w:t>
      </w:r>
      <w:r>
        <w:rPr>
          <w:rStyle w:val="FootnoteReference"/>
        </w:rPr>
        <w:footnoteReference w:id="37"/>
      </w:r>
      <w:r w:rsidRPr="00391C90">
        <w:t xml:space="preserve">  </w:t>
      </w:r>
    </w:p>
    <w:p w:rsidR="007B294D" w:rsidRPr="00984069" w:rsidP="007B294D" w14:paraId="5C7BFCEE" w14:textId="4599A51C">
      <w:pPr>
        <w:pStyle w:val="ParaNum"/>
      </w:pPr>
      <w:r>
        <w:t>As directed by the Commission,</w:t>
      </w:r>
      <w:r>
        <w:rPr>
          <w:rStyle w:val="FootnoteReference"/>
        </w:rPr>
        <w:footnoteReference w:id="38"/>
      </w:r>
      <w:r>
        <w:t xml:space="preserve"> the Bureau released a public notice listing the number of locations for each geographic area for the Stage 2 Competition in </w:t>
      </w:r>
      <w:r w:rsidRPr="005B701A">
        <w:t>December 2019</w:t>
      </w:r>
      <w:r>
        <w:t xml:space="preserve"> based on the most recent census data (Reserve Price Notice).</w:t>
      </w:r>
      <w:r>
        <w:rPr>
          <w:rStyle w:val="FootnoteReference"/>
        </w:rPr>
        <w:footnoteReference w:id="39"/>
      </w:r>
      <w:r>
        <w:t xml:space="preserve">  The Reserve Price Notice identifies the geographic areas eligible for Stage 2 fixed funding, and lists the municipio </w:t>
      </w:r>
      <w:r w:rsidR="00FE45D8">
        <w:t xml:space="preserve">or island </w:t>
      </w:r>
      <w:r>
        <w:t>name, the number of locations in each area, and the reserve price.</w:t>
      </w:r>
      <w:r>
        <w:rPr>
          <w:rStyle w:val="FootnoteReference"/>
        </w:rPr>
        <w:footnoteReference w:id="40"/>
      </w:r>
      <w:r>
        <w:t xml:space="preserve">  </w:t>
      </w:r>
    </w:p>
    <w:p w:rsidR="00BE5CE5" w:rsidRPr="001C38D6" w:rsidP="00456306" w14:paraId="6C33CB80" w14:textId="6F4FC87B">
      <w:pPr>
        <w:pStyle w:val="ParaNum"/>
        <w:widowControl/>
        <w:rPr>
          <w:szCs w:val="22"/>
        </w:rPr>
      </w:pPr>
      <w:r>
        <w:t>Applicants must use the</w:t>
      </w:r>
      <w:r w:rsidRPr="00391C90">
        <w:t xml:space="preserve"> </w:t>
      </w:r>
      <w:r>
        <w:t>municipio</w:t>
      </w:r>
      <w:r w:rsidRPr="00391C90">
        <w:t xml:space="preserve"> as the minimum geographic area for</w:t>
      </w:r>
      <w:r>
        <w:t xml:space="preserve"> applying for Stage 2</w:t>
      </w:r>
      <w:r w:rsidRPr="00391C90">
        <w:t xml:space="preserve"> </w:t>
      </w:r>
      <w:r>
        <w:t>support</w:t>
      </w:r>
      <w:r w:rsidRPr="00391C90">
        <w:t xml:space="preserve"> </w:t>
      </w:r>
      <w:r>
        <w:t>in Puerto Rico.</w:t>
      </w:r>
      <w:r>
        <w:rPr>
          <w:rStyle w:val="FootnoteReference"/>
        </w:rPr>
        <w:footnoteReference w:id="41"/>
      </w:r>
      <w:r>
        <w:t xml:space="preserve">  An applicant may apply for up to 78 geographic areas in an application to compete for Stage 2 fixed support in Puerto Rico.  Applicants may apply for up to two geographic areas in an application to compete for Stage 2 support in the USVI.</w:t>
      </w:r>
    </w:p>
    <w:p w:rsidR="004A51A6" w:rsidRPr="006739A7" w:rsidP="004A51A6" w14:paraId="3399C437" w14:textId="77777777">
      <w:pPr>
        <w:pStyle w:val="Heading3"/>
      </w:pPr>
      <w:bookmarkStart w:id="502" w:name="_Toc491850202"/>
      <w:bookmarkStart w:id="503" w:name="_Toc491850952"/>
      <w:bookmarkStart w:id="504" w:name="_Toc491941533"/>
      <w:bookmarkStart w:id="505" w:name="_Toc492976111"/>
      <w:bookmarkStart w:id="506" w:name="_Toc493232322"/>
      <w:bookmarkStart w:id="507" w:name="_Toc493234428"/>
      <w:bookmarkStart w:id="508" w:name="_Toc493244344"/>
      <w:bookmarkStart w:id="509" w:name="_Toc493772302"/>
      <w:bookmarkStart w:id="510" w:name="_Toc493862868"/>
      <w:bookmarkStart w:id="511" w:name="_Toc495058464"/>
      <w:bookmarkStart w:id="512" w:name="_Toc495678653"/>
      <w:bookmarkStart w:id="513" w:name="_Toc496104436"/>
      <w:bookmarkStart w:id="514" w:name="_Toc496619174"/>
      <w:bookmarkStart w:id="515" w:name="_Toc496620217"/>
      <w:bookmarkStart w:id="516" w:name="_Toc496780713"/>
      <w:bookmarkStart w:id="517" w:name="_Toc496886203"/>
      <w:bookmarkStart w:id="518" w:name="_Toc496889441"/>
      <w:bookmarkStart w:id="519" w:name="_Toc497122418"/>
      <w:bookmarkStart w:id="520" w:name="_Toc497214520"/>
      <w:bookmarkStart w:id="521" w:name="_Toc497403644"/>
      <w:bookmarkStart w:id="522" w:name="_Toc497490952"/>
      <w:bookmarkStart w:id="523" w:name="_Toc497914406"/>
      <w:bookmarkStart w:id="524" w:name="_Toc498007878"/>
      <w:bookmarkStart w:id="525" w:name="_Toc498008591"/>
      <w:bookmarkStart w:id="526" w:name="_Toc498442203"/>
      <w:bookmarkStart w:id="527" w:name="_Toc498505803"/>
      <w:bookmarkStart w:id="528" w:name="_Toc498507756"/>
      <w:bookmarkStart w:id="529" w:name="_Toc498519832"/>
      <w:bookmarkStart w:id="530" w:name="_Toc498528004"/>
      <w:bookmarkStart w:id="531" w:name="_Toc499285967"/>
      <w:bookmarkStart w:id="532" w:name="_Toc499902607"/>
      <w:bookmarkStart w:id="533" w:name="_Toc500921877"/>
      <w:bookmarkStart w:id="534" w:name="_Toc501095420"/>
      <w:bookmarkStart w:id="535" w:name="_Toc501361482"/>
      <w:bookmarkStart w:id="536" w:name="_Toc501361690"/>
      <w:bookmarkStart w:id="537" w:name="_Toc502758391"/>
      <w:bookmarkStart w:id="538" w:name="_Toc502845803"/>
      <w:bookmarkStart w:id="539" w:name="_Toc502926738"/>
      <w:bookmarkStart w:id="540" w:name="_Toc502932133"/>
      <w:bookmarkStart w:id="541" w:name="_Toc504661012"/>
      <w:bookmarkStart w:id="542" w:name="_Toc504721803"/>
      <w:bookmarkStart w:id="543" w:name="_Toc505008739"/>
      <w:bookmarkStart w:id="544" w:name="_Toc505161667"/>
      <w:bookmarkStart w:id="545" w:name="_Toc22643889"/>
      <w:bookmarkStart w:id="546" w:name="_Toc30099825"/>
      <w:bookmarkStart w:id="547" w:name="_Toc22643886"/>
      <w:bookmarkStart w:id="548" w:name="_Toc31809542"/>
      <w:r>
        <w:t>Reserve Prices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8"/>
    </w:p>
    <w:p w:rsidR="004A51A6" w:rsidRPr="00C5075C" w:rsidP="00456306" w14:paraId="2D094800" w14:textId="45708F16">
      <w:pPr>
        <w:pStyle w:val="ParaNum"/>
        <w:widowControl/>
        <w:rPr>
          <w:szCs w:val="22"/>
        </w:rPr>
      </w:pPr>
      <w:r>
        <w:t>T</w:t>
      </w:r>
      <w:r w:rsidR="00C85009">
        <w:t xml:space="preserve">he Bureau released the reserve prices for the Territories </w:t>
      </w:r>
      <w:r w:rsidRPr="00456306" w:rsidR="00C85009">
        <w:t>on December 19, 2019.</w:t>
      </w:r>
      <w:r>
        <w:rPr>
          <w:rStyle w:val="FootnoteReference"/>
        </w:rPr>
        <w:footnoteReference w:id="42"/>
      </w:r>
      <w:r w:rsidRPr="00456306" w:rsidR="00C85009">
        <w:t xml:space="preserve">  </w:t>
      </w:r>
      <w:r w:rsidRPr="00456306" w:rsidR="00D67076">
        <w:t>T</w:t>
      </w:r>
      <w:r w:rsidRPr="00456306" w:rsidR="00C5075C">
        <w:t>he</w:t>
      </w:r>
      <w:r w:rsidR="00C5075C">
        <w:t xml:space="preserve"> Bureau </w:t>
      </w:r>
      <w:r w:rsidR="00AF3A07">
        <w:t xml:space="preserve">applied </w:t>
      </w:r>
      <w:r w:rsidR="00AF3A07">
        <w:rPr>
          <w:iCs/>
        </w:rPr>
        <w:t>the</w:t>
      </w:r>
      <w:r w:rsidRPr="00D91B07">
        <w:t xml:space="preserve"> three-step process</w:t>
      </w:r>
      <w:r w:rsidR="00D67076">
        <w:t xml:space="preserve"> adopted by the Commission</w:t>
      </w:r>
      <w:r w:rsidR="00AF3A07">
        <w:t xml:space="preserve"> </w:t>
      </w:r>
      <w:r w:rsidRPr="00D91B07">
        <w:t xml:space="preserve">to determine the reserve price </w:t>
      </w:r>
      <w:r>
        <w:t>for each minimum geographic area.</w:t>
      </w:r>
      <w:r w:rsidRPr="00AF3A07" w:rsidR="00AF3A07">
        <w:rPr>
          <w:rStyle w:val="FootnoteReference"/>
        </w:rPr>
        <w:t xml:space="preserve"> </w:t>
      </w:r>
      <w:r>
        <w:rPr>
          <w:rStyle w:val="FootnoteReference"/>
        </w:rPr>
        <w:footnoteReference w:id="43"/>
      </w:r>
      <w:r>
        <w:t xml:space="preserve">  F</w:t>
      </w:r>
      <w:r w:rsidRPr="0025577E">
        <w:t xml:space="preserve">irst, </w:t>
      </w:r>
      <w:r w:rsidR="00D67076">
        <w:t xml:space="preserve">we </w:t>
      </w:r>
      <w:r w:rsidRPr="0025577E">
        <w:t>employ</w:t>
      </w:r>
      <w:r w:rsidR="00D67076">
        <w:t>ed</w:t>
      </w:r>
      <w:r w:rsidRPr="0025577E">
        <w:t xml:space="preserve"> the </w:t>
      </w:r>
      <w:r>
        <w:t xml:space="preserve">Connect America Model (CAM) </w:t>
      </w:r>
      <w:r w:rsidRPr="0025577E">
        <w:t xml:space="preserve">to calculate the average cost per location </w:t>
      </w:r>
      <w:r>
        <w:t>for</w:t>
      </w:r>
      <w:r w:rsidRPr="0025577E">
        <w:t xml:space="preserve"> all locations in a census block.</w:t>
      </w:r>
      <w:r>
        <w:t xml:space="preserve">  Second, </w:t>
      </w:r>
      <w:r w:rsidR="00D67076">
        <w:t xml:space="preserve">we </w:t>
      </w:r>
      <w:r>
        <w:t>appl</w:t>
      </w:r>
      <w:r w:rsidR="00D67076">
        <w:t>ied</w:t>
      </w:r>
      <w:r>
        <w:t xml:space="preserve"> the full amount of the budgets for Puerto Rico and for the U.S. Virgin Islands to create territory-specific high-cost thresholds and to ensure the entire budget is available over the 10-year term.  Third, </w:t>
      </w:r>
      <w:r w:rsidR="00D67076">
        <w:t xml:space="preserve">we </w:t>
      </w:r>
      <w:r w:rsidRPr="0025577E">
        <w:t>establish</w:t>
      </w:r>
      <w:r w:rsidR="00D67076">
        <w:t>ed</w:t>
      </w:r>
      <w:r w:rsidRPr="0025577E">
        <w:t xml:space="preserve"> a reserve price</w:t>
      </w:r>
      <w:r>
        <w:t xml:space="preserve"> </w:t>
      </w:r>
      <w:r w:rsidRPr="0025577E">
        <w:t xml:space="preserve">for each </w:t>
      </w:r>
      <w:r>
        <w:t>geographic area</w:t>
      </w:r>
      <w:r w:rsidRPr="0025577E">
        <w:t xml:space="preserve"> </w:t>
      </w:r>
      <w:r>
        <w:t>in proportion to</w:t>
      </w:r>
      <w:r w:rsidRPr="0025577E">
        <w:t xml:space="preserve"> the</w:t>
      </w:r>
      <w:r>
        <w:t xml:space="preserve"> support</w:t>
      </w:r>
      <w:r w:rsidRPr="0025577E">
        <w:t xml:space="preserve"> amounts calculated for each census block </w:t>
      </w:r>
      <w:r>
        <w:t>with</w:t>
      </w:r>
      <w:r w:rsidRPr="0025577E">
        <w:t xml:space="preserve">in that </w:t>
      </w:r>
      <w:r>
        <w:t>area.</w:t>
      </w:r>
      <w:r w:rsidR="00C5075C">
        <w:t xml:space="preserve">  </w:t>
      </w:r>
      <w:r w:rsidR="00D67076">
        <w:t>The</w:t>
      </w:r>
      <w:r w:rsidR="00C5075C">
        <w:t xml:space="preserve"> </w:t>
      </w:r>
      <w:r w:rsidR="00123790">
        <w:t>reserve price</w:t>
      </w:r>
      <w:r w:rsidR="00F33B4A">
        <w:t>s are $25.58</w:t>
      </w:r>
      <w:r w:rsidR="00123790">
        <w:t xml:space="preserve"> </w:t>
      </w:r>
      <w:r w:rsidR="004B494D">
        <w:t xml:space="preserve">per </w:t>
      </w:r>
      <w:r w:rsidR="00DA114A">
        <w:t xml:space="preserve">location per month </w:t>
      </w:r>
      <w:r w:rsidR="00C5075C">
        <w:t>for Puerto Rico and</w:t>
      </w:r>
      <w:r w:rsidR="00C80C55">
        <w:t>$23</w:t>
      </w:r>
      <w:r w:rsidR="00F33B4A">
        <w:t xml:space="preserve">.34 </w:t>
      </w:r>
      <w:r w:rsidR="00DA114A">
        <w:t xml:space="preserve">per location per month </w:t>
      </w:r>
      <w:r w:rsidR="00C5075C">
        <w:t>for USVI.</w:t>
      </w:r>
      <w:r>
        <w:rPr>
          <w:rStyle w:val="FootnoteReference"/>
        </w:rPr>
        <w:footnoteReference w:id="44"/>
      </w:r>
    </w:p>
    <w:p w:rsidR="00676A10" w:rsidP="00676A10" w14:paraId="757A3B22" w14:textId="66E50ADA">
      <w:pPr>
        <w:pStyle w:val="Heading3"/>
      </w:pPr>
      <w:bookmarkStart w:id="549" w:name="_Toc30099826"/>
      <w:bookmarkStart w:id="550" w:name="_Toc31809543"/>
      <w:r>
        <w:t>Competition Delay</w:t>
      </w:r>
      <w:r w:rsidR="00E000B3">
        <w:t xml:space="preserve"> or</w:t>
      </w:r>
      <w:r w:rsidR="005950B3">
        <w:t xml:space="preserve"> </w:t>
      </w:r>
      <w:r>
        <w:t>Suspension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47"/>
      <w:bookmarkEnd w:id="549"/>
      <w:bookmarkEnd w:id="550"/>
    </w:p>
    <w:p w:rsidR="00676A10" w:rsidP="00676A10" w14:paraId="48DB8FB8" w14:textId="0A2E067A">
      <w:pPr>
        <w:pStyle w:val="ParaNum"/>
      </w:pPr>
      <w:r>
        <w:rPr>
          <w:szCs w:val="22"/>
        </w:rPr>
        <w:t>The Bureau may, by announcement,</w:t>
      </w:r>
      <w:r>
        <w:rPr>
          <w:szCs w:val="22"/>
        </w:rPr>
        <w:t xml:space="preserve"> delay</w:t>
      </w:r>
      <w:r>
        <w:rPr>
          <w:szCs w:val="22"/>
        </w:rPr>
        <w:t xml:space="preserve"> or</w:t>
      </w:r>
      <w:r>
        <w:rPr>
          <w:szCs w:val="22"/>
        </w:rPr>
        <w:t xml:space="preserve"> suspend</w:t>
      </w:r>
      <w:r>
        <w:rPr>
          <w:szCs w:val="22"/>
        </w:rPr>
        <w:t xml:space="preserve"> the competition</w:t>
      </w:r>
      <w:r>
        <w:rPr>
          <w:szCs w:val="22"/>
        </w:rPr>
        <w:t xml:space="preserve"> in the event of </w:t>
      </w:r>
      <w:r w:rsidRPr="00C60499">
        <w:t xml:space="preserve">natural disaster, technical obstacle, network disruption, evidence of an </w:t>
      </w:r>
      <w:r>
        <w:t>competition</w:t>
      </w:r>
      <w:r w:rsidRPr="00C60499">
        <w:t xml:space="preserve"> security breach or unlawful </w:t>
      </w:r>
      <w:r>
        <w:t>appl</w:t>
      </w:r>
      <w:r w:rsidR="00B06AE1">
        <w:t>ication</w:t>
      </w:r>
      <w:r w:rsidRPr="00C60499">
        <w:t xml:space="preserve"> activity, administrative or weather necessity, or for any other reason that affects the fair and efficient conduct of the competitive </w:t>
      </w:r>
      <w:r w:rsidR="00F26274">
        <w:t>proposal process</w:t>
      </w:r>
      <w:r>
        <w:rPr>
          <w:szCs w:val="22"/>
        </w:rPr>
        <w:t>.</w:t>
      </w:r>
      <w:r>
        <w:rPr>
          <w:rStyle w:val="FootnoteReference"/>
          <w:szCs w:val="22"/>
        </w:rPr>
        <w:footnoteReference w:id="45"/>
      </w:r>
      <w:r>
        <w:rPr>
          <w:szCs w:val="22"/>
        </w:rPr>
        <w:t xml:space="preserve">  In such cases, the Bureau</w:t>
      </w:r>
      <w:r w:rsidR="0051037E">
        <w:rPr>
          <w:szCs w:val="22"/>
        </w:rPr>
        <w:t xml:space="preserve"> will</w:t>
      </w:r>
      <w:r>
        <w:rPr>
          <w:szCs w:val="22"/>
        </w:rPr>
        <w:t xml:space="preserve"> resume the competition starting from the point at which the competition was suspended.  </w:t>
      </w:r>
    </w:p>
    <w:p w:rsidR="00676A10" w:rsidP="00701932" w14:paraId="4BCCFD2C" w14:textId="77777777">
      <w:pPr>
        <w:pStyle w:val="Heading2"/>
      </w:pPr>
      <w:bookmarkStart w:id="551" w:name="_Toc30099827"/>
      <w:bookmarkStart w:id="552" w:name="_Toc491262607"/>
      <w:bookmarkStart w:id="553" w:name="_Toc491263171"/>
      <w:bookmarkStart w:id="554" w:name="_Toc491676707"/>
      <w:bookmarkStart w:id="555" w:name="_Toc491677526"/>
      <w:bookmarkStart w:id="556" w:name="_Toc491697212"/>
      <w:bookmarkStart w:id="557" w:name="_Toc491765047"/>
      <w:bookmarkStart w:id="558" w:name="_Toc491765635"/>
      <w:bookmarkStart w:id="559" w:name="_Toc491786371"/>
      <w:bookmarkStart w:id="560" w:name="_Toc491789575"/>
      <w:bookmarkStart w:id="561" w:name="_Toc491849748"/>
      <w:bookmarkStart w:id="562" w:name="_Toc491850200"/>
      <w:bookmarkStart w:id="563" w:name="_Toc491850950"/>
      <w:bookmarkStart w:id="564" w:name="_Toc491941531"/>
      <w:bookmarkStart w:id="565" w:name="_Toc492976109"/>
      <w:bookmarkStart w:id="566" w:name="_Toc493232320"/>
      <w:bookmarkStart w:id="567" w:name="_Toc493234426"/>
      <w:bookmarkStart w:id="568" w:name="_Toc493244342"/>
      <w:bookmarkStart w:id="569" w:name="_Toc493772300"/>
      <w:bookmarkStart w:id="570" w:name="_Toc493862866"/>
      <w:bookmarkStart w:id="571" w:name="_Toc495058462"/>
      <w:bookmarkStart w:id="572" w:name="_Toc495678651"/>
      <w:bookmarkStart w:id="573" w:name="_Toc496104434"/>
      <w:bookmarkStart w:id="574" w:name="_Toc496619172"/>
      <w:bookmarkStart w:id="575" w:name="_Toc496620215"/>
      <w:bookmarkStart w:id="576" w:name="_Toc496780711"/>
      <w:bookmarkStart w:id="577" w:name="_Toc496886201"/>
      <w:bookmarkStart w:id="578" w:name="_Toc496889439"/>
      <w:bookmarkStart w:id="579" w:name="_Toc497122416"/>
      <w:bookmarkStart w:id="580" w:name="_Toc497214518"/>
      <w:bookmarkStart w:id="581" w:name="_Toc497403642"/>
      <w:bookmarkStart w:id="582" w:name="_Toc497490950"/>
      <w:bookmarkStart w:id="583" w:name="_Toc497914404"/>
      <w:bookmarkStart w:id="584" w:name="_Toc498007876"/>
      <w:bookmarkStart w:id="585" w:name="_Toc498008589"/>
      <w:bookmarkStart w:id="586" w:name="_Toc498442201"/>
      <w:bookmarkStart w:id="587" w:name="_Toc498505801"/>
      <w:bookmarkStart w:id="588" w:name="_Toc498507754"/>
      <w:bookmarkStart w:id="589" w:name="_Toc498519830"/>
      <w:bookmarkStart w:id="590" w:name="_Toc498528002"/>
      <w:bookmarkStart w:id="591" w:name="_Toc499285965"/>
      <w:bookmarkStart w:id="592" w:name="_Toc499794172"/>
      <w:bookmarkStart w:id="593" w:name="_Toc499902605"/>
      <w:bookmarkStart w:id="594" w:name="_Toc500921875"/>
      <w:bookmarkStart w:id="595" w:name="_Toc501095418"/>
      <w:bookmarkStart w:id="596" w:name="_Toc501361480"/>
      <w:bookmarkStart w:id="597" w:name="_Toc501361688"/>
      <w:bookmarkStart w:id="598" w:name="_Toc502758389"/>
      <w:bookmarkStart w:id="599" w:name="_Toc502845801"/>
      <w:bookmarkStart w:id="600" w:name="_Toc502926736"/>
      <w:bookmarkStart w:id="601" w:name="_Toc502932131"/>
      <w:bookmarkStart w:id="602" w:name="_Toc504661010"/>
      <w:bookmarkStart w:id="603" w:name="_Toc504721801"/>
      <w:bookmarkStart w:id="604" w:name="_Toc505008737"/>
      <w:bookmarkStart w:id="605" w:name="_Toc505161665"/>
      <w:bookmarkStart w:id="606" w:name="_Toc22643887"/>
      <w:bookmarkStart w:id="607" w:name="_Toc31809544"/>
      <w:r>
        <w:t>Application Procedures</w:t>
      </w:r>
      <w:bookmarkEnd w:id="551"/>
      <w:bookmarkEnd w:id="607"/>
    </w:p>
    <w:p w:rsidR="004A51A6" w:rsidRPr="009D446F" w:rsidP="004A51A6" w14:paraId="2D503C0D" w14:textId="77777777">
      <w:pPr>
        <w:pStyle w:val="Heading3"/>
      </w:pPr>
      <w:bookmarkStart w:id="608" w:name="_Toc491789577"/>
      <w:bookmarkStart w:id="609" w:name="_Toc491849750"/>
      <w:bookmarkStart w:id="610" w:name="_Toc491850201"/>
      <w:bookmarkStart w:id="611" w:name="_Toc491850951"/>
      <w:bookmarkStart w:id="612" w:name="_Toc491941532"/>
      <w:bookmarkStart w:id="613" w:name="_Toc492976110"/>
      <w:bookmarkStart w:id="614" w:name="_Toc493232321"/>
      <w:bookmarkStart w:id="615" w:name="_Toc493234427"/>
      <w:bookmarkStart w:id="616" w:name="_Toc493244343"/>
      <w:bookmarkStart w:id="617" w:name="_Toc493772301"/>
      <w:bookmarkStart w:id="618" w:name="_Toc493862867"/>
      <w:bookmarkStart w:id="619" w:name="_Toc495058463"/>
      <w:bookmarkStart w:id="620" w:name="_Toc495678652"/>
      <w:bookmarkStart w:id="621" w:name="_Toc496104435"/>
      <w:bookmarkStart w:id="622" w:name="_Toc496619173"/>
      <w:bookmarkStart w:id="623" w:name="_Toc496620216"/>
      <w:bookmarkStart w:id="624" w:name="_Toc496780712"/>
      <w:bookmarkStart w:id="625" w:name="_Toc496886202"/>
      <w:bookmarkStart w:id="626" w:name="_Toc496889440"/>
      <w:bookmarkStart w:id="627" w:name="_Toc497122417"/>
      <w:bookmarkStart w:id="628" w:name="_Toc497214519"/>
      <w:bookmarkStart w:id="629" w:name="_Toc497403643"/>
      <w:bookmarkStart w:id="630" w:name="_Toc497490951"/>
      <w:bookmarkStart w:id="631" w:name="_Toc497914405"/>
      <w:bookmarkStart w:id="632" w:name="_Toc498007877"/>
      <w:bookmarkStart w:id="633" w:name="_Toc498008590"/>
      <w:bookmarkStart w:id="634" w:name="_Toc498442202"/>
      <w:bookmarkStart w:id="635" w:name="_Toc498505802"/>
      <w:bookmarkStart w:id="636" w:name="_Toc498507755"/>
      <w:bookmarkStart w:id="637" w:name="_Toc498519831"/>
      <w:bookmarkStart w:id="638" w:name="_Toc498528003"/>
      <w:bookmarkStart w:id="639" w:name="_Toc499285966"/>
      <w:bookmarkStart w:id="640" w:name="_Toc499794173"/>
      <w:bookmarkStart w:id="641" w:name="_Toc499902606"/>
      <w:bookmarkStart w:id="642" w:name="_Toc500921876"/>
      <w:bookmarkStart w:id="643" w:name="_Toc501095419"/>
      <w:bookmarkStart w:id="644" w:name="_Toc501361481"/>
      <w:bookmarkStart w:id="645" w:name="_Toc501361689"/>
      <w:bookmarkStart w:id="646" w:name="_Toc502758390"/>
      <w:bookmarkStart w:id="647" w:name="_Toc502845802"/>
      <w:bookmarkStart w:id="648" w:name="_Toc502926737"/>
      <w:bookmarkStart w:id="649" w:name="_Toc502932132"/>
      <w:bookmarkStart w:id="650" w:name="_Toc504661011"/>
      <w:bookmarkStart w:id="651" w:name="_Toc504721802"/>
      <w:bookmarkStart w:id="652" w:name="_Toc505008738"/>
      <w:bookmarkStart w:id="653" w:name="_Toc505161666"/>
      <w:bookmarkStart w:id="654" w:name="_Toc22643888"/>
      <w:bookmarkStart w:id="655" w:name="_Toc30099828"/>
      <w:bookmarkStart w:id="656" w:name="_Toc491262608"/>
      <w:bookmarkStart w:id="657" w:name="_Toc491263172"/>
      <w:bookmarkStart w:id="658" w:name="_Toc491676708"/>
      <w:bookmarkStart w:id="659" w:name="_Toc491677527"/>
      <w:bookmarkStart w:id="660" w:name="_Toc491697213"/>
      <w:bookmarkStart w:id="661" w:name="_Toc491765048"/>
      <w:bookmarkStart w:id="662" w:name="_Toc491765636"/>
      <w:bookmarkStart w:id="663" w:name="_Toc491786372"/>
      <w:bookmarkStart w:id="664" w:name="_Toc491789576"/>
      <w:bookmarkStart w:id="665" w:name="_Toc491849749"/>
      <w:bookmarkStart w:id="666" w:name="_Toc31809545"/>
      <w:r>
        <w:t>Application Overview</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66"/>
    </w:p>
    <w:p w:rsidR="004A51A6" w:rsidRPr="009B0831" w:rsidP="004A51A6" w14:paraId="7A1C847A" w14:textId="12C029F9">
      <w:pPr>
        <w:pStyle w:val="ParaNum"/>
        <w:widowControl/>
        <w:rPr>
          <w:szCs w:val="22"/>
        </w:rPr>
      </w:pPr>
      <w:r>
        <w:t>The Stage 2 Competition will establish the amount of support that each winning applicant will be eligible to receive over the 10-year term.</w:t>
      </w:r>
      <w:r>
        <w:rPr>
          <w:rStyle w:val="FootnoteReference"/>
        </w:rPr>
        <w:footnoteReference w:id="46"/>
      </w:r>
      <w:r w:rsidRPr="009D446F">
        <w:t xml:space="preserve">  </w:t>
      </w:r>
      <w:r>
        <w:t>An</w:t>
      </w:r>
      <w:r w:rsidRPr="009D446F">
        <w:rPr>
          <w:szCs w:val="22"/>
        </w:rPr>
        <w:t xml:space="preserve"> </w:t>
      </w:r>
      <w:r>
        <w:rPr>
          <w:szCs w:val="22"/>
        </w:rPr>
        <w:t>applicant</w:t>
      </w:r>
      <w:r w:rsidRPr="009D446F">
        <w:rPr>
          <w:szCs w:val="22"/>
        </w:rPr>
        <w:t xml:space="preserve"> can submit</w:t>
      </w:r>
      <w:r w:rsidR="00DB3C03">
        <w:rPr>
          <w:szCs w:val="22"/>
        </w:rPr>
        <w:t xml:space="preserve"> an application that includes</w:t>
      </w:r>
      <w:r w:rsidR="00CD6936">
        <w:rPr>
          <w:szCs w:val="22"/>
        </w:rPr>
        <w:t xml:space="preserve"> </w:t>
      </w:r>
      <w:r w:rsidR="006E000A">
        <w:rPr>
          <w:szCs w:val="22"/>
        </w:rPr>
        <w:t>a proposal</w:t>
      </w:r>
      <w:r w:rsidRPr="009D446F">
        <w:rPr>
          <w:szCs w:val="22"/>
        </w:rPr>
        <w:t xml:space="preserve"> for</w:t>
      </w:r>
      <w:r w:rsidR="00A2554B">
        <w:rPr>
          <w:szCs w:val="22"/>
        </w:rPr>
        <w:t xml:space="preserve"> </w:t>
      </w:r>
      <w:r w:rsidR="003F1BF3">
        <w:rPr>
          <w:szCs w:val="22"/>
        </w:rPr>
        <w:t xml:space="preserve">each </w:t>
      </w:r>
      <w:r>
        <w:rPr>
          <w:szCs w:val="22"/>
        </w:rPr>
        <w:t xml:space="preserve">geographic </w:t>
      </w:r>
      <w:r w:rsidRPr="009D446F">
        <w:rPr>
          <w:szCs w:val="22"/>
        </w:rPr>
        <w:t>area</w:t>
      </w:r>
      <w:r w:rsidR="00A2554B">
        <w:rPr>
          <w:szCs w:val="22"/>
        </w:rPr>
        <w:t xml:space="preserve"> </w:t>
      </w:r>
      <w:r w:rsidR="007F7FCB">
        <w:rPr>
          <w:szCs w:val="22"/>
        </w:rPr>
        <w:t xml:space="preserve">for which </w:t>
      </w:r>
      <w:r w:rsidR="00A2554B">
        <w:rPr>
          <w:szCs w:val="22"/>
        </w:rPr>
        <w:t>it seek</w:t>
      </w:r>
      <w:r w:rsidR="007F7FCB">
        <w:rPr>
          <w:szCs w:val="22"/>
        </w:rPr>
        <w:t>s</w:t>
      </w:r>
      <w:r w:rsidR="00A2554B">
        <w:rPr>
          <w:szCs w:val="22"/>
        </w:rPr>
        <w:t xml:space="preserve"> support</w:t>
      </w:r>
      <w:r w:rsidR="00CC50A9">
        <w:rPr>
          <w:szCs w:val="22"/>
        </w:rPr>
        <w:t>.  The price proposed for each geographic area</w:t>
      </w:r>
      <w:r w:rsidR="00D52E6C">
        <w:rPr>
          <w:szCs w:val="22"/>
        </w:rPr>
        <w:t xml:space="preserve"> repre</w:t>
      </w:r>
      <w:r w:rsidR="00456A7F">
        <w:rPr>
          <w:szCs w:val="22"/>
        </w:rPr>
        <w:t xml:space="preserve">sents the amount of support the applicant is willing to receive </w:t>
      </w:r>
      <w:r w:rsidR="005A26BE">
        <w:rPr>
          <w:szCs w:val="22"/>
        </w:rPr>
        <w:t xml:space="preserve">per location per month </w:t>
      </w:r>
      <w:r w:rsidR="00494B51">
        <w:rPr>
          <w:szCs w:val="22"/>
        </w:rPr>
        <w:t>in a geographic area</w:t>
      </w:r>
      <w:r w:rsidR="00244D47">
        <w:rPr>
          <w:szCs w:val="22"/>
        </w:rPr>
        <w:t xml:space="preserve"> (Proposal Price)</w:t>
      </w:r>
      <w:r w:rsidR="00494B51">
        <w:rPr>
          <w:szCs w:val="22"/>
        </w:rPr>
        <w:t>.  The</w:t>
      </w:r>
      <w:r w:rsidR="00244D47">
        <w:rPr>
          <w:szCs w:val="22"/>
        </w:rPr>
        <w:t xml:space="preserve"> Proposal Price will </w:t>
      </w:r>
      <w:r w:rsidR="00F35931">
        <w:rPr>
          <w:szCs w:val="22"/>
        </w:rPr>
        <w:t xml:space="preserve">apply to all locations within </w:t>
      </w:r>
      <w:r w:rsidR="004C0ABE">
        <w:rPr>
          <w:szCs w:val="22"/>
        </w:rPr>
        <w:t>a geographic area for which the applicant is seeking support.  The Prop</w:t>
      </w:r>
      <w:r w:rsidR="00954B4A">
        <w:rPr>
          <w:szCs w:val="22"/>
        </w:rPr>
        <w:t>o</w:t>
      </w:r>
      <w:r w:rsidR="004C0ABE">
        <w:rPr>
          <w:szCs w:val="22"/>
        </w:rPr>
        <w:t>sal Price</w:t>
      </w:r>
      <w:r w:rsidR="00CC50A9">
        <w:rPr>
          <w:szCs w:val="22"/>
        </w:rPr>
        <w:t xml:space="preserve"> must be</w:t>
      </w:r>
      <w:r>
        <w:rPr>
          <w:szCs w:val="22"/>
        </w:rPr>
        <w:t xml:space="preserve"> </w:t>
      </w:r>
      <w:r w:rsidRPr="009D446F">
        <w:rPr>
          <w:szCs w:val="22"/>
        </w:rPr>
        <w:t xml:space="preserve">at </w:t>
      </w:r>
      <w:r w:rsidR="0019318F">
        <w:rPr>
          <w:szCs w:val="22"/>
        </w:rPr>
        <w:t xml:space="preserve">a price that is equal to or </w:t>
      </w:r>
      <w:r>
        <w:rPr>
          <w:szCs w:val="22"/>
        </w:rPr>
        <w:t>less tha</w:t>
      </w:r>
      <w:r w:rsidR="0019318F">
        <w:rPr>
          <w:szCs w:val="22"/>
        </w:rPr>
        <w:t>n</w:t>
      </w:r>
      <w:r>
        <w:rPr>
          <w:szCs w:val="22"/>
        </w:rPr>
        <w:t xml:space="preserve"> the reserve price</w:t>
      </w:r>
      <w:r w:rsidR="00A42738">
        <w:rPr>
          <w:szCs w:val="22"/>
        </w:rPr>
        <w:t xml:space="preserve"> established by the Bureau</w:t>
      </w:r>
      <w:r w:rsidRPr="009D446F">
        <w:rPr>
          <w:szCs w:val="22"/>
        </w:rPr>
        <w:t xml:space="preserve">. </w:t>
      </w:r>
      <w:r w:rsidR="00523F75">
        <w:rPr>
          <w:szCs w:val="22"/>
        </w:rPr>
        <w:t xml:space="preserve"> A</w:t>
      </w:r>
      <w:r w:rsidR="000B7F0B">
        <w:rPr>
          <w:szCs w:val="22"/>
        </w:rPr>
        <w:t>n applicant may submit a different</w:t>
      </w:r>
      <w:r w:rsidR="00523F75">
        <w:rPr>
          <w:szCs w:val="22"/>
        </w:rPr>
        <w:t xml:space="preserve"> Proposal Price for</w:t>
      </w:r>
      <w:r w:rsidR="000B7F0B">
        <w:rPr>
          <w:szCs w:val="22"/>
        </w:rPr>
        <w:t xml:space="preserve"> each geographic area it proposes to serve</w:t>
      </w:r>
      <w:r w:rsidR="004A6A52">
        <w:rPr>
          <w:szCs w:val="22"/>
        </w:rPr>
        <w:t xml:space="preserve"> in the territory.</w:t>
      </w:r>
      <w:r w:rsidR="00523F75">
        <w:rPr>
          <w:szCs w:val="22"/>
        </w:rPr>
        <w:t xml:space="preserve"> </w:t>
      </w:r>
      <w:r>
        <w:rPr>
          <w:szCs w:val="22"/>
        </w:rPr>
        <w:t xml:space="preserve"> Each application</w:t>
      </w:r>
      <w:r w:rsidRPr="009D446F">
        <w:rPr>
          <w:szCs w:val="22"/>
        </w:rPr>
        <w:t xml:space="preserve"> </w:t>
      </w:r>
      <w:r>
        <w:rPr>
          <w:szCs w:val="22"/>
        </w:rPr>
        <w:t>represents an irrevocable offer to meet the terms of the application if it becomes a winning application.  That is, an application</w:t>
      </w:r>
      <w:r w:rsidRPr="009D446F">
        <w:rPr>
          <w:szCs w:val="22"/>
        </w:rPr>
        <w:t xml:space="preserve"> indicates that the </w:t>
      </w:r>
      <w:r>
        <w:rPr>
          <w:szCs w:val="22"/>
        </w:rPr>
        <w:t>applicant, if selected,</w:t>
      </w:r>
      <w:r w:rsidRPr="009D446F">
        <w:rPr>
          <w:szCs w:val="22"/>
        </w:rPr>
        <w:t xml:space="preserve"> </w:t>
      </w:r>
      <w:r>
        <w:rPr>
          <w:szCs w:val="22"/>
        </w:rPr>
        <w:t>commits to</w:t>
      </w:r>
      <w:r w:rsidRPr="009D446F">
        <w:rPr>
          <w:szCs w:val="22"/>
        </w:rPr>
        <w:t xml:space="preserve"> provide service to </w:t>
      </w:r>
      <w:r>
        <w:rPr>
          <w:szCs w:val="22"/>
        </w:rPr>
        <w:t>all</w:t>
      </w:r>
      <w:r w:rsidRPr="009D446F">
        <w:rPr>
          <w:szCs w:val="22"/>
        </w:rPr>
        <w:t xml:space="preserve"> </w:t>
      </w:r>
      <w:r>
        <w:rPr>
          <w:szCs w:val="22"/>
        </w:rPr>
        <w:t xml:space="preserve">locations in the minimum geographic </w:t>
      </w:r>
      <w:r w:rsidRPr="009D446F">
        <w:rPr>
          <w:szCs w:val="22"/>
        </w:rPr>
        <w:t>area</w:t>
      </w:r>
      <w:r w:rsidR="00771452">
        <w:rPr>
          <w:szCs w:val="22"/>
        </w:rPr>
        <w:t>(s)</w:t>
      </w:r>
      <w:r w:rsidR="006247F4">
        <w:rPr>
          <w:szCs w:val="22"/>
        </w:rPr>
        <w:t xml:space="preserve"> in which it is chosen as the winning applicant</w:t>
      </w:r>
      <w:r w:rsidRPr="009D446F">
        <w:rPr>
          <w:szCs w:val="22"/>
        </w:rPr>
        <w:t xml:space="preserve"> </w:t>
      </w:r>
      <w:r>
        <w:rPr>
          <w:szCs w:val="22"/>
        </w:rPr>
        <w:t xml:space="preserve">in accordance with its specified performance tier and latency requirements </w:t>
      </w:r>
      <w:r w:rsidRPr="009D446F">
        <w:rPr>
          <w:szCs w:val="22"/>
        </w:rPr>
        <w:t>in exchange for</w:t>
      </w:r>
      <w:r>
        <w:rPr>
          <w:szCs w:val="22"/>
        </w:rPr>
        <w:t xml:space="preserve"> Stage 2</w:t>
      </w:r>
      <w:r w:rsidRPr="009D446F">
        <w:rPr>
          <w:szCs w:val="22"/>
        </w:rPr>
        <w:t xml:space="preserve"> support</w:t>
      </w:r>
      <w:r>
        <w:rPr>
          <w:szCs w:val="22"/>
        </w:rPr>
        <w:t>.</w:t>
      </w:r>
      <w:r w:rsidRPr="009D446F">
        <w:rPr>
          <w:szCs w:val="22"/>
        </w:rPr>
        <w:t xml:space="preserve">  </w:t>
      </w:r>
      <w:r>
        <w:t>An authorized w</w:t>
      </w:r>
      <w:r w:rsidRPr="00AE25BB">
        <w:t xml:space="preserve">inning </w:t>
      </w:r>
      <w:r>
        <w:t>applicant</w:t>
      </w:r>
      <w:r w:rsidRPr="00AE25BB">
        <w:t xml:space="preserve"> </w:t>
      </w:r>
      <w:r>
        <w:t>will</w:t>
      </w:r>
      <w:r w:rsidRPr="00AE25BB">
        <w:t xml:space="preserve"> receive support in amounts corresponding to the</w:t>
      </w:r>
      <w:r>
        <w:t xml:space="preserve"> </w:t>
      </w:r>
      <w:r w:rsidR="006247F4">
        <w:t>Proposal Price</w:t>
      </w:r>
      <w:r w:rsidR="00F86E67">
        <w:t xml:space="preserve"> for each geographic area </w:t>
      </w:r>
      <w:r w:rsidR="006C7BEF">
        <w:t>in which it is the winning applicant.</w:t>
      </w:r>
    </w:p>
    <w:p w:rsidR="004A51A6" w:rsidRPr="002A5D48" w:rsidP="00620DAF" w14:paraId="331340A5" w14:textId="5D5A928C">
      <w:pPr>
        <w:pStyle w:val="ParaNum"/>
        <w:widowControl/>
      </w:pPr>
      <w:r w:rsidRPr="002A12BA">
        <w:rPr>
          <w:szCs w:val="22"/>
        </w:rPr>
        <w:t xml:space="preserve">The </w:t>
      </w:r>
      <w:r>
        <w:rPr>
          <w:szCs w:val="22"/>
        </w:rPr>
        <w:t>application and scoring</w:t>
      </w:r>
      <w:r w:rsidRPr="002A12BA">
        <w:rPr>
          <w:szCs w:val="22"/>
        </w:rPr>
        <w:t xml:space="preserve"> procedures </w:t>
      </w:r>
      <w:r>
        <w:rPr>
          <w:szCs w:val="22"/>
        </w:rPr>
        <w:t xml:space="preserve">described herein </w:t>
      </w:r>
      <w:r w:rsidRPr="002A12BA">
        <w:rPr>
          <w:szCs w:val="22"/>
        </w:rPr>
        <w:t xml:space="preserve">implement the Commission’s decisions on </w:t>
      </w:r>
      <w:r>
        <w:rPr>
          <w:szCs w:val="22"/>
        </w:rPr>
        <w:t>the process for evaluating applications in the</w:t>
      </w:r>
      <w:r w:rsidRPr="002A12BA">
        <w:rPr>
          <w:szCs w:val="22"/>
        </w:rPr>
        <w:t xml:space="preserve"> </w:t>
      </w:r>
      <w:r>
        <w:rPr>
          <w:szCs w:val="22"/>
        </w:rPr>
        <w:t>Stage 2 Competition</w:t>
      </w:r>
      <w:r w:rsidRPr="002A12BA">
        <w:rPr>
          <w:szCs w:val="22"/>
        </w:rPr>
        <w:t>.</w:t>
      </w:r>
      <w:r>
        <w:rPr>
          <w:rStyle w:val="FootnoteReference"/>
          <w:szCs w:val="22"/>
        </w:rPr>
        <w:footnoteReference w:id="47"/>
      </w:r>
      <w:r w:rsidRPr="002A12BA">
        <w:rPr>
          <w:szCs w:val="22"/>
        </w:rPr>
        <w:t xml:space="preserve"> </w:t>
      </w:r>
      <w:r w:rsidR="00171973">
        <w:rPr>
          <w:szCs w:val="22"/>
        </w:rPr>
        <w:t xml:space="preserve"> </w:t>
      </w:r>
      <w:r>
        <w:rPr>
          <w:szCs w:val="22"/>
        </w:rPr>
        <w:t xml:space="preserve">  </w:t>
      </w:r>
    </w:p>
    <w:p w:rsidR="00676A10" w:rsidP="00676A10" w14:paraId="7734C673" w14:textId="68110FB0">
      <w:pPr>
        <w:pStyle w:val="Heading3"/>
      </w:pPr>
      <w:bookmarkStart w:id="667" w:name="_Toc30099829"/>
      <w:bookmarkStart w:id="668" w:name="_Toc31809546"/>
      <w:bookmarkEnd w:id="656"/>
      <w:bookmarkEnd w:id="657"/>
      <w:bookmarkEnd w:id="658"/>
      <w:bookmarkEnd w:id="659"/>
      <w:bookmarkEnd w:id="660"/>
      <w:bookmarkEnd w:id="661"/>
      <w:bookmarkEnd w:id="662"/>
      <w:bookmarkEnd w:id="663"/>
      <w:bookmarkEnd w:id="664"/>
      <w:bookmarkEnd w:id="665"/>
      <w:r>
        <w:t xml:space="preserve">Required </w:t>
      </w:r>
      <w:r w:rsidR="00834AAB">
        <w:t xml:space="preserve">Application </w:t>
      </w:r>
      <w:r>
        <w:t>Form</w:t>
      </w:r>
      <w:bookmarkEnd w:id="667"/>
      <w:bookmarkEnd w:id="668"/>
    </w:p>
    <w:p w:rsidR="00676A10" w:rsidP="00676A10" w14:paraId="718D4485" w14:textId="73275227">
      <w:pPr>
        <w:pStyle w:val="ParaNum"/>
      </w:pPr>
      <w:r>
        <w:t xml:space="preserve">An applicant must timely and properly file an </w:t>
      </w:r>
      <w:r w:rsidR="00834AAB">
        <w:t>Application</w:t>
      </w:r>
      <w:r>
        <w:t xml:space="preserve"> Form to be considered a participant in the Stage 2 Competition for support in the Territories.  This form can be accessed at </w:t>
      </w:r>
      <w:r w:rsidR="00004A61">
        <w:t>the FCC’s website</w:t>
      </w:r>
      <w:r>
        <w:t>.</w:t>
      </w:r>
    </w:p>
    <w:p w:rsidR="00676A10" w:rsidP="00676A10" w14:paraId="58CBE562" w14:textId="6F93C9E6">
      <w:pPr>
        <w:pStyle w:val="Heading3"/>
      </w:pPr>
      <w:bookmarkStart w:id="669" w:name="_Toc30099830"/>
      <w:bookmarkStart w:id="670" w:name="_Toc31809547"/>
      <w:r>
        <w:t>Application Submission</w:t>
      </w:r>
      <w:bookmarkEnd w:id="669"/>
      <w:bookmarkEnd w:id="670"/>
    </w:p>
    <w:p w:rsidR="00676A10" w:rsidP="00676A10" w14:paraId="212BC7B5" w14:textId="107BEADE">
      <w:pPr>
        <w:pStyle w:val="ParaNum"/>
        <w:rPr>
          <w:szCs w:val="22"/>
        </w:rPr>
      </w:pPr>
      <w:r>
        <w:rPr>
          <w:szCs w:val="22"/>
        </w:rPr>
        <w:t>An application to participate in the Stage 2 Competition will provide information used to determine whether the applicant has the legal, technical, and financial qualifications to participate in a Commission competition for universal service support.</w:t>
      </w:r>
      <w:r>
        <w:rPr>
          <w:rStyle w:val="FootnoteReference"/>
          <w:szCs w:val="22"/>
        </w:rPr>
        <w:footnoteReference w:id="48"/>
      </w:r>
      <w:r>
        <w:rPr>
          <w:szCs w:val="22"/>
        </w:rPr>
        <w:t xml:space="preserve">  An entity seeking to participate in the competition must file an application in which it certifies, under penalty of perjury, its qualifications.</w:t>
      </w:r>
      <w:r>
        <w:rPr>
          <w:rStyle w:val="FootnoteReference"/>
          <w:szCs w:val="22"/>
        </w:rPr>
        <w:footnoteReference w:id="49"/>
      </w:r>
      <w:r>
        <w:rPr>
          <w:szCs w:val="22"/>
        </w:rPr>
        <w:t xml:space="preserve">  Eligibility to participate in the Stage 2 Competition is based on an applicant’s submission of required information, </w:t>
      </w:r>
      <w:r w:rsidR="004D40EE">
        <w:rPr>
          <w:szCs w:val="22"/>
        </w:rPr>
        <w:t xml:space="preserve">Application </w:t>
      </w:r>
      <w:r>
        <w:rPr>
          <w:szCs w:val="22"/>
        </w:rPr>
        <w:t xml:space="preserve">Form and certifications.  A potential applicant must take seriously its duties and responsibilities and carefully determine before filing an application that it is able to meet the public interest obligations associated with Stage 2 support if it ultimately becomes a winning applicant in the competition.  </w:t>
      </w:r>
      <w:r w:rsidR="00F67715">
        <w:rPr>
          <w:szCs w:val="22"/>
        </w:rPr>
        <w:t>An applicant’s selection as a winning applicant does not guarantee that the applicant will also be deemed qualified to receive Stage 2 support.  Each winning applicant must file all required forms, information and certifications</w:t>
      </w:r>
      <w:r>
        <w:rPr>
          <w:szCs w:val="22"/>
        </w:rPr>
        <w:t xml:space="preserve">, which the </w:t>
      </w:r>
      <w:r w:rsidR="0051037E">
        <w:rPr>
          <w:szCs w:val="22"/>
        </w:rPr>
        <w:t xml:space="preserve">Bureau </w:t>
      </w:r>
      <w:r>
        <w:rPr>
          <w:szCs w:val="22"/>
        </w:rPr>
        <w:t>will review to determine if a winning applicant should be authorized to receive support for its winning applications.</w:t>
      </w:r>
    </w:p>
    <w:p w:rsidR="00676A10" w:rsidP="00676A10" w14:paraId="27991BD5" w14:textId="21B8E561">
      <w:pPr>
        <w:pStyle w:val="ParaNum"/>
        <w:rPr>
          <w:szCs w:val="22"/>
        </w:rPr>
      </w:pPr>
      <w:r>
        <w:rPr>
          <w:szCs w:val="22"/>
        </w:rPr>
        <w:t xml:space="preserve">An entity seeking to participate in </w:t>
      </w:r>
      <w:r w:rsidR="005125CB">
        <w:rPr>
          <w:szCs w:val="22"/>
        </w:rPr>
        <w:t xml:space="preserve">the </w:t>
      </w:r>
      <w:r>
        <w:rPr>
          <w:szCs w:val="22"/>
        </w:rPr>
        <w:t xml:space="preserve">Stage 2 Competition must file an application electronically via email at </w:t>
      </w:r>
      <w:r w:rsidRPr="00A66960" w:rsidR="003B62D9">
        <w:rPr>
          <w:szCs w:val="22"/>
        </w:rPr>
        <w:t>ConnectAmerica</w:t>
      </w:r>
      <w:r w:rsidRPr="00A66960">
        <w:rPr>
          <w:szCs w:val="22"/>
        </w:rPr>
        <w:t>@fcc.gov</w:t>
      </w:r>
      <w:r>
        <w:rPr>
          <w:szCs w:val="22"/>
        </w:rPr>
        <w:t xml:space="preserve"> </w:t>
      </w:r>
      <w:r w:rsidR="00073357">
        <w:rPr>
          <w:szCs w:val="22"/>
        </w:rPr>
        <w:t xml:space="preserve">by the deadline announced by </w:t>
      </w:r>
      <w:r w:rsidR="00801DFD">
        <w:rPr>
          <w:szCs w:val="22"/>
        </w:rPr>
        <w:t>the Bureau.</w:t>
      </w:r>
      <w:r>
        <w:rPr>
          <w:rStyle w:val="FootnoteReference"/>
          <w:szCs w:val="22"/>
        </w:rPr>
        <w:footnoteReference w:id="50"/>
      </w:r>
      <w:r>
        <w:rPr>
          <w:szCs w:val="22"/>
        </w:rPr>
        <w:t xml:space="preserve">  Among other things, an </w:t>
      </w:r>
      <w:r w:rsidRPr="00385714">
        <w:t>applicant</w:t>
      </w:r>
      <w:r>
        <w:rPr>
          <w:szCs w:val="22"/>
        </w:rPr>
        <w:t xml:space="preserve"> must </w:t>
      </w:r>
      <w:r w:rsidRPr="009D446F">
        <w:rPr>
          <w:szCs w:val="22"/>
        </w:rPr>
        <w:t xml:space="preserve">submit </w:t>
      </w:r>
      <w:r>
        <w:rPr>
          <w:szCs w:val="22"/>
        </w:rPr>
        <w:t>operational and financial information</w:t>
      </w:r>
      <w:r w:rsidRPr="009D446F">
        <w:rPr>
          <w:szCs w:val="22"/>
        </w:rPr>
        <w:t xml:space="preserve"> </w:t>
      </w:r>
      <w:r>
        <w:rPr>
          <w:szCs w:val="22"/>
        </w:rPr>
        <w:t>demonstrating that it</w:t>
      </w:r>
      <w:r w:rsidRPr="009D446F">
        <w:rPr>
          <w:szCs w:val="22"/>
        </w:rPr>
        <w:t xml:space="preserve"> can meet the service requirements associated with the performance </w:t>
      </w:r>
      <w:r>
        <w:rPr>
          <w:szCs w:val="22"/>
        </w:rPr>
        <w:t>tier and latency combination(s) for</w:t>
      </w:r>
      <w:r w:rsidRPr="009D446F">
        <w:rPr>
          <w:szCs w:val="22"/>
        </w:rPr>
        <w:t xml:space="preserve"> which </w:t>
      </w:r>
      <w:r>
        <w:rPr>
          <w:szCs w:val="22"/>
        </w:rPr>
        <w:t>it</w:t>
      </w:r>
      <w:r w:rsidRPr="009D446F">
        <w:rPr>
          <w:szCs w:val="22"/>
        </w:rPr>
        <w:t xml:space="preserve"> </w:t>
      </w:r>
      <w:r w:rsidR="007E07D4">
        <w:rPr>
          <w:szCs w:val="22"/>
        </w:rPr>
        <w:t>submits an</w:t>
      </w:r>
      <w:r w:rsidRPr="009D446F">
        <w:rPr>
          <w:szCs w:val="22"/>
        </w:rPr>
        <w:t xml:space="preserve"> </w:t>
      </w:r>
      <w:r>
        <w:rPr>
          <w:szCs w:val="22"/>
        </w:rPr>
        <w:t>application.  Below we describe more fully the information disclosures and certifications required in the application.  An applicant is also subject to the Commission’s rules prohibiting certain communications, as explained below, beginning on the</w:t>
      </w:r>
      <w:r w:rsidR="001D2472">
        <w:rPr>
          <w:szCs w:val="22"/>
        </w:rPr>
        <w:t xml:space="preserve"> date the window </w:t>
      </w:r>
      <w:r>
        <w:rPr>
          <w:szCs w:val="22"/>
        </w:rPr>
        <w:t>for filing applications</w:t>
      </w:r>
      <w:r w:rsidR="001D2472">
        <w:rPr>
          <w:szCs w:val="22"/>
        </w:rPr>
        <w:t xml:space="preserve"> opens</w:t>
      </w:r>
      <w:r>
        <w:rPr>
          <w:szCs w:val="22"/>
        </w:rPr>
        <w:t>.</w:t>
      </w:r>
      <w:r>
        <w:rPr>
          <w:rStyle w:val="FootnoteReference"/>
          <w:szCs w:val="22"/>
        </w:rPr>
        <w:footnoteReference w:id="51"/>
      </w:r>
      <w:r w:rsidRPr="003B62D9" w:rsidR="003B62D9">
        <w:rPr>
          <w:szCs w:val="22"/>
        </w:rPr>
        <w:t xml:space="preserve"> </w:t>
      </w:r>
      <w:r w:rsidR="003B62D9">
        <w:rPr>
          <w:szCs w:val="22"/>
        </w:rPr>
        <w:t xml:space="preserve"> The Bureau will publish </w:t>
      </w:r>
      <w:r w:rsidR="00947E2E">
        <w:rPr>
          <w:szCs w:val="22"/>
        </w:rPr>
        <w:t xml:space="preserve">a </w:t>
      </w:r>
      <w:r w:rsidR="003B62D9">
        <w:rPr>
          <w:szCs w:val="22"/>
        </w:rPr>
        <w:t>notice</w:t>
      </w:r>
      <w:r w:rsidR="00B95674">
        <w:rPr>
          <w:szCs w:val="22"/>
        </w:rPr>
        <w:t xml:space="preserve"> announcing the window open</w:t>
      </w:r>
      <w:r w:rsidR="001D3B8D">
        <w:rPr>
          <w:szCs w:val="22"/>
        </w:rPr>
        <w:t>ing</w:t>
      </w:r>
      <w:r w:rsidR="00B95674">
        <w:rPr>
          <w:szCs w:val="22"/>
        </w:rPr>
        <w:t xml:space="preserve"> date and </w:t>
      </w:r>
      <w:r w:rsidR="00947E2E">
        <w:rPr>
          <w:szCs w:val="22"/>
        </w:rPr>
        <w:t>a notice</w:t>
      </w:r>
      <w:r w:rsidR="003B62D9">
        <w:rPr>
          <w:szCs w:val="22"/>
        </w:rPr>
        <w:t xml:space="preserve"> announcing all parties that have successfully filed a Stage 2 </w:t>
      </w:r>
      <w:r w:rsidR="005F5E06">
        <w:rPr>
          <w:szCs w:val="22"/>
        </w:rPr>
        <w:t>F</w:t>
      </w:r>
      <w:r w:rsidR="003B62D9">
        <w:rPr>
          <w:szCs w:val="22"/>
        </w:rPr>
        <w:t xml:space="preserve">ixed application following the </w:t>
      </w:r>
      <w:r w:rsidR="005A50E8">
        <w:rPr>
          <w:szCs w:val="22"/>
        </w:rPr>
        <w:t xml:space="preserve">application </w:t>
      </w:r>
      <w:r w:rsidR="003B62D9">
        <w:rPr>
          <w:szCs w:val="22"/>
        </w:rPr>
        <w:t xml:space="preserve">deadline.  </w:t>
      </w:r>
    </w:p>
    <w:p w:rsidR="00676A10" w:rsidP="00620DAF" w14:paraId="37CD933F" w14:textId="2DDB63DE">
      <w:pPr>
        <w:pStyle w:val="ParaNum"/>
        <w:widowControl/>
        <w:rPr>
          <w:szCs w:val="22"/>
        </w:rPr>
      </w:pPr>
      <w:r>
        <w:rPr>
          <w:szCs w:val="22"/>
        </w:rPr>
        <w:t xml:space="preserve">An applicant bears full responsibility for submitting an accurate, complete, and timely   application.  An applicant should consult the Commission’s rules to ensure that, in addition to the materials described below, all required information is included in its application.  </w:t>
      </w:r>
      <w:r>
        <w:t xml:space="preserve">To the extent the information in this Public Notice does not address a potential applicant’s specific operating structure, or if the applicant needs additional information or guidance concerning the following disclosure requirements, the applicant should review the </w:t>
      </w:r>
      <w:r w:rsidRPr="000C0E18">
        <w:rPr>
          <w:i/>
        </w:rPr>
        <w:t>PR-USVI Stage 2 Order</w:t>
      </w:r>
      <w:r>
        <w:rPr>
          <w:rStyle w:val="FootnoteReference"/>
        </w:rPr>
        <w:footnoteReference w:id="52"/>
      </w:r>
      <w:r>
        <w:t xml:space="preserve"> </w:t>
      </w:r>
      <w:r w:rsidR="006332BB">
        <w:t xml:space="preserve">and </w:t>
      </w:r>
      <w:r w:rsidR="00CC02D6">
        <w:t xml:space="preserve">the instructions for </w:t>
      </w:r>
      <w:r w:rsidR="00C643D9">
        <w:t>the Application</w:t>
      </w:r>
      <w:r w:rsidR="00CC02D6">
        <w:t xml:space="preserve"> Form</w:t>
      </w:r>
      <w:r>
        <w:t xml:space="preserve"> and/or use the contact information provided in this Public Notice to consult with Commission staff to better understand the information it must submit in its application.</w:t>
      </w:r>
      <w:r>
        <w:rPr>
          <w:rStyle w:val="FootnoteReference"/>
        </w:rPr>
        <w:footnoteReference w:id="53"/>
      </w:r>
    </w:p>
    <w:p w:rsidR="00676A10" w:rsidRPr="003E5BCA" w:rsidP="00676A10" w14:paraId="00DFE445" w14:textId="493B9456">
      <w:pPr>
        <w:pStyle w:val="ParaNum"/>
      </w:pPr>
      <w:r>
        <w:rPr>
          <w:szCs w:val="22"/>
        </w:rPr>
        <w:t xml:space="preserve">An applicant should note that submitting an application (and any amendments thereto)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As more fully explained below, an applicant </w:t>
      </w:r>
      <w:r w:rsidR="004F040F">
        <w:rPr>
          <w:szCs w:val="22"/>
        </w:rPr>
        <w:t>may not</w:t>
      </w:r>
      <w:r>
        <w:rPr>
          <w:szCs w:val="22"/>
        </w:rPr>
        <w:t xml:space="preserve"> make major modifications to its application after the application filing deadline.</w:t>
      </w:r>
      <w:r>
        <w:rPr>
          <w:rStyle w:val="FootnoteReference"/>
          <w:szCs w:val="22"/>
        </w:rPr>
        <w:footnoteReference w:id="54"/>
      </w:r>
      <w:r>
        <w:rPr>
          <w:szCs w:val="22"/>
        </w:rPr>
        <w:t xml:space="preserve">  Submitting a false certification to the Commission may result in penalties, including monetary forfeitures, the forfeiture of universal service support, license forfeitures, ineligibility to participate in future </w:t>
      </w:r>
      <w:r w:rsidR="00045473">
        <w:rPr>
          <w:szCs w:val="22"/>
        </w:rPr>
        <w:t xml:space="preserve">auctions, </w:t>
      </w:r>
      <w:r>
        <w:rPr>
          <w:szCs w:val="22"/>
        </w:rPr>
        <w:t>competitions, and/or criminal prosecution.</w:t>
      </w:r>
    </w:p>
    <w:p w:rsidR="00676A10" w:rsidP="00676A10" w14:paraId="03D33604" w14:textId="6C1FE501">
      <w:pPr>
        <w:pStyle w:val="ParaNum"/>
      </w:pPr>
      <w:r>
        <w:rPr>
          <w:szCs w:val="22"/>
        </w:rPr>
        <w:t>A</w:t>
      </w:r>
      <w:r w:rsidRPr="00AA2F90">
        <w:rPr>
          <w:szCs w:val="22"/>
        </w:rPr>
        <w:t>fter the</w:t>
      </w:r>
      <w:r>
        <w:rPr>
          <w:szCs w:val="22"/>
        </w:rPr>
        <w:t xml:space="preserve"> initial application </w:t>
      </w:r>
      <w:r w:rsidRPr="00AA2F90">
        <w:rPr>
          <w:szCs w:val="22"/>
        </w:rPr>
        <w:t xml:space="preserve">filing </w:t>
      </w:r>
      <w:r>
        <w:rPr>
          <w:szCs w:val="22"/>
        </w:rPr>
        <w:t>deadline</w:t>
      </w:r>
      <w:r w:rsidRPr="00AA2F90">
        <w:rPr>
          <w:szCs w:val="22"/>
        </w:rPr>
        <w:t xml:space="preserve">, </w:t>
      </w:r>
      <w:r>
        <w:rPr>
          <w:szCs w:val="22"/>
        </w:rPr>
        <w:t xml:space="preserve">Bureau staff will review all </w:t>
      </w:r>
      <w:r w:rsidRPr="00AA2F90">
        <w:rPr>
          <w:szCs w:val="22"/>
        </w:rPr>
        <w:t xml:space="preserve">timely submitted applications to determine whether each </w:t>
      </w:r>
      <w:r>
        <w:rPr>
          <w:szCs w:val="22"/>
        </w:rPr>
        <w:t>application</w:t>
      </w:r>
      <w:r w:rsidRPr="00AA2F90">
        <w:rPr>
          <w:szCs w:val="22"/>
        </w:rPr>
        <w:t xml:space="preserve"> complie</w:t>
      </w:r>
      <w:r>
        <w:rPr>
          <w:szCs w:val="22"/>
        </w:rPr>
        <w:t>s</w:t>
      </w:r>
      <w:r w:rsidRPr="00AA2F90">
        <w:rPr>
          <w:szCs w:val="22"/>
        </w:rPr>
        <w:t xml:space="preserve"> with the application requirements and </w:t>
      </w:r>
      <w:r>
        <w:rPr>
          <w:szCs w:val="22"/>
        </w:rPr>
        <w:t xml:space="preserve">has </w:t>
      </w:r>
      <w:r w:rsidRPr="00AA2F90">
        <w:rPr>
          <w:szCs w:val="22"/>
        </w:rPr>
        <w:t>provide</w:t>
      </w:r>
      <w:r>
        <w:rPr>
          <w:szCs w:val="22"/>
        </w:rPr>
        <w:t>d</w:t>
      </w:r>
      <w:r w:rsidRPr="00AA2F90">
        <w:rPr>
          <w:szCs w:val="22"/>
        </w:rPr>
        <w:t xml:space="preserve"> all </w:t>
      </w:r>
      <w:r>
        <w:rPr>
          <w:szCs w:val="22"/>
        </w:rPr>
        <w:t xml:space="preserve">required </w:t>
      </w:r>
      <w:r w:rsidRPr="00AA2F90">
        <w:rPr>
          <w:szCs w:val="22"/>
        </w:rPr>
        <w:t xml:space="preserve">information concerning </w:t>
      </w:r>
      <w:r>
        <w:rPr>
          <w:szCs w:val="22"/>
        </w:rPr>
        <w:t>the applicant’s</w:t>
      </w:r>
      <w:r w:rsidRPr="00AA2F90">
        <w:rPr>
          <w:szCs w:val="22"/>
        </w:rPr>
        <w:t xml:space="preserve"> qualifications.</w:t>
      </w:r>
      <w:r>
        <w:rPr>
          <w:rStyle w:val="FootnoteReference"/>
          <w:szCs w:val="22"/>
        </w:rPr>
        <w:footnoteReference w:id="55"/>
      </w:r>
      <w:r w:rsidRPr="00AA2F90">
        <w:rPr>
          <w:szCs w:val="22"/>
        </w:rPr>
        <w:t xml:space="preserve">  After this review</w:t>
      </w:r>
      <w:r>
        <w:rPr>
          <w:szCs w:val="22"/>
        </w:rPr>
        <w:t xml:space="preserve"> is complete</w:t>
      </w:r>
      <w:r w:rsidRPr="00AA2F90">
        <w:rPr>
          <w:szCs w:val="22"/>
        </w:rPr>
        <w:t xml:space="preserve">, </w:t>
      </w:r>
      <w:r>
        <w:rPr>
          <w:szCs w:val="22"/>
        </w:rPr>
        <w:t>Bureau staff may contact an applica</w:t>
      </w:r>
      <w:r w:rsidR="00002187">
        <w:rPr>
          <w:szCs w:val="22"/>
        </w:rPr>
        <w:t>n</w:t>
      </w:r>
      <w:r>
        <w:rPr>
          <w:szCs w:val="22"/>
        </w:rPr>
        <w:t>t regarding</w:t>
      </w:r>
      <w:r w:rsidRPr="00AA2F90">
        <w:rPr>
          <w:szCs w:val="22"/>
        </w:rPr>
        <w:t xml:space="preserve"> minor </w:t>
      </w:r>
      <w:r>
        <w:rPr>
          <w:szCs w:val="22"/>
        </w:rPr>
        <w:t xml:space="preserve">application </w:t>
      </w:r>
      <w:r w:rsidRPr="00AA2F90">
        <w:rPr>
          <w:szCs w:val="22"/>
        </w:rPr>
        <w:t>defects that may be corrected.</w:t>
      </w:r>
      <w:r>
        <w:rPr>
          <w:rStyle w:val="FootnoteReference"/>
          <w:szCs w:val="22"/>
        </w:rPr>
        <w:footnoteReference w:id="56"/>
      </w:r>
      <w:r w:rsidRPr="000953A6">
        <w:t xml:space="preserve">  </w:t>
      </w:r>
      <w:r>
        <w:t>Staff will establish a deadline for resubmitting modified applications.</w:t>
      </w:r>
      <w:r>
        <w:rPr>
          <w:rStyle w:val="FootnoteReference"/>
        </w:rPr>
        <w:footnoteReference w:id="57"/>
      </w:r>
      <w:r>
        <w:t xml:space="preserve">  After any applications have been resubmitted, Bureau staff will complete review of all qualified applications, and the selected winners will be announced in a public notice.</w:t>
      </w:r>
      <w:r>
        <w:rPr>
          <w:rStyle w:val="FootnoteReference"/>
        </w:rPr>
        <w:footnoteReference w:id="58"/>
      </w:r>
    </w:p>
    <w:p w:rsidR="00A9276F" w:rsidP="00A9276F" w14:paraId="221E544B" w14:textId="28FC1387">
      <w:pPr>
        <w:pStyle w:val="Heading3"/>
      </w:pPr>
      <w:bookmarkStart w:id="671" w:name="_Toc497214524"/>
      <w:bookmarkStart w:id="672" w:name="_Toc497403648"/>
      <w:bookmarkStart w:id="673" w:name="_Toc497490956"/>
      <w:bookmarkStart w:id="674" w:name="_Toc497914410"/>
      <w:bookmarkStart w:id="675" w:name="_Toc498007882"/>
      <w:bookmarkStart w:id="676" w:name="_Toc498008595"/>
      <w:bookmarkStart w:id="677" w:name="_Toc498442207"/>
      <w:bookmarkStart w:id="678" w:name="_Toc498505807"/>
      <w:bookmarkStart w:id="679" w:name="_Toc498507763"/>
      <w:bookmarkStart w:id="680" w:name="_Toc498519839"/>
      <w:bookmarkStart w:id="681" w:name="_Toc498528011"/>
      <w:bookmarkStart w:id="682" w:name="_Toc499285974"/>
      <w:bookmarkStart w:id="683" w:name="_Toc499794181"/>
      <w:bookmarkStart w:id="684" w:name="_Toc499902612"/>
      <w:bookmarkStart w:id="685" w:name="_Toc500921882"/>
      <w:bookmarkStart w:id="686" w:name="_Toc501095425"/>
      <w:bookmarkStart w:id="687" w:name="_Toc501361487"/>
      <w:bookmarkStart w:id="688" w:name="_Toc501361695"/>
      <w:bookmarkStart w:id="689" w:name="_Toc502758396"/>
      <w:bookmarkStart w:id="690" w:name="_Toc502845808"/>
      <w:bookmarkStart w:id="691" w:name="_Toc502926743"/>
      <w:bookmarkStart w:id="692" w:name="_Toc502932138"/>
      <w:bookmarkStart w:id="693" w:name="_Toc504661017"/>
      <w:bookmarkStart w:id="694" w:name="_Toc504721808"/>
      <w:bookmarkStart w:id="695" w:name="_Toc505008744"/>
      <w:bookmarkStart w:id="696" w:name="_Toc505161672"/>
      <w:bookmarkStart w:id="697" w:name="_Toc30099831"/>
      <w:bookmarkStart w:id="698" w:name="_Toc487191757"/>
      <w:bookmarkStart w:id="699" w:name="_Toc487450665"/>
      <w:bookmarkStart w:id="700" w:name="_Toc487552698"/>
      <w:bookmarkStart w:id="701" w:name="_Toc487553983"/>
      <w:bookmarkStart w:id="702" w:name="_Toc487619814"/>
      <w:bookmarkStart w:id="703" w:name="_Toc489345745"/>
      <w:bookmarkStart w:id="704" w:name="_Toc491262613"/>
      <w:bookmarkStart w:id="705" w:name="_Toc491263177"/>
      <w:bookmarkStart w:id="706" w:name="_Toc491676713"/>
      <w:bookmarkStart w:id="707" w:name="_Toc491677532"/>
      <w:bookmarkStart w:id="708" w:name="_Toc491697218"/>
      <w:bookmarkStart w:id="709" w:name="_Toc491765053"/>
      <w:bookmarkStart w:id="710" w:name="_Toc491765641"/>
      <w:bookmarkStart w:id="711" w:name="_Toc491786377"/>
      <w:bookmarkStart w:id="712" w:name="_Toc491789581"/>
      <w:bookmarkStart w:id="713" w:name="_Toc491849754"/>
      <w:bookmarkStart w:id="714" w:name="_Toc491850206"/>
      <w:bookmarkStart w:id="715" w:name="_Toc491850956"/>
      <w:bookmarkStart w:id="716" w:name="_Toc491941537"/>
      <w:bookmarkStart w:id="717" w:name="_Toc492976115"/>
      <w:bookmarkStart w:id="718" w:name="_Toc493232326"/>
      <w:bookmarkStart w:id="719" w:name="_Toc493234432"/>
      <w:bookmarkStart w:id="720" w:name="_Toc493244348"/>
      <w:bookmarkStart w:id="721" w:name="_Toc493772306"/>
      <w:bookmarkStart w:id="722" w:name="_Toc493862872"/>
      <w:bookmarkStart w:id="723" w:name="_Toc495058468"/>
      <w:bookmarkStart w:id="724" w:name="_Toc495678657"/>
      <w:bookmarkStart w:id="725" w:name="_Toc496104440"/>
      <w:bookmarkStart w:id="726" w:name="_Toc496619178"/>
      <w:bookmarkStart w:id="727" w:name="_Toc496620221"/>
      <w:bookmarkStart w:id="728" w:name="_Toc496780717"/>
      <w:bookmarkStart w:id="729" w:name="_Toc496886207"/>
      <w:bookmarkStart w:id="730" w:name="_Toc496889445"/>
      <w:bookmarkStart w:id="731" w:name="_Toc497122422"/>
      <w:bookmarkStart w:id="732" w:name="_Toc31809548"/>
      <w:r>
        <w:t>Acceptable Applications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732"/>
    </w:p>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rsidR="00A9276F" w:rsidRPr="00787C37" w:rsidP="00A9276F" w14:paraId="00949578" w14:textId="2886A2CB">
      <w:pPr>
        <w:pStyle w:val="ParaNum"/>
        <w:widowControl/>
        <w:rPr>
          <w:szCs w:val="22"/>
        </w:rPr>
      </w:pPr>
      <w:r>
        <w:t>To submit an application</w:t>
      </w:r>
      <w:r w:rsidRPr="004D3BE6">
        <w:t xml:space="preserve"> </w:t>
      </w:r>
      <w:r>
        <w:t xml:space="preserve">for support to provide service to an area in the Stage 2 Competition, an applicant must specify the area, a </w:t>
      </w:r>
      <w:r w:rsidRPr="00787C37">
        <w:rPr>
          <w:szCs w:val="22"/>
        </w:rPr>
        <w:t>performance tier and latency combination, a price point percentage</w:t>
      </w:r>
      <w:r>
        <w:rPr>
          <w:szCs w:val="22"/>
        </w:rPr>
        <w:t xml:space="preserve">, which will in turn correspond to an indicated implied support amount for the application, resiliency and redundancy information that explains how the applicant is </w:t>
      </w:r>
      <w:r>
        <w:t>building in network or path diversity</w:t>
      </w:r>
      <w:r>
        <w:rPr>
          <w:szCs w:val="22"/>
        </w:rPr>
        <w:t>, and a Disaster Preparation and Response Plan</w:t>
      </w:r>
      <w:r w:rsidRPr="00787C37">
        <w:rPr>
          <w:szCs w:val="22"/>
        </w:rPr>
        <w:t xml:space="preserve">.  </w:t>
      </w:r>
      <w:r>
        <w:t xml:space="preserve">Several requirements, as set forth below, will also apply to application submission and the Bureau will advise applicants if an application does not meet these conditions.  </w:t>
      </w:r>
    </w:p>
    <w:p w:rsidR="00A9276F" w:rsidP="00A9276F" w14:paraId="5F36D65D" w14:textId="6524E6AA">
      <w:pPr>
        <w:pStyle w:val="Heading5"/>
        <w:numPr>
          <w:ilvl w:val="3"/>
          <w:numId w:val="2"/>
        </w:numPr>
      </w:pPr>
      <w:bookmarkStart w:id="733" w:name="_Toc487191758"/>
      <w:bookmarkStart w:id="734" w:name="_Toc487450666"/>
      <w:bookmarkStart w:id="735" w:name="_Toc487552699"/>
      <w:bookmarkStart w:id="736" w:name="_Toc487553984"/>
      <w:bookmarkStart w:id="737" w:name="_Toc487619815"/>
      <w:bookmarkStart w:id="738" w:name="_Toc489345746"/>
      <w:bookmarkStart w:id="739" w:name="_Toc491262614"/>
      <w:bookmarkStart w:id="740" w:name="_Toc491263178"/>
      <w:bookmarkStart w:id="741" w:name="_Toc491676714"/>
      <w:bookmarkStart w:id="742" w:name="_Toc491677533"/>
      <w:bookmarkStart w:id="743" w:name="_Toc491697219"/>
      <w:bookmarkStart w:id="744" w:name="_Toc491765054"/>
      <w:bookmarkStart w:id="745" w:name="_Toc491765642"/>
      <w:bookmarkStart w:id="746" w:name="_Toc491786378"/>
      <w:bookmarkStart w:id="747" w:name="_Toc491789582"/>
      <w:bookmarkStart w:id="748" w:name="_Toc491849755"/>
      <w:bookmarkStart w:id="749" w:name="_Toc491850207"/>
      <w:bookmarkStart w:id="750" w:name="_Toc491850957"/>
      <w:bookmarkStart w:id="751" w:name="_Toc491941538"/>
      <w:bookmarkStart w:id="752" w:name="_Toc492976116"/>
      <w:bookmarkStart w:id="753" w:name="_Toc493232327"/>
      <w:bookmarkStart w:id="754" w:name="_Toc493234433"/>
      <w:bookmarkStart w:id="755" w:name="_Toc493244349"/>
      <w:bookmarkStart w:id="756" w:name="_Toc493772307"/>
      <w:bookmarkStart w:id="757" w:name="_Toc493862873"/>
      <w:bookmarkStart w:id="758" w:name="_Toc495058469"/>
      <w:bookmarkStart w:id="759" w:name="_Toc495678658"/>
      <w:bookmarkStart w:id="760" w:name="_Toc496104441"/>
      <w:bookmarkStart w:id="761" w:name="_Toc496619179"/>
      <w:bookmarkStart w:id="762" w:name="_Toc496620222"/>
      <w:bookmarkStart w:id="763" w:name="_Toc496780718"/>
      <w:bookmarkStart w:id="764" w:name="_Toc496886208"/>
      <w:bookmarkStart w:id="765" w:name="_Toc496889446"/>
      <w:bookmarkStart w:id="766" w:name="_Toc497122423"/>
      <w:bookmarkStart w:id="767" w:name="_Toc497214526"/>
      <w:bookmarkStart w:id="768" w:name="_Toc497403650"/>
      <w:bookmarkStart w:id="769" w:name="_Toc497490958"/>
      <w:bookmarkStart w:id="770" w:name="_Toc497914412"/>
      <w:bookmarkStart w:id="771" w:name="_Toc498007884"/>
      <w:bookmarkStart w:id="772" w:name="_Toc498008597"/>
      <w:bookmarkStart w:id="773" w:name="_Toc498442209"/>
      <w:bookmarkStart w:id="774" w:name="_Toc498505809"/>
      <w:bookmarkStart w:id="775" w:name="_Toc498507765"/>
      <w:bookmarkStart w:id="776" w:name="_Toc498519841"/>
      <w:bookmarkStart w:id="777" w:name="_Toc498528013"/>
      <w:bookmarkStart w:id="778" w:name="_Toc499285976"/>
      <w:bookmarkStart w:id="779" w:name="_Toc499794183"/>
      <w:r>
        <w:t xml:space="preserve">One </w:t>
      </w:r>
      <w:r w:rsidR="00FB194E">
        <w:t xml:space="preserve">Comprehensive </w:t>
      </w:r>
      <w:r>
        <w:t xml:space="preserve">Application per </w:t>
      </w:r>
      <w:r w:rsidR="009D6077">
        <w:t>Territory</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t xml:space="preserve"> </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A9276F" w:rsidRPr="00152DED" w:rsidP="00A9276F" w14:paraId="55CA8959" w14:textId="1D29EAE8">
      <w:pPr>
        <w:pStyle w:val="ParaNum"/>
        <w:widowControl/>
      </w:pPr>
      <w:r>
        <w:rPr>
          <w:szCs w:val="22"/>
        </w:rPr>
        <w:t>Each applicant should submit a single application for each territory in which it seeks to provide qualifying voice and broadband services.  The application should include all proposals for each geographic area</w:t>
      </w:r>
      <w:r w:rsidR="00623B55">
        <w:rPr>
          <w:szCs w:val="22"/>
        </w:rPr>
        <w:t xml:space="preserve"> within the territory</w:t>
      </w:r>
      <w:r>
        <w:rPr>
          <w:szCs w:val="22"/>
        </w:rPr>
        <w:t xml:space="preserve"> for which the applicant seeks to provide service.</w:t>
      </w:r>
      <w:r>
        <w:rPr>
          <w:rStyle w:val="FootnoteReference"/>
          <w:szCs w:val="22"/>
        </w:rPr>
        <w:footnoteReference w:id="59"/>
      </w:r>
      <w:r>
        <w:rPr>
          <w:szCs w:val="22"/>
        </w:rPr>
        <w:t xml:space="preserve">  </w:t>
      </w:r>
      <w:r w:rsidR="00623B55">
        <w:rPr>
          <w:szCs w:val="22"/>
        </w:rPr>
        <w:t xml:space="preserve">To effectuate this direction from the Commission, </w:t>
      </w:r>
      <w:r w:rsidR="00F478DB">
        <w:rPr>
          <w:szCs w:val="22"/>
        </w:rPr>
        <w:t>the Bureau</w:t>
      </w:r>
      <w:r w:rsidR="00623B55">
        <w:t xml:space="preserve"> </w:t>
      </w:r>
      <w:r>
        <w:t>prohibit</w:t>
      </w:r>
      <w:r w:rsidR="00F478DB">
        <w:t>s</w:t>
      </w:r>
      <w:r w:rsidRPr="001023F4">
        <w:t xml:space="preserve"> </w:t>
      </w:r>
      <w:r>
        <w:t>commonly controlled</w:t>
      </w:r>
      <w:r w:rsidRPr="001023F4">
        <w:t xml:space="preserve"> applicants </w:t>
      </w:r>
      <w:r>
        <w:t>from</w:t>
      </w:r>
      <w:r w:rsidRPr="001023F4">
        <w:t xml:space="preserve"> </w:t>
      </w:r>
      <w:r>
        <w:t>applying</w:t>
      </w:r>
      <w:r w:rsidRPr="00203D8D">
        <w:t xml:space="preserve"> for the same geographic areas.</w:t>
      </w:r>
      <w:r>
        <w:rPr>
          <w:rStyle w:val="FootnoteReference"/>
        </w:rPr>
        <w:footnoteReference w:id="60"/>
      </w:r>
    </w:p>
    <w:p w:rsidR="003347F8" w:rsidP="003347F8" w14:paraId="102A43E8" w14:textId="77777777">
      <w:pPr>
        <w:pStyle w:val="Heading5"/>
        <w:numPr>
          <w:ilvl w:val="3"/>
          <w:numId w:val="26"/>
        </w:numPr>
      </w:pPr>
      <w:bookmarkStart w:id="780" w:name="_Toc497214525"/>
      <w:bookmarkStart w:id="781" w:name="_Toc497403649"/>
      <w:bookmarkStart w:id="782" w:name="_Toc497490957"/>
      <w:bookmarkStart w:id="783" w:name="_Toc497914411"/>
      <w:bookmarkStart w:id="784" w:name="_Toc498007883"/>
      <w:bookmarkStart w:id="785" w:name="_Toc498008596"/>
      <w:bookmarkStart w:id="786" w:name="_Toc498442208"/>
      <w:bookmarkStart w:id="787" w:name="_Toc498505808"/>
      <w:bookmarkStart w:id="788" w:name="_Toc498507764"/>
      <w:bookmarkStart w:id="789" w:name="_Toc498519840"/>
      <w:bookmarkStart w:id="790" w:name="_Toc498528012"/>
      <w:bookmarkStart w:id="791" w:name="_Toc499285975"/>
      <w:bookmarkStart w:id="792" w:name="_Toc499794182"/>
      <w:bookmarkStart w:id="793" w:name="_Toc487191759"/>
      <w:bookmarkStart w:id="794" w:name="_Toc491262615"/>
      <w:bookmarkStart w:id="795" w:name="_Toc491263179"/>
      <w:bookmarkStart w:id="796" w:name="_Toc491676715"/>
      <w:bookmarkStart w:id="797" w:name="_Toc491677534"/>
      <w:bookmarkStart w:id="798" w:name="_Toc491697220"/>
      <w:bookmarkStart w:id="799" w:name="_Toc491765055"/>
      <w:bookmarkStart w:id="800" w:name="_Toc491765643"/>
      <w:bookmarkStart w:id="801" w:name="_Toc491786379"/>
      <w:bookmarkStart w:id="802" w:name="_Toc491789583"/>
      <w:bookmarkStart w:id="803" w:name="_Toc491849756"/>
      <w:bookmarkStart w:id="804" w:name="_Toc491850208"/>
      <w:bookmarkStart w:id="805" w:name="_Toc491850958"/>
      <w:bookmarkStart w:id="806" w:name="_Toc491941539"/>
      <w:bookmarkStart w:id="807" w:name="_Toc492976117"/>
      <w:bookmarkStart w:id="808" w:name="_Toc493232328"/>
      <w:bookmarkStart w:id="809" w:name="_Toc493234434"/>
      <w:bookmarkStart w:id="810" w:name="_Toc493244350"/>
      <w:bookmarkStart w:id="811" w:name="_Toc493772308"/>
      <w:bookmarkStart w:id="812" w:name="_Toc493862874"/>
      <w:bookmarkStart w:id="813" w:name="_Toc495058470"/>
      <w:bookmarkStart w:id="814" w:name="_Toc495678659"/>
      <w:bookmarkStart w:id="815" w:name="_Toc496104442"/>
      <w:bookmarkStart w:id="816" w:name="_Toc496619180"/>
      <w:bookmarkStart w:id="817" w:name="_Toc496620223"/>
      <w:bookmarkStart w:id="818" w:name="_Toc496780719"/>
      <w:bookmarkStart w:id="819" w:name="_Toc496886209"/>
      <w:bookmarkStart w:id="820" w:name="_Toc496889447"/>
      <w:bookmarkStart w:id="821" w:name="_Toc497122424"/>
      <w:r>
        <w:t>Acceptable Application Amounts</w:t>
      </w:r>
    </w:p>
    <w:p w:rsidR="003347F8" w:rsidP="003347F8" w14:paraId="407BD6A0" w14:textId="2101F8E5">
      <w:pPr>
        <w:pStyle w:val="ParaNum"/>
        <w:widowControl/>
        <w:rPr>
          <w:szCs w:val="22"/>
        </w:rPr>
      </w:pPr>
      <w:r>
        <w:rPr>
          <w:szCs w:val="22"/>
        </w:rPr>
        <w:t xml:space="preserve">An applicant may submit the Proposal Price as a price point percentage of the reserve price for a geographic area.  </w:t>
      </w:r>
      <w:r>
        <w:rPr>
          <w:szCs w:val="22"/>
        </w:rPr>
        <w:t xml:space="preserve">The price point percentage </w:t>
      </w:r>
      <w:r w:rsidR="00A8005F">
        <w:rPr>
          <w:szCs w:val="22"/>
        </w:rPr>
        <w:t xml:space="preserve">submitted in </w:t>
      </w:r>
      <w:r>
        <w:rPr>
          <w:szCs w:val="22"/>
        </w:rPr>
        <w:t xml:space="preserve">the application </w:t>
      </w:r>
      <w:r w:rsidRPr="00986B24">
        <w:rPr>
          <w:szCs w:val="22"/>
        </w:rPr>
        <w:t>may be</w:t>
      </w:r>
      <w:r w:rsidRPr="00912A0B">
        <w:rPr>
          <w:szCs w:val="22"/>
        </w:rPr>
        <w:t xml:space="preserve"> specified </w:t>
      </w:r>
      <w:r>
        <w:rPr>
          <w:szCs w:val="22"/>
        </w:rPr>
        <w:t xml:space="preserve">with </w:t>
      </w:r>
      <w:r w:rsidRPr="00912A0B">
        <w:rPr>
          <w:szCs w:val="22"/>
        </w:rPr>
        <w:t>up to two decimal places</w:t>
      </w:r>
      <w:r>
        <w:rPr>
          <w:szCs w:val="22"/>
        </w:rPr>
        <w:t xml:space="preserve"> (e.g., 98.44%)</w:t>
      </w:r>
      <w:r w:rsidRPr="009408E8">
        <w:rPr>
          <w:szCs w:val="22"/>
        </w:rPr>
        <w:t>.</w:t>
      </w:r>
      <w:r w:rsidRPr="00014527">
        <w:rPr>
          <w:szCs w:val="22"/>
        </w:rPr>
        <w:t xml:space="preserve">  </w:t>
      </w:r>
      <w:r w:rsidRPr="00E55AEC">
        <w:rPr>
          <w:szCs w:val="22"/>
        </w:rPr>
        <w:t xml:space="preserve">The option to </w:t>
      </w:r>
      <w:r>
        <w:rPr>
          <w:szCs w:val="22"/>
        </w:rPr>
        <w:t>apply</w:t>
      </w:r>
      <w:r w:rsidRPr="00E55AEC">
        <w:rPr>
          <w:szCs w:val="22"/>
        </w:rPr>
        <w:t xml:space="preserve"> at intermediate price point percentages will allow a</w:t>
      </w:r>
      <w:r w:rsidR="00E719E5">
        <w:rPr>
          <w:szCs w:val="22"/>
        </w:rPr>
        <w:t>n</w:t>
      </w:r>
      <w:r w:rsidRPr="00E55AEC">
        <w:rPr>
          <w:szCs w:val="22"/>
        </w:rPr>
        <w:t xml:space="preserve"> applicant to indicate more precisely the minimum amount of support it will accept for an area, and it reduces the likelihood of ties. </w:t>
      </w:r>
    </w:p>
    <w:p w:rsidR="003347F8" w:rsidRPr="003347F8" w:rsidP="003347F8" w14:paraId="36D07ED3" w14:textId="74721C82">
      <w:pPr>
        <w:pStyle w:val="ParaNum"/>
      </w:pPr>
      <w:r>
        <w:t>An</w:t>
      </w:r>
      <w:r w:rsidRPr="00747F2E">
        <w:t xml:space="preserve"> </w:t>
      </w:r>
      <w:r>
        <w:t>application</w:t>
      </w:r>
      <w:r w:rsidRPr="00747F2E">
        <w:t xml:space="preserve"> must </w:t>
      </w:r>
      <w:r>
        <w:t xml:space="preserve">specify a percentage that implies </w:t>
      </w:r>
      <w:r w:rsidRPr="00747F2E">
        <w:t>a support amount that is one percent or more of an area’s reserve price to be acceptable</w:t>
      </w:r>
      <w:r w:rsidRPr="00014527">
        <w:t>.</w:t>
      </w:r>
      <w:r>
        <w:rPr>
          <w:rStyle w:val="FootnoteReference"/>
          <w:szCs w:val="22"/>
        </w:rPr>
        <w:footnoteReference w:id="61"/>
      </w:r>
      <w:r>
        <w:t xml:space="preserve">  One percent represents a sufficiently small fraction of the model-derived reserve price to serve as a minimum acceptable application for applicants with legitimate support needs.  An applicant that requires—or receives—no Stage 2 support to build out in an area is free to provide service in the area if it wishes, and furthermore, it can do so without the requirements </w:t>
      </w:r>
      <w:r w:rsidR="005B2080">
        <w:t xml:space="preserve">imposed on </w:t>
      </w:r>
      <w:r>
        <w:t xml:space="preserve">Stage 2 support recipients.           </w:t>
      </w:r>
    </w:p>
    <w:p w:rsidR="003347F8" w:rsidRPr="00312AF5" w:rsidP="003347F8" w14:paraId="6BDBAC49" w14:textId="272E0ACB">
      <w:pPr>
        <w:pStyle w:val="Heading3"/>
      </w:pPr>
      <w:bookmarkStart w:id="822" w:name="_Toc491262590"/>
      <w:bookmarkStart w:id="823" w:name="_Toc491263153"/>
      <w:bookmarkStart w:id="824" w:name="_Toc491676689"/>
      <w:bookmarkStart w:id="825" w:name="_Toc491677508"/>
      <w:bookmarkStart w:id="826" w:name="_Toc491697194"/>
      <w:bookmarkStart w:id="827" w:name="_Toc491765029"/>
      <w:bookmarkStart w:id="828" w:name="_Toc491765617"/>
      <w:bookmarkStart w:id="829" w:name="_Toc491786353"/>
      <w:bookmarkStart w:id="830" w:name="_Toc491789557"/>
      <w:bookmarkStart w:id="831" w:name="_Toc491849730"/>
      <w:bookmarkStart w:id="832" w:name="_Toc491850182"/>
      <w:bookmarkStart w:id="833" w:name="_Toc491850932"/>
      <w:bookmarkStart w:id="834" w:name="_Toc491941513"/>
      <w:bookmarkStart w:id="835" w:name="_Toc492976091"/>
      <w:bookmarkStart w:id="836" w:name="_Toc493232302"/>
      <w:bookmarkStart w:id="837" w:name="_Toc493234408"/>
      <w:bookmarkStart w:id="838" w:name="_Toc493244324"/>
      <w:bookmarkStart w:id="839" w:name="_Toc493772282"/>
      <w:bookmarkStart w:id="840" w:name="_Toc493862848"/>
      <w:bookmarkStart w:id="841" w:name="_Toc495058444"/>
      <w:bookmarkStart w:id="842" w:name="_Toc495678633"/>
      <w:bookmarkStart w:id="843" w:name="_Toc496104416"/>
      <w:bookmarkStart w:id="844" w:name="_Toc496619154"/>
      <w:bookmarkStart w:id="845" w:name="_Toc496620197"/>
      <w:bookmarkStart w:id="846" w:name="_Toc496780693"/>
      <w:bookmarkStart w:id="847" w:name="_Toc496886183"/>
      <w:bookmarkStart w:id="848" w:name="_Toc496889421"/>
      <w:bookmarkStart w:id="849" w:name="_Toc497122400"/>
      <w:bookmarkStart w:id="850" w:name="_Toc497214502"/>
      <w:bookmarkStart w:id="851" w:name="_Toc497403626"/>
      <w:bookmarkStart w:id="852" w:name="_Toc497490934"/>
      <w:bookmarkStart w:id="853" w:name="_Toc497914388"/>
      <w:bookmarkStart w:id="854" w:name="_Toc498007860"/>
      <w:bookmarkStart w:id="855" w:name="_Toc498008573"/>
      <w:bookmarkStart w:id="856" w:name="_Toc498442185"/>
      <w:bookmarkStart w:id="857" w:name="_Toc498505785"/>
      <w:bookmarkStart w:id="858" w:name="_Toc498507738"/>
      <w:bookmarkStart w:id="859" w:name="_Toc498519814"/>
      <w:bookmarkStart w:id="860" w:name="_Toc498527987"/>
      <w:bookmarkStart w:id="861" w:name="_Toc499285950"/>
      <w:bookmarkStart w:id="862" w:name="_Toc499794157"/>
      <w:bookmarkStart w:id="863" w:name="_Toc499902590"/>
      <w:bookmarkStart w:id="864" w:name="_Toc500921860"/>
      <w:bookmarkStart w:id="865" w:name="_Toc501095403"/>
      <w:bookmarkStart w:id="866" w:name="_Toc501361465"/>
      <w:bookmarkStart w:id="867" w:name="_Toc501361673"/>
      <w:bookmarkStart w:id="868" w:name="_Toc502758374"/>
      <w:bookmarkStart w:id="869" w:name="_Toc502845786"/>
      <w:bookmarkStart w:id="870" w:name="_Toc502926721"/>
      <w:bookmarkStart w:id="871" w:name="_Toc502932116"/>
      <w:bookmarkStart w:id="872" w:name="_Toc504660995"/>
      <w:bookmarkStart w:id="873" w:name="_Toc504721786"/>
      <w:bookmarkStart w:id="874" w:name="_Toc505008722"/>
      <w:bookmarkStart w:id="875" w:name="_Toc505161650"/>
      <w:bookmarkStart w:id="876" w:name="_Toc22643880"/>
      <w:bookmarkStart w:id="877" w:name="_Toc30099832"/>
      <w:bookmarkStart w:id="878" w:name="_Toc3180954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t xml:space="preserve">Modifying </w:t>
      </w:r>
      <w:r w:rsidR="00F16810">
        <w:t xml:space="preserve">the Application </w:t>
      </w:r>
      <w:r>
        <w:t>Form</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3347F8" w:rsidRPr="002641CE" w:rsidP="003347F8" w14:paraId="656D54AC" w14:textId="54406F87">
      <w:pPr>
        <w:pStyle w:val="ParaNum"/>
        <w:widowControl/>
        <w:ind w:left="90"/>
      </w:pPr>
      <w:bookmarkStart w:id="879" w:name="_Hlk497983442"/>
      <w:r>
        <w:rPr>
          <w:szCs w:val="22"/>
        </w:rPr>
        <w:t>As indicated above, an</w:t>
      </w:r>
      <w:r w:rsidRPr="00C72A21">
        <w:rPr>
          <w:szCs w:val="22"/>
        </w:rPr>
        <w:t xml:space="preserve"> entity seeking to participate in </w:t>
      </w:r>
      <w:r>
        <w:rPr>
          <w:szCs w:val="22"/>
        </w:rPr>
        <w:t>the Stage 2 Competition</w:t>
      </w:r>
      <w:r w:rsidRPr="00C72A21">
        <w:rPr>
          <w:szCs w:val="22"/>
        </w:rPr>
        <w:t xml:space="preserve"> must file </w:t>
      </w:r>
      <w:r w:rsidR="00DC0600">
        <w:rPr>
          <w:szCs w:val="22"/>
        </w:rPr>
        <w:t xml:space="preserve">an Application </w:t>
      </w:r>
      <w:r>
        <w:rPr>
          <w:szCs w:val="22"/>
        </w:rPr>
        <w:t xml:space="preserve">Form </w:t>
      </w:r>
      <w:r w:rsidRPr="00C72A21">
        <w:rPr>
          <w:szCs w:val="22"/>
        </w:rPr>
        <w:t xml:space="preserve">electronically via </w:t>
      </w:r>
      <w:bookmarkEnd w:id="879"/>
      <w:r>
        <w:rPr>
          <w:szCs w:val="22"/>
        </w:rPr>
        <w:t>electronic mail to the Bureau</w:t>
      </w:r>
      <w:r w:rsidR="00FB5515">
        <w:rPr>
          <w:szCs w:val="22"/>
        </w:rPr>
        <w:t xml:space="preserve"> at ConnectAmerica@fcc.gov</w:t>
      </w:r>
      <w:r w:rsidRPr="00C72A21">
        <w:rPr>
          <w:szCs w:val="22"/>
        </w:rPr>
        <w:t xml:space="preserve">.  During the filing window, an applicant will be </w:t>
      </w:r>
      <w:r>
        <w:rPr>
          <w:szCs w:val="22"/>
        </w:rPr>
        <w:t>allowed</w:t>
      </w:r>
      <w:r w:rsidRPr="00C72A21">
        <w:rPr>
          <w:szCs w:val="22"/>
        </w:rPr>
        <w:t xml:space="preserve"> to make any necessary</w:t>
      </w:r>
      <w:r w:rsidR="00A82CDC">
        <w:rPr>
          <w:szCs w:val="22"/>
        </w:rPr>
        <w:t xml:space="preserve"> permissible</w:t>
      </w:r>
      <w:r w:rsidRPr="00C72A21">
        <w:rPr>
          <w:szCs w:val="22"/>
        </w:rPr>
        <w:t xml:space="preserve"> modifications to its </w:t>
      </w:r>
      <w:r w:rsidR="00DC0600">
        <w:rPr>
          <w:szCs w:val="22"/>
        </w:rPr>
        <w:t xml:space="preserve">Application </w:t>
      </w:r>
      <w:r>
        <w:rPr>
          <w:szCs w:val="22"/>
        </w:rPr>
        <w:t>Form through resubmission via electronic mail to the Bureau</w:t>
      </w:r>
      <w:r>
        <w:t xml:space="preserve">.  An applicant that has certified and submitted its </w:t>
      </w:r>
      <w:r w:rsidR="00DC0600">
        <w:t xml:space="preserve">Application </w:t>
      </w:r>
      <w:r>
        <w:t>Form before the close of the filing window may continue to make modifications as often as necessary until</w:t>
      </w:r>
      <w:r w:rsidR="00BB2DCC">
        <w:t xml:space="preserve"> the application deadline</w:t>
      </w:r>
      <w:r>
        <w:t xml:space="preserve">; however, the applicant must re-certify and resubmit its </w:t>
      </w:r>
      <w:r w:rsidR="00DC0600">
        <w:t>Application</w:t>
      </w:r>
      <w:r>
        <w:t xml:space="preserve"> Form before the close of the filing window to confirm and effect its latest application changes.  </w:t>
      </w:r>
    </w:p>
    <w:p w:rsidR="003347F8" w:rsidP="00673EAE" w14:paraId="1AA03F7B" w14:textId="50A242E3">
      <w:pPr>
        <w:pStyle w:val="Heading5"/>
        <w:numPr>
          <w:ilvl w:val="3"/>
          <w:numId w:val="2"/>
        </w:numPr>
      </w:pPr>
      <w:bookmarkStart w:id="880" w:name="_Hlk497927521"/>
      <w:r>
        <w:t>Only Minor Modifications Allowed</w:t>
      </w:r>
    </w:p>
    <w:p w:rsidR="00673EAE" w:rsidP="00673EAE" w14:paraId="25CB50E3" w14:textId="1FCD47BD">
      <w:pPr>
        <w:pStyle w:val="ParaNum"/>
        <w:widowControl/>
      </w:pPr>
      <w:r w:rsidRPr="00C60499">
        <w:t xml:space="preserve">After the </w:t>
      </w:r>
      <w:r w:rsidR="00F02A1C">
        <w:t xml:space="preserve">Application </w:t>
      </w:r>
      <w:r>
        <w:t xml:space="preserve">Form </w:t>
      </w:r>
      <w:r w:rsidRPr="00C60499">
        <w:t xml:space="preserve">filing deadline, </w:t>
      </w:r>
      <w:r>
        <w:t>a</w:t>
      </w:r>
      <w:r w:rsidRPr="00C60499">
        <w:t xml:space="preserve"> </w:t>
      </w:r>
      <w:r>
        <w:t>Stage 2 Competition</w:t>
      </w:r>
      <w:r w:rsidRPr="00C60499">
        <w:t xml:space="preserve"> applicant will be permitted to make only minor changes to its application</w:t>
      </w:r>
      <w:r>
        <w:t xml:space="preserve"> consistent with the Commission’s rules</w:t>
      </w:r>
      <w:r w:rsidRPr="00C60499">
        <w:t>.</w:t>
      </w:r>
      <w:r>
        <w:rPr>
          <w:rStyle w:val="FootnoteReference"/>
        </w:rPr>
        <w:footnoteReference w:id="62"/>
      </w:r>
      <w:r w:rsidRPr="00C60499">
        <w:t xml:space="preserve">  </w:t>
      </w:r>
      <w:r>
        <w:t xml:space="preserve">An applicant’s ability to modify its </w:t>
      </w:r>
      <w:r w:rsidR="00F02A1C">
        <w:t>Application</w:t>
      </w:r>
      <w:r>
        <w:t xml:space="preserve"> Form will be limited between the closing of the filing window and the release of the public notice announcing the Stage 2 Competition winning applicants.  During this period, an applicant will be permitted to modify only the applicant’s address, responsible party address, and contact information (e.g., name, address, telephone number, etc.) via resubmission through electronic mail to the Bureau.  </w:t>
      </w:r>
    </w:p>
    <w:p w:rsidR="00673EAE" w:rsidP="00673EAE" w14:paraId="77669332" w14:textId="5AD4D8AE">
      <w:pPr>
        <w:pStyle w:val="ParaNum"/>
      </w:pPr>
      <w:r w:rsidRPr="00C60499">
        <w:t>If</w:t>
      </w:r>
      <w:r>
        <w:t xml:space="preserve"> </w:t>
      </w:r>
      <w:r w:rsidRPr="00C60499">
        <w:t xml:space="preserve">an applicant needs to make </w:t>
      </w:r>
      <w:r>
        <w:t xml:space="preserve">other </w:t>
      </w:r>
      <w:r w:rsidRPr="00C60499">
        <w:t xml:space="preserve">permissible minor changes to its </w:t>
      </w:r>
      <w:r w:rsidR="00952577">
        <w:t>Application</w:t>
      </w:r>
      <w:r w:rsidRPr="00C60499">
        <w:t xml:space="preserve"> Form</w:t>
      </w:r>
      <w:r w:rsidRPr="00936D0A">
        <w:t>,</w:t>
      </w:r>
      <w:r w:rsidRPr="00C60499">
        <w:t xml:space="preserve"> or changes to maintain the accuracy and completeness of its application pursuant to </w:t>
      </w:r>
      <w:r>
        <w:t>section</w:t>
      </w:r>
      <w:r w:rsidRPr="00C60499">
        <w:t xml:space="preserve"> 1.65</w:t>
      </w:r>
      <w:r w:rsidR="00A3286D">
        <w:t xml:space="preserve"> of the Commission’s rules</w:t>
      </w:r>
      <w:r w:rsidRPr="00C60499">
        <w:t xml:space="preserve">, the applicant must submit a letter briefly summarizing the changes to its </w:t>
      </w:r>
      <w:r w:rsidR="00952577">
        <w:t>Application</w:t>
      </w:r>
      <w:r>
        <w:t xml:space="preserve"> Form via</w:t>
      </w:r>
      <w:r w:rsidRPr="00C60499">
        <w:t xml:space="preserve"> </w:t>
      </w:r>
      <w:r>
        <w:t>electronic mail to the Bureau at</w:t>
      </w:r>
      <w:r w:rsidRPr="00C60499">
        <w:t xml:space="preserve"> </w:t>
      </w:r>
      <w:hyperlink r:id="rId5" w:history="1">
        <w:r w:rsidR="007F2BED">
          <w:rPr>
            <w:rStyle w:val="Hyperlink"/>
          </w:rPr>
          <w:t>ConnectAmerica</w:t>
        </w:r>
        <w:r w:rsidRPr="00F3262D" w:rsidR="007F2BED">
          <w:rPr>
            <w:rStyle w:val="Hyperlink"/>
          </w:rPr>
          <w:t>@fcc.gov</w:t>
        </w:r>
      </w:hyperlink>
      <w:r>
        <w:t xml:space="preserve">.  </w:t>
      </w:r>
      <w:r w:rsidRPr="00C60499">
        <w:t xml:space="preserve">The </w:t>
      </w:r>
      <w:r>
        <w:t>email</w:t>
      </w:r>
      <w:r w:rsidRPr="00C60499">
        <w:t xml:space="preserve"> summarizing the changes must include a subject </w:t>
      </w:r>
      <w:r>
        <w:t xml:space="preserve">line </w:t>
      </w:r>
      <w:r w:rsidRPr="00C60499">
        <w:t xml:space="preserve">referring to </w:t>
      </w:r>
      <w:r>
        <w:t>the Stage 2 Competition</w:t>
      </w:r>
      <w:r w:rsidRPr="00C60499">
        <w:t xml:space="preserve"> and the name of the applicant, for example, “Re: Changes to </w:t>
      </w:r>
      <w:r>
        <w:t>the Stage 2 Competition</w:t>
      </w:r>
      <w:r w:rsidRPr="00C60499">
        <w:t xml:space="preserve"> Application of XYZ Corp.”  Any attachments to </w:t>
      </w:r>
      <w:r>
        <w:t>the email</w:t>
      </w:r>
      <w:r w:rsidRPr="00C60499">
        <w:t xml:space="preserve"> must be formatted as Adobe® Acrobat® (PDF) or Microsoft® Word documents. </w:t>
      </w:r>
    </w:p>
    <w:p w:rsidR="003347F8" w:rsidP="00C34203" w14:paraId="07E33797" w14:textId="7C978C26">
      <w:pPr>
        <w:pStyle w:val="ParaNum"/>
        <w:widowControl/>
      </w:pPr>
      <w:r>
        <w:t xml:space="preserve">An applicant will not be able to modify any other </w:t>
      </w:r>
      <w:r w:rsidR="0034643B">
        <w:t xml:space="preserve">portions of the </w:t>
      </w:r>
      <w:r w:rsidR="001261D6">
        <w:t>Application</w:t>
      </w:r>
      <w:r w:rsidR="0034643B">
        <w:t xml:space="preserve"> Form</w:t>
      </w:r>
      <w:r w:rsidR="002C33AC">
        <w:t>,</w:t>
      </w:r>
      <w:r w:rsidR="0034643B">
        <w:t xml:space="preserve"> and in particular an applicant may not, after the filing deadline, add a proposal for an area</w:t>
      </w:r>
      <w:r w:rsidR="00E23F10">
        <w:t xml:space="preserve"> that it did</w:t>
      </w:r>
      <w:r w:rsidR="0034643B">
        <w:t xml:space="preserve"> not submit by the filing deadline or subtract a proposal from those areas </w:t>
      </w:r>
      <w:r w:rsidR="00E23F10">
        <w:t xml:space="preserve">that it </w:t>
      </w:r>
      <w:r w:rsidR="0034643B">
        <w:t xml:space="preserve">submitted by the filing deadline. </w:t>
      </w:r>
      <w:r>
        <w:t xml:space="preserve"> </w:t>
      </w:r>
      <w:r w:rsidRPr="00C60499">
        <w:t>Major modification</w:t>
      </w:r>
      <w:r w:rsidR="0082473A">
        <w:t>s</w:t>
      </w:r>
      <w:r w:rsidRPr="00C60499">
        <w:t xml:space="preserve"> to an </w:t>
      </w:r>
      <w:r w:rsidR="001261D6">
        <w:t>Application</w:t>
      </w:r>
      <w:r>
        <w:t xml:space="preserve"> Form </w:t>
      </w:r>
      <w:r w:rsidRPr="00C60499">
        <w:t xml:space="preserve">(e.g., </w:t>
      </w:r>
      <w:r w:rsidRPr="00C60499" w:rsidR="00CB4F8D">
        <w:t>changes in ownership that would constitute an assignment or transfer of control of the applicant, change in applicant’s legal classification that results in a change in control</w:t>
      </w:r>
      <w:r w:rsidR="00253754">
        <w:t>,</w:t>
      </w:r>
      <w:r w:rsidR="00CB4F8D">
        <w:t xml:space="preserve"> change in the area(s) for which proposals are submitted</w:t>
      </w:r>
      <w:r w:rsidRPr="00C60499">
        <w:t xml:space="preserve">) will not be permitted after the </w:t>
      </w:r>
      <w:r w:rsidR="001261D6">
        <w:t>Application</w:t>
      </w:r>
      <w:r>
        <w:t xml:space="preserve"> Form </w:t>
      </w:r>
      <w:r w:rsidRPr="00C60499">
        <w:t>filing deadline.</w:t>
      </w:r>
      <w:r>
        <w:rPr>
          <w:rStyle w:val="FootnoteReference"/>
        </w:rPr>
        <w:footnoteReference w:id="63"/>
      </w:r>
      <w:r w:rsidRPr="00C60499">
        <w:t xml:space="preserve">  If an amendment reporting change is a “major </w:t>
      </w:r>
      <w:r w:rsidR="00A3286D">
        <w:t>modification</w:t>
      </w:r>
      <w:r w:rsidRPr="00C60499">
        <w:t xml:space="preserve">,” the major </w:t>
      </w:r>
      <w:r w:rsidR="00A3286D">
        <w:t>modification</w:t>
      </w:r>
      <w:r w:rsidRPr="00C60499" w:rsidR="00A3286D">
        <w:t xml:space="preserve"> </w:t>
      </w:r>
      <w:r w:rsidRPr="00C60499">
        <w:t>will not be accepted and may result in the dismissal of the application.</w:t>
      </w:r>
      <w:r>
        <w:rPr>
          <w:rStyle w:val="FootnoteReference"/>
        </w:rPr>
        <w:footnoteReference w:id="64"/>
      </w:r>
    </w:p>
    <w:p w:rsidR="003347F8" w:rsidRPr="003347F8" w:rsidP="00673EAE" w14:paraId="0E2E1C63" w14:textId="34064D75">
      <w:pPr>
        <w:pStyle w:val="Heading5"/>
        <w:numPr>
          <w:ilvl w:val="3"/>
          <w:numId w:val="2"/>
        </w:numPr>
      </w:pPr>
      <w:bookmarkStart w:id="881" w:name="_Toc491262589"/>
      <w:bookmarkStart w:id="882" w:name="_Toc491263152"/>
      <w:bookmarkStart w:id="883" w:name="_Toc491676688"/>
      <w:bookmarkStart w:id="884" w:name="_Toc491677507"/>
      <w:bookmarkStart w:id="885" w:name="_Toc491697193"/>
      <w:bookmarkStart w:id="886" w:name="_Toc491765028"/>
      <w:bookmarkStart w:id="887" w:name="_Toc491765616"/>
      <w:bookmarkStart w:id="888" w:name="_Toc491786352"/>
      <w:bookmarkStart w:id="889" w:name="_Toc491789556"/>
      <w:bookmarkStart w:id="890" w:name="_Toc491849729"/>
      <w:bookmarkStart w:id="891" w:name="_Toc491850181"/>
      <w:bookmarkStart w:id="892" w:name="_Toc491850931"/>
      <w:bookmarkStart w:id="893" w:name="_Toc491941512"/>
      <w:bookmarkStart w:id="894" w:name="_Toc492976090"/>
      <w:bookmarkStart w:id="895" w:name="_Toc493232301"/>
      <w:bookmarkStart w:id="896" w:name="_Toc493234407"/>
      <w:bookmarkStart w:id="897" w:name="_Toc493244323"/>
      <w:bookmarkStart w:id="898" w:name="_Toc493772281"/>
      <w:bookmarkStart w:id="899" w:name="_Toc493862847"/>
      <w:bookmarkStart w:id="900" w:name="_Toc495058443"/>
      <w:bookmarkStart w:id="901" w:name="_Toc495678632"/>
      <w:bookmarkStart w:id="902" w:name="_Toc496104415"/>
      <w:bookmarkStart w:id="903" w:name="_Toc496619153"/>
      <w:bookmarkStart w:id="904" w:name="_Toc496620196"/>
      <w:bookmarkStart w:id="905" w:name="_Toc496780692"/>
      <w:bookmarkStart w:id="906" w:name="_Toc496886182"/>
      <w:bookmarkStart w:id="907" w:name="_Toc496889420"/>
      <w:bookmarkStart w:id="908" w:name="_Toc497122399"/>
      <w:bookmarkStart w:id="909" w:name="_Toc497214501"/>
      <w:bookmarkStart w:id="910" w:name="_Toc497403625"/>
      <w:bookmarkStart w:id="911" w:name="_Toc497490933"/>
      <w:bookmarkStart w:id="912" w:name="_Toc497914387"/>
      <w:bookmarkStart w:id="913" w:name="_Toc498007859"/>
      <w:bookmarkStart w:id="914" w:name="_Toc498008572"/>
      <w:bookmarkStart w:id="915" w:name="_Toc498442184"/>
      <w:bookmarkStart w:id="916" w:name="_Toc498505784"/>
      <w:bookmarkStart w:id="917" w:name="_Toc498507737"/>
      <w:bookmarkStart w:id="918" w:name="_Toc498519813"/>
      <w:bookmarkStart w:id="919" w:name="_Toc498527986"/>
      <w:bookmarkStart w:id="920" w:name="_Toc499285949"/>
      <w:bookmarkStart w:id="921" w:name="_Toc499794156"/>
      <w:bookmarkStart w:id="922" w:name="_Toc499902589"/>
      <w:bookmarkStart w:id="923" w:name="_Toc500921859"/>
      <w:bookmarkStart w:id="924" w:name="_Toc501095402"/>
      <w:bookmarkStart w:id="925" w:name="_Toc501361464"/>
      <w:bookmarkStart w:id="926" w:name="_Toc501361672"/>
      <w:bookmarkStart w:id="927" w:name="_Toc502758373"/>
      <w:bookmarkStart w:id="928" w:name="_Toc502845785"/>
      <w:bookmarkStart w:id="929" w:name="_Toc502926720"/>
      <w:bookmarkStart w:id="930" w:name="_Toc502932115"/>
      <w:bookmarkStart w:id="931" w:name="_Toc504660994"/>
      <w:bookmarkStart w:id="932" w:name="_Toc504721785"/>
      <w:bookmarkStart w:id="933" w:name="_Toc505008721"/>
      <w:bookmarkStart w:id="934" w:name="_Toc505161649"/>
      <w:bookmarkStart w:id="935" w:name="_Toc22643879"/>
      <w:r w:rsidRPr="003347F8">
        <w:t xml:space="preserve">Duty to Maintain Accuracy and Completeness of </w:t>
      </w:r>
      <w:r w:rsidR="001261D6">
        <w:t xml:space="preserve">the </w:t>
      </w:r>
      <w:r w:rsidR="00941095">
        <w:t xml:space="preserve">Application </w:t>
      </w:r>
      <w:r w:rsidRPr="003347F8">
        <w:t>Form</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3347F8" w:rsidP="003347F8" w14:paraId="012C46AE" w14:textId="08C3CAFE">
      <w:pPr>
        <w:pStyle w:val="ParaNum"/>
      </w:pPr>
      <w:r w:rsidRPr="00C60499">
        <w:t xml:space="preserve">Pursuant to </w:t>
      </w:r>
      <w:r>
        <w:t>section</w:t>
      </w:r>
      <w:r w:rsidRPr="00C60499">
        <w:t xml:space="preserve"> 1.65 of the Commission’s rules, each applicant has a continuing obligation to maintain the accuracy and completeness of information furnished in a pending application, including a pending application to participate in the </w:t>
      </w:r>
      <w:r>
        <w:t>Stage 2 Competition</w:t>
      </w:r>
      <w:r w:rsidRPr="00C60499">
        <w:t>.</w:t>
      </w:r>
      <w:r>
        <w:rPr>
          <w:rStyle w:val="FootnoteReference"/>
        </w:rPr>
        <w:footnoteReference w:id="65"/>
      </w:r>
      <w:r w:rsidRPr="00C60499">
        <w:t xml:space="preserve">  </w:t>
      </w:r>
      <w:r>
        <w:t>Consistent with the requirements for our spectrum competitions, a</w:t>
      </w:r>
      <w:r w:rsidRPr="00C60499">
        <w:t xml:space="preserve">n applicant </w:t>
      </w:r>
      <w:r>
        <w:t xml:space="preserve">for the Stage 2 Competition </w:t>
      </w:r>
      <w:r w:rsidRPr="00C60499">
        <w:t xml:space="preserve">must furnish additional or corrected information to the Commission within </w:t>
      </w:r>
      <w:r w:rsidRPr="000F23DE">
        <w:t>five</w:t>
      </w:r>
      <w:r>
        <w:t xml:space="preserve"> business</w:t>
      </w:r>
      <w:r w:rsidRPr="00C60499">
        <w:t xml:space="preserve"> days after a significant occurrence, or amend its </w:t>
      </w:r>
      <w:r w:rsidR="00C87203">
        <w:t>Application</w:t>
      </w:r>
      <w:r>
        <w:t xml:space="preserve"> Form </w:t>
      </w:r>
      <w:r w:rsidRPr="00C60499">
        <w:t xml:space="preserve">no more than </w:t>
      </w:r>
      <w:r w:rsidRPr="000F23DE">
        <w:t>five</w:t>
      </w:r>
      <w:r>
        <w:t xml:space="preserve"> business</w:t>
      </w:r>
      <w:r w:rsidRPr="00C60499">
        <w:t xml:space="preserve"> days after the applicant becomes aware of the need for the amendment.</w:t>
      </w:r>
      <w:r>
        <w:rPr>
          <w:rStyle w:val="FootnoteReference"/>
        </w:rPr>
        <w:footnoteReference w:id="66"/>
      </w:r>
      <w:r w:rsidRPr="00C60499">
        <w:t xml:space="preserve">  An applicant is obligated to amend its pending application even if a reported change may result in the dismissal of the application</w:t>
      </w:r>
      <w:r w:rsidRPr="003C7A0B">
        <w:t xml:space="preserve"> </w:t>
      </w:r>
      <w:r>
        <w:t xml:space="preserve">because it is subsequently determined to </w:t>
      </w:r>
      <w:r w:rsidRPr="00C60499">
        <w:t>be a major modification.</w:t>
      </w:r>
    </w:p>
    <w:p w:rsidR="003347F8" w:rsidP="003347F8" w14:paraId="3A351065" w14:textId="5A4F340F">
      <w:pPr>
        <w:pStyle w:val="ParaNum"/>
        <w:widowControl/>
        <w:ind w:left="90"/>
      </w:pPr>
      <w:r>
        <w:t>If, at any time,</w:t>
      </w:r>
      <w:r w:rsidRPr="00C60499">
        <w:t xml:space="preserve"> an applicant needs t</w:t>
      </w:r>
      <w:r w:rsidR="00673EAE">
        <w:t xml:space="preserve">o make </w:t>
      </w:r>
      <w:r w:rsidRPr="00C60499">
        <w:t xml:space="preserve">changes in order to maintain the accuracy and completeness of its application pursuant to </w:t>
      </w:r>
      <w:r>
        <w:t>section</w:t>
      </w:r>
      <w:r w:rsidRPr="00C60499">
        <w:t xml:space="preserve"> 1.65</w:t>
      </w:r>
      <w:r w:rsidR="00ED239C">
        <w:t xml:space="preserve"> of the Commission’s rules</w:t>
      </w:r>
      <w:r>
        <w:t>, it must make the change(s) by resubmitting its application with an email to the Bureau, which must include a</w:t>
      </w:r>
      <w:r w:rsidRPr="00C60499">
        <w:t xml:space="preserve"> re</w:t>
      </w:r>
      <w:r>
        <w:t>-</w:t>
      </w:r>
      <w:r w:rsidRPr="00C60499">
        <w:t>certif</w:t>
      </w:r>
      <w:r>
        <w:t>ication to confirm and effect the change(s)</w:t>
      </w:r>
      <w:r w:rsidRPr="00C60499">
        <w:t>.</w:t>
      </w:r>
      <w:r w:rsidRPr="001C36CF">
        <w:t xml:space="preserve"> </w:t>
      </w:r>
      <w:r>
        <w:t xml:space="preserve"> </w:t>
      </w:r>
    </w:p>
    <w:bookmarkEnd w:id="880"/>
    <w:p w:rsidR="003347F8" w:rsidRPr="00C60499" w:rsidP="003347F8" w14:paraId="20C2B874" w14:textId="0266CF15">
      <w:pPr>
        <w:pStyle w:val="ParaNum"/>
        <w:widowControl/>
        <w:autoSpaceDE w:val="0"/>
        <w:autoSpaceDN w:val="0"/>
        <w:adjustRightInd w:val="0"/>
        <w:ind w:left="90"/>
      </w:pPr>
      <w:r w:rsidRPr="00C60499">
        <w:t xml:space="preserve">As with </w:t>
      </w:r>
      <w:r>
        <w:t xml:space="preserve">filing </w:t>
      </w:r>
      <w:r w:rsidRPr="00C60499">
        <w:t xml:space="preserve">the </w:t>
      </w:r>
      <w:r w:rsidR="004507CF">
        <w:t>Application</w:t>
      </w:r>
      <w:r w:rsidRPr="00C60499">
        <w:t xml:space="preserve"> Form</w:t>
      </w:r>
      <w:r w:rsidRPr="00936D0A">
        <w:t>,</w:t>
      </w:r>
      <w:r w:rsidRPr="00C60499">
        <w:t xml:space="preserve"> any amendment</w:t>
      </w:r>
      <w:r>
        <w:t>(s)</w:t>
      </w:r>
      <w:r w:rsidRPr="00C60499">
        <w:t xml:space="preserve"> </w:t>
      </w:r>
      <w:r>
        <w:t xml:space="preserve">to the application </w:t>
      </w:r>
      <w:r w:rsidRPr="00C60499">
        <w:t xml:space="preserve">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3347F8" w:rsidRPr="00673EAE" w:rsidP="00673EAE" w14:paraId="2417A820" w14:textId="533902C4">
      <w:pPr>
        <w:pStyle w:val="ParaNum"/>
        <w:widowControl/>
        <w:ind w:left="90"/>
        <w:rPr>
          <w:szCs w:val="22"/>
        </w:rPr>
      </w:pPr>
      <w:r w:rsidRPr="00C60499">
        <w:t xml:space="preserve">Questions about </w:t>
      </w:r>
      <w:r w:rsidR="007D48B2">
        <w:t>Application</w:t>
      </w:r>
      <w:r>
        <w:t xml:space="preserve"> Form </w:t>
      </w:r>
      <w:r w:rsidRPr="00C60499">
        <w:t xml:space="preserve">amendments should be directed to the </w:t>
      </w:r>
      <w:r>
        <w:t>Telecommunications Access Policy Division, Wireline Competition Bureau</w:t>
      </w:r>
      <w:r w:rsidRPr="00C60499">
        <w:t xml:space="preserve"> at (202) 418</w:t>
      </w:r>
      <w:r w:rsidR="004412DB">
        <w:t>-0660.</w:t>
      </w:r>
    </w:p>
    <w:p w:rsidR="00673EAE" w:rsidP="00701932" w14:paraId="0982C53D" w14:textId="185CA05E">
      <w:pPr>
        <w:pStyle w:val="Heading2"/>
      </w:pPr>
      <w:bookmarkStart w:id="936" w:name="_Toc30099833"/>
      <w:bookmarkStart w:id="937" w:name="_Toc491262572"/>
      <w:bookmarkStart w:id="938" w:name="_Toc491263135"/>
      <w:bookmarkStart w:id="939" w:name="_Toc491676671"/>
      <w:bookmarkStart w:id="940" w:name="_Toc491677490"/>
      <w:bookmarkStart w:id="941" w:name="_Toc491697165"/>
      <w:bookmarkStart w:id="942" w:name="_Toc491765000"/>
      <w:bookmarkStart w:id="943" w:name="_Toc491765588"/>
      <w:bookmarkStart w:id="944" w:name="_Toc491786324"/>
      <w:bookmarkStart w:id="945" w:name="_Toc491789528"/>
      <w:bookmarkStart w:id="946" w:name="_Toc491849701"/>
      <w:bookmarkStart w:id="947" w:name="_Toc491850153"/>
      <w:bookmarkStart w:id="948" w:name="_Toc491850903"/>
      <w:bookmarkStart w:id="949" w:name="_Toc491941483"/>
      <w:bookmarkStart w:id="950" w:name="_Toc492976061"/>
      <w:bookmarkStart w:id="951" w:name="_Toc493232272"/>
      <w:bookmarkStart w:id="952" w:name="_Toc493234378"/>
      <w:bookmarkStart w:id="953" w:name="_Toc493244294"/>
      <w:bookmarkStart w:id="954" w:name="_Toc493772252"/>
      <w:bookmarkStart w:id="955" w:name="_Toc493862817"/>
      <w:bookmarkStart w:id="956" w:name="_Toc495058412"/>
      <w:bookmarkStart w:id="957" w:name="_Toc495678601"/>
      <w:bookmarkStart w:id="958" w:name="_Toc496104383"/>
      <w:bookmarkStart w:id="959" w:name="_Toc496619121"/>
      <w:bookmarkStart w:id="960" w:name="_Toc496620164"/>
      <w:bookmarkStart w:id="961" w:name="_Toc496780660"/>
      <w:bookmarkStart w:id="962" w:name="_Toc496886149"/>
      <w:bookmarkStart w:id="963" w:name="_Toc496889387"/>
      <w:bookmarkStart w:id="964" w:name="_Toc497122365"/>
      <w:bookmarkStart w:id="965" w:name="_Toc497214467"/>
      <w:bookmarkStart w:id="966" w:name="_Toc497403591"/>
      <w:bookmarkStart w:id="967" w:name="_Toc497490899"/>
      <w:bookmarkStart w:id="968" w:name="_Toc497914353"/>
      <w:bookmarkStart w:id="969" w:name="_Toc498007825"/>
      <w:bookmarkStart w:id="970" w:name="_Toc498008538"/>
      <w:bookmarkStart w:id="971" w:name="_Toc498442150"/>
      <w:bookmarkStart w:id="972" w:name="_Toc498505750"/>
      <w:bookmarkStart w:id="973" w:name="_Toc498507703"/>
      <w:bookmarkStart w:id="974" w:name="_Toc498519779"/>
      <w:bookmarkStart w:id="975" w:name="_Toc498527952"/>
      <w:bookmarkStart w:id="976" w:name="_Toc499285913"/>
      <w:bookmarkStart w:id="977" w:name="_Toc499794120"/>
      <w:bookmarkStart w:id="978" w:name="_Toc499902555"/>
      <w:bookmarkStart w:id="979" w:name="_Toc500921825"/>
      <w:bookmarkStart w:id="980" w:name="_Toc501095368"/>
      <w:bookmarkStart w:id="981" w:name="_Toc501361430"/>
      <w:bookmarkStart w:id="982" w:name="_Toc501361638"/>
      <w:bookmarkStart w:id="983" w:name="_Toc502758339"/>
      <w:bookmarkStart w:id="984" w:name="_Toc502845751"/>
      <w:bookmarkStart w:id="985" w:name="_Toc502926686"/>
      <w:bookmarkStart w:id="986" w:name="_Toc502932081"/>
      <w:bookmarkStart w:id="987" w:name="_Toc504660960"/>
      <w:bookmarkStart w:id="988" w:name="_Toc504721751"/>
      <w:bookmarkStart w:id="989" w:name="_Toc505008687"/>
      <w:bookmarkStart w:id="990" w:name="_Toc505161615"/>
      <w:bookmarkStart w:id="991" w:name="_Toc22643850"/>
      <w:bookmarkStart w:id="992" w:name="_Toc31809550"/>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Application Requirements</w:t>
      </w:r>
      <w:bookmarkEnd w:id="936"/>
      <w:bookmarkEnd w:id="992"/>
    </w:p>
    <w:p w:rsidR="002454C0" w:rsidP="00673EAE" w14:paraId="0A292A9D" w14:textId="103EC4AB">
      <w:pPr>
        <w:pStyle w:val="Heading3"/>
      </w:pPr>
      <w:bookmarkStart w:id="993" w:name="_Toc30099834"/>
      <w:bookmarkStart w:id="994" w:name="_Toc31809551"/>
      <w:r>
        <w:t>Disclosure of Agreements</w:t>
      </w:r>
      <w:bookmarkEnd w:id="993"/>
      <w:bookmarkEnd w:id="994"/>
      <w:r>
        <w:t xml:space="preserve"> </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2454C0" w:rsidP="005913B3" w14:paraId="685486A0" w14:textId="1074517B">
      <w:pPr>
        <w:pStyle w:val="ParaNum"/>
        <w:widowControl/>
        <w:rPr>
          <w:szCs w:val="22"/>
        </w:rPr>
      </w:pPr>
      <w:r>
        <w:rPr>
          <w:szCs w:val="22"/>
        </w:rPr>
        <w:t xml:space="preserve">An applicant must identify in its application all real parties in interest to any agreements relating to the participation of the applicant in the </w:t>
      </w:r>
      <w:r w:rsidR="00FD050E">
        <w:rPr>
          <w:szCs w:val="22"/>
        </w:rPr>
        <w:t>Stage 2</w:t>
      </w:r>
      <w:r w:rsidR="00604C25">
        <w:rPr>
          <w:szCs w:val="22"/>
        </w:rPr>
        <w:t xml:space="preserve"> Competition</w:t>
      </w:r>
      <w:r>
        <w:rPr>
          <w:szCs w:val="22"/>
        </w:rPr>
        <w:t>.</w:t>
      </w:r>
      <w:r>
        <w:rPr>
          <w:rStyle w:val="FootnoteReference"/>
          <w:szCs w:val="22"/>
        </w:rPr>
        <w:footnoteReference w:id="67"/>
      </w:r>
      <w:r>
        <w:rPr>
          <w:szCs w:val="22"/>
        </w:rPr>
        <w:t xml:space="preserve">  This disclosure requirement applies to any arrangements with parties that are applying to participate in </w:t>
      </w:r>
      <w:r w:rsidR="00604C25">
        <w:rPr>
          <w:szCs w:val="22"/>
        </w:rPr>
        <w:t xml:space="preserve">the </w:t>
      </w:r>
      <w:r w:rsidR="007E23F5">
        <w:rPr>
          <w:szCs w:val="22"/>
        </w:rPr>
        <w:t>Stage 2 Competition</w:t>
      </w:r>
      <w:r>
        <w:rPr>
          <w:szCs w:val="22"/>
        </w:rPr>
        <w:t xml:space="preserve"> as well as parties that are not.  </w:t>
      </w:r>
      <w:r w:rsidR="00604C25">
        <w:t>An</w:t>
      </w:r>
      <w:r>
        <w:t xml:space="preserve"> applicant that discloses any such agreement(s) in its application</w:t>
      </w:r>
      <w:r w:rsidR="00604C25">
        <w:t xml:space="preserve"> must also provide</w:t>
      </w:r>
      <w:r>
        <w:t xml:space="preserve"> a brief description of each agreement.</w:t>
      </w:r>
      <w:r>
        <w:rPr>
          <w:rStyle w:val="FootnoteReference"/>
        </w:rPr>
        <w:footnoteReference w:id="68"/>
      </w:r>
    </w:p>
    <w:p w:rsidR="002454C0" w:rsidRPr="0053082C" w:rsidP="002454C0" w14:paraId="0DBD8DCE" w14:textId="23781EFD">
      <w:pPr>
        <w:pStyle w:val="ParaNum"/>
        <w:rPr>
          <w:szCs w:val="22"/>
        </w:rPr>
      </w:pPr>
      <w:r w:rsidRPr="0053082C">
        <w:rPr>
          <w:szCs w:val="22"/>
        </w:rPr>
        <w:t xml:space="preserve">An applicant must certify under penalty of perjury in its application that it has disclosed all real parties in interest to any agreements involving the applicant’s participation in the </w:t>
      </w:r>
      <w:r w:rsidR="00FD050E">
        <w:rPr>
          <w:szCs w:val="22"/>
        </w:rPr>
        <w:t>Stage 2</w:t>
      </w:r>
      <w:r w:rsidR="00B53426">
        <w:rPr>
          <w:szCs w:val="22"/>
        </w:rPr>
        <w:t xml:space="preserve"> Competition</w:t>
      </w:r>
      <w:r w:rsidRPr="0053082C">
        <w:rPr>
          <w:szCs w:val="22"/>
        </w:rPr>
        <w:t>.</w:t>
      </w:r>
      <w:r>
        <w:rPr>
          <w:rStyle w:val="FootnoteReference"/>
          <w:sz w:val="22"/>
          <w:szCs w:val="22"/>
        </w:rPr>
        <w:footnoteReference w:id="69"/>
      </w:r>
      <w:r w:rsidRPr="0053082C">
        <w:rPr>
          <w:szCs w:val="22"/>
        </w:rPr>
        <w:t xml:space="preserve">  We require an applicant to certify under penalty of perjury that it has not entered into any explicit or implicit agreements, arrangements, or understandings of any kind related to the support to be sought through the </w:t>
      </w:r>
      <w:r w:rsidR="00FD050E">
        <w:rPr>
          <w:szCs w:val="22"/>
        </w:rPr>
        <w:t>Stage 2</w:t>
      </w:r>
      <w:r w:rsidR="00195055">
        <w:rPr>
          <w:szCs w:val="22"/>
        </w:rPr>
        <w:t xml:space="preserve"> C</w:t>
      </w:r>
      <w:r w:rsidR="00FD050E">
        <w:rPr>
          <w:szCs w:val="22"/>
        </w:rPr>
        <w:t>ompetition</w:t>
      </w:r>
      <w:r w:rsidRPr="0053082C">
        <w:rPr>
          <w:szCs w:val="22"/>
        </w:rPr>
        <w:t>, other than those disclosed in its application.</w:t>
      </w:r>
      <w:r>
        <w:rPr>
          <w:rStyle w:val="FootnoteReference"/>
          <w:sz w:val="22"/>
          <w:szCs w:val="22"/>
        </w:rPr>
        <w:footnoteReference w:id="70"/>
      </w:r>
      <w:r w:rsidRPr="0053082C">
        <w:rPr>
          <w:szCs w:val="22"/>
        </w:rPr>
        <w:t xml:space="preserve">  </w:t>
      </w:r>
      <w:r w:rsidRPr="0053082C">
        <w:rPr>
          <w:snapToGrid/>
          <w:kern w:val="0"/>
          <w:szCs w:val="22"/>
        </w:rPr>
        <w:t xml:space="preserve">For purposes of making the required agreement disclosures, if parties agree in principle on all material terms prior to the application filing deadline, each </w:t>
      </w:r>
      <w:r>
        <w:rPr>
          <w:snapToGrid/>
          <w:kern w:val="0"/>
          <w:szCs w:val="22"/>
        </w:rPr>
        <w:t>applicant</w:t>
      </w:r>
      <w:r w:rsidRPr="0053082C">
        <w:rPr>
          <w:snapToGrid/>
          <w:kern w:val="0"/>
          <w:szCs w:val="22"/>
        </w:rPr>
        <w:t xml:space="preserve"> should provide a brief description of, and identify the other party or parties to, the agreement on its respective </w:t>
      </w:r>
      <w:r w:rsidR="007D428D">
        <w:t>Application</w:t>
      </w:r>
      <w:r w:rsidRPr="0053082C">
        <w:rPr>
          <w:snapToGrid/>
          <w:kern w:val="0"/>
          <w:szCs w:val="22"/>
        </w:rPr>
        <w:t xml:space="preserve"> Form</w:t>
      </w:r>
      <w:r w:rsidRPr="00936D0A">
        <w:rPr>
          <w:snapToGrid/>
          <w:kern w:val="0"/>
          <w:szCs w:val="22"/>
        </w:rPr>
        <w:t>,</w:t>
      </w:r>
      <w:r w:rsidRPr="0053082C">
        <w:rPr>
          <w:snapToGrid/>
          <w:kern w:val="0"/>
          <w:szCs w:val="22"/>
        </w:rPr>
        <w:t xml:space="preserve"> even if the agreement has not been reduced to writing.  </w:t>
      </w:r>
      <w:r w:rsidRPr="0053082C">
        <w:rPr>
          <w:szCs w:val="22"/>
        </w:rPr>
        <w:t xml:space="preserve">If an applicant has had discussions, but </w:t>
      </w:r>
      <w:r w:rsidR="00195055">
        <w:rPr>
          <w:szCs w:val="22"/>
        </w:rPr>
        <w:t xml:space="preserve">it </w:t>
      </w:r>
      <w:r w:rsidRPr="0053082C">
        <w:rPr>
          <w:szCs w:val="22"/>
        </w:rPr>
        <w:t xml:space="preserve">has not reached an agreement by the close of the filing </w:t>
      </w:r>
      <w:r w:rsidR="00E66991">
        <w:rPr>
          <w:szCs w:val="22"/>
        </w:rPr>
        <w:t>deadline</w:t>
      </w:r>
      <w:r w:rsidRPr="0053082C">
        <w:rPr>
          <w:szCs w:val="22"/>
        </w:rPr>
        <w:t xml:space="preserve">, it should not include </w:t>
      </w:r>
      <w:r w:rsidR="00980580">
        <w:rPr>
          <w:szCs w:val="22"/>
        </w:rPr>
        <w:t>the matter</w:t>
      </w:r>
      <w:r w:rsidRPr="0053082C">
        <w:rPr>
          <w:szCs w:val="22"/>
        </w:rPr>
        <w:t xml:space="preserve"> on its application and may not continue such discussions with any applicants after the close of the filing window.</w:t>
      </w:r>
      <w:r>
        <w:rPr>
          <w:rStyle w:val="FootnoteReference"/>
          <w:sz w:val="22"/>
          <w:szCs w:val="22"/>
        </w:rPr>
        <w:footnoteReference w:id="71"/>
      </w:r>
      <w:r w:rsidRPr="0053082C">
        <w:rPr>
          <w:szCs w:val="22"/>
        </w:rPr>
        <w:t xml:space="preserve"> </w:t>
      </w:r>
    </w:p>
    <w:p w:rsidR="002454C0" w:rsidP="00673EAE" w14:paraId="3BF5DDF8" w14:textId="77777777">
      <w:pPr>
        <w:pStyle w:val="Heading3"/>
      </w:pPr>
      <w:bookmarkStart w:id="995" w:name="_Toc491262573"/>
      <w:bookmarkStart w:id="996" w:name="_Toc491263136"/>
      <w:bookmarkStart w:id="997" w:name="_Toc491676672"/>
      <w:bookmarkStart w:id="998" w:name="_Toc491677491"/>
      <w:bookmarkStart w:id="999" w:name="_Toc491697166"/>
      <w:bookmarkStart w:id="1000" w:name="_Toc491765001"/>
      <w:bookmarkStart w:id="1001" w:name="_Toc491765589"/>
      <w:bookmarkStart w:id="1002" w:name="_Toc491786325"/>
      <w:bookmarkStart w:id="1003" w:name="_Toc491789529"/>
      <w:bookmarkStart w:id="1004" w:name="_Toc491849702"/>
      <w:bookmarkStart w:id="1005" w:name="_Toc491850154"/>
      <w:bookmarkStart w:id="1006" w:name="_Toc491850904"/>
      <w:bookmarkStart w:id="1007" w:name="_Toc491941484"/>
      <w:bookmarkStart w:id="1008" w:name="_Toc492976062"/>
      <w:bookmarkStart w:id="1009" w:name="_Toc493232273"/>
      <w:bookmarkStart w:id="1010" w:name="_Toc493234379"/>
      <w:bookmarkStart w:id="1011" w:name="_Toc493244295"/>
      <w:bookmarkStart w:id="1012" w:name="_Toc493772253"/>
      <w:bookmarkStart w:id="1013" w:name="_Toc493862818"/>
      <w:bookmarkStart w:id="1014" w:name="_Toc495058413"/>
      <w:bookmarkStart w:id="1015" w:name="_Toc495678602"/>
      <w:bookmarkStart w:id="1016" w:name="_Toc496104384"/>
      <w:bookmarkStart w:id="1017" w:name="_Toc496619122"/>
      <w:bookmarkStart w:id="1018" w:name="_Toc496620165"/>
      <w:bookmarkStart w:id="1019" w:name="_Toc496780661"/>
      <w:bookmarkStart w:id="1020" w:name="_Toc496886150"/>
      <w:bookmarkStart w:id="1021" w:name="_Toc496889388"/>
      <w:bookmarkStart w:id="1022" w:name="_Toc497122366"/>
      <w:bookmarkStart w:id="1023" w:name="_Toc497214468"/>
      <w:bookmarkStart w:id="1024" w:name="_Toc497403592"/>
      <w:bookmarkStart w:id="1025" w:name="_Toc497490900"/>
      <w:bookmarkStart w:id="1026" w:name="_Toc497914354"/>
      <w:bookmarkStart w:id="1027" w:name="_Toc498007826"/>
      <w:bookmarkStart w:id="1028" w:name="_Toc498008539"/>
      <w:bookmarkStart w:id="1029" w:name="_Toc498442151"/>
      <w:bookmarkStart w:id="1030" w:name="_Toc498505751"/>
      <w:bookmarkStart w:id="1031" w:name="_Toc498507704"/>
      <w:bookmarkStart w:id="1032" w:name="_Toc498519780"/>
      <w:bookmarkStart w:id="1033" w:name="_Toc498527953"/>
      <w:bookmarkStart w:id="1034" w:name="_Toc499285914"/>
      <w:bookmarkStart w:id="1035" w:name="_Toc499794121"/>
      <w:bookmarkStart w:id="1036" w:name="_Toc499902556"/>
      <w:bookmarkStart w:id="1037" w:name="_Toc500921826"/>
      <w:bookmarkStart w:id="1038" w:name="_Toc501095369"/>
      <w:bookmarkStart w:id="1039" w:name="_Toc501361431"/>
      <w:bookmarkStart w:id="1040" w:name="_Toc501361639"/>
      <w:bookmarkStart w:id="1041" w:name="_Toc502758340"/>
      <w:bookmarkStart w:id="1042" w:name="_Toc502845752"/>
      <w:bookmarkStart w:id="1043" w:name="_Toc502926687"/>
      <w:bookmarkStart w:id="1044" w:name="_Toc502932082"/>
      <w:bookmarkStart w:id="1045" w:name="_Toc504660961"/>
      <w:bookmarkStart w:id="1046" w:name="_Toc504721752"/>
      <w:bookmarkStart w:id="1047" w:name="_Toc505008688"/>
      <w:bookmarkStart w:id="1048" w:name="_Toc505161616"/>
      <w:bookmarkStart w:id="1049" w:name="_Toc22643851"/>
      <w:bookmarkStart w:id="1050" w:name="_Toc30099835"/>
      <w:bookmarkStart w:id="1051" w:name="_Toc31809552"/>
      <w:r>
        <w:t>Ownership Disclosure Requirements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2454C0" w:rsidP="002454C0" w14:paraId="62514D88" w14:textId="0DFB278F">
      <w:pPr>
        <w:pStyle w:val="ParaNum"/>
        <w:rPr>
          <w:szCs w:val="22"/>
        </w:rPr>
      </w:pPr>
      <w:r>
        <w:rPr>
          <w:szCs w:val="22"/>
        </w:rPr>
        <w:t>Each applicant must comply with the ownership disclosure requirements in sections 1.2112(a) and 54.315(a)(1) of the Commission’s rules.</w:t>
      </w:r>
      <w:r>
        <w:rPr>
          <w:rStyle w:val="FootnoteReference"/>
          <w:szCs w:val="22"/>
        </w:rPr>
        <w:footnoteReference w:id="72"/>
      </w:r>
      <w:r>
        <w:rPr>
          <w:szCs w:val="22"/>
        </w:rPr>
        <w:t xml:space="preserve">  Specifically, in completing the application, an applicant must fully disclose information regarding the real party- or parties-in-interest in the applicant and the </w:t>
      </w:r>
      <w:r w:rsidRPr="00385714">
        <w:t>ownership</w:t>
      </w:r>
      <w:r>
        <w:rPr>
          <w:szCs w:val="22"/>
        </w:rPr>
        <w:t xml:space="preserve"> structure of the applicant, including both direct and indirect ownership interests of 10</w:t>
      </w:r>
      <w:r w:rsidR="001465A4">
        <w:rPr>
          <w:szCs w:val="22"/>
        </w:rPr>
        <w:t>%</w:t>
      </w:r>
      <w:r>
        <w:rPr>
          <w:szCs w:val="22"/>
        </w:rPr>
        <w:t xml:space="preserve"> or more, as prescribed in section 1.2112(a) of the Commission’s rules.</w:t>
      </w:r>
      <w:r>
        <w:rPr>
          <w:rStyle w:val="FootnoteReference"/>
          <w:szCs w:val="22"/>
        </w:rPr>
        <w:footnoteReference w:id="73"/>
      </w:r>
      <w:r>
        <w:rPr>
          <w:szCs w:val="22"/>
        </w:rPr>
        <w:t xml:space="preserve">  Each applicant is responsible for ensuring that information submitted in its application is complete and accurate. </w:t>
      </w:r>
    </w:p>
    <w:p w:rsidR="002454C0" w:rsidP="002454C0" w14:paraId="64183D76" w14:textId="23D57B1C">
      <w:pPr>
        <w:pStyle w:val="ParaNum"/>
      </w:pPr>
      <w:r>
        <w:t>In certain circumstances, an applicant</w:t>
      </w:r>
      <w:r w:rsidRPr="00644E17">
        <w:t xml:space="preserve"> </w:t>
      </w:r>
      <w:r w:rsidRPr="00447B37">
        <w:t>may have previously filed an FCC Form 602 ownership disclosure information repo</w:t>
      </w:r>
      <w:r>
        <w:t xml:space="preserve">rt or filed </w:t>
      </w:r>
      <w:r w:rsidR="00897D13">
        <w:t>a</w:t>
      </w:r>
      <w:r>
        <w:t xml:space="preserve"> </w:t>
      </w:r>
      <w:r w:rsidR="00FD050E">
        <w:t>competition</w:t>
      </w:r>
      <w:r>
        <w:t xml:space="preserve"> application </w:t>
      </w:r>
      <w:r w:rsidRPr="00447B37">
        <w:t xml:space="preserve">for a previous </w:t>
      </w:r>
      <w:r w:rsidR="00FD050E">
        <w:t>competition</w:t>
      </w:r>
      <w:r w:rsidRPr="00447B37">
        <w:t xml:space="preserve"> in which ownership information was disclosed.</w:t>
      </w:r>
      <w:r>
        <w:t xml:space="preserve">  </w:t>
      </w:r>
      <w:r w:rsidR="00897D13">
        <w:t>Although an applicant might have filed</w:t>
      </w:r>
      <w:r>
        <w:t xml:space="preserve"> </w:t>
      </w:r>
      <w:r w:rsidR="00897D13">
        <w:t>this information</w:t>
      </w:r>
      <w:r>
        <w:t xml:space="preserve"> </w:t>
      </w:r>
      <w:r w:rsidR="00897D13">
        <w:t>using</w:t>
      </w:r>
      <w:r>
        <w:t xml:space="preserve"> the same FRN</w:t>
      </w:r>
      <w:r w:rsidR="00897D13">
        <w:t>,</w:t>
      </w:r>
      <w:r>
        <w:t xml:space="preserve"> the applicant </w:t>
      </w:r>
      <w:r w:rsidR="00897D13">
        <w:t>should re</w:t>
      </w:r>
      <w:r>
        <w:t xml:space="preserve">submit </w:t>
      </w:r>
      <w:r w:rsidR="00897D13">
        <w:t>that information in its</w:t>
      </w:r>
      <w:r>
        <w:t xml:space="preserve"> </w:t>
      </w:r>
      <w:r w:rsidR="00F830D2">
        <w:t xml:space="preserve">Application </w:t>
      </w:r>
      <w:r w:rsidR="00FD050E">
        <w:t>Form</w:t>
      </w:r>
      <w:r w:rsidRPr="00936D0A">
        <w:t>.</w:t>
      </w:r>
      <w:r>
        <w:t xml:space="preserve">  </w:t>
      </w:r>
      <w:r w:rsidR="00897D13">
        <w:t xml:space="preserve">  </w:t>
      </w:r>
      <w:r>
        <w:t xml:space="preserve">Each applicant must carefully review any ownership information </w:t>
      </w:r>
      <w:r w:rsidR="00897D13">
        <w:t>contained in</w:t>
      </w:r>
      <w:r>
        <w:t xml:space="preserve"> its </w:t>
      </w:r>
      <w:r w:rsidR="00513E90">
        <w:t xml:space="preserve">Application </w:t>
      </w:r>
      <w:r>
        <w:t>Form</w:t>
      </w:r>
      <w:r w:rsidR="00513E90">
        <w:t>,</w:t>
      </w:r>
      <w:r>
        <w:t xml:space="preserve"> including any ownership attachments, to confirm that all information supplied on </w:t>
      </w:r>
      <w:r w:rsidR="00897D13">
        <w:t xml:space="preserve">the </w:t>
      </w:r>
      <w:r w:rsidR="00513E90">
        <w:t>Application</w:t>
      </w:r>
      <w:r w:rsidR="00FD050E">
        <w:t xml:space="preserve"> Form </w:t>
      </w:r>
      <w:r>
        <w:t xml:space="preserve">is complete and accurate as of the application filing deadline </w:t>
      </w:r>
      <w:r w:rsidR="00897D13">
        <w:t>for the</w:t>
      </w:r>
      <w:r>
        <w:t xml:space="preserve"> </w:t>
      </w:r>
      <w:r w:rsidR="007E23F5">
        <w:t>Stage 2 Competition</w:t>
      </w:r>
      <w:r>
        <w:t xml:space="preserve">.  </w:t>
      </w:r>
      <w:r w:rsidR="00897D13">
        <w:t xml:space="preserve">An applicant should note if there are any changes to information recently submitted.  </w:t>
      </w:r>
      <w:r>
        <w:t xml:space="preserve">Any information that needs to be corrected or updated must be changed in </w:t>
      </w:r>
      <w:r w:rsidR="00976A38">
        <w:t>the Application</w:t>
      </w:r>
      <w:r>
        <w:t xml:space="preserve"> Form</w:t>
      </w:r>
      <w:r w:rsidR="00976A38">
        <w:t>.</w:t>
      </w:r>
    </w:p>
    <w:p w:rsidR="002454C0" w:rsidP="00673EAE" w14:paraId="10FAB6A8" w14:textId="77777777">
      <w:pPr>
        <w:pStyle w:val="Heading3"/>
      </w:pPr>
      <w:bookmarkStart w:id="1052" w:name="_Toc491941485"/>
      <w:bookmarkStart w:id="1053" w:name="_Toc492976063"/>
      <w:bookmarkStart w:id="1054" w:name="_Toc493232274"/>
      <w:bookmarkStart w:id="1055" w:name="_Toc493234380"/>
      <w:bookmarkStart w:id="1056" w:name="_Toc493244296"/>
      <w:bookmarkStart w:id="1057" w:name="_Toc493772254"/>
      <w:bookmarkStart w:id="1058" w:name="_Toc493862819"/>
      <w:bookmarkStart w:id="1059" w:name="_Toc495058414"/>
      <w:bookmarkStart w:id="1060" w:name="_Toc495678603"/>
      <w:bookmarkStart w:id="1061" w:name="_Toc496104385"/>
      <w:bookmarkStart w:id="1062" w:name="_Toc496619123"/>
      <w:bookmarkStart w:id="1063" w:name="_Toc496620166"/>
      <w:bookmarkStart w:id="1064" w:name="_Toc496780662"/>
      <w:bookmarkStart w:id="1065" w:name="_Toc496886151"/>
      <w:bookmarkStart w:id="1066" w:name="_Toc496889389"/>
      <w:bookmarkStart w:id="1067" w:name="_Toc497122367"/>
      <w:bookmarkStart w:id="1068" w:name="_Toc497214469"/>
      <w:bookmarkStart w:id="1069" w:name="_Toc497403593"/>
      <w:bookmarkStart w:id="1070" w:name="_Toc497490901"/>
      <w:bookmarkStart w:id="1071" w:name="_Toc497914355"/>
      <w:bookmarkStart w:id="1072" w:name="_Toc498007827"/>
      <w:bookmarkStart w:id="1073" w:name="_Toc498008540"/>
      <w:bookmarkStart w:id="1074" w:name="_Toc498442152"/>
      <w:bookmarkStart w:id="1075" w:name="_Toc498505752"/>
      <w:bookmarkStart w:id="1076" w:name="_Toc498507705"/>
      <w:bookmarkStart w:id="1077" w:name="_Toc498519781"/>
      <w:bookmarkStart w:id="1078" w:name="_Toc498527954"/>
      <w:bookmarkStart w:id="1079" w:name="_Toc499285915"/>
      <w:bookmarkStart w:id="1080" w:name="_Toc499794122"/>
      <w:bookmarkStart w:id="1081" w:name="_Toc499902557"/>
      <w:bookmarkStart w:id="1082" w:name="_Toc500921827"/>
      <w:bookmarkStart w:id="1083" w:name="_Toc501095370"/>
      <w:bookmarkStart w:id="1084" w:name="_Toc501361432"/>
      <w:bookmarkStart w:id="1085" w:name="_Toc501361640"/>
      <w:bookmarkStart w:id="1086" w:name="_Toc502758341"/>
      <w:bookmarkStart w:id="1087" w:name="_Toc502845753"/>
      <w:bookmarkStart w:id="1088" w:name="_Toc502926688"/>
      <w:bookmarkStart w:id="1089" w:name="_Toc502932083"/>
      <w:bookmarkStart w:id="1090" w:name="_Toc504660962"/>
      <w:bookmarkStart w:id="1091" w:name="_Toc504721753"/>
      <w:bookmarkStart w:id="1092" w:name="_Toc505008689"/>
      <w:bookmarkStart w:id="1093" w:name="_Toc505161617"/>
      <w:bookmarkStart w:id="1094" w:name="_Toc22643852"/>
      <w:bookmarkStart w:id="1095" w:name="_Toc30099836"/>
      <w:bookmarkStart w:id="1096" w:name="_Toc491262574"/>
      <w:bookmarkStart w:id="1097" w:name="_Toc491263137"/>
      <w:bookmarkStart w:id="1098" w:name="_Toc491676673"/>
      <w:bookmarkStart w:id="1099" w:name="_Toc491677492"/>
      <w:bookmarkStart w:id="1100" w:name="_Toc491697167"/>
      <w:bookmarkStart w:id="1101" w:name="_Toc491765002"/>
      <w:bookmarkStart w:id="1102" w:name="_Toc491765590"/>
      <w:bookmarkStart w:id="1103" w:name="_Toc491786326"/>
      <w:bookmarkStart w:id="1104" w:name="_Toc491789530"/>
      <w:bookmarkStart w:id="1105" w:name="_Toc491849703"/>
      <w:bookmarkStart w:id="1106" w:name="_Toc491850155"/>
      <w:bookmarkStart w:id="1107" w:name="_Toc491850905"/>
      <w:bookmarkStart w:id="1108" w:name="_Toc31809553"/>
      <w:r>
        <w:t>Specific Universal Service Certifications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108"/>
    </w:p>
    <w:p w:rsidR="002454C0" w:rsidP="002454C0" w14:paraId="7D3DF5E3" w14:textId="68D52DF1">
      <w:pPr>
        <w:pStyle w:val="ParaNum"/>
        <w:widowControl/>
      </w:pPr>
      <w:r>
        <w:t xml:space="preserve">An applicant must certify that it </w:t>
      </w:r>
      <w:r w:rsidRPr="00FD3292">
        <w:t xml:space="preserve">is in compliance with all statutory and regulatory requirements for receiving </w:t>
      </w:r>
      <w:r w:rsidR="00D604C8">
        <w:t>Stage 2</w:t>
      </w:r>
      <w:r w:rsidRPr="00FD3292">
        <w:t xml:space="preserve"> universal service support</w:t>
      </w:r>
      <w:r>
        <w:t>.</w:t>
      </w:r>
      <w:r>
        <w:rPr>
          <w:rStyle w:val="FootnoteReference"/>
        </w:rPr>
        <w:footnoteReference w:id="74"/>
      </w:r>
      <w:r>
        <w:t xml:space="preserve">  Alternatively, i</w:t>
      </w:r>
      <w:r w:rsidRPr="00FD3292">
        <w:t xml:space="preserve">f expressly allowed by the rules specific to a high-cost support mechanism, </w:t>
      </w:r>
      <w:r>
        <w:t xml:space="preserve">an applicant may certify </w:t>
      </w:r>
      <w:r w:rsidRPr="00FD3292">
        <w:t xml:space="preserve">that </w:t>
      </w:r>
      <w:r>
        <w:t xml:space="preserve">it </w:t>
      </w:r>
      <w:r w:rsidRPr="00FD3292">
        <w:t xml:space="preserve">acknowledges that it must be in compliance with such requirements before being authorized to receive </w:t>
      </w:r>
      <w:r w:rsidR="00FD050E">
        <w:t>Stage 2</w:t>
      </w:r>
      <w:r w:rsidR="00D604C8">
        <w:t xml:space="preserve"> </w:t>
      </w:r>
      <w:r w:rsidRPr="00FD3292">
        <w:t>support</w:t>
      </w:r>
      <w:r>
        <w:t>.</w:t>
      </w:r>
      <w:r>
        <w:rPr>
          <w:rStyle w:val="FootnoteReference"/>
        </w:rPr>
        <w:footnoteReference w:id="75"/>
      </w:r>
      <w:r>
        <w:t xml:space="preserve">    </w:t>
      </w:r>
    </w:p>
    <w:p w:rsidR="002454C0" w:rsidRPr="00FD3292" w:rsidP="002454C0" w14:paraId="4D0F01C5" w14:textId="1D337877">
      <w:pPr>
        <w:pStyle w:val="ParaNum"/>
      </w:pPr>
      <w:r>
        <w:t xml:space="preserve">In addition, </w:t>
      </w:r>
      <w:r w:rsidR="003B60CB">
        <w:t xml:space="preserve">we require that </w:t>
      </w:r>
      <w:r>
        <w:t>an applicant must certify that it</w:t>
      </w:r>
      <w:r w:rsidRPr="00FD3292">
        <w:t xml:space="preserve"> will make any </w:t>
      </w:r>
      <w:r>
        <w:t xml:space="preserve">default </w:t>
      </w:r>
      <w:r w:rsidRPr="00FD3292">
        <w:t>payment that may be required</w:t>
      </w:r>
      <w:r>
        <w:t xml:space="preserve"> and that it is aware that if its application is shown to be defective, the application may be dismissed without further consideration and penalties may apply.</w:t>
      </w:r>
    </w:p>
    <w:p w:rsidR="002454C0" w:rsidP="00673EAE" w14:paraId="53C3C998" w14:textId="77777777">
      <w:pPr>
        <w:pStyle w:val="Heading3"/>
      </w:pPr>
      <w:bookmarkStart w:id="1109" w:name="_Toc491941486"/>
      <w:bookmarkStart w:id="1110" w:name="_Toc492976064"/>
      <w:bookmarkStart w:id="1111" w:name="_Toc493232275"/>
      <w:bookmarkStart w:id="1112" w:name="_Toc493234381"/>
      <w:bookmarkStart w:id="1113" w:name="_Toc493244297"/>
      <w:bookmarkStart w:id="1114" w:name="_Toc493772255"/>
      <w:bookmarkStart w:id="1115" w:name="_Toc493862820"/>
      <w:bookmarkStart w:id="1116" w:name="_Toc495058415"/>
      <w:bookmarkStart w:id="1117" w:name="_Toc495678604"/>
      <w:bookmarkStart w:id="1118" w:name="_Toc496104386"/>
      <w:bookmarkStart w:id="1119" w:name="_Toc496619124"/>
      <w:bookmarkStart w:id="1120" w:name="_Toc496620167"/>
      <w:bookmarkStart w:id="1121" w:name="_Toc496780663"/>
      <w:bookmarkStart w:id="1122" w:name="_Toc496886152"/>
      <w:bookmarkStart w:id="1123" w:name="_Toc496889390"/>
      <w:bookmarkStart w:id="1124" w:name="_Toc497122368"/>
      <w:bookmarkStart w:id="1125" w:name="_Toc497214470"/>
      <w:bookmarkStart w:id="1126" w:name="_Toc497403594"/>
      <w:bookmarkStart w:id="1127" w:name="_Toc497490902"/>
      <w:bookmarkStart w:id="1128" w:name="_Toc497914356"/>
      <w:bookmarkStart w:id="1129" w:name="_Toc498007828"/>
      <w:bookmarkStart w:id="1130" w:name="_Toc498008541"/>
      <w:bookmarkStart w:id="1131" w:name="_Toc498442153"/>
      <w:bookmarkStart w:id="1132" w:name="_Toc498505753"/>
      <w:bookmarkStart w:id="1133" w:name="_Toc498507706"/>
      <w:bookmarkStart w:id="1134" w:name="_Toc498519782"/>
      <w:bookmarkStart w:id="1135" w:name="_Toc498527955"/>
      <w:bookmarkStart w:id="1136" w:name="_Toc499285916"/>
      <w:bookmarkStart w:id="1137" w:name="_Toc499794123"/>
      <w:bookmarkStart w:id="1138" w:name="_Toc499902558"/>
      <w:bookmarkStart w:id="1139" w:name="_Toc500921828"/>
      <w:bookmarkStart w:id="1140" w:name="_Toc501095371"/>
      <w:bookmarkStart w:id="1141" w:name="_Toc501361433"/>
      <w:bookmarkStart w:id="1142" w:name="_Toc501361641"/>
      <w:bookmarkStart w:id="1143" w:name="_Toc502758342"/>
      <w:bookmarkStart w:id="1144" w:name="_Toc502845754"/>
      <w:bookmarkStart w:id="1145" w:name="_Toc502926689"/>
      <w:bookmarkStart w:id="1146" w:name="_Toc502932084"/>
      <w:bookmarkStart w:id="1147" w:name="_Toc504660963"/>
      <w:bookmarkStart w:id="1148" w:name="_Toc504721754"/>
      <w:bookmarkStart w:id="1149" w:name="_Toc505008690"/>
      <w:bookmarkStart w:id="1150" w:name="_Toc505161618"/>
      <w:bookmarkStart w:id="1151" w:name="_Toc22643853"/>
      <w:bookmarkStart w:id="1152" w:name="_Toc30099837"/>
      <w:bookmarkStart w:id="1153" w:name="_Toc31809554"/>
      <w:r>
        <w:t xml:space="preserve">Specific </w:t>
      </w:r>
      <w:r w:rsidR="007E23F5">
        <w:t>Stage 2</w:t>
      </w:r>
      <w:r>
        <w:t xml:space="preserve"> Eligibility Requirements and Certifications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2454C0" w:rsidP="00673EAE" w14:paraId="19199CB2" w14:textId="77777777">
      <w:pPr>
        <w:pStyle w:val="Heading4"/>
      </w:pPr>
      <w:bookmarkStart w:id="1154" w:name="_Toc496886154"/>
      <w:bookmarkStart w:id="1155" w:name="_Toc496889392"/>
      <w:bookmarkStart w:id="1156" w:name="_Toc497122370"/>
      <w:bookmarkStart w:id="1157" w:name="_Toc497214472"/>
      <w:bookmarkStart w:id="1158" w:name="_Toc497403596"/>
      <w:bookmarkStart w:id="1159" w:name="_Toc497490904"/>
      <w:bookmarkStart w:id="1160" w:name="_Toc497914358"/>
      <w:bookmarkStart w:id="1161" w:name="_Toc498007830"/>
      <w:bookmarkStart w:id="1162" w:name="_Toc498008543"/>
      <w:bookmarkStart w:id="1163" w:name="_Toc498442155"/>
      <w:bookmarkStart w:id="1164" w:name="_Toc498505755"/>
      <w:bookmarkStart w:id="1165" w:name="_Toc498507708"/>
      <w:bookmarkStart w:id="1166" w:name="_Toc498519784"/>
      <w:bookmarkStart w:id="1167" w:name="_Toc498527957"/>
      <w:bookmarkStart w:id="1168" w:name="_Toc499285918"/>
      <w:bookmarkStart w:id="1169" w:name="_Toc499794125"/>
      <w:bookmarkStart w:id="1170" w:name="_Toc499902560"/>
      <w:bookmarkStart w:id="1171" w:name="_Toc500921830"/>
      <w:bookmarkStart w:id="1172" w:name="_Toc501095373"/>
      <w:bookmarkStart w:id="1173" w:name="_Toc501361435"/>
      <w:bookmarkStart w:id="1174" w:name="_Toc501361643"/>
      <w:bookmarkStart w:id="1175" w:name="_Toc502758344"/>
      <w:bookmarkStart w:id="1176" w:name="_Toc502845756"/>
      <w:bookmarkStart w:id="1177" w:name="_Toc502926691"/>
      <w:bookmarkStart w:id="1178" w:name="_Toc502932086"/>
      <w:bookmarkStart w:id="1179" w:name="_Toc504660965"/>
      <w:bookmarkStart w:id="1180" w:name="_Toc504721756"/>
      <w:bookmarkStart w:id="1181" w:name="_Toc505008692"/>
      <w:bookmarkStart w:id="1182" w:name="_Toc505161620"/>
      <w:bookmarkStart w:id="1183" w:name="_Toc22643854"/>
      <w:bookmarkStart w:id="1184" w:name="_Toc495058417"/>
      <w:bookmarkStart w:id="1185" w:name="_Toc495678606"/>
      <w:bookmarkStart w:id="1186" w:name="_Toc496104388"/>
      <w:bookmarkStart w:id="1187" w:name="_Toc496619126"/>
      <w:bookmarkStart w:id="1188" w:name="_Toc496620169"/>
      <w:bookmarkStart w:id="1189" w:name="_Toc496780665"/>
      <w:bookmarkStart w:id="1190" w:name="_Toc484779505"/>
      <w:bookmarkStart w:id="1191" w:name="_Toc485026103"/>
      <w:bookmarkStart w:id="1192" w:name="_Toc485108661"/>
      <w:bookmarkStart w:id="1193" w:name="_Toc485142650"/>
      <w:bookmarkStart w:id="1194" w:name="_Toc485312848"/>
      <w:bookmarkStart w:id="1195" w:name="_Toc485653034"/>
      <w:bookmarkStart w:id="1196" w:name="_Toc485736908"/>
      <w:bookmarkStart w:id="1197" w:name="_Toc485830545"/>
      <w:bookmarkStart w:id="1198" w:name="_Toc485914100"/>
      <w:bookmarkStart w:id="1199" w:name="_Toc486434289"/>
      <w:bookmarkStart w:id="1200" w:name="_Toc486580248"/>
      <w:bookmarkStart w:id="1201" w:name="_Toc486580493"/>
      <w:bookmarkStart w:id="1202" w:name="_Toc486580618"/>
      <w:bookmarkStart w:id="1203" w:name="_Toc486592714"/>
      <w:bookmarkStart w:id="1204" w:name="_Toc487191742"/>
      <w:bookmarkStart w:id="1205" w:name="_Toc487450650"/>
      <w:bookmarkStart w:id="1206" w:name="_Toc487552683"/>
      <w:bookmarkStart w:id="1207" w:name="_Toc487553968"/>
      <w:bookmarkStart w:id="1208" w:name="_Toc487619799"/>
      <w:bookmarkStart w:id="1209" w:name="_Toc489345730"/>
      <w:bookmarkStart w:id="1210" w:name="_Toc491262576"/>
      <w:bookmarkStart w:id="1211" w:name="_Toc491263139"/>
      <w:bookmarkStart w:id="1212" w:name="_Toc491676675"/>
      <w:bookmarkStart w:id="1213" w:name="_Toc491677494"/>
      <w:bookmarkStart w:id="1214" w:name="_Toc491697169"/>
      <w:bookmarkStart w:id="1215" w:name="_Toc491765004"/>
      <w:bookmarkStart w:id="1216" w:name="_Toc491765592"/>
      <w:bookmarkStart w:id="1217" w:name="_Toc491786328"/>
      <w:bookmarkStart w:id="1218" w:name="_Toc491789532"/>
      <w:bookmarkStart w:id="1219" w:name="_Toc491849705"/>
      <w:bookmarkStart w:id="1220" w:name="_Toc491850157"/>
      <w:bookmarkStart w:id="1221" w:name="_Toc491850907"/>
      <w:bookmarkStart w:id="1222" w:name="_Toc491941488"/>
      <w:bookmarkStart w:id="1223" w:name="_Toc492976066"/>
      <w:bookmarkStart w:id="1224" w:name="_Toc493232277"/>
      <w:bookmarkStart w:id="1225" w:name="_Toc493234383"/>
      <w:bookmarkStart w:id="1226" w:name="_Toc493244299"/>
      <w:bookmarkStart w:id="1227" w:name="_Toc493772257"/>
      <w:bookmarkStart w:id="1228" w:name="_Toc493862822"/>
      <w:r>
        <w:t>Operational History</w:t>
      </w:r>
      <w:bookmarkEnd w:id="1154"/>
      <w:bookmarkEnd w:id="1155"/>
      <w:bookmarkEnd w:id="1156"/>
      <w:bookmarkEnd w:id="1157"/>
      <w:r>
        <w:t xml:space="preserve"> and Submission of Financial Statements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t xml:space="preserve"> </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FD050E" w:rsidRPr="00FD050E" w:rsidP="007C0A44" w14:paraId="52604D51" w14:textId="0DF20050">
      <w:pPr>
        <w:pStyle w:val="ParaNum"/>
      </w:pPr>
      <w:r>
        <w:t xml:space="preserve">In the </w:t>
      </w:r>
      <w:r>
        <w:rPr>
          <w:i/>
        </w:rPr>
        <w:t>PR-USVI Stage 2 Order</w:t>
      </w:r>
      <w:r>
        <w:t xml:space="preserve">, the Commission established </w:t>
      </w:r>
      <w:r w:rsidR="00D604C8">
        <w:t xml:space="preserve">that </w:t>
      </w:r>
      <w:r>
        <w:t xml:space="preserve">an applicant </w:t>
      </w:r>
      <w:r w:rsidR="00D604C8">
        <w:t>must</w:t>
      </w:r>
      <w:r>
        <w:t xml:space="preserve"> demonstrate its operational experience and financial qualifications to participate in the Stage 2</w:t>
      </w:r>
      <w:r w:rsidR="00D604C8">
        <w:t xml:space="preserve"> C</w:t>
      </w:r>
      <w:r>
        <w:t>ompetition.</w:t>
      </w:r>
      <w:r>
        <w:rPr>
          <w:rStyle w:val="FootnoteReference"/>
        </w:rPr>
        <w:footnoteReference w:id="76"/>
      </w:r>
      <w:r>
        <w:t xml:space="preserve">  </w:t>
      </w:r>
      <w:r w:rsidR="007C0A44">
        <w:t xml:space="preserve">Therefore, all </w:t>
      </w:r>
      <w:r>
        <w:t xml:space="preserve">applicants are required to provide the information described </w:t>
      </w:r>
      <w:r w:rsidR="007C0A44">
        <w:t xml:space="preserve">below </w:t>
      </w:r>
      <w:r>
        <w:t>in</w:t>
      </w:r>
      <w:r w:rsidR="007C0A44">
        <w:t xml:space="preserve"> this section</w:t>
      </w:r>
      <w:r>
        <w:t>.</w:t>
      </w:r>
    </w:p>
    <w:p w:rsidR="007E23F5" w:rsidRPr="007E23F5" w:rsidP="00673EAE" w14:paraId="5383088C" w14:textId="77777777">
      <w:pPr>
        <w:pStyle w:val="Heading5"/>
      </w:pPr>
      <w:r>
        <w:t>Certification of Service as of June 2018 FCC Form 477 Data</w:t>
      </w:r>
    </w:p>
    <w:p w:rsidR="002454C0" w:rsidP="002454C0" w14:paraId="64EBC0D1" w14:textId="06492E06">
      <w:pPr>
        <w:pStyle w:val="ParaNum"/>
        <w:widowControl/>
      </w:pPr>
      <w:r>
        <w:t>An</w:t>
      </w:r>
      <w:r w:rsidR="007A0959">
        <w:t xml:space="preserve"> applicant </w:t>
      </w:r>
      <w:r w:rsidR="00F67DD1">
        <w:t>must</w:t>
      </w:r>
      <w:r w:rsidR="007A0959">
        <w:t xml:space="preserve"> certify</w:t>
      </w:r>
      <w:r w:rsidR="00F67DD1">
        <w:t xml:space="preserve"> </w:t>
      </w:r>
      <w:r w:rsidR="007A0959">
        <w:t xml:space="preserve">on its </w:t>
      </w:r>
      <w:r w:rsidR="00AB6E53">
        <w:t>Application</w:t>
      </w:r>
      <w:r w:rsidR="00FD050E">
        <w:t xml:space="preserve"> Form </w:t>
      </w:r>
      <w:r w:rsidR="007A0959">
        <w:t xml:space="preserve">that it has provided voice </w:t>
      </w:r>
      <w:r w:rsidR="00F67DD1">
        <w:t xml:space="preserve">and/or </w:t>
      </w:r>
      <w:r w:rsidR="007A0959">
        <w:t>broadband services</w:t>
      </w:r>
      <w:r w:rsidR="00F67DD1">
        <w:t xml:space="preserve"> since at least the time period required for filing the June </w:t>
      </w:r>
      <w:r w:rsidR="004209D3">
        <w:t>30</w:t>
      </w:r>
      <w:r w:rsidR="007C7139">
        <w:t xml:space="preserve">, </w:t>
      </w:r>
      <w:r w:rsidR="00F67DD1">
        <w:t>2018 FCC Form 477.  An</w:t>
      </w:r>
      <w:r w:rsidR="007A0959">
        <w:t xml:space="preserve"> </w:t>
      </w:r>
      <w:r w:rsidR="00F67DD1">
        <w:t xml:space="preserve">applicant must </w:t>
      </w:r>
      <w:r w:rsidR="007A0959">
        <w:t>specify the number of years it has been operating and identify the services it has provided.</w:t>
      </w:r>
      <w:r>
        <w:rPr>
          <w:rStyle w:val="FootnoteReference"/>
        </w:rPr>
        <w:footnoteReference w:id="77"/>
      </w:r>
      <w:r w:rsidR="007A0959">
        <w:t xml:space="preserve">  An applicant will be deemed to have started providing a service on the date it began commercially offering that service to end users.  </w:t>
      </w:r>
    </w:p>
    <w:p w:rsidR="007B1E04" w:rsidP="00794FAE" w14:paraId="2E9E2E3A" w14:textId="0EE3464F">
      <w:pPr>
        <w:pStyle w:val="ParaNum"/>
        <w:widowControl/>
      </w:pPr>
      <w:r>
        <w:t>An</w:t>
      </w:r>
      <w:r w:rsidR="007A0959">
        <w:t xml:space="preserve"> applicant </w:t>
      </w:r>
      <w:r>
        <w:t>must certify</w:t>
      </w:r>
      <w:r w:rsidR="007A0959">
        <w:t xml:space="preserve"> that it (or its parent company, if it is a wholly owned subsidiary) has filed FCC Form 477s as required during that time period.  And it must identify the FRNs it (or its parent company) used to file the FCC Form 477s for the relevant filing periods.</w:t>
      </w:r>
      <w:r>
        <w:rPr>
          <w:rStyle w:val="FootnoteReference"/>
        </w:rPr>
        <w:footnoteReference w:id="78"/>
      </w:r>
      <w:r w:rsidR="007A0959">
        <w:t xml:space="preserve">  The relevant FCC Form 477 filing periods include data as of June 30, </w:t>
      </w:r>
      <w:r>
        <w:t>2018</w:t>
      </w:r>
      <w:r w:rsidR="007A0959">
        <w:t xml:space="preserve">; December 31, </w:t>
      </w:r>
      <w:r>
        <w:t>2018</w:t>
      </w:r>
      <w:r w:rsidR="007A0959">
        <w:t xml:space="preserve">; June 30, </w:t>
      </w:r>
      <w:r>
        <w:t>2019</w:t>
      </w:r>
      <w:r w:rsidR="009A417E">
        <w:t>; and December 31, 2019</w:t>
      </w:r>
      <w:r w:rsidR="007A0959">
        <w:t xml:space="preserve">.  We will use FCC Form 477 data for these periods to validate an applicant’s representation on </w:t>
      </w:r>
      <w:r>
        <w:t>its a</w:t>
      </w:r>
      <w:r w:rsidR="007A0959">
        <w:t>pplication.</w:t>
      </w:r>
      <w:r>
        <w:rPr>
          <w:rStyle w:val="FootnoteReference"/>
        </w:rPr>
        <w:footnoteReference w:id="79"/>
      </w:r>
      <w:r w:rsidR="007A0959">
        <w:t xml:space="preserve">  </w:t>
      </w:r>
      <w:bookmarkStart w:id="1229" w:name="_Toc496886155"/>
      <w:bookmarkStart w:id="1230" w:name="_Toc496889393"/>
      <w:bookmarkStart w:id="1231" w:name="_Toc497122371"/>
      <w:bookmarkStart w:id="1232" w:name="_Toc497214473"/>
      <w:bookmarkStart w:id="1233" w:name="_Toc497403597"/>
      <w:bookmarkStart w:id="1234" w:name="_Toc497490905"/>
      <w:bookmarkStart w:id="1235" w:name="_Toc497914359"/>
      <w:bookmarkStart w:id="1236" w:name="_Toc498007831"/>
      <w:bookmarkStart w:id="1237" w:name="_Toc498008544"/>
      <w:bookmarkStart w:id="1238" w:name="_Toc498442156"/>
      <w:bookmarkStart w:id="1239" w:name="_Toc498505756"/>
      <w:bookmarkStart w:id="1240" w:name="_Toc498507709"/>
      <w:bookmarkStart w:id="1241" w:name="_Toc498519785"/>
      <w:bookmarkStart w:id="1242" w:name="_Toc498527958"/>
      <w:bookmarkStart w:id="1243" w:name="_Toc499285919"/>
      <w:bookmarkStart w:id="1244" w:name="_Toc499794126"/>
      <w:bookmarkStart w:id="1245" w:name="_Toc499902561"/>
      <w:bookmarkStart w:id="1246" w:name="_Toc500921831"/>
      <w:bookmarkStart w:id="1247" w:name="_Toc501095374"/>
      <w:bookmarkStart w:id="1248" w:name="_Toc501361436"/>
      <w:bookmarkStart w:id="1249" w:name="_Toc501361644"/>
      <w:bookmarkStart w:id="1250" w:name="_Toc502758345"/>
      <w:bookmarkStart w:id="1251" w:name="_Toc502845757"/>
      <w:bookmarkStart w:id="1252" w:name="_Toc502926692"/>
      <w:bookmarkStart w:id="1253" w:name="_Toc502932087"/>
      <w:bookmarkStart w:id="1254" w:name="_Toc504660966"/>
      <w:bookmarkStart w:id="1255" w:name="_Toc504721757"/>
      <w:bookmarkStart w:id="1256" w:name="_Toc505008693"/>
      <w:bookmarkStart w:id="1257" w:name="_Toc505161621"/>
      <w:r w:rsidRPr="00794FAE">
        <w:rPr>
          <w:szCs w:val="22"/>
        </w:rPr>
        <w:t xml:space="preserve"> </w:t>
      </w:r>
      <w:r>
        <w:t xml:space="preserve"> </w:t>
      </w:r>
    </w:p>
    <w:p w:rsidR="000B078A" w:rsidP="00673EAE" w14:paraId="5CDEAAA8" w14:textId="77777777">
      <w:pPr>
        <w:pStyle w:val="Heading4"/>
      </w:pPr>
      <w:bookmarkStart w:id="1258" w:name="_Toc22643856"/>
      <w:r>
        <w:t>Spectrum Access</w:t>
      </w:r>
      <w:bookmarkEnd w:id="1258"/>
    </w:p>
    <w:p w:rsidR="000450C4" w:rsidP="000450C4" w14:paraId="748C6EAF" w14:textId="4F782B6E">
      <w:pPr>
        <w:pStyle w:val="ParaNum"/>
        <w:widowControl/>
      </w:pPr>
      <w:r>
        <w:t>A</w:t>
      </w:r>
      <w:r w:rsidR="003607BA">
        <w:t>n</w:t>
      </w:r>
      <w:r>
        <w:t xml:space="preserve"> applicant that intends to use wireless technologies to meet the relevant Stage 2 public interest obligations must demonstrate that it currently has sufficient access to spectrum</w:t>
      </w:r>
      <w:r w:rsidR="00A44A91">
        <w:t xml:space="preserve"> – </w:t>
      </w:r>
      <w:r w:rsidR="002C0E34">
        <w:t>either</w:t>
      </w:r>
      <w:r w:rsidR="006F0DDE">
        <w:t xml:space="preserve"> </w:t>
      </w:r>
      <w:r w:rsidR="00A44A91">
        <w:t xml:space="preserve">licensed and unlicensed </w:t>
      </w:r>
      <w:r w:rsidR="006F0DDE">
        <w:t>–</w:t>
      </w:r>
      <w:r w:rsidRPr="003607BA" w:rsidR="003607BA">
        <w:t xml:space="preserve"> </w:t>
      </w:r>
      <w:r w:rsidR="003607BA">
        <w:t>for each performance combination it selects in each area</w:t>
      </w:r>
      <w:r w:rsidR="003607BA">
        <w:rPr>
          <w:szCs w:val="22"/>
        </w:rPr>
        <w:t>.</w:t>
      </w:r>
      <w:r>
        <w:rPr>
          <w:rStyle w:val="FootnoteReference"/>
          <w:szCs w:val="22"/>
        </w:rPr>
        <w:footnoteReference w:id="80"/>
      </w:r>
      <w:r>
        <w:t xml:space="preserve">  Specifically, in its application, an applicant must</w:t>
      </w:r>
      <w:r>
        <w:rPr>
          <w:szCs w:val="22"/>
        </w:rPr>
        <w:t xml:space="preserve"> (i) identify the spectrum band(s) it will use for the last mile, backhaul, and any other parts of the network;</w:t>
      </w:r>
      <w:r>
        <w:rPr>
          <w:rStyle w:val="FootnoteReference"/>
          <w:szCs w:val="22"/>
        </w:rPr>
        <w:footnoteReference w:id="81"/>
      </w:r>
      <w:r>
        <w:rPr>
          <w:szCs w:val="22"/>
        </w:rPr>
        <w:t xml:space="preserve"> (ii) describe the total amount of uplink and downlink bandwidth (in megahertz) that it has access to in each spectrum band for the last mile; (iii) describe the authorizations (including leases) it has obtained to operate in the spectrum, if applicable;</w:t>
      </w:r>
      <w:r>
        <w:rPr>
          <w:rStyle w:val="FootnoteReference"/>
          <w:szCs w:val="22"/>
        </w:rPr>
        <w:footnoteReference w:id="82"/>
      </w:r>
      <w:r>
        <w:rPr>
          <w:szCs w:val="22"/>
        </w:rPr>
        <w:t xml:space="preserve"> and (iv) list the call signs and/or application file numbers associated with its spectrum authorizations, if applicable.  </w:t>
      </w:r>
      <w:r>
        <w:t>An applicant that intends to provide service using satellite technology should describe its expected timing for applying for earth station license(s), and an applicant that intends to obtain microwave license(s) for backhaul should describe its expected timing for applying for microwave license(s) if these licenses have not already been obtained.</w:t>
      </w:r>
    </w:p>
    <w:p w:rsidR="007B1E04" w:rsidRPr="007A0F64" w:rsidP="007B1E04" w14:paraId="6545E6D7" w14:textId="4DBD0824">
      <w:pPr>
        <w:pStyle w:val="ParaNum"/>
        <w:widowControl/>
      </w:pPr>
      <w:r>
        <w:rPr>
          <w:szCs w:val="22"/>
        </w:rPr>
        <w:t xml:space="preserve">To the extent that an applicant will use licensed spectrum, it should provide details about how the licensed service area covers its winning </w:t>
      </w:r>
      <w:r w:rsidR="00D9542A">
        <w:rPr>
          <w:szCs w:val="22"/>
        </w:rPr>
        <w:t>application</w:t>
      </w:r>
      <w:r>
        <w:rPr>
          <w:szCs w:val="22"/>
        </w:rPr>
        <w:t xml:space="preserve"> area(s) (e.g., provide a list of geographic areas that the spectrum license covers and describe how those areas relate to the application area(s)).</w:t>
      </w:r>
      <w:r w:rsidR="004A3C63">
        <w:rPr>
          <w:szCs w:val="22"/>
        </w:rPr>
        <w:t xml:space="preserve">  </w:t>
      </w:r>
      <w:r w:rsidR="00085A82">
        <w:rPr>
          <w:szCs w:val="22"/>
        </w:rPr>
        <w:t xml:space="preserve">In Appendix </w:t>
      </w:r>
      <w:r w:rsidR="00F84D43">
        <w:rPr>
          <w:szCs w:val="22"/>
        </w:rPr>
        <w:t>A</w:t>
      </w:r>
      <w:r w:rsidR="00085A82">
        <w:rPr>
          <w:szCs w:val="22"/>
        </w:rPr>
        <w:t xml:space="preserve">, we identify the spectrum bands that we anticipate could be used for the </w:t>
      </w:r>
      <w:r w:rsidR="004F2658">
        <w:rPr>
          <w:szCs w:val="22"/>
        </w:rPr>
        <w:t>last mile to meet the performance obligations and indicate whether the spectrum bands are licensed or unlicensed.  We would expect that a service provider operating in these bands could, at a minimum, offer service meeting the requirements for the minimum performance tier provided that the service provider is u</w:t>
      </w:r>
      <w:r w:rsidR="00F84D43">
        <w:rPr>
          <w:szCs w:val="22"/>
        </w:rPr>
        <w:t>s</w:t>
      </w:r>
      <w:r w:rsidR="004F2658">
        <w:rPr>
          <w:szCs w:val="22"/>
        </w:rPr>
        <w:t>ing sufficient bandwidth in the spectrum band(s) and a technology that can operate on these spectrum bands consistent with applicable U.S. and international rules and regulations.</w:t>
      </w:r>
      <w:r w:rsidR="005A1329">
        <w:rPr>
          <w:szCs w:val="22"/>
        </w:rPr>
        <w:t xml:space="preserve">  We note that Appendix </w:t>
      </w:r>
      <w:r w:rsidR="00F84D43">
        <w:rPr>
          <w:szCs w:val="22"/>
        </w:rPr>
        <w:t>A</w:t>
      </w:r>
      <w:r w:rsidR="005A1329">
        <w:rPr>
          <w:szCs w:val="22"/>
        </w:rPr>
        <w:t xml:space="preserve"> is a non-exhaustive list of spectrum bands that an applicant could potentially use to meet its performance obligations.</w:t>
      </w:r>
      <w:r w:rsidR="005F4AC8">
        <w:rPr>
          <w:szCs w:val="22"/>
        </w:rPr>
        <w:t xml:space="preserve">  An applicant is not precluded from proposing to use a spectrum band that is not included in Appendix </w:t>
      </w:r>
      <w:r w:rsidR="00F84D43">
        <w:rPr>
          <w:szCs w:val="22"/>
        </w:rPr>
        <w:t>A</w:t>
      </w:r>
      <w:r w:rsidR="005F4AC8">
        <w:rPr>
          <w:szCs w:val="22"/>
        </w:rPr>
        <w:t>, provided that the applicant can demonstrate that it is reasonably capable of meeting the performance requirem</w:t>
      </w:r>
      <w:r w:rsidR="00A31F9F">
        <w:rPr>
          <w:szCs w:val="22"/>
        </w:rPr>
        <w:t>ents over the entire support term for the selected performance tier and latency combination(s) using that spectrum.</w:t>
      </w:r>
      <w:r w:rsidR="00167302">
        <w:rPr>
          <w:szCs w:val="22"/>
        </w:rPr>
        <w:t xml:space="preserve">  We also note that an applicant that selects a spectrum band listed in Appendix </w:t>
      </w:r>
      <w:r w:rsidR="00F84D43">
        <w:rPr>
          <w:szCs w:val="22"/>
        </w:rPr>
        <w:t>A</w:t>
      </w:r>
      <w:r w:rsidR="00167302">
        <w:rPr>
          <w:szCs w:val="22"/>
        </w:rPr>
        <w:t xml:space="preserve"> for a particular performance tier and latency combination may not necessarily be deemed </w:t>
      </w:r>
      <w:r w:rsidR="00B26E24">
        <w:rPr>
          <w:szCs w:val="22"/>
        </w:rPr>
        <w:t>eligible for that combination.</w:t>
      </w:r>
    </w:p>
    <w:p w:rsidR="007B1E04" w:rsidRPr="007B1E04" w:rsidP="007B1E04" w14:paraId="45B5B0F4" w14:textId="28AE6818">
      <w:pPr>
        <w:pStyle w:val="ParaNum"/>
        <w:widowControl/>
      </w:pPr>
      <w:r>
        <w:t>An applicant must also certify that the description of the spectrum access is accurate and that it will retain such access for at least 10 years after the date on which it is authorized to receive Stage 2 fixed support.  Applications will be reviewed to assess the reasonableness of the certification.</w:t>
      </w:r>
    </w:p>
    <w:p w:rsidR="002454C0" w:rsidP="00673EAE" w14:paraId="66525B3A" w14:textId="77777777">
      <w:pPr>
        <w:pStyle w:val="Heading4"/>
      </w:pPr>
      <w:bookmarkStart w:id="1259" w:name="_Toc22643857"/>
      <w:r>
        <w:t>Financial Qualification</w:t>
      </w:r>
      <w:bookmarkEnd w:id="1229"/>
      <w:bookmarkEnd w:id="1230"/>
      <w:bookmarkEnd w:id="1231"/>
      <w:bookmarkEnd w:id="1232"/>
      <w:bookmarkEnd w:id="1233"/>
      <w:r>
        <w: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9"/>
      <w:r>
        <w:t xml:space="preserve"> </w:t>
      </w:r>
    </w:p>
    <w:p w:rsidR="002454C0" w:rsidRPr="006F205C" w:rsidP="006F205C" w14:paraId="0082B111" w14:textId="5CEB6A40">
      <w:pPr>
        <w:pStyle w:val="ParaNum"/>
        <w:rPr>
          <w:szCs w:val="22"/>
        </w:rPr>
      </w:pPr>
      <w:r>
        <w:t xml:space="preserve">The Commission </w:t>
      </w:r>
      <w:r w:rsidR="007A0959">
        <w:t>require</w:t>
      </w:r>
      <w:r>
        <w:t>d</w:t>
      </w:r>
      <w:r w:rsidR="007A0959">
        <w:t xml:space="preserve"> all applicants to demonstrate sufficient financial qualifications to participate in the </w:t>
      </w:r>
      <w:r w:rsidR="00FD050E">
        <w:t>Stage 2</w:t>
      </w:r>
      <w:r w:rsidR="00CA36A7">
        <w:t xml:space="preserve"> </w:t>
      </w:r>
      <w:r w:rsidR="000450C4">
        <w:t>C</w:t>
      </w:r>
      <w:r w:rsidR="00FD050E">
        <w:t>ompetition</w:t>
      </w:r>
      <w:r w:rsidR="000450C4">
        <w:t xml:space="preserve"> in order</w:t>
      </w:r>
      <w:r w:rsidR="007A0959">
        <w:t xml:space="preserve"> to minimize the number of winning </w:t>
      </w:r>
      <w:r w:rsidR="007E23F5">
        <w:t>applicant</w:t>
      </w:r>
      <w:r w:rsidR="007A0959">
        <w:t>s that default because they are unable to meet th</w:t>
      </w:r>
      <w:r w:rsidR="00F12E4C">
        <w:t>eir obligations</w:t>
      </w:r>
      <w:r w:rsidR="007A0959">
        <w:t>.</w:t>
      </w:r>
      <w:r>
        <w:rPr>
          <w:rStyle w:val="FootnoteReference"/>
        </w:rPr>
        <w:footnoteReference w:id="83"/>
      </w:r>
      <w:r w:rsidRPr="006F205C" w:rsidR="006F205C">
        <w:rPr>
          <w:szCs w:val="22"/>
        </w:rPr>
        <w:t xml:space="preserve"> </w:t>
      </w:r>
      <w:r w:rsidR="006F205C">
        <w:rPr>
          <w:szCs w:val="22"/>
        </w:rPr>
        <w:t xml:space="preserve"> The Bureau staff will review and evaluate the financial information provided to assess the reasonableness of the applicant’s financial qualifications.  </w:t>
      </w:r>
      <w:r w:rsidR="004D45E9">
        <w:t>In support of its financial showing, an applicant may choose to submit its (or its parent company</w:t>
      </w:r>
      <w:r w:rsidR="00922C51">
        <w:t>’s</w:t>
      </w:r>
      <w:r w:rsidR="004D45E9">
        <w:t xml:space="preserve">) unaudited or audited financial statements from the prior fiscal year, including balance sheets, net income and cash flow, to support its application and financial certification.  </w:t>
      </w:r>
      <w:r w:rsidR="006F205C">
        <w:rPr>
          <w:szCs w:val="22"/>
        </w:rPr>
        <w:t xml:space="preserve">Staff may request further information from an application if there are questions about its qualifications. An applicant will ultimately be provided a pass or fail </w:t>
      </w:r>
      <w:r w:rsidR="00EF150D">
        <w:rPr>
          <w:szCs w:val="22"/>
        </w:rPr>
        <w:t>rating</w:t>
      </w:r>
      <w:r w:rsidR="00F96D6A">
        <w:rPr>
          <w:szCs w:val="22"/>
        </w:rPr>
        <w:t xml:space="preserve"> on its finan</w:t>
      </w:r>
      <w:r w:rsidR="00EF150D">
        <w:rPr>
          <w:szCs w:val="22"/>
        </w:rPr>
        <w:t>cial qualifications</w:t>
      </w:r>
      <w:r w:rsidRPr="009D446F" w:rsidR="006F205C">
        <w:rPr>
          <w:szCs w:val="22"/>
        </w:rPr>
        <w:t xml:space="preserve">.  </w:t>
      </w:r>
      <w:r w:rsidR="006F205C">
        <w:rPr>
          <w:szCs w:val="22"/>
        </w:rPr>
        <w:t>If an applicant receives a failing score, its application will not be reviewed</w:t>
      </w:r>
      <w:r w:rsidR="00D40382">
        <w:rPr>
          <w:szCs w:val="22"/>
        </w:rPr>
        <w:t>,</w:t>
      </w:r>
      <w:r w:rsidR="006F205C">
        <w:rPr>
          <w:szCs w:val="22"/>
        </w:rPr>
        <w:t xml:space="preserve"> and the applicant will be disqualified from competing in the Stage 2 Competition.</w:t>
      </w:r>
    </w:p>
    <w:p w:rsidR="00E733CE" w:rsidP="00673EAE" w14:paraId="4040FD51" w14:textId="77777777">
      <w:pPr>
        <w:pStyle w:val="Heading5"/>
      </w:pPr>
      <w:bookmarkStart w:id="1260" w:name="_Toc496780748"/>
      <w:bookmarkStart w:id="1261" w:name="_Toc496886238"/>
      <w:bookmarkStart w:id="1262" w:name="_Toc496889476"/>
      <w:bookmarkStart w:id="1263" w:name="_Toc497122453"/>
      <w:bookmarkStart w:id="1264" w:name="_Toc497214556"/>
      <w:bookmarkStart w:id="1265" w:name="_Toc497403680"/>
      <w:bookmarkStart w:id="1266" w:name="_Toc497490988"/>
      <w:bookmarkStart w:id="1267" w:name="_Toc497914442"/>
      <w:bookmarkStart w:id="1268" w:name="_Toc498007914"/>
      <w:bookmarkStart w:id="1269" w:name="_Toc498008627"/>
      <w:bookmarkStart w:id="1270" w:name="_Toc499286004"/>
      <w:bookmarkStart w:id="1271" w:name="_Toc499794211"/>
      <w:bookmarkStart w:id="1272" w:name="_Toc499902633"/>
      <w:bookmarkStart w:id="1273" w:name="_Toc500921903"/>
      <w:bookmarkStart w:id="1274" w:name="_Toc501095446"/>
      <w:bookmarkStart w:id="1275" w:name="_Toc501361508"/>
      <w:bookmarkStart w:id="1276" w:name="_Toc501361716"/>
      <w:bookmarkStart w:id="1277" w:name="_Toc502758417"/>
      <w:bookmarkStart w:id="1278" w:name="_Toc502845829"/>
      <w:bookmarkStart w:id="1279" w:name="_Toc502926764"/>
      <w:bookmarkStart w:id="1280" w:name="_Toc502932159"/>
      <w:bookmarkStart w:id="1281" w:name="_Toc504661038"/>
      <w:bookmarkStart w:id="1282" w:name="_Toc504721829"/>
      <w:bookmarkStart w:id="1283" w:name="_Toc505008765"/>
      <w:bookmarkStart w:id="1284" w:name="_Toc505161693"/>
      <w:r>
        <w:t>Available Funds Certification and Description</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rsidR="006F205C" w:rsidP="00B301BF" w14:paraId="4F79E450" w14:textId="4574119F">
      <w:pPr>
        <w:pStyle w:val="ParaNum"/>
        <w:widowControl/>
      </w:pPr>
      <w:r>
        <w:t>An applicant</w:t>
      </w:r>
      <w:r w:rsidRPr="009D2C66" w:rsidR="00E733CE">
        <w:t xml:space="preserve"> must certify in its application that it will have available funds for all project costs that exceed the amount of </w:t>
      </w:r>
      <w:r w:rsidR="00E733CE">
        <w:t>Stage 2</w:t>
      </w:r>
      <w:r w:rsidRPr="009D2C66" w:rsidR="00E733CE">
        <w:t xml:space="preserve"> support to be received for the first two years of its support term.</w:t>
      </w:r>
      <w:r>
        <w:rPr>
          <w:rStyle w:val="FootnoteReference"/>
        </w:rPr>
        <w:footnoteReference w:id="84"/>
      </w:r>
      <w:r w:rsidRPr="009D2C66" w:rsidR="00E733CE">
        <w:t xml:space="preserve">  </w:t>
      </w:r>
      <w:r>
        <w:t>An applicant</w:t>
      </w:r>
      <w:r w:rsidRPr="009D2C66" w:rsidR="00E733CE">
        <w:t xml:space="preserve"> must also describe h</w:t>
      </w:r>
      <w:r w:rsidRPr="009D2C66" w:rsidR="00E733CE">
        <w:rPr>
          <w:szCs w:val="22"/>
        </w:rPr>
        <w:t xml:space="preserve">ow the required construction will be funded in each </w:t>
      </w:r>
      <w:r w:rsidR="00EC6CE2">
        <w:rPr>
          <w:szCs w:val="22"/>
        </w:rPr>
        <w:t>territory</w:t>
      </w:r>
      <w:r w:rsidRPr="009D2C66" w:rsidR="00E733CE">
        <w:rPr>
          <w:szCs w:val="22"/>
        </w:rPr>
        <w:t>.</w:t>
      </w:r>
      <w:r>
        <w:rPr>
          <w:rStyle w:val="FootnoteReference"/>
          <w:szCs w:val="22"/>
        </w:rPr>
        <w:footnoteReference w:id="85"/>
      </w:r>
      <w:r w:rsidRPr="009D2C66" w:rsidR="00E733CE">
        <w:t xml:space="preserve">  The description should include the estimated project costs for all facilities that are required to complete the project, including the costs of upgrading, replacing</w:t>
      </w:r>
      <w:r w:rsidR="00E733CE">
        <w:t>,</w:t>
      </w:r>
      <w:r w:rsidRPr="009D2C66" w:rsidR="00E733CE">
        <w:t xml:space="preserve"> or otherwise modifying existing facilities to expand coverage or meet performance requirements.  The estimated costs must be broken down to indicate the </w:t>
      </w:r>
      <w:bookmarkStart w:id="1285" w:name="_GoBack"/>
      <w:bookmarkEnd w:id="1285"/>
      <w:r w:rsidRPr="009D2C66" w:rsidR="00E733CE">
        <w:t xml:space="preserve">costs associated with each proposed service area and must specify how </w:t>
      </w:r>
      <w:r w:rsidR="00E733CE">
        <w:t>Stage 2</w:t>
      </w:r>
      <w:r w:rsidRPr="009D2C66" w:rsidR="00E733CE">
        <w:t xml:space="preserve"> support and other funds, if applicable, will be used to complete the project.  The description must include financial projections demonstrating that the applicant can cover the necessary debt service payments over the life of any loans.  </w:t>
      </w:r>
      <w:r w:rsidR="00EC6CE2">
        <w:t>The Bureau</w:t>
      </w:r>
      <w:r w:rsidRPr="009D2C66" w:rsidR="00E733CE">
        <w:t xml:space="preserve"> will treat all the information </w:t>
      </w:r>
      <w:r w:rsidR="002E1BAE">
        <w:t>included</w:t>
      </w:r>
      <w:r w:rsidRPr="009D2C66" w:rsidR="002E1BAE">
        <w:t xml:space="preserve"> </w:t>
      </w:r>
      <w:r w:rsidRPr="009D2C66" w:rsidR="00E733CE">
        <w:t>with this submission as confidential and will withhold it from routine public inspection.</w:t>
      </w:r>
      <w:r>
        <w:rPr>
          <w:rStyle w:val="FootnoteReference"/>
        </w:rPr>
        <w:footnoteReference w:id="86"/>
      </w:r>
      <w:r w:rsidRPr="006F205C">
        <w:t xml:space="preserve"> </w:t>
      </w:r>
    </w:p>
    <w:p w:rsidR="00FD050E" w:rsidRPr="00A113BF" w:rsidP="00673EAE" w14:paraId="5B125EA8" w14:textId="77777777">
      <w:pPr>
        <w:pStyle w:val="Heading4"/>
      </w:pPr>
      <w:bookmarkStart w:id="1286" w:name="_Toc22643858"/>
      <w:bookmarkStart w:id="1287" w:name="_Toc495058418"/>
      <w:bookmarkStart w:id="1288" w:name="_Toc495678607"/>
      <w:bookmarkStart w:id="1289" w:name="_Toc496104389"/>
      <w:bookmarkStart w:id="1290" w:name="_Toc496619127"/>
      <w:bookmarkStart w:id="1291" w:name="_Toc496620170"/>
      <w:bookmarkStart w:id="1292" w:name="_Toc496780666"/>
      <w:bookmarkStart w:id="1293" w:name="_Toc496886156"/>
      <w:bookmarkStart w:id="1294" w:name="_Toc496889394"/>
      <w:bookmarkStart w:id="1295" w:name="_Toc497122372"/>
      <w:bookmarkStart w:id="1296" w:name="_Toc497214474"/>
      <w:bookmarkStart w:id="1297" w:name="_Toc497403598"/>
      <w:bookmarkStart w:id="1298" w:name="_Toc497490906"/>
      <w:bookmarkStart w:id="1299" w:name="_Toc497914360"/>
      <w:bookmarkStart w:id="1300" w:name="_Toc498007832"/>
      <w:bookmarkStart w:id="1301" w:name="_Toc498008545"/>
      <w:bookmarkStart w:id="1302" w:name="_Toc498442157"/>
      <w:bookmarkStart w:id="1303" w:name="_Toc498505757"/>
      <w:bookmarkStart w:id="1304" w:name="_Toc498507710"/>
      <w:bookmarkStart w:id="1305" w:name="_Toc498519786"/>
      <w:bookmarkStart w:id="1306" w:name="_Toc498527959"/>
      <w:bookmarkStart w:id="1307" w:name="_Toc499285920"/>
      <w:bookmarkStart w:id="1308" w:name="_Toc499794127"/>
      <w:bookmarkStart w:id="1309" w:name="_Toc499902562"/>
      <w:bookmarkStart w:id="1310" w:name="_Toc500921832"/>
      <w:bookmarkStart w:id="1311" w:name="_Toc501095375"/>
      <w:bookmarkStart w:id="1312" w:name="_Toc501361437"/>
      <w:bookmarkStart w:id="1313" w:name="_Toc501361645"/>
      <w:bookmarkStart w:id="1314" w:name="_Toc502758346"/>
      <w:bookmarkStart w:id="1315" w:name="_Toc502845758"/>
      <w:bookmarkStart w:id="1316" w:name="_Toc502926693"/>
      <w:bookmarkStart w:id="1317" w:name="_Toc502932088"/>
      <w:bookmarkStart w:id="1318" w:name="_Toc504660967"/>
      <w:bookmarkStart w:id="1319" w:name="_Toc504721758"/>
      <w:bookmarkStart w:id="1320" w:name="_Toc505008694"/>
      <w:bookmarkStart w:id="1321" w:name="_Toc505161622"/>
      <w:r w:rsidRPr="00A113BF">
        <w:t xml:space="preserve">Network Plan, </w:t>
      </w:r>
      <w:r w:rsidRPr="00A113BF">
        <w:t>Description of Technology and System Design</w:t>
      </w:r>
      <w:bookmarkEnd w:id="1286"/>
    </w:p>
    <w:p w:rsidR="006C70A7" w:rsidRPr="006C70A7" w:rsidP="00E733CE" w14:paraId="7A3CD613" w14:textId="77777777">
      <w:pPr>
        <w:pStyle w:val="ParaNum"/>
      </w:pPr>
      <w:r>
        <w:t>Each applicant must select in its application the performance tier (speed and usage) and latency combination(s) for which it intends to apply in each area where it seeks support.</w:t>
      </w:r>
      <w:r>
        <w:rPr>
          <w:rStyle w:val="FootnoteReference"/>
        </w:rPr>
        <w:footnoteReference w:id="87"/>
      </w:r>
      <w:r>
        <w:t xml:space="preserve">  For each performance combination, an applicant must indicate the technology or technologies it intends to use to meet the associated requirements.</w:t>
      </w:r>
      <w:r>
        <w:rPr>
          <w:rStyle w:val="FootnoteReference"/>
        </w:rPr>
        <w:footnoteReference w:id="88"/>
      </w:r>
      <w:r>
        <w:t xml:space="preserve">  </w:t>
      </w:r>
      <w:r w:rsidRPr="003607BA">
        <w:rPr>
          <w:szCs w:val="22"/>
        </w:rPr>
        <w:t xml:space="preserve">We </w:t>
      </w:r>
      <w:r>
        <w:rPr>
          <w:szCs w:val="22"/>
        </w:rPr>
        <w:t xml:space="preserve">also </w:t>
      </w:r>
      <w:r w:rsidRPr="003607BA">
        <w:rPr>
          <w:szCs w:val="22"/>
        </w:rPr>
        <w:t>require an applicant to demonstrate its eligibility to apply for the performance tier and latency combination(s) it selects in its application.</w:t>
      </w:r>
      <w:r>
        <w:rPr>
          <w:szCs w:val="22"/>
        </w:rPr>
        <w:t xml:space="preserve">  </w:t>
      </w:r>
      <w:r w:rsidRPr="003607BA">
        <w:rPr>
          <w:szCs w:val="22"/>
        </w:rPr>
        <w:t>It is our objective to safeguard consumers from situations where applicants unable to meet the specified service requirements divert support from applicants that can meet the public interest obligations.</w:t>
      </w:r>
    </w:p>
    <w:p w:rsidR="00E733CE" w:rsidP="00E733CE" w14:paraId="6AC63748" w14:textId="7A72DB79">
      <w:pPr>
        <w:pStyle w:val="ParaNum"/>
      </w:pPr>
      <w:r>
        <w:t xml:space="preserve">An applicant </w:t>
      </w:r>
      <w:bookmarkStart w:id="1322" w:name="_Hlk499807827"/>
      <w:r w:rsidR="00FB1146">
        <w:t>must</w:t>
      </w:r>
      <w:r>
        <w:t xml:space="preserve"> demonstrate that it is technically qualified to meet the relevant Stage 2 public interest obligations in </w:t>
      </w:r>
      <w:r w:rsidR="00631297">
        <w:t>its application</w:t>
      </w:r>
      <w:r>
        <w:t xml:space="preserve"> areas </w:t>
      </w:r>
      <w:r w:rsidRPr="006B4CC5">
        <w:t>by submitting technical information to support the operational assertions</w:t>
      </w:r>
      <w:bookmarkEnd w:id="1322"/>
      <w:r w:rsidRPr="006B4CC5">
        <w:t>.</w:t>
      </w:r>
      <w:r>
        <w:t xml:space="preserve">  </w:t>
      </w:r>
      <w:r w:rsidR="004F7FF4">
        <w:t>An applicant</w:t>
      </w:r>
      <w:r>
        <w:t xml:space="preserve"> </w:t>
      </w:r>
      <w:r w:rsidR="00FB1146">
        <w:t>must</w:t>
      </w:r>
      <w:r>
        <w:t xml:space="preserve"> submit a detailed technology and system design description, including a network diagram that </w:t>
      </w:r>
      <w:r w:rsidRPr="001E60A4">
        <w:t>must be certified by a professional engineer</w:t>
      </w:r>
      <w:r>
        <w:t>.</w:t>
      </w:r>
      <w:r>
        <w:rPr>
          <w:rStyle w:val="FootnoteReference"/>
        </w:rPr>
        <w:footnoteReference w:id="89"/>
      </w:r>
      <w:r>
        <w:t xml:space="preserve">  The professional engineer must certify </w:t>
      </w:r>
      <w:r w:rsidRPr="001E60A4">
        <w:t xml:space="preserve">that the network </w:t>
      </w:r>
      <w:r>
        <w:t xml:space="preserve">can </w:t>
      </w:r>
      <w:r w:rsidRPr="001E60A4">
        <w:t>deliver</w:t>
      </w:r>
      <w:r>
        <w:t>,</w:t>
      </w:r>
      <w:r w:rsidRPr="001E60A4">
        <w:t xml:space="preserve"> to </w:t>
      </w:r>
      <w:r w:rsidR="00DC5CD6">
        <w:t>all</w:t>
      </w:r>
      <w:r w:rsidRPr="001E60A4">
        <w:t xml:space="preserve"> locations in each </w:t>
      </w:r>
      <w:r w:rsidR="00DC5CD6">
        <w:t>geographic area</w:t>
      </w:r>
      <w:r w:rsidRPr="001E60A4">
        <w:t>, voice and broadband service that meets the requisite per</w:t>
      </w:r>
      <w:r>
        <w:t>formance requirements.</w:t>
      </w:r>
      <w:r>
        <w:rPr>
          <w:rStyle w:val="FootnoteReference"/>
        </w:rPr>
        <w:footnoteReference w:id="90"/>
      </w:r>
    </w:p>
    <w:p w:rsidR="00E733CE" w:rsidP="00E733CE" w14:paraId="5143C6B5" w14:textId="790213AE">
      <w:pPr>
        <w:pStyle w:val="ParaNum"/>
      </w:pPr>
      <w:r w:rsidRPr="00D2741C">
        <w:rPr>
          <w:i/>
        </w:rPr>
        <w:t>Initial Overview</w:t>
      </w:r>
      <w:r>
        <w:t xml:space="preserve">.   </w:t>
      </w:r>
      <w:r w:rsidR="00C60D69">
        <w:t xml:space="preserve">All </w:t>
      </w:r>
      <w:r>
        <w:t>applicant</w:t>
      </w:r>
      <w:r w:rsidR="00C60D69">
        <w:t>s</w:t>
      </w:r>
      <w:r>
        <w:t xml:space="preserve"> must submit with </w:t>
      </w:r>
      <w:r w:rsidR="000C3375">
        <w:t xml:space="preserve">their </w:t>
      </w:r>
      <w:r>
        <w:t xml:space="preserve">application an overview of its intended technology and system design for each </w:t>
      </w:r>
      <w:r w:rsidR="00E00706">
        <w:t>area</w:t>
      </w:r>
      <w:r w:rsidRPr="008A20B0">
        <w:t xml:space="preserve"> </w:t>
      </w:r>
      <w:r w:rsidR="00E00706">
        <w:t>in its</w:t>
      </w:r>
      <w:r>
        <w:t xml:space="preserve"> </w:t>
      </w:r>
      <w:r w:rsidR="00D9542A">
        <w:t>applicatio</w:t>
      </w:r>
      <w:r w:rsidR="00E00706">
        <w:t>n</w:t>
      </w:r>
      <w:r>
        <w:t>.  The overview must describe at a high level how the applicant will meet its Stage 2 public interest obligations for the relevant performance tier and latency combination(s) using Stage 2 support (e.g., building a new network or expanding an existing network, deploying new technology or existing technology).  This overview should avoid highly technical terminology or jargon unless such language is integral to the understanding of the project.  The overview will be made publicly available</w:t>
      </w:r>
      <w:r w:rsidR="00BB67BA">
        <w:t>.</w:t>
      </w:r>
    </w:p>
    <w:p w:rsidR="00E733CE" w:rsidP="00E733CE" w14:paraId="302AE9D8" w14:textId="794FD63E">
      <w:pPr>
        <w:pStyle w:val="ParaNum"/>
      </w:pPr>
      <w:r w:rsidRPr="00D2741C">
        <w:rPr>
          <w:i/>
        </w:rPr>
        <w:t>Detailed Description</w:t>
      </w:r>
      <w:r>
        <w:t xml:space="preserve">.  </w:t>
      </w:r>
      <w:r w:rsidR="00581BA8">
        <w:t>A</w:t>
      </w:r>
      <w:r w:rsidR="00AF3258">
        <w:t>ll</w:t>
      </w:r>
      <w:r w:rsidR="004F7FF4">
        <w:t xml:space="preserve"> applicant</w:t>
      </w:r>
      <w:r w:rsidR="00581BA8">
        <w:t>s</w:t>
      </w:r>
      <w:r>
        <w:t xml:space="preserve"> must submit</w:t>
      </w:r>
      <w:r w:rsidR="003B2034">
        <w:t xml:space="preserve"> with their application</w:t>
      </w:r>
      <w:r>
        <w:t xml:space="preserve">, for each </w:t>
      </w:r>
      <w:r w:rsidR="00490418">
        <w:t>area,</w:t>
      </w:r>
      <w:r>
        <w:t xml:space="preserve"> a more detailed description of its technology and system design</w:t>
      </w:r>
      <w:r w:rsidR="00AF3258">
        <w:t xml:space="preserve"> that </w:t>
      </w:r>
      <w:r>
        <w:t>describe</w:t>
      </w:r>
      <w:r w:rsidR="00AF3258">
        <w:t>s</w:t>
      </w:r>
      <w:r>
        <w:t xml:space="preserve"> the network to be built or upgraded, demonstrate</w:t>
      </w:r>
      <w:r w:rsidR="00AF3258">
        <w:t>s</w:t>
      </w:r>
      <w:r>
        <w:t xml:space="preserve"> the project’s feasibility, and include</w:t>
      </w:r>
      <w:r w:rsidR="00AF3258">
        <w:t>s</w:t>
      </w:r>
      <w:r>
        <w:t xml:space="preserve"> the network diagram certified by a professional engineer.  It must describe in detail a network that fully supports the delivery of consumer voice and broadband service that meets the requisite performance requirements to </w:t>
      </w:r>
      <w:r w:rsidR="009717E7">
        <w:t>al</w:t>
      </w:r>
      <w:r w:rsidR="00637CD2">
        <w:t>l</w:t>
      </w:r>
      <w:r>
        <w:t xml:space="preserve"> locations in each </w:t>
      </w:r>
      <w:r w:rsidR="009717E7">
        <w:t>area</w:t>
      </w:r>
      <w:r>
        <w:t xml:space="preserve"> by the end of the six-year build-out period and for the duration of the 10-year support term.  It also must contain sufficient detail to demonstrate that the applicant can meet the interim service milestones if it becomes authorized to receive support.  If </w:t>
      </w:r>
      <w:r w:rsidR="004F7FF4">
        <w:t>an applicant</w:t>
      </w:r>
      <w:r>
        <w:t xml:space="preserve"> submits a technology and system design description that lacks sufficient detail to demonstrate that the applicant has the technical qualifications to meet the relevant Stage 2 obligations, the applicant will be asked to provide further details about its proposed network.  </w:t>
      </w:r>
      <w:r w:rsidR="00EC6CE2">
        <w:t>The Bureau</w:t>
      </w:r>
      <w:r w:rsidRPr="006B4CC5" w:rsidR="00EC6CE2">
        <w:t xml:space="preserve"> </w:t>
      </w:r>
      <w:r w:rsidRPr="006B4CC5">
        <w:t>will treat</w:t>
      </w:r>
      <w:r>
        <w:t xml:space="preserve"> all the information submitted </w:t>
      </w:r>
      <w:r w:rsidRPr="006B4CC5">
        <w:t xml:space="preserve">as confidential and </w:t>
      </w:r>
      <w:r>
        <w:t xml:space="preserve">will </w:t>
      </w:r>
      <w:r w:rsidRPr="006B4CC5">
        <w:t xml:space="preserve">withhold </w:t>
      </w:r>
      <w:r>
        <w:t>it</w:t>
      </w:r>
      <w:r w:rsidRPr="006B4CC5">
        <w:t xml:space="preserve"> from routine public inspection.</w:t>
      </w:r>
      <w:r>
        <w:rPr>
          <w:rStyle w:val="FootnoteReference"/>
        </w:rPr>
        <w:footnoteReference w:id="91"/>
      </w:r>
      <w:r>
        <w:t xml:space="preserve"> </w:t>
      </w:r>
    </w:p>
    <w:p w:rsidR="00E733CE" w:rsidP="00E733CE" w14:paraId="7959C002" w14:textId="10AEF0B2">
      <w:pPr>
        <w:pStyle w:val="ParaNum"/>
      </w:pPr>
      <w:r>
        <w:t xml:space="preserve">Below, </w:t>
      </w:r>
      <w:r w:rsidR="00F478DB">
        <w:t>the Bureau</w:t>
      </w:r>
      <w:r>
        <w:t xml:space="preserve"> provide</w:t>
      </w:r>
      <w:r w:rsidR="00F478DB">
        <w:t>s</w:t>
      </w:r>
      <w:r>
        <w:t xml:space="preserve"> guidance on how </w:t>
      </w:r>
      <w:r w:rsidR="004F7FF4">
        <w:t>an applicant</w:t>
      </w:r>
      <w:r>
        <w:t xml:space="preserve"> can successfully meet the requirement to provide a description of its technology and system design.  Specifically, we describe the types of information we would expect </w:t>
      </w:r>
      <w:r w:rsidR="004F7FF4">
        <w:t>an applicant</w:t>
      </w:r>
      <w:r>
        <w:t xml:space="preserve"> to include, at a minimum, in a detailed description of its technology and system design in order to demonstrate that it has the technical qualifications to meet its Stage 2 obligations.</w:t>
      </w:r>
      <w:r>
        <w:rPr>
          <w:rStyle w:val="FootnoteReference"/>
        </w:rPr>
        <w:footnoteReference w:id="92"/>
      </w:r>
      <w:r>
        <w:t xml:space="preserve">  Our guidance is informed by the types of information that applicants submitted </w:t>
      </w:r>
      <w:r w:rsidR="00EB588E">
        <w:t xml:space="preserve">in the CAF II Auction and </w:t>
      </w:r>
      <w:r>
        <w:t>for rural broadband experiment support.</w:t>
      </w:r>
      <w:r>
        <w:rPr>
          <w:rStyle w:val="FootnoteReference"/>
        </w:rPr>
        <w:footnoteReference w:id="93"/>
      </w:r>
      <w:r>
        <w:t xml:space="preserve">  </w:t>
      </w:r>
      <w:r w:rsidRPr="00086D4F">
        <w:t xml:space="preserve">These are also the types of information </w:t>
      </w:r>
      <w:r w:rsidR="00692292">
        <w:t>about which</w:t>
      </w:r>
      <w:r w:rsidRPr="00086D4F">
        <w:t xml:space="preserve"> we expect a technically qualified applicant will have made preliminary decisions in order to determine how much support it would need to meet the relevant </w:t>
      </w:r>
      <w:r>
        <w:t>Stage 2</w:t>
      </w:r>
      <w:r w:rsidRPr="00086D4F">
        <w:t xml:space="preserve"> </w:t>
      </w:r>
      <w:r w:rsidR="00387EA3">
        <w:t>Competition</w:t>
      </w:r>
      <w:r w:rsidRPr="00086D4F" w:rsidR="00387EA3">
        <w:t xml:space="preserve"> </w:t>
      </w:r>
      <w:r w:rsidRPr="00086D4F">
        <w:t>public interest obligations and to begin planning how it will meet the required service milestones.</w:t>
      </w:r>
      <w:r>
        <w:t xml:space="preserve">  </w:t>
      </w:r>
    </w:p>
    <w:p w:rsidR="00E733CE" w:rsidP="00701932" w14:paraId="032803F1" w14:textId="1D0C58E7">
      <w:pPr>
        <w:pStyle w:val="ParaNum"/>
        <w:widowControl/>
      </w:pPr>
      <w:r>
        <w:t>The Bureau</w:t>
      </w:r>
      <w:r w:rsidR="001D5C28">
        <w:t xml:space="preserve"> expect</w:t>
      </w:r>
      <w:r>
        <w:t>s</w:t>
      </w:r>
      <w:r w:rsidR="001D5C28">
        <w:t xml:space="preserve"> a</w:t>
      </w:r>
      <w:r w:rsidR="004F7FF4">
        <w:t>n applicant</w:t>
      </w:r>
      <w:r>
        <w:t>, regardless of the technology (or technologies) it proposes to use, to:</w:t>
      </w:r>
    </w:p>
    <w:p w:rsidR="00E733CE" w:rsidP="00E733CE" w14:paraId="312BE7BA" w14:textId="77777777">
      <w:pPr>
        <w:pStyle w:val="ParaNum"/>
        <w:numPr>
          <w:ilvl w:val="0"/>
          <w:numId w:val="11"/>
        </w:numPr>
        <w:ind w:left="720"/>
      </w:pPr>
      <w:r>
        <w:t>Describe the proposed last mile architecture(s) and technologies,</w:t>
      </w:r>
      <w:r>
        <w:rPr>
          <w:rStyle w:val="FootnoteReference"/>
        </w:rPr>
        <w:footnoteReference w:id="94"/>
      </w:r>
      <w:r>
        <w:t xml:space="preserve"> middle mile/backhaul topology,</w:t>
      </w:r>
      <w:r>
        <w:rPr>
          <w:rStyle w:val="FootnoteReference"/>
        </w:rPr>
        <w:footnoteReference w:id="95"/>
      </w:r>
      <w:r>
        <w:t xml:space="preserve"> and the architecture used to provide voice service.</w:t>
      </w:r>
      <w:r>
        <w:rPr>
          <w:rStyle w:val="FootnoteReference"/>
        </w:rPr>
        <w:footnoteReference w:id="96"/>
      </w:r>
      <w:r>
        <w:t xml:space="preserve">  </w:t>
      </w:r>
    </w:p>
    <w:p w:rsidR="00E733CE" w:rsidP="00E733CE" w14:paraId="7C65A6BB" w14:textId="6A47A7C0">
      <w:pPr>
        <w:pStyle w:val="ParaNum"/>
        <w:numPr>
          <w:ilvl w:val="0"/>
          <w:numId w:val="11"/>
        </w:numPr>
        <w:ind w:left="720"/>
      </w:pPr>
      <w:r>
        <w:t xml:space="preserve">Describe the network’s scalability and features that improve reliability (such as redundancy).  </w:t>
      </w:r>
    </w:p>
    <w:p w:rsidR="00E733CE" w:rsidP="00E733CE" w14:paraId="62BA54CF" w14:textId="67843137">
      <w:pPr>
        <w:pStyle w:val="ParaNum"/>
        <w:numPr>
          <w:ilvl w:val="0"/>
          <w:numId w:val="11"/>
        </w:numPr>
        <w:ind w:left="720"/>
      </w:pPr>
      <w:r>
        <w:t xml:space="preserve">Indicate whether parts of the network will use the applicant’s or another party’s existing network facilities, including non-wireless facilities extending from the network to customers’ locations.  For non-wireless facilities that do not yet exist, the description should indicate whether the new facilities will be aerial, buried, or underground.  </w:t>
      </w:r>
    </w:p>
    <w:p w:rsidR="00E733CE" w:rsidP="00E733CE" w14:paraId="2154733A" w14:textId="4B5ACB12">
      <w:pPr>
        <w:pStyle w:val="ParaNum"/>
        <w:numPr>
          <w:ilvl w:val="0"/>
          <w:numId w:val="11"/>
        </w:numPr>
        <w:ind w:left="720"/>
      </w:pPr>
      <w:r>
        <w:t xml:space="preserve">Provide technical information about the methods, </w:t>
      </w:r>
      <w:bookmarkStart w:id="1324" w:name="_Hlk500921267"/>
      <w:r>
        <w:t xml:space="preserve">“rules of thumb,” </w:t>
      </w:r>
      <w:bookmarkEnd w:id="1324"/>
      <w:r>
        <w:t>and engineering assumptions used to size the capacity of the network’s nodes (or gateways) and links.  The information provided should demonstrate how the required performance for the relevant performance tier will be achieved during periods of peak usage.</w:t>
      </w:r>
    </w:p>
    <w:p w:rsidR="00E733CE" w:rsidP="00E733CE" w14:paraId="3FD52C5F" w14:textId="70A5D80F">
      <w:pPr>
        <w:pStyle w:val="ParaNum"/>
        <w:numPr>
          <w:ilvl w:val="0"/>
          <w:numId w:val="11"/>
        </w:numPr>
        <w:ind w:left="720"/>
      </w:pPr>
      <w:bookmarkStart w:id="1325" w:name="_Hlk500921287"/>
      <w:r>
        <w:t xml:space="preserve">Provide a project plan that includes a network build-out schedule that includes but is not restricted to plans for construction of last mile and middle mile facilities.  </w:t>
      </w:r>
      <w:bookmarkEnd w:id="1325"/>
      <w:r>
        <w:t xml:space="preserve">The build-out schedule should show the applicant’s projected milestones on an annual basis, including achievement of the interim service milestones described in </w:t>
      </w:r>
      <w:r w:rsidR="00C358B1">
        <w:t xml:space="preserve">the </w:t>
      </w:r>
      <w:r w:rsidRPr="00C358B1" w:rsidR="00C358B1">
        <w:rPr>
          <w:i/>
        </w:rPr>
        <w:t>PR-USVI Stage 2 Order</w:t>
      </w:r>
      <w:r>
        <w:t xml:space="preserve"> and completion of the network by the end of the sixth year of funding authorization.</w:t>
      </w:r>
      <w:r>
        <w:rPr>
          <w:rStyle w:val="FootnoteReference"/>
        </w:rPr>
        <w:footnoteReference w:id="97"/>
      </w:r>
      <w:r>
        <w:t xml:space="preserve">  The project plan and included schedule should incorporate detailed information showing how the applicant plans to offer, to </w:t>
      </w:r>
      <w:r w:rsidR="00FF0F79">
        <w:t xml:space="preserve">all </w:t>
      </w:r>
      <w:r>
        <w:t xml:space="preserve">locations in each </w:t>
      </w:r>
      <w:r w:rsidR="00FF0F79">
        <w:t>geographic area</w:t>
      </w:r>
      <w:r>
        <w:t xml:space="preserve">, voice and broadband service meeting the relevant performance requirements when the system is complete.  The project plan and included schedule should also incorporate the applicant’s plans for monitoring and maintaining the performance of the service for the duration of the 10-year support term. </w:t>
      </w:r>
    </w:p>
    <w:p w:rsidR="00E733CE" w:rsidP="00E733CE" w14:paraId="70140A1B" w14:textId="77777777">
      <w:pPr>
        <w:pStyle w:val="ParaNum"/>
      </w:pPr>
      <w:r>
        <w:t xml:space="preserve">The </w:t>
      </w:r>
      <w:r w:rsidRPr="001E60A4">
        <w:t>network diagram</w:t>
      </w:r>
      <w:r>
        <w:t>,</w:t>
      </w:r>
      <w:r w:rsidRPr="001E60A4">
        <w:t xml:space="preserve"> which must be certified by a professional engineer</w:t>
      </w:r>
      <w:r>
        <w:t xml:space="preserve">, should: </w:t>
      </w:r>
    </w:p>
    <w:p w:rsidR="00E733CE" w:rsidP="00E733CE" w14:paraId="4BD4A698" w14:textId="77777777">
      <w:pPr>
        <w:pStyle w:val="ParaNum"/>
        <w:numPr>
          <w:ilvl w:val="0"/>
          <w:numId w:val="11"/>
        </w:numPr>
        <w:ind w:left="720"/>
      </w:pPr>
      <w:r>
        <w:t>Identify all wireline and wireless segments of the proposed networks.</w:t>
      </w:r>
    </w:p>
    <w:p w:rsidR="00E733CE" w:rsidP="00E733CE" w14:paraId="3807E791" w14:textId="77777777">
      <w:pPr>
        <w:pStyle w:val="ParaNum"/>
        <w:numPr>
          <w:ilvl w:val="0"/>
          <w:numId w:val="11"/>
        </w:numPr>
        <w:ind w:left="720"/>
      </w:pPr>
      <w:r>
        <w:t>Uniquely identify (i) major network nodes</w:t>
      </w:r>
      <w:r>
        <w:rPr>
          <w:rStyle w:val="FootnoteReference"/>
        </w:rPr>
        <w:footnoteReference w:id="98"/>
      </w:r>
      <w:r>
        <w:t xml:space="preserve"> including their manufacturer and model, as well as their functions, locations,</w:t>
      </w:r>
      <w:r>
        <w:rPr>
          <w:rStyle w:val="FootnoteReference"/>
        </w:rPr>
        <w:footnoteReference w:id="99"/>
      </w:r>
      <w:r>
        <w:t xml:space="preserve"> and throughput/capacity;</w:t>
      </w:r>
      <w:r>
        <w:rPr>
          <w:rStyle w:val="FootnoteReference"/>
        </w:rPr>
        <w:footnoteReference w:id="100"/>
      </w:r>
      <w:r>
        <w:t xml:space="preserve"> (ii) access nodes or gateways,</w:t>
      </w:r>
      <w:r>
        <w:rPr>
          <w:rStyle w:val="FootnoteReference"/>
        </w:rPr>
        <w:footnoteReference w:id="101"/>
      </w:r>
      <w:r>
        <w:t xml:space="preserve"> including their technology, manufacturer and model, location, and throughput/capacity; and (iii) major inter-nodal links (not last mile),</w:t>
      </w:r>
      <w:r>
        <w:rPr>
          <w:rStyle w:val="FootnoteReference"/>
        </w:rPr>
        <w:footnoteReference w:id="102"/>
      </w:r>
      <w:r>
        <w:t xml:space="preserve"> and their throughput/capacity.</w:t>
      </w:r>
    </w:p>
    <w:p w:rsidR="00E733CE" w:rsidP="00E733CE" w14:paraId="224B710E" w14:textId="77777777">
      <w:pPr>
        <w:pStyle w:val="ParaNum"/>
        <w:numPr>
          <w:ilvl w:val="0"/>
          <w:numId w:val="11"/>
        </w:numPr>
        <w:ind w:left="720"/>
      </w:pPr>
      <w:r>
        <w:t>Indicate how many locations will be offered service from each access node or from each gateway, and which performance tier or tiers will be supported at each access node.</w:t>
      </w:r>
    </w:p>
    <w:p w:rsidR="00E733CE" w:rsidP="00E733CE" w14:paraId="433CF596" w14:textId="66A21AC9">
      <w:pPr>
        <w:pStyle w:val="ParaNum"/>
        <w:numPr>
          <w:ilvl w:val="0"/>
          <w:numId w:val="11"/>
        </w:numPr>
        <w:ind w:left="720"/>
      </w:pPr>
      <w:r>
        <w:t>Indicate what parts of the network will be new deployment and what parts will use the applicant’s or another party’s existing network facilities.</w:t>
      </w:r>
    </w:p>
    <w:p w:rsidR="00E733CE" w:rsidP="00E733CE" w14:paraId="14A64A9F" w14:textId="77777777">
      <w:pPr>
        <w:pStyle w:val="ParaNum"/>
        <w:numPr>
          <w:ilvl w:val="0"/>
          <w:numId w:val="11"/>
        </w:numPr>
        <w:ind w:left="720"/>
      </w:pPr>
      <w:r>
        <w:t xml:space="preserve">Identify specialized nodes used in providing voice service. </w:t>
      </w:r>
    </w:p>
    <w:p w:rsidR="00E733CE" w:rsidP="00E733CE" w14:paraId="4A89620B" w14:textId="77777777">
      <w:pPr>
        <w:pStyle w:val="ParaNum"/>
        <w:numPr>
          <w:ilvl w:val="0"/>
          <w:numId w:val="11"/>
        </w:numPr>
        <w:ind w:left="720"/>
      </w:pPr>
      <w:r>
        <w:t xml:space="preserve">Explain how nodes or gateways are connected to the Internet backbone and Public Switched Telephone Network.  </w:t>
      </w:r>
    </w:p>
    <w:p w:rsidR="00E733CE" w:rsidP="00E733CE" w14:paraId="13832740" w14:textId="77777777">
      <w:pPr>
        <w:pStyle w:val="ParaNum"/>
      </w:pPr>
      <w:r>
        <w:t xml:space="preserve">Additionally, </w:t>
      </w:r>
      <w:r w:rsidR="004F7FF4">
        <w:t>an applicant</w:t>
      </w:r>
      <w:r>
        <w:t xml:space="preserve"> that proposes to use terrestrial fixed wireless technologies should: </w:t>
      </w:r>
    </w:p>
    <w:p w:rsidR="00E733CE" w:rsidP="00E733CE" w14:paraId="29858144" w14:textId="77777777">
      <w:pPr>
        <w:pStyle w:val="ParaNum"/>
        <w:numPr>
          <w:ilvl w:val="0"/>
          <w:numId w:val="11"/>
        </w:numPr>
        <w:ind w:left="720"/>
      </w:pPr>
      <w:r>
        <w:t>Explain, with technical detail, how the proposed spectrum can meet or exceed the relevant performance requirements at peak usage periods.</w:t>
      </w:r>
      <w:r>
        <w:rPr>
          <w:rStyle w:val="FootnoteReference"/>
        </w:rPr>
        <w:footnoteReference w:id="103"/>
      </w:r>
      <w:r>
        <w:t xml:space="preserve">  </w:t>
      </w:r>
    </w:p>
    <w:p w:rsidR="00E733CE" w:rsidP="00E733CE" w14:paraId="01BCDE55" w14:textId="77777777">
      <w:pPr>
        <w:pStyle w:val="ParaNum"/>
        <w:numPr>
          <w:ilvl w:val="0"/>
          <w:numId w:val="11"/>
        </w:numPr>
        <w:ind w:left="720"/>
      </w:pPr>
      <w:bookmarkStart w:id="1326" w:name="_Hlk497823266"/>
      <w:r>
        <w:t>Provide the calculations used,</w:t>
      </w:r>
      <w:r>
        <w:rPr>
          <w:rStyle w:val="FootnoteReference"/>
        </w:rPr>
        <w:footnoteReference w:id="104"/>
      </w:r>
      <w:r>
        <w:t xml:space="preserve"> for each performance tier and frequency band, to design the last mile link budgets in both the upload and download directions at the cell edge,</w:t>
      </w:r>
      <w:r>
        <w:rPr>
          <w:rStyle w:val="FootnoteReference"/>
        </w:rPr>
        <w:footnoteReference w:id="105"/>
      </w:r>
      <w:r>
        <w:t xml:space="preserve"> using the technical specifications of the expected base station and customer premise equipment</w:t>
      </w:r>
      <w:bookmarkEnd w:id="1326"/>
      <w:r>
        <w:t xml:space="preserve">. </w:t>
      </w:r>
    </w:p>
    <w:p w:rsidR="00E733CE" w:rsidP="00E733CE" w14:paraId="45AA0113" w14:textId="77777777">
      <w:pPr>
        <w:pStyle w:val="ParaNum"/>
        <w:numPr>
          <w:ilvl w:val="0"/>
          <w:numId w:val="11"/>
        </w:numPr>
        <w:ind w:left="720"/>
      </w:pPr>
      <w:r>
        <w:t>Provide coverage maps for the planned and/or existing networks that will be used to meet the Stage 2 public interest obligations, indicating where the upload and download speeds will meet or exceed the relevant performance tier speed(s).</w:t>
      </w:r>
      <w:r>
        <w:rPr>
          <w:rStyle w:val="FootnoteReference"/>
        </w:rPr>
        <w:footnoteReference w:id="106"/>
      </w:r>
      <w:r>
        <w:t xml:space="preserve">  The coverage maps should be provided for each interim and final service milestone and should display the required service areas and target locations (or a representation thereof). </w:t>
      </w:r>
    </w:p>
    <w:p w:rsidR="00DF1891" w:rsidP="00C34203" w14:paraId="4BCF3175" w14:textId="77777777">
      <w:pPr>
        <w:pStyle w:val="ParaNum"/>
        <w:widowControl/>
        <w:numPr>
          <w:ilvl w:val="0"/>
          <w:numId w:val="11"/>
        </w:numPr>
        <w:ind w:left="720"/>
      </w:pPr>
      <w:r>
        <w:t>Describe the underlying propagation model used to prepare the coverage maps and how the model incorporates the operating spectrum, antenna heights, distances, digital elevation, and clutter resolutions.</w:t>
      </w:r>
      <w:r>
        <w:rPr>
          <w:rStyle w:val="FootnoteReference"/>
        </w:rPr>
        <w:footnoteReference w:id="107"/>
      </w:r>
    </w:p>
    <w:p w:rsidR="00DF1891" w:rsidP="00DF1891" w14:paraId="632CB483" w14:textId="4515E5CC">
      <w:pPr>
        <w:pStyle w:val="ParaNum"/>
        <w:numPr>
          <w:ilvl w:val="0"/>
          <w:numId w:val="11"/>
        </w:numPr>
        <w:ind w:left="720"/>
      </w:pPr>
      <w:r>
        <w:t>Describe, for each relevant performance tier and latency combination, the base station equipment that the applicant plans to use.</w:t>
      </w:r>
      <w:r>
        <w:rPr>
          <w:rStyle w:val="FootnoteReference"/>
        </w:rPr>
        <w:footnoteReference w:id="108"/>
      </w:r>
      <w:r>
        <w:t xml:space="preserve"> </w:t>
      </w:r>
    </w:p>
    <w:p w:rsidR="00E733CE" w:rsidRPr="00FC45AE" w:rsidP="00DF1891" w14:paraId="1FC14217" w14:textId="213757B6">
      <w:pPr>
        <w:pStyle w:val="ParaNum"/>
        <w:numPr>
          <w:ilvl w:val="0"/>
          <w:numId w:val="11"/>
        </w:numPr>
        <w:ind w:left="720"/>
      </w:pPr>
      <w:r w:rsidRPr="00DF1891">
        <w:rPr>
          <w:rFonts w:cs="MIonic"/>
        </w:rPr>
        <w:t>Describe the planned customer premise equipment configuration.</w:t>
      </w:r>
      <w:r>
        <w:rPr>
          <w:rStyle w:val="FootnoteReference"/>
          <w:rFonts w:cs="MIonic"/>
        </w:rPr>
        <w:footnoteReference w:id="109"/>
      </w:r>
      <w:r w:rsidRPr="00DF1891">
        <w:rPr>
          <w:rFonts w:cs="MIonic"/>
        </w:rPr>
        <w:t xml:space="preserve"> </w:t>
      </w:r>
    </w:p>
    <w:p w:rsidR="00E733CE" w:rsidRPr="00FC45AE" w:rsidP="00E733CE" w14:paraId="54113BA1" w14:textId="77777777">
      <w:pPr>
        <w:pStyle w:val="ParaNum"/>
      </w:pPr>
      <w:r>
        <w:t xml:space="preserve">Additionally, </w:t>
      </w:r>
      <w:r w:rsidR="004F7FF4">
        <w:t>an applicant</w:t>
      </w:r>
      <w:r>
        <w:t xml:space="preserve"> that proposes to use primarily satellite technologies should:</w:t>
      </w:r>
      <w:r>
        <w:rPr>
          <w:rStyle w:val="FootnoteReference"/>
        </w:rPr>
        <w:footnoteReference w:id="110"/>
      </w:r>
      <w:r>
        <w:t xml:space="preserve"> </w:t>
      </w:r>
    </w:p>
    <w:p w:rsidR="00E733CE" w:rsidRPr="00FC45AE" w:rsidP="00DF1891" w14:paraId="34297012" w14:textId="2E292A23">
      <w:pPr>
        <w:pStyle w:val="ParaNum"/>
        <w:numPr>
          <w:ilvl w:val="0"/>
          <w:numId w:val="11"/>
        </w:numPr>
        <w:ind w:left="720"/>
      </w:pPr>
      <w:r>
        <w:t>Describe h</w:t>
      </w:r>
      <w:r w:rsidRPr="00FC45AE">
        <w:t>ow m</w:t>
      </w:r>
      <w:r>
        <w:t>any satellites that are in view simultaneously from any specific location will be required to meet the relevant Stage 2 public interest obligations.</w:t>
      </w:r>
    </w:p>
    <w:p w:rsidR="00E733CE" w:rsidRPr="00FC45AE" w:rsidP="00DF1891" w14:paraId="34BD418D" w14:textId="77777777">
      <w:pPr>
        <w:pStyle w:val="ParaNum"/>
        <w:numPr>
          <w:ilvl w:val="0"/>
          <w:numId w:val="11"/>
        </w:numPr>
        <w:ind w:left="720"/>
      </w:pPr>
      <w:r>
        <w:t xml:space="preserve">Describe how many </w:t>
      </w:r>
      <w:r w:rsidRPr="00FC45AE">
        <w:t xml:space="preserve">uplink and downlink </w:t>
      </w:r>
      <w:r>
        <w:t xml:space="preserve">gateway </w:t>
      </w:r>
      <w:r w:rsidRPr="00FC45AE">
        <w:t>antenna beams will be required on each satellite, and the capacity of e</w:t>
      </w:r>
      <w:r>
        <w:t>ach beam in megabits per second.</w:t>
      </w:r>
    </w:p>
    <w:p w:rsidR="00E733CE" w:rsidRPr="00FC45AE" w:rsidP="00DF1891" w14:paraId="5B887DFC" w14:textId="77777777">
      <w:pPr>
        <w:pStyle w:val="ParaNum"/>
        <w:numPr>
          <w:ilvl w:val="0"/>
          <w:numId w:val="11"/>
        </w:numPr>
        <w:ind w:left="720"/>
      </w:pPr>
      <w:r>
        <w:t>Describe h</w:t>
      </w:r>
      <w:r w:rsidRPr="00FC45AE">
        <w:t>ow many uplink and downlink</w:t>
      </w:r>
      <w:r>
        <w:t xml:space="preserve"> user antenna</w:t>
      </w:r>
      <w:r w:rsidRPr="00FC45AE">
        <w:t xml:space="preserve"> beams will be required on each satellite, and the capacity of e</w:t>
      </w:r>
      <w:r>
        <w:t>ach beam in megabits per second.</w:t>
      </w:r>
    </w:p>
    <w:p w:rsidR="00E733CE" w:rsidRPr="00FC45AE" w:rsidP="00DF1891" w14:paraId="1E561C7E" w14:textId="77777777">
      <w:pPr>
        <w:pStyle w:val="ParaNum"/>
        <w:numPr>
          <w:ilvl w:val="0"/>
          <w:numId w:val="11"/>
        </w:numPr>
        <w:ind w:left="720"/>
      </w:pPr>
      <w:r>
        <w:t>Describe how the</w:t>
      </w:r>
      <w:r w:rsidRPr="00FC45AE">
        <w:t xml:space="preserve"> gateway capacity</w:t>
      </w:r>
      <w:r>
        <w:t xml:space="preserve"> is</w:t>
      </w:r>
      <w:r w:rsidRPr="00FC45AE">
        <w:t xml:space="preserve"> connected to user beams on the satellite, in terms of b</w:t>
      </w:r>
      <w:r>
        <w:t>eams and data capacity per beam.</w:t>
      </w:r>
    </w:p>
    <w:p w:rsidR="00E733CE" w:rsidRPr="00E733CE" w:rsidP="00DF1891" w14:paraId="688FCF7C" w14:textId="3A6FB6CB">
      <w:pPr>
        <w:pStyle w:val="ParaNum"/>
        <w:numPr>
          <w:ilvl w:val="0"/>
          <w:numId w:val="11"/>
        </w:numPr>
        <w:ind w:left="720"/>
      </w:pPr>
      <w:r>
        <w:t xml:space="preserve">Describe whether the </w:t>
      </w:r>
      <w:r w:rsidRPr="00FC45AE">
        <w:t>capacity on the uplink and downlink beams</w:t>
      </w:r>
      <w:r>
        <w:t xml:space="preserve"> would</w:t>
      </w:r>
      <w:r w:rsidRPr="00FC45AE">
        <w:t xml:space="preserve"> be able to be reallocated once a satellite commences operation, if the su</w:t>
      </w:r>
      <w:r>
        <w:t>bscription rate is less in one beam but than in another beam</w:t>
      </w:r>
      <w:r w:rsidRPr="006B4CC5">
        <w:t>.</w:t>
      </w:r>
    </w:p>
    <w:p w:rsidR="00FD050E" w:rsidP="00673EAE" w14:paraId="7017AD59" w14:textId="77777777">
      <w:pPr>
        <w:pStyle w:val="Heading4"/>
      </w:pPr>
      <w:bookmarkStart w:id="1327" w:name="_Toc22643859"/>
      <w:r>
        <w:t>Letter of Credit Commitment Letter</w:t>
      </w:r>
      <w:bookmarkEnd w:id="1327"/>
    </w:p>
    <w:p w:rsidR="00706C60" w:rsidRPr="00D85C31" w:rsidP="00706C60" w14:paraId="57621F59" w14:textId="225514A3">
      <w:pPr>
        <w:pStyle w:val="ParaNum"/>
      </w:pPr>
      <w:r w:rsidRPr="00D85C31">
        <w:t>An</w:t>
      </w:r>
      <w:r w:rsidRPr="00D85C31">
        <w:t xml:space="preserve"> applicant must submit </w:t>
      </w:r>
      <w:r w:rsidRPr="00D85C31">
        <w:t xml:space="preserve">with its application </w:t>
      </w:r>
      <w:r w:rsidRPr="00D85C31">
        <w:t>a letter from a bank acceptable to the Commission, as set forth in</w:t>
      </w:r>
      <w:r w:rsidRPr="00D85C31" w:rsidR="00AC5FDF">
        <w:t xml:space="preserve"> </w:t>
      </w:r>
      <w:r w:rsidRPr="00D85C31">
        <w:t>section 54</w:t>
      </w:r>
      <w:r w:rsidRPr="00D85C31" w:rsidR="00D85C31">
        <w:t>.1508</w:t>
      </w:r>
      <w:r w:rsidRPr="00D85C31">
        <w:t>, committing to issue an irrevocable stand-by letter of credit, in the required form, to the applicant.</w:t>
      </w:r>
      <w:r>
        <w:rPr>
          <w:rStyle w:val="FootnoteReference"/>
        </w:rPr>
        <w:footnoteReference w:id="111"/>
      </w:r>
      <w:r w:rsidRPr="00D85C31">
        <w:t xml:space="preserve">  The letter must, at a minimum, provide the dollar amount of the letter of credit and the issuing bank’s agreement to follow the terms and conditions of the Commission’s model letter of credit</w:t>
      </w:r>
      <w:r w:rsidR="00A202DD">
        <w:t>, attached hereto</w:t>
      </w:r>
      <w:r w:rsidRPr="00D85C31">
        <w:t xml:space="preserve"> </w:t>
      </w:r>
      <w:r w:rsidR="00A202DD">
        <w:t xml:space="preserve">as </w:t>
      </w:r>
      <w:r w:rsidRPr="00D85C31">
        <w:t xml:space="preserve">Appendix </w:t>
      </w:r>
      <w:r w:rsidR="00F84D43">
        <w:t>B</w:t>
      </w:r>
      <w:r w:rsidR="00CB1FE3">
        <w:t xml:space="preserve"> of this </w:t>
      </w:r>
      <w:r w:rsidR="00A202DD">
        <w:t>Notice</w:t>
      </w:r>
      <w:r w:rsidRPr="00D85C31">
        <w:t>.</w:t>
      </w:r>
      <w:r>
        <w:rPr>
          <w:rStyle w:val="FootnoteReference"/>
        </w:rPr>
        <w:footnoteReference w:id="112"/>
      </w:r>
      <w:r w:rsidR="00982605">
        <w:t xml:space="preserve">  The Bureau will treat this letter as confidential trade secrets and/or commercial information and thus withhold it from routine public inspection.</w:t>
      </w:r>
      <w:r w:rsidRPr="00D85C31">
        <w:t xml:space="preserve"> </w:t>
      </w:r>
    </w:p>
    <w:p w:rsidR="00FD050E" w:rsidP="00673EAE" w14:paraId="6A598873" w14:textId="77777777">
      <w:pPr>
        <w:pStyle w:val="Heading4"/>
      </w:pPr>
      <w:bookmarkStart w:id="1328" w:name="_Toc22643860"/>
      <w:r>
        <w:t>Due Diligence Certification</w:t>
      </w:r>
      <w:bookmarkEnd w:id="1328"/>
    </w:p>
    <w:p w:rsidR="00E356D5" w:rsidP="00E356D5" w14:paraId="07D48BEE" w14:textId="283876FF">
      <w:pPr>
        <w:pStyle w:val="ParaNum"/>
        <w:widowControl/>
        <w:rPr>
          <w:szCs w:val="22"/>
        </w:rPr>
      </w:pPr>
      <w:r>
        <w:rPr>
          <w:szCs w:val="22"/>
        </w:rPr>
        <w:t xml:space="preserve">Each applicant has sole responsibility for investigating and evaluating all technical and marketplace factors that may have a bearing on the </w:t>
      </w:r>
      <w:r w:rsidR="0051754D">
        <w:rPr>
          <w:szCs w:val="22"/>
        </w:rPr>
        <w:t>amount</w:t>
      </w:r>
      <w:r>
        <w:rPr>
          <w:szCs w:val="22"/>
        </w:rPr>
        <w:t xml:space="preserve"> of Stage 2</w:t>
      </w:r>
      <w:r w:rsidR="0051754D">
        <w:rPr>
          <w:szCs w:val="22"/>
        </w:rPr>
        <w:t xml:space="preserve"> </w:t>
      </w:r>
      <w:r>
        <w:rPr>
          <w:szCs w:val="22"/>
        </w:rPr>
        <w:t xml:space="preserve">support it will seek </w:t>
      </w:r>
      <w:r w:rsidR="0051754D">
        <w:rPr>
          <w:szCs w:val="22"/>
        </w:rPr>
        <w:t>in its</w:t>
      </w:r>
      <w:r>
        <w:rPr>
          <w:szCs w:val="22"/>
        </w:rPr>
        <w:t xml:space="preserve"> application.  Each qualified applicant is responsible for </w:t>
      </w:r>
      <w:r w:rsidR="00584D65">
        <w:rPr>
          <w:szCs w:val="22"/>
        </w:rPr>
        <w:t>certifying</w:t>
      </w:r>
      <w:r>
        <w:rPr>
          <w:szCs w:val="22"/>
        </w:rPr>
        <w:t xml:space="preserve"> that, if it becomes a winning applicant and is ultimately authorized to receive Stage 2</w:t>
      </w:r>
      <w:r w:rsidR="0051754D">
        <w:rPr>
          <w:szCs w:val="22"/>
        </w:rPr>
        <w:t xml:space="preserve"> </w:t>
      </w:r>
      <w:r>
        <w:rPr>
          <w:szCs w:val="22"/>
        </w:rPr>
        <w:t>support, it will be able to build and operate facilities in accordance with the Stage 2</w:t>
      </w:r>
      <w:r w:rsidR="0051754D">
        <w:rPr>
          <w:szCs w:val="22"/>
        </w:rPr>
        <w:t xml:space="preserve"> </w:t>
      </w:r>
      <w:r>
        <w:rPr>
          <w:szCs w:val="22"/>
        </w:rPr>
        <w:t xml:space="preserve">obligations and the Commission’s rules generally.    </w:t>
      </w:r>
    </w:p>
    <w:p w:rsidR="00E356D5" w:rsidP="00E356D5" w14:paraId="0008EF60" w14:textId="118BFD3B">
      <w:pPr>
        <w:pStyle w:val="ParaNum"/>
        <w:widowControl/>
        <w:rPr>
          <w:szCs w:val="22"/>
        </w:rPr>
      </w:pPr>
      <w:r w:rsidRPr="00913661">
        <w:rPr>
          <w:szCs w:val="22"/>
        </w:rPr>
        <w:t xml:space="preserve">Applicants should be aware that </w:t>
      </w:r>
      <w:r w:rsidR="0051754D">
        <w:rPr>
          <w:szCs w:val="22"/>
        </w:rPr>
        <w:t xml:space="preserve">the </w:t>
      </w:r>
      <w:r>
        <w:rPr>
          <w:szCs w:val="22"/>
        </w:rPr>
        <w:t>Stage 2 Competition</w:t>
      </w:r>
      <w:r w:rsidRPr="00913661">
        <w:rPr>
          <w:szCs w:val="22"/>
        </w:rPr>
        <w:t xml:space="preserve"> represents an opportunity to apply for </w:t>
      </w:r>
      <w:r>
        <w:rPr>
          <w:szCs w:val="22"/>
        </w:rPr>
        <w:t>Stage 2</w:t>
      </w:r>
      <w:r w:rsidR="0051754D">
        <w:rPr>
          <w:szCs w:val="22"/>
        </w:rPr>
        <w:t xml:space="preserve"> </w:t>
      </w:r>
      <w:r w:rsidRPr="00913661">
        <w:rPr>
          <w:szCs w:val="22"/>
        </w:rPr>
        <w:t xml:space="preserve">support, subject to certain conditions and regulations.  </w:t>
      </w:r>
      <w:r w:rsidR="0051754D">
        <w:rPr>
          <w:szCs w:val="22"/>
        </w:rPr>
        <w:t xml:space="preserve">The </w:t>
      </w:r>
      <w:r w:rsidR="00C6622B">
        <w:rPr>
          <w:szCs w:val="22"/>
        </w:rPr>
        <w:t>Stage 2 Competition</w:t>
      </w:r>
      <w:r w:rsidRPr="00824955">
        <w:rPr>
          <w:szCs w:val="22"/>
        </w:rPr>
        <w:t xml:space="preserve"> does not constitute an endorsement by the </w:t>
      </w:r>
      <w:r w:rsidR="0051754D">
        <w:rPr>
          <w:szCs w:val="22"/>
        </w:rPr>
        <w:t xml:space="preserve">Bureau or </w:t>
      </w:r>
      <w:r w:rsidRPr="00824955">
        <w:rPr>
          <w:szCs w:val="22"/>
        </w:rPr>
        <w:t xml:space="preserve">Commission of any particular service, technology, or product, nor does the award of </w:t>
      </w:r>
      <w:r>
        <w:rPr>
          <w:szCs w:val="22"/>
        </w:rPr>
        <w:t>Stage 2</w:t>
      </w:r>
      <w:r w:rsidR="0051754D">
        <w:rPr>
          <w:szCs w:val="22"/>
        </w:rPr>
        <w:t xml:space="preserve"> </w:t>
      </w:r>
      <w:r w:rsidRPr="00824955">
        <w:rPr>
          <w:szCs w:val="22"/>
        </w:rPr>
        <w:t>support constitute a guarantee of business success.</w:t>
      </w:r>
      <w:r>
        <w:rPr>
          <w:szCs w:val="22"/>
        </w:rPr>
        <w:t xml:space="preserve">  </w:t>
      </w:r>
    </w:p>
    <w:p w:rsidR="00E356D5" w:rsidP="00E356D5" w14:paraId="71D3D50B" w14:textId="6B2F29AA">
      <w:pPr>
        <w:pStyle w:val="ParaNum"/>
        <w:widowControl/>
        <w:rPr>
          <w:szCs w:val="22"/>
        </w:rPr>
      </w:pPr>
      <w:r>
        <w:rPr>
          <w:szCs w:val="22"/>
        </w:rPr>
        <w:t xml:space="preserve">An applicant should perform its due diligence research and analysis before proceeding, as it would with any new business venture.  In particular, </w:t>
      </w:r>
      <w:r w:rsidR="00E14B82">
        <w:rPr>
          <w:szCs w:val="22"/>
        </w:rPr>
        <w:t>the Bureau</w:t>
      </w:r>
      <w:r>
        <w:rPr>
          <w:szCs w:val="22"/>
        </w:rPr>
        <w:t xml:space="preserve"> strongly encourage</w:t>
      </w:r>
      <w:r w:rsidR="00E14B82">
        <w:rPr>
          <w:szCs w:val="22"/>
        </w:rPr>
        <w:t>s</w:t>
      </w:r>
      <w:r>
        <w:rPr>
          <w:szCs w:val="22"/>
        </w:rPr>
        <w:t xml:space="preserve"> each applicant to review all underlying Commission orders and to assess all pertinent economic factors relating to the deployment of service in a particular area.</w:t>
      </w:r>
    </w:p>
    <w:p w:rsidR="00E356D5" w:rsidRPr="00BD34FF" w:rsidP="00E356D5" w14:paraId="66A0F66A" w14:textId="5C56CFAF">
      <w:pPr>
        <w:pStyle w:val="ParaNum"/>
        <w:widowControl/>
        <w:rPr>
          <w:szCs w:val="22"/>
        </w:rPr>
      </w:pPr>
      <w:r w:rsidRPr="00BD34FF">
        <w:rPr>
          <w:szCs w:val="22"/>
        </w:rPr>
        <w:t xml:space="preserve">Each applicant should perform technical analyses or refresh its previous analyses to assure itself that, should it become </w:t>
      </w:r>
      <w:r w:rsidR="00004EB9">
        <w:rPr>
          <w:szCs w:val="22"/>
        </w:rPr>
        <w:t xml:space="preserve">authorized to receive </w:t>
      </w:r>
      <w:r>
        <w:rPr>
          <w:szCs w:val="22"/>
        </w:rPr>
        <w:t>Stage 2</w:t>
      </w:r>
      <w:r w:rsidR="0051754D">
        <w:rPr>
          <w:szCs w:val="22"/>
        </w:rPr>
        <w:t xml:space="preserve"> </w:t>
      </w:r>
      <w:r w:rsidRPr="00BD34FF">
        <w:rPr>
          <w:szCs w:val="22"/>
        </w:rPr>
        <w:t>support, it will be able to build and operate facilities that fully comply with all applicable technical and legal requirement</w:t>
      </w:r>
      <w:r>
        <w:rPr>
          <w:szCs w:val="22"/>
        </w:rPr>
        <w:t>s</w:t>
      </w:r>
      <w:r w:rsidRPr="00BD34FF">
        <w:rPr>
          <w:szCs w:val="22"/>
        </w:rPr>
        <w:t xml:space="preserve"> and will advertise and provide the service to customers.  Each applicant should verify th</w:t>
      </w:r>
      <w:r w:rsidR="00843FEE">
        <w:rPr>
          <w:szCs w:val="22"/>
        </w:rPr>
        <w:t xml:space="preserve">e number of actual locations within the geographic areas that it </w:t>
      </w:r>
      <w:r w:rsidR="00406DF0">
        <w:rPr>
          <w:szCs w:val="22"/>
        </w:rPr>
        <w:t xml:space="preserve">proposes to serve in its application.  </w:t>
      </w:r>
      <w:r w:rsidRPr="00BD34FF">
        <w:rPr>
          <w:szCs w:val="22"/>
        </w:rPr>
        <w:t xml:space="preserve">Each </w:t>
      </w:r>
      <w:r>
        <w:rPr>
          <w:szCs w:val="22"/>
        </w:rPr>
        <w:t>Stage 2</w:t>
      </w:r>
      <w:r w:rsidR="0051754D">
        <w:rPr>
          <w:szCs w:val="22"/>
        </w:rPr>
        <w:t xml:space="preserve"> </w:t>
      </w:r>
      <w:r w:rsidRPr="00BD34FF">
        <w:rPr>
          <w:szCs w:val="22"/>
        </w:rPr>
        <w:t xml:space="preserve">support recipient will be required to offer service meeting the relevant requirements to </w:t>
      </w:r>
      <w:r w:rsidR="0051754D">
        <w:rPr>
          <w:szCs w:val="22"/>
        </w:rPr>
        <w:t>all</w:t>
      </w:r>
      <w:r w:rsidRPr="00BD34FF">
        <w:rPr>
          <w:szCs w:val="22"/>
        </w:rPr>
        <w:t xml:space="preserve"> locations across all the </w:t>
      </w:r>
      <w:r w:rsidR="0051754D">
        <w:rPr>
          <w:szCs w:val="22"/>
        </w:rPr>
        <w:t>winning areas</w:t>
      </w:r>
      <w:r w:rsidRPr="00BD34FF">
        <w:rPr>
          <w:szCs w:val="22"/>
        </w:rPr>
        <w:t xml:space="preserve"> where it is authorized to receive support.  </w:t>
      </w:r>
      <w:r w:rsidR="0051754D">
        <w:t xml:space="preserve">The </w:t>
      </w:r>
      <w:r w:rsidR="00785954">
        <w:t xml:space="preserve">Bureau provided </w:t>
      </w:r>
      <w:r w:rsidR="0051754D">
        <w:t>location counts in the Stage 2 Reserve</w:t>
      </w:r>
      <w:r w:rsidR="0019510D">
        <w:t xml:space="preserve"> Price Public</w:t>
      </w:r>
      <w:r w:rsidR="0051754D">
        <w:t xml:space="preserve"> Notice, released on </w:t>
      </w:r>
      <w:r w:rsidRPr="00FA6977" w:rsidR="00F20D92">
        <w:t>December 19</w:t>
      </w:r>
      <w:r w:rsidRPr="00FA6977" w:rsidR="0051754D">
        <w:t>, 2019</w:t>
      </w:r>
      <w:r w:rsidR="0051754D">
        <w:t>.</w:t>
      </w:r>
      <w:r>
        <w:rPr>
          <w:rStyle w:val="FootnoteReference"/>
        </w:rPr>
        <w:footnoteReference w:id="113"/>
      </w:r>
      <w:r>
        <w:rPr>
          <w:szCs w:val="22"/>
        </w:rPr>
        <w:t xml:space="preserve">  As described above</w:t>
      </w:r>
      <w:r w:rsidR="0051754D">
        <w:rPr>
          <w:szCs w:val="22"/>
        </w:rPr>
        <w:t xml:space="preserve"> and below</w:t>
      </w:r>
      <w:r>
        <w:rPr>
          <w:szCs w:val="22"/>
        </w:rPr>
        <w:t>,</w:t>
      </w:r>
      <w:r>
        <w:rPr>
          <w:rStyle w:val="FootnoteReference"/>
          <w:szCs w:val="22"/>
        </w:rPr>
        <w:footnoteReference w:id="114"/>
      </w:r>
      <w:r>
        <w:rPr>
          <w:szCs w:val="22"/>
        </w:rPr>
        <w:t xml:space="preserve"> the Commission has adopted a process by which support recipients that cannot </w:t>
      </w:r>
      <w:r w:rsidR="0051754D">
        <w:rPr>
          <w:szCs w:val="22"/>
        </w:rPr>
        <w:t>identify all</w:t>
      </w:r>
      <w:r>
        <w:rPr>
          <w:szCs w:val="22"/>
        </w:rPr>
        <w:t xml:space="preserve"> locations can demonstrate that the number of actual, on-the-ground locations is lower than the number estimated by the CAM.  Such a demonstration must be made within one year after the release of the Stage 2 Competition public notice </w:t>
      </w:r>
      <w:r w:rsidR="0051754D">
        <w:rPr>
          <w:szCs w:val="22"/>
        </w:rPr>
        <w:t xml:space="preserve">announcing the winners </w:t>
      </w:r>
      <w:r>
        <w:rPr>
          <w:szCs w:val="22"/>
        </w:rPr>
        <w:t xml:space="preserve">and will be subject to review by </w:t>
      </w:r>
      <w:r w:rsidR="009C1BF5">
        <w:rPr>
          <w:szCs w:val="22"/>
        </w:rPr>
        <w:t xml:space="preserve">the Bureau </w:t>
      </w:r>
      <w:r>
        <w:rPr>
          <w:szCs w:val="22"/>
        </w:rPr>
        <w:t>following comment by relevant stakeholders and potentially an audit.  Applicants’ due diligence should be informed by the availability of and requirements for this process, in addition to other factors.</w:t>
      </w:r>
    </w:p>
    <w:p w:rsidR="00E356D5" w:rsidRPr="006B53D0" w:rsidP="00DE0D9C" w14:paraId="2F123BBE" w14:textId="70DB963C">
      <w:pPr>
        <w:pStyle w:val="ParaNum"/>
        <w:widowControl/>
        <w:rPr>
          <w:szCs w:val="22"/>
        </w:rPr>
      </w:pPr>
      <w:r w:rsidRPr="006B53D0">
        <w:rPr>
          <w:szCs w:val="22"/>
        </w:rPr>
        <w:t>The Bureau</w:t>
      </w:r>
      <w:r w:rsidRPr="006B53D0">
        <w:rPr>
          <w:szCs w:val="22"/>
        </w:rPr>
        <w:t xml:space="preserve"> also remind</w:t>
      </w:r>
      <w:r w:rsidRPr="006B53D0">
        <w:rPr>
          <w:szCs w:val="22"/>
        </w:rPr>
        <w:t>s</w:t>
      </w:r>
      <w:r w:rsidRPr="006B53D0">
        <w:rPr>
          <w:szCs w:val="22"/>
        </w:rPr>
        <w:t xml:space="preserve"> each applicant that pending and future judicial proceedings, as well as certain pending and future proceedings before the Commission—including applications, applications for modification, notices of proposed rulemaking, notices of inquiry, petitions for rulemaking, requests for special temporary authority, waiver requests, petitions to deny, petitions for reconsideration, informal objections, and applications for review—may relate to or affect licensees or applicants for support in</w:t>
      </w:r>
      <w:r w:rsidRPr="006B53D0" w:rsidR="00DD3342">
        <w:rPr>
          <w:szCs w:val="22"/>
        </w:rPr>
        <w:t xml:space="preserve"> the</w:t>
      </w:r>
      <w:r w:rsidRPr="006B53D0">
        <w:rPr>
          <w:szCs w:val="22"/>
        </w:rPr>
        <w:t xml:space="preserve"> </w:t>
      </w:r>
      <w:r w:rsidRPr="006B53D0" w:rsidR="00C6622B">
        <w:rPr>
          <w:szCs w:val="22"/>
        </w:rPr>
        <w:t>Stage 2 Competition</w:t>
      </w:r>
      <w:r w:rsidRPr="006B53D0">
        <w:rPr>
          <w:szCs w:val="22"/>
        </w:rPr>
        <w:t>.  Each applicant is responsible for assessing the likelihood of the various possible outcomes and for considering the potential impact on Stage 2</w:t>
      </w:r>
      <w:r w:rsidRPr="006B53D0" w:rsidR="00DD3342">
        <w:rPr>
          <w:szCs w:val="22"/>
        </w:rPr>
        <w:t xml:space="preserve"> </w:t>
      </w:r>
      <w:r w:rsidRPr="006B53D0">
        <w:rPr>
          <w:szCs w:val="22"/>
        </w:rPr>
        <w:t>support available through this competition.</w:t>
      </w:r>
      <w:r w:rsidRPr="006B53D0" w:rsidR="00FF6D6A">
        <w:rPr>
          <w:szCs w:val="22"/>
        </w:rPr>
        <w:t xml:space="preserve">  The due diligence considerations mentioned in this Public Notice do not comprise an exhaustive list of steps that should be undertaken prior to participating in this competition.  As always, the burden is on the applicant to determine how much research to undertake, depending upon specific facts and circumstances related to its interests.   </w:t>
      </w:r>
    </w:p>
    <w:p w:rsidR="00E356D5" w:rsidRPr="00E2749F" w:rsidP="00E356D5" w14:paraId="698ABC2A" w14:textId="54CFBA24">
      <w:pPr>
        <w:pStyle w:val="ParaNum"/>
        <w:widowControl/>
        <w:rPr>
          <w:szCs w:val="22"/>
        </w:rPr>
      </w:pPr>
      <w:r w:rsidRPr="00E2749F">
        <w:rPr>
          <w:bCs/>
          <w:szCs w:val="22"/>
        </w:rPr>
        <w:t xml:space="preserve">Each applicant is solely responsible for identifying associated risks and for investigating and evaluating the degree to which such matters may affect its ability to </w:t>
      </w:r>
      <w:r w:rsidR="00F20D92">
        <w:rPr>
          <w:bCs/>
          <w:szCs w:val="22"/>
        </w:rPr>
        <w:t xml:space="preserve">apply for </w:t>
      </w:r>
      <w:r w:rsidRPr="00E2749F">
        <w:rPr>
          <w:bCs/>
          <w:szCs w:val="22"/>
        </w:rPr>
        <w:t xml:space="preserve">or otherwise receive </w:t>
      </w:r>
      <w:r>
        <w:rPr>
          <w:bCs/>
          <w:szCs w:val="22"/>
        </w:rPr>
        <w:t>Stage 2</w:t>
      </w:r>
      <w:r w:rsidR="00DD3342">
        <w:rPr>
          <w:bCs/>
          <w:szCs w:val="22"/>
        </w:rPr>
        <w:t xml:space="preserve"> </w:t>
      </w:r>
      <w:r w:rsidRPr="00E2749F">
        <w:rPr>
          <w:bCs/>
          <w:szCs w:val="22"/>
        </w:rPr>
        <w:t>support.</w:t>
      </w:r>
      <w:r w:rsidRPr="00E2749F">
        <w:rPr>
          <w:b/>
          <w:bCs/>
          <w:szCs w:val="22"/>
        </w:rPr>
        <w:t xml:space="preserve">  </w:t>
      </w:r>
      <w:r w:rsidRPr="00E2749F">
        <w:rPr>
          <w:bCs/>
          <w:szCs w:val="22"/>
        </w:rPr>
        <w:t xml:space="preserve">Each applicant is responsible for undertaking research to ensure that any support won in this </w:t>
      </w:r>
      <w:r>
        <w:rPr>
          <w:bCs/>
          <w:szCs w:val="22"/>
        </w:rPr>
        <w:t>competition</w:t>
      </w:r>
      <w:r w:rsidRPr="00E2749F">
        <w:rPr>
          <w:bCs/>
          <w:szCs w:val="22"/>
        </w:rPr>
        <w:t xml:space="preserve"> will be suitable for its business plans and needs.  Each applicant must undertake its own assessment of the relevance and importance of information gathered as part of its due diligence efforts.</w:t>
      </w:r>
      <w:r w:rsidRPr="00E2749F">
        <w:rPr>
          <w:b/>
          <w:bCs/>
          <w:szCs w:val="22"/>
        </w:rPr>
        <w:t xml:space="preserve">  </w:t>
      </w:r>
    </w:p>
    <w:p w:rsidR="00E356D5" w:rsidP="00E356D5" w14:paraId="0A6196CA" w14:textId="18ADC0E0">
      <w:pPr>
        <w:pStyle w:val="ParaNum"/>
        <w:rPr>
          <w:szCs w:val="22"/>
        </w:rPr>
      </w:pPr>
      <w:r>
        <w:rPr>
          <w:szCs w:val="22"/>
        </w:rPr>
        <w:t>The Bureau</w:t>
      </w:r>
      <w:r>
        <w:rPr>
          <w:szCs w:val="22"/>
        </w:rPr>
        <w:t xml:space="preserve"> make</w:t>
      </w:r>
      <w:r>
        <w:rPr>
          <w:szCs w:val="22"/>
        </w:rPr>
        <w:t>s</w:t>
      </w:r>
      <w:r>
        <w:rPr>
          <w:szCs w:val="22"/>
        </w:rPr>
        <w:t xml:space="preserve"> no representations or guarantees regarding the accuracy or completeness of information in </w:t>
      </w:r>
      <w:r w:rsidR="009C1BF5">
        <w:rPr>
          <w:szCs w:val="22"/>
        </w:rPr>
        <w:t xml:space="preserve">the Commission’s </w:t>
      </w:r>
      <w:r>
        <w:rPr>
          <w:szCs w:val="22"/>
        </w:rPr>
        <w:t xml:space="preserve">databases or any third-party databases, including, for example, court docketing systems.  To the extent the Commission’s databases may not include all information deemed necessary or desirable by an applicant, an applicant must obtain or verify such information from independent sources or assume the risk of any incompleteness or inaccuracy in said databases.  Furthermore, we make no representations or guarantees regarding the accuracy or completeness of information that has been provided by incumbent licensees and incorporated into </w:t>
      </w:r>
      <w:r w:rsidR="009C1BF5">
        <w:rPr>
          <w:szCs w:val="22"/>
        </w:rPr>
        <w:t xml:space="preserve">the Commission’s </w:t>
      </w:r>
      <w:r>
        <w:rPr>
          <w:szCs w:val="22"/>
        </w:rPr>
        <w:t>databases.</w:t>
      </w:r>
    </w:p>
    <w:p w:rsidR="00E356D5" w:rsidP="00E356D5" w14:paraId="5CE27CB4" w14:textId="5CCD08BF">
      <w:pPr>
        <w:pStyle w:val="ParaNum"/>
        <w:rPr>
          <w:szCs w:val="22"/>
        </w:rPr>
      </w:pPr>
      <w:r>
        <w:rPr>
          <w:szCs w:val="22"/>
        </w:rPr>
        <w:t xml:space="preserve">To confirm an applicant’s understanding of its obligations, we require </w:t>
      </w:r>
      <w:r w:rsidR="005A1EC4">
        <w:rPr>
          <w:szCs w:val="22"/>
        </w:rPr>
        <w:t xml:space="preserve">each </w:t>
      </w:r>
      <w:r w:rsidRPr="009D446F">
        <w:rPr>
          <w:szCs w:val="22"/>
        </w:rPr>
        <w:t>appl</w:t>
      </w:r>
      <w:r>
        <w:rPr>
          <w:szCs w:val="22"/>
        </w:rPr>
        <w:t>icant to certify under penalty of perjury</w:t>
      </w:r>
      <w:r w:rsidRPr="002404C5">
        <w:rPr>
          <w:szCs w:val="22"/>
        </w:rPr>
        <w:t xml:space="preserve"> </w:t>
      </w:r>
      <w:r>
        <w:rPr>
          <w:szCs w:val="22"/>
        </w:rPr>
        <w:t>in its application that</w:t>
      </w:r>
      <w:r w:rsidRPr="009D446F">
        <w:rPr>
          <w:szCs w:val="22"/>
        </w:rPr>
        <w:t xml:space="preserve">: </w:t>
      </w:r>
    </w:p>
    <w:p w:rsidR="00E356D5" w:rsidP="00E356D5" w14:paraId="77D6DD81" w14:textId="60F96753">
      <w:pPr>
        <w:spacing w:after="120"/>
        <w:ind w:left="720" w:right="720"/>
        <w:jc w:val="both"/>
      </w:pPr>
      <w:r w:rsidRPr="009D446F">
        <w:t>The applicant acknowledges that it has sole responsibility for investigating and evaluating all technical</w:t>
      </w:r>
      <w:r>
        <w:t xml:space="preserve">, </w:t>
      </w:r>
      <w:r w:rsidRPr="009D446F">
        <w:t>marketplace</w:t>
      </w:r>
      <w:r>
        <w:t>, and regulatory</w:t>
      </w:r>
      <w:r w:rsidRPr="009D446F">
        <w:t xml:space="preserve"> factors that may have a bearing on the level of </w:t>
      </w:r>
      <w:r w:rsidR="00DD3342">
        <w:t>Uniendo a Puerto Rico</w:t>
      </w:r>
      <w:r w:rsidRPr="009D446F">
        <w:t xml:space="preserve"> Fund</w:t>
      </w:r>
      <w:r w:rsidR="00DD3342">
        <w:t xml:space="preserve"> </w:t>
      </w:r>
      <w:r w:rsidR="006E6953">
        <w:t xml:space="preserve">or </w:t>
      </w:r>
      <w:r w:rsidR="00DD3342">
        <w:t>Connect USVI</w:t>
      </w:r>
      <w:r w:rsidRPr="009D446F">
        <w:t xml:space="preserve"> </w:t>
      </w:r>
      <w:r w:rsidR="00DD3342">
        <w:t xml:space="preserve">Fund </w:t>
      </w:r>
      <w:r>
        <w:t>Stage 2</w:t>
      </w:r>
      <w:r w:rsidR="00DD3342">
        <w:t xml:space="preserve"> Fixed high-cost </w:t>
      </w:r>
      <w:r w:rsidRPr="009D446F">
        <w:t xml:space="preserve">support it submits </w:t>
      </w:r>
      <w:r w:rsidR="00DD3342">
        <w:t>in its</w:t>
      </w:r>
      <w:r w:rsidRPr="009D446F">
        <w:t xml:space="preserve"> </w:t>
      </w:r>
      <w:r>
        <w:t>application</w:t>
      </w:r>
      <w:r w:rsidRPr="009D446F">
        <w:t xml:space="preserve">, and that, if </w:t>
      </w:r>
      <w:r>
        <w:t>the applicant</w:t>
      </w:r>
      <w:r w:rsidRPr="009D446F">
        <w:t xml:space="preserve"> wins support, it will be able to build and operate facilities in accordance with the </w:t>
      </w:r>
      <w:r w:rsidR="00DD3342">
        <w:t>Uniendo a Puerto Rico</w:t>
      </w:r>
      <w:r w:rsidRPr="009D446F" w:rsidR="00DD3342">
        <w:t xml:space="preserve"> Fund</w:t>
      </w:r>
      <w:r w:rsidR="00DD3342">
        <w:t xml:space="preserve"> </w:t>
      </w:r>
      <w:r w:rsidR="006E6953">
        <w:t xml:space="preserve">or </w:t>
      </w:r>
      <w:r w:rsidR="00DD3342">
        <w:t>Connect USVI</w:t>
      </w:r>
      <w:r w:rsidRPr="009D446F" w:rsidR="00DD3342">
        <w:t xml:space="preserve"> </w:t>
      </w:r>
      <w:r w:rsidR="00DD3342">
        <w:t xml:space="preserve">Fund Stage 2 </w:t>
      </w:r>
      <w:r w:rsidRPr="009D446F">
        <w:t xml:space="preserve">obligations and the Commission’s rules generally.  </w:t>
      </w:r>
    </w:p>
    <w:p w:rsidR="00E356D5" w:rsidRPr="00E356D5" w:rsidP="00E356D5" w14:paraId="08FC8F15" w14:textId="31AB21F6">
      <w:pPr>
        <w:pStyle w:val="ParaNum"/>
      </w:pPr>
      <w:r>
        <w:rPr>
          <w:szCs w:val="22"/>
        </w:rPr>
        <w:t xml:space="preserve">This </w:t>
      </w:r>
      <w:r w:rsidRPr="009D446F">
        <w:rPr>
          <w:szCs w:val="22"/>
        </w:rPr>
        <w:t xml:space="preserve">certification will help </w:t>
      </w:r>
      <w:r>
        <w:rPr>
          <w:szCs w:val="22"/>
        </w:rPr>
        <w:t xml:space="preserve">ensure </w:t>
      </w:r>
      <w:r w:rsidRPr="009D446F">
        <w:rPr>
          <w:szCs w:val="22"/>
        </w:rPr>
        <w:t xml:space="preserve">that </w:t>
      </w:r>
      <w:r>
        <w:rPr>
          <w:szCs w:val="22"/>
        </w:rPr>
        <w:t>an</w:t>
      </w:r>
      <w:r w:rsidRPr="009D446F">
        <w:rPr>
          <w:szCs w:val="22"/>
        </w:rPr>
        <w:t xml:space="preserve"> applicant </w:t>
      </w:r>
      <w:r>
        <w:rPr>
          <w:szCs w:val="22"/>
        </w:rPr>
        <w:t xml:space="preserve">acknowledges and </w:t>
      </w:r>
      <w:r w:rsidRPr="009D446F">
        <w:rPr>
          <w:szCs w:val="22"/>
        </w:rPr>
        <w:t>accepts responsibility</w:t>
      </w:r>
      <w:r w:rsidR="00891A80">
        <w:rPr>
          <w:szCs w:val="22"/>
        </w:rPr>
        <w:t xml:space="preserve"> </w:t>
      </w:r>
      <w:r w:rsidRPr="009D446F">
        <w:rPr>
          <w:szCs w:val="22"/>
        </w:rPr>
        <w:t xml:space="preserve">for its </w:t>
      </w:r>
      <w:r>
        <w:rPr>
          <w:szCs w:val="22"/>
        </w:rPr>
        <w:t>application</w:t>
      </w:r>
      <w:r w:rsidRPr="009D446F">
        <w:rPr>
          <w:szCs w:val="22"/>
        </w:rPr>
        <w:t xml:space="preserve"> and</w:t>
      </w:r>
      <w:r>
        <w:rPr>
          <w:szCs w:val="22"/>
        </w:rPr>
        <w:t xml:space="preserve"> any forfeitures imposed in the event of default,</w:t>
      </w:r>
      <w:r>
        <w:rPr>
          <w:rStyle w:val="FootnoteReference"/>
          <w:szCs w:val="22"/>
        </w:rPr>
        <w:footnoteReference w:id="115"/>
      </w:r>
      <w:r>
        <w:rPr>
          <w:szCs w:val="22"/>
        </w:rPr>
        <w:t xml:space="preserve"> and</w:t>
      </w:r>
      <w:r w:rsidRPr="009D446F">
        <w:rPr>
          <w:szCs w:val="22"/>
        </w:rPr>
        <w:t xml:space="preserve"> </w:t>
      </w:r>
      <w:r>
        <w:rPr>
          <w:szCs w:val="22"/>
        </w:rPr>
        <w:t xml:space="preserve">that it </w:t>
      </w:r>
      <w:r w:rsidRPr="009D446F">
        <w:rPr>
          <w:szCs w:val="22"/>
        </w:rPr>
        <w:t xml:space="preserve">will not attempt to place responsibility for </w:t>
      </w:r>
      <w:r>
        <w:rPr>
          <w:szCs w:val="22"/>
        </w:rPr>
        <w:t xml:space="preserve">the consequences of </w:t>
      </w:r>
      <w:r w:rsidRPr="009D446F">
        <w:rPr>
          <w:szCs w:val="22"/>
        </w:rPr>
        <w:t xml:space="preserve">its </w:t>
      </w:r>
      <w:r>
        <w:rPr>
          <w:szCs w:val="22"/>
        </w:rPr>
        <w:t>activity</w:t>
      </w:r>
      <w:r w:rsidR="00933861">
        <w:rPr>
          <w:szCs w:val="22"/>
        </w:rPr>
        <w:t xml:space="preserve"> in this process</w:t>
      </w:r>
      <w:r w:rsidRPr="009D446F">
        <w:rPr>
          <w:szCs w:val="22"/>
        </w:rPr>
        <w:t xml:space="preserve"> on either the Commission or </w:t>
      </w:r>
      <w:r>
        <w:rPr>
          <w:szCs w:val="22"/>
        </w:rPr>
        <w:t>any of its contractors</w:t>
      </w:r>
      <w:r w:rsidR="00DD3342">
        <w:rPr>
          <w:szCs w:val="22"/>
        </w:rPr>
        <w:t>.</w:t>
      </w:r>
    </w:p>
    <w:p w:rsidR="00FD050E" w:rsidP="005913B3" w14:paraId="5C09DDC9" w14:textId="77777777">
      <w:pPr>
        <w:pStyle w:val="Heading4"/>
        <w:widowControl/>
      </w:pPr>
      <w:bookmarkStart w:id="1329" w:name="_Toc22643861"/>
      <w:r>
        <w:t>Eligible Telecommunications Carrier Certification</w:t>
      </w:r>
      <w:bookmarkEnd w:id="1329"/>
    </w:p>
    <w:p w:rsidR="007743AA" w:rsidP="005913B3" w14:paraId="018E5AF7" w14:textId="77777777">
      <w:pPr>
        <w:pStyle w:val="ParaNum"/>
        <w:keepNext/>
        <w:widowControl/>
      </w:pPr>
      <w:r>
        <w:t>An applicant must acknowledge in its application that it must be designated as an ETC for the areas in which it will receive support prior to being authorized to receive support.</w:t>
      </w:r>
      <w:r>
        <w:rPr>
          <w:rStyle w:val="FootnoteReference"/>
        </w:rPr>
        <w:footnoteReference w:id="116"/>
      </w:r>
      <w:r>
        <w:t xml:space="preserve">  O</w:t>
      </w:r>
      <w:r w:rsidRPr="0032666F">
        <w:t xml:space="preserve">nly ETCs designated pursuant to </w:t>
      </w:r>
      <w:r>
        <w:t>section</w:t>
      </w:r>
      <w:r w:rsidRPr="0032666F">
        <w:t xml:space="preserve"> 214(e)</w:t>
      </w:r>
      <w:r>
        <w:t xml:space="preserve"> of the Communications Act of 1934, as amended (the Act)</w:t>
      </w:r>
      <w:r w:rsidRPr="0032666F">
        <w:t xml:space="preserve"> “shall be eligible to receive specific Federal universal service support.”</w:t>
      </w:r>
      <w:r>
        <w:rPr>
          <w:rStyle w:val="FootnoteReference"/>
        </w:rPr>
        <w:footnoteReference w:id="117"/>
      </w:r>
      <w:r w:rsidRPr="0032666F">
        <w:t xml:space="preserve">  Section 214(e)(2) gives states the primary responsibility for ETC designation.</w:t>
      </w:r>
      <w:r>
        <w:rPr>
          <w:rStyle w:val="FootnoteReference"/>
        </w:rPr>
        <w:footnoteReference w:id="118"/>
      </w:r>
      <w:r w:rsidRPr="0032666F">
        <w:t xml:space="preserve">  However, </w:t>
      </w:r>
      <w:r>
        <w:t>section</w:t>
      </w:r>
      <w:r w:rsidRPr="0032666F">
        <w:t xml:space="preserve"> 214(e)(6) provides that this Commission is responsible for processing requests for ETC designation when the service provider is not subject to the jurisdiction of </w:t>
      </w:r>
      <w:r>
        <w:t xml:space="preserve">any </w:t>
      </w:r>
      <w:r w:rsidRPr="0032666F">
        <w:t>state commission.</w:t>
      </w:r>
      <w:r>
        <w:rPr>
          <w:rStyle w:val="FootnoteReference"/>
        </w:rPr>
        <w:footnoteReference w:id="119"/>
      </w:r>
      <w:r w:rsidRPr="0032666F">
        <w:t xml:space="preserve">  Support is disbursed only after the provider receives an ETC designation</w:t>
      </w:r>
      <w:r>
        <w:t xml:space="preserve"> and satisfies the requirements</w:t>
      </w:r>
      <w:r w:rsidRPr="0032666F">
        <w:t xml:space="preserve">.  </w:t>
      </w:r>
    </w:p>
    <w:p w:rsidR="007743AA" w:rsidRPr="007743AA" w:rsidP="00C34203" w14:paraId="4D445B45" w14:textId="051A50E8">
      <w:pPr>
        <w:pStyle w:val="ParaNum"/>
        <w:widowControl/>
      </w:pPr>
      <w:r w:rsidRPr="00261860">
        <w:rPr>
          <w:szCs w:val="22"/>
        </w:rPr>
        <w:t xml:space="preserve">The Commission decided that an applicant need not be an ETC as of the application filing deadline for </w:t>
      </w:r>
      <w:r>
        <w:rPr>
          <w:szCs w:val="22"/>
        </w:rPr>
        <w:t xml:space="preserve">the </w:t>
      </w:r>
      <w:r w:rsidR="00C6622B">
        <w:rPr>
          <w:szCs w:val="22"/>
        </w:rPr>
        <w:t>Stage 2 Competition</w:t>
      </w:r>
      <w:r w:rsidRPr="00261860">
        <w:rPr>
          <w:szCs w:val="22"/>
        </w:rPr>
        <w:t xml:space="preserve">, but that it must obtain a high-cost ETC designation for the areas covered by its winning </w:t>
      </w:r>
      <w:r>
        <w:rPr>
          <w:szCs w:val="22"/>
        </w:rPr>
        <w:t>application</w:t>
      </w:r>
      <w:r w:rsidRPr="00261860">
        <w:rPr>
          <w:szCs w:val="22"/>
        </w:rPr>
        <w:t xml:space="preserve">s within </w:t>
      </w:r>
      <w:r>
        <w:rPr>
          <w:szCs w:val="22"/>
        </w:rPr>
        <w:t>60</w:t>
      </w:r>
      <w:r w:rsidRPr="00261860">
        <w:rPr>
          <w:szCs w:val="22"/>
        </w:rPr>
        <w:t xml:space="preserve"> days after being announced as a winning </w:t>
      </w:r>
      <w:r>
        <w:rPr>
          <w:szCs w:val="22"/>
        </w:rPr>
        <w:t>applicant</w:t>
      </w:r>
      <w:r w:rsidRPr="00261860">
        <w:rPr>
          <w:szCs w:val="22"/>
        </w:rPr>
        <w:t>.</w:t>
      </w:r>
      <w:r>
        <w:rPr>
          <w:rStyle w:val="FootnoteReference"/>
          <w:sz w:val="22"/>
          <w:szCs w:val="22"/>
        </w:rPr>
        <w:footnoteReference w:id="120"/>
      </w:r>
      <w:r w:rsidRPr="00261860">
        <w:rPr>
          <w:szCs w:val="22"/>
        </w:rPr>
        <w:t xml:space="preserve">  </w:t>
      </w:r>
    </w:p>
    <w:p w:rsidR="00E356D5" w:rsidRPr="007743AA" w:rsidP="00E356D5" w14:paraId="526E3FFB" w14:textId="79160D96">
      <w:pPr>
        <w:pStyle w:val="ParaNum"/>
      </w:pPr>
      <w:r w:rsidRPr="00261860">
        <w:rPr>
          <w:szCs w:val="22"/>
        </w:rPr>
        <w:t xml:space="preserve">Absent a waiver, </w:t>
      </w:r>
      <w:r w:rsidR="007743AA">
        <w:rPr>
          <w:szCs w:val="22"/>
        </w:rPr>
        <w:t>an</w:t>
      </w:r>
      <w:r w:rsidRPr="00261860">
        <w:rPr>
          <w:szCs w:val="22"/>
        </w:rPr>
        <w:t xml:space="preserve"> applicant that fails to obtain the necessary ETC designations by th</w:t>
      </w:r>
      <w:r w:rsidR="004E26A2">
        <w:rPr>
          <w:szCs w:val="22"/>
        </w:rPr>
        <w:t>at</w:t>
      </w:r>
      <w:r w:rsidRPr="00261860">
        <w:rPr>
          <w:szCs w:val="22"/>
        </w:rPr>
        <w:t xml:space="preserve"> deadline will be subject to </w:t>
      </w:r>
      <w:r w:rsidR="007743AA">
        <w:rPr>
          <w:szCs w:val="22"/>
        </w:rPr>
        <w:t>a</w:t>
      </w:r>
      <w:r w:rsidRPr="00261860">
        <w:rPr>
          <w:szCs w:val="22"/>
        </w:rPr>
        <w:t xml:space="preserve"> forfeiture as described below, and will not be authorized to receive </w:t>
      </w:r>
      <w:r>
        <w:rPr>
          <w:szCs w:val="22"/>
        </w:rPr>
        <w:t>Stage 2</w:t>
      </w:r>
      <w:r w:rsidR="007743AA">
        <w:rPr>
          <w:szCs w:val="22"/>
        </w:rPr>
        <w:t xml:space="preserve"> </w:t>
      </w:r>
      <w:r w:rsidRPr="00261860">
        <w:rPr>
          <w:szCs w:val="22"/>
        </w:rPr>
        <w:t>support.</w:t>
      </w:r>
      <w:r>
        <w:rPr>
          <w:rStyle w:val="FootnoteReference"/>
          <w:sz w:val="22"/>
          <w:szCs w:val="22"/>
        </w:rPr>
        <w:footnoteReference w:id="121"/>
      </w:r>
      <w:r w:rsidRPr="00261860">
        <w:rPr>
          <w:szCs w:val="22"/>
        </w:rPr>
        <w:t xml:space="preserve">  </w:t>
      </w:r>
      <w:r w:rsidRPr="00261860">
        <w:rPr>
          <w:snapToGrid/>
          <w:kern w:val="0"/>
          <w:szCs w:val="22"/>
        </w:rPr>
        <w:t xml:space="preserve">In addition to all the requirements for participating in the </w:t>
      </w:r>
      <w:r>
        <w:rPr>
          <w:snapToGrid/>
          <w:kern w:val="0"/>
          <w:szCs w:val="22"/>
        </w:rPr>
        <w:t>Stage 2</w:t>
      </w:r>
      <w:r w:rsidR="007743AA">
        <w:rPr>
          <w:snapToGrid/>
          <w:kern w:val="0"/>
          <w:szCs w:val="22"/>
        </w:rPr>
        <w:t xml:space="preserve"> </w:t>
      </w:r>
      <w:r w:rsidR="00B9741C">
        <w:rPr>
          <w:snapToGrid/>
          <w:kern w:val="0"/>
          <w:szCs w:val="22"/>
        </w:rPr>
        <w:t>Competition</w:t>
      </w:r>
      <w:r w:rsidRPr="00261860">
        <w:rPr>
          <w:snapToGrid/>
          <w:kern w:val="0"/>
          <w:szCs w:val="22"/>
        </w:rPr>
        <w:t xml:space="preserve">, each applicant should be familiar with the requirements </w:t>
      </w:r>
      <w:r w:rsidR="004E26A2">
        <w:rPr>
          <w:snapToGrid/>
          <w:kern w:val="0"/>
          <w:szCs w:val="22"/>
        </w:rPr>
        <w:t>of</w:t>
      </w:r>
      <w:r w:rsidR="006B53D0">
        <w:rPr>
          <w:snapToGrid/>
          <w:kern w:val="0"/>
          <w:szCs w:val="22"/>
        </w:rPr>
        <w:t xml:space="preserve"> </w:t>
      </w:r>
      <w:r w:rsidRPr="00261860">
        <w:rPr>
          <w:snapToGrid/>
          <w:kern w:val="0"/>
          <w:szCs w:val="22"/>
        </w:rPr>
        <w:t>a high-cost ETC.  For example, all high-cost ETCs are required to offer Lifeline voice and broadband service to qualifying low-income consumers pursuant to the Lifeline program rules.</w:t>
      </w:r>
      <w:r>
        <w:rPr>
          <w:rStyle w:val="FootnoteReference"/>
          <w:snapToGrid/>
          <w:kern w:val="0"/>
          <w:sz w:val="22"/>
          <w:szCs w:val="22"/>
        </w:rPr>
        <w:footnoteReference w:id="122"/>
      </w:r>
      <w:r w:rsidRPr="00261860">
        <w:rPr>
          <w:snapToGrid/>
          <w:kern w:val="0"/>
          <w:szCs w:val="22"/>
        </w:rPr>
        <w:t xml:space="preserve">  Moreover, when the requirement has been fully implemented, each </w:t>
      </w:r>
      <w:r>
        <w:rPr>
          <w:snapToGrid/>
          <w:kern w:val="0"/>
          <w:szCs w:val="22"/>
        </w:rPr>
        <w:t>Stage 2</w:t>
      </w:r>
      <w:r w:rsidR="009528D0">
        <w:rPr>
          <w:snapToGrid/>
          <w:kern w:val="0"/>
          <w:szCs w:val="22"/>
        </w:rPr>
        <w:t xml:space="preserve"> </w:t>
      </w:r>
      <w:r w:rsidRPr="00261860">
        <w:rPr>
          <w:snapToGrid/>
          <w:kern w:val="0"/>
          <w:szCs w:val="22"/>
        </w:rPr>
        <w:t xml:space="preserve">support recipient will be required to </w:t>
      </w:r>
      <w:r w:rsidR="00987F19">
        <w:rPr>
          <w:snapToGrid/>
          <w:kern w:val="0"/>
          <w:szCs w:val="22"/>
        </w:rPr>
        <w:t xml:space="preserve">bid </w:t>
      </w:r>
      <w:r w:rsidRPr="00261860">
        <w:rPr>
          <w:snapToGrid/>
          <w:kern w:val="0"/>
          <w:szCs w:val="22"/>
        </w:rPr>
        <w:t xml:space="preserve">on </w:t>
      </w:r>
      <w:r w:rsidR="0029528C">
        <w:rPr>
          <w:snapToGrid/>
          <w:kern w:val="0"/>
          <w:szCs w:val="22"/>
        </w:rPr>
        <w:t>C</w:t>
      </w:r>
      <w:r w:rsidRPr="00261860">
        <w:rPr>
          <w:snapToGrid/>
          <w:kern w:val="0"/>
          <w:szCs w:val="22"/>
        </w:rPr>
        <w:t xml:space="preserve">ategory </w:t>
      </w:r>
      <w:r w:rsidR="0029528C">
        <w:rPr>
          <w:snapToGrid/>
          <w:kern w:val="0"/>
          <w:szCs w:val="22"/>
        </w:rPr>
        <w:t>O</w:t>
      </w:r>
      <w:r w:rsidRPr="00261860">
        <w:rPr>
          <w:snapToGrid/>
          <w:kern w:val="0"/>
          <w:szCs w:val="22"/>
        </w:rPr>
        <w:t xml:space="preserve">ne telecommunications and Internet access services in response to a posted FCC Form 470 seeking broadband service that meets the connectivity targets for the </w:t>
      </w:r>
      <w:r w:rsidR="00094AA4">
        <w:rPr>
          <w:snapToGrid/>
          <w:kern w:val="0"/>
          <w:szCs w:val="22"/>
        </w:rPr>
        <w:t>S</w:t>
      </w:r>
      <w:r w:rsidRPr="00261860">
        <w:rPr>
          <w:snapToGrid/>
          <w:kern w:val="0"/>
          <w:szCs w:val="22"/>
        </w:rPr>
        <w:t xml:space="preserve">chools and </w:t>
      </w:r>
      <w:r w:rsidR="00094AA4">
        <w:rPr>
          <w:snapToGrid/>
          <w:kern w:val="0"/>
          <w:szCs w:val="22"/>
        </w:rPr>
        <w:t>L</w:t>
      </w:r>
      <w:r w:rsidRPr="00261860">
        <w:rPr>
          <w:snapToGrid/>
          <w:kern w:val="0"/>
          <w:szCs w:val="22"/>
        </w:rPr>
        <w:t xml:space="preserve">ibraries universal service support program (E-rate) for eligible schools and libraries located within any area in a census block where the ETC is receiving </w:t>
      </w:r>
      <w:r>
        <w:rPr>
          <w:snapToGrid/>
          <w:kern w:val="0"/>
          <w:szCs w:val="22"/>
        </w:rPr>
        <w:t>Stage 2</w:t>
      </w:r>
      <w:r w:rsidR="00987F19">
        <w:rPr>
          <w:snapToGrid/>
          <w:kern w:val="0"/>
          <w:szCs w:val="22"/>
        </w:rPr>
        <w:t xml:space="preserve"> </w:t>
      </w:r>
      <w:r w:rsidRPr="00261860">
        <w:rPr>
          <w:snapToGrid/>
          <w:kern w:val="0"/>
          <w:szCs w:val="22"/>
        </w:rPr>
        <w:t>support.</w:t>
      </w:r>
      <w:r>
        <w:rPr>
          <w:rStyle w:val="FootnoteReference"/>
          <w:snapToGrid/>
          <w:kern w:val="0"/>
          <w:sz w:val="22"/>
          <w:szCs w:val="22"/>
        </w:rPr>
        <w:footnoteReference w:id="123"/>
      </w:r>
      <w:r w:rsidRPr="00261860">
        <w:rPr>
          <w:snapToGrid/>
          <w:kern w:val="0"/>
          <w:szCs w:val="22"/>
        </w:rPr>
        <w:t xml:space="preserve">  A high-cost ETC may also be subject to state-specific requirements imposed by the state that designates it as an ETC</w:t>
      </w:r>
      <w:r w:rsidR="007743AA">
        <w:rPr>
          <w:snapToGrid/>
          <w:kern w:val="0"/>
          <w:szCs w:val="22"/>
        </w:rPr>
        <w:t>.</w:t>
      </w:r>
    </w:p>
    <w:p w:rsidR="00FD050E" w:rsidP="005913B3" w14:paraId="6A996449" w14:textId="6124F357">
      <w:pPr>
        <w:pStyle w:val="Heading4"/>
        <w:widowControl/>
      </w:pPr>
      <w:bookmarkStart w:id="1330" w:name="_Toc22643862"/>
      <w:r>
        <w:t>Disaster Preparation and Response Plan (DPRP)</w:t>
      </w:r>
      <w:bookmarkEnd w:id="1330"/>
    </w:p>
    <w:p w:rsidR="007B29E6" w:rsidRPr="007B29E6" w:rsidP="005913B3" w14:paraId="19A93823" w14:textId="78DDAA5B">
      <w:pPr>
        <w:pStyle w:val="ParaNum"/>
        <w:keepNext/>
        <w:widowControl/>
        <w:rPr>
          <w:snapToGrid/>
          <w:kern w:val="0"/>
        </w:rPr>
      </w:pPr>
      <w:r>
        <w:t xml:space="preserve">An applicant </w:t>
      </w:r>
      <w:r w:rsidR="009528D0">
        <w:t>is</w:t>
      </w:r>
      <w:r>
        <w:t xml:space="preserve"> required to submit with its application a Disaster Preparation and Response Plan (DPRP), </w:t>
      </w:r>
      <w:r>
        <w:t>which will be reviewed by the Bureau for completeness</w:t>
      </w:r>
      <w:r>
        <w:t>.</w:t>
      </w:r>
      <w:r>
        <w:rPr>
          <w:rStyle w:val="FootnoteReference"/>
        </w:rPr>
        <w:footnoteReference w:id="124"/>
      </w:r>
      <w:r>
        <w:t xml:space="preserve">  The DPRP </w:t>
      </w:r>
      <w:r>
        <w:t xml:space="preserve">should, at a minimum, address in detail how an applicant intends to prepare for and respond to disasters in Puerto Rico and/or the U.S. Virgin Islands according to five criteria: (1) Strengthening Infrastructure; (2) Ensuring Network Diversity; (3) Ensuring Backup Power; (4) Network Monitoring; and (5) Emergency Preparedness. The </w:t>
      </w:r>
      <w:r w:rsidRPr="007B29E6">
        <w:t>detailed DPRP must include, for each criterion:</w:t>
      </w:r>
    </w:p>
    <w:p w:rsidR="007B29E6" w:rsidRPr="007B29E6" w:rsidP="007B29E6" w14:paraId="0BDB549C" w14:textId="77777777">
      <w:pPr>
        <w:pStyle w:val="ListParagraph"/>
        <w:numPr>
          <w:ilvl w:val="0"/>
          <w:numId w:val="16"/>
        </w:numPr>
        <w:spacing w:after="160" w:line="256" w:lineRule="auto"/>
        <w:ind w:left="720"/>
        <w:contextualSpacing/>
        <w:rPr>
          <w:rFonts w:ascii="Times New Roman" w:hAnsi="Times New Roman" w:cs="Times New Roman"/>
        </w:rPr>
      </w:pPr>
      <w:r w:rsidRPr="007B29E6">
        <w:rPr>
          <w:rFonts w:ascii="Times New Roman" w:hAnsi="Times New Roman" w:cs="Times New Roman"/>
        </w:rPr>
        <w:t>a description of your commitments to maintain, improve or modify your facilities based on reasonably-selected best practices, checklists and industry standards;</w:t>
      </w:r>
    </w:p>
    <w:p w:rsidR="007B29E6" w:rsidRPr="007B29E6" w:rsidP="007B29E6" w14:paraId="7849997E" w14:textId="77777777">
      <w:pPr>
        <w:pStyle w:val="ListParagraph"/>
        <w:numPr>
          <w:ilvl w:val="0"/>
          <w:numId w:val="16"/>
        </w:numPr>
        <w:spacing w:after="160" w:line="256" w:lineRule="auto"/>
        <w:ind w:left="720"/>
        <w:contextualSpacing/>
        <w:rPr>
          <w:rFonts w:ascii="Times New Roman" w:hAnsi="Times New Roman" w:cs="Times New Roman"/>
        </w:rPr>
      </w:pPr>
      <w:r w:rsidRPr="007B29E6">
        <w:rPr>
          <w:rFonts w:ascii="Times New Roman" w:hAnsi="Times New Roman" w:cs="Times New Roman"/>
        </w:rPr>
        <w:t>commitments that are auditable and your agreement to be subject to reasonable audit procedures; and</w:t>
      </w:r>
    </w:p>
    <w:p w:rsidR="007B29E6" w:rsidRPr="007B29E6" w:rsidP="007B29E6" w14:paraId="3A927926" w14:textId="77777777">
      <w:pPr>
        <w:pStyle w:val="ListParagraph"/>
        <w:numPr>
          <w:ilvl w:val="0"/>
          <w:numId w:val="16"/>
        </w:numPr>
        <w:spacing w:after="160" w:line="256" w:lineRule="auto"/>
        <w:ind w:left="720"/>
        <w:contextualSpacing/>
        <w:rPr>
          <w:rFonts w:ascii="Times New Roman" w:hAnsi="Times New Roman" w:cs="Times New Roman"/>
        </w:rPr>
      </w:pPr>
      <w:r w:rsidRPr="007B29E6">
        <w:rPr>
          <w:rFonts w:ascii="Times New Roman" w:hAnsi="Times New Roman" w:cs="Times New Roman"/>
        </w:rPr>
        <w:t>identification of your employee official(s) responsible for management and compliance.</w:t>
      </w:r>
    </w:p>
    <w:p w:rsidR="003F297B" w:rsidP="00C34203" w14:paraId="203E82BE" w14:textId="35056524">
      <w:pPr>
        <w:widowControl/>
        <w:ind w:firstLine="360"/>
      </w:pPr>
      <w:r w:rsidRPr="007B29E6">
        <w:t xml:space="preserve">For each criterion, </w:t>
      </w:r>
      <w:r w:rsidR="00FB25DB">
        <w:t>the Bureau</w:t>
      </w:r>
      <w:r w:rsidRPr="007B29E6">
        <w:t xml:space="preserve"> ha</w:t>
      </w:r>
      <w:r w:rsidR="00FB25DB">
        <w:t>s</w:t>
      </w:r>
      <w:r w:rsidRPr="007B29E6">
        <w:t xml:space="preserve"> provided example best practices, checklists, and/or standards </w:t>
      </w:r>
      <w:r>
        <w:t xml:space="preserve">in the Appendix </w:t>
      </w:r>
      <w:r w:rsidR="00F84D43">
        <w:t>C</w:t>
      </w:r>
      <w:r w:rsidRPr="007B29E6">
        <w:t xml:space="preserve">.  </w:t>
      </w:r>
      <w:r>
        <w:t>It may be</w:t>
      </w:r>
      <w:r w:rsidRPr="007B29E6">
        <w:t xml:space="preserve"> useful to consider and/or incorporate some or all of these materials in preparing </w:t>
      </w:r>
      <w:r>
        <w:t>the DPRP</w:t>
      </w:r>
      <w:r w:rsidR="00B72E4A">
        <w:t>;</w:t>
      </w:r>
      <w:r>
        <w:t xml:space="preserve"> however, w</w:t>
      </w:r>
      <w:r w:rsidRPr="007B29E6">
        <w:t>e do not endorse any of the specific examples</w:t>
      </w:r>
      <w:r>
        <w:t xml:space="preserve">, but rather we simply provide them as examples that may prove useful.  The applicant should explain why it believes compliance with any specific standard it identifies will prove adequate to meet the criteria we set forth.  </w:t>
      </w:r>
    </w:p>
    <w:p w:rsidR="009528D0" w:rsidRPr="003F297B" w:rsidP="007B29E6" w14:paraId="675E2DC2" w14:textId="77777777">
      <w:pPr>
        <w:ind w:firstLine="360"/>
      </w:pPr>
    </w:p>
    <w:p w:rsidR="00FD050E" w:rsidP="00673EAE" w14:paraId="192A87FF" w14:textId="77777777">
      <w:pPr>
        <w:pStyle w:val="Heading5"/>
      </w:pPr>
      <w:r>
        <w:t>Bureau Review</w:t>
      </w:r>
    </w:p>
    <w:p w:rsidR="00236EF9" w:rsidRPr="00236EF9" w:rsidP="00236EF9" w14:paraId="0FAFF45E" w14:textId="17A52EFF">
      <w:pPr>
        <w:pStyle w:val="ParaNum"/>
      </w:pPr>
      <w:r>
        <w:t xml:space="preserve">As </w:t>
      </w:r>
      <w:r w:rsidR="009528D0">
        <w:t>directed by the Commission and as part</w:t>
      </w:r>
      <w:r>
        <w:t xml:space="preserve"> of its review of the application, Bureau staff will review each applicant’s DPRP for completeness, and may contact the applicant for further information.</w:t>
      </w:r>
      <w:r w:rsidR="001A7642">
        <w:t xml:space="preserve"> The Bureau will provide detailed written notification of the deficiencies</w:t>
      </w:r>
      <w:r w:rsidR="00296763">
        <w:t>, if any,</w:t>
      </w:r>
      <w:r w:rsidR="001A7642">
        <w:t xml:space="preserve"> to the carrier and withhold authorization to receive support until the support recipient has cured the deficiencies.</w:t>
      </w:r>
      <w:r>
        <w:rPr>
          <w:rStyle w:val="FootnoteReference"/>
        </w:rPr>
        <w:footnoteReference w:id="125"/>
      </w:r>
    </w:p>
    <w:p w:rsidR="00FD050E" w:rsidP="00701932" w14:paraId="6C3E6C7F" w14:textId="77777777">
      <w:pPr>
        <w:pStyle w:val="Heading5"/>
        <w:keepLines/>
        <w:widowControl/>
      </w:pPr>
      <w:r>
        <w:t>Opportunity to Amend DPRP</w:t>
      </w:r>
    </w:p>
    <w:p w:rsidR="00A6782C" w:rsidRPr="00A6782C" w:rsidP="00701932" w14:paraId="31D546BD" w14:textId="095D4936">
      <w:pPr>
        <w:pStyle w:val="ParaNum"/>
        <w:keepLines/>
        <w:widowControl/>
      </w:pPr>
      <w:r>
        <w:t xml:space="preserve">Notwithstanding the prohibition against major modifications to an application after the </w:t>
      </w:r>
      <w:r w:rsidR="00606592">
        <w:t>submission deadline</w:t>
      </w:r>
      <w:r>
        <w:t>, the Bureau will allow a</w:t>
      </w:r>
      <w:r>
        <w:t xml:space="preserve">n applicant </w:t>
      </w:r>
      <w:r>
        <w:t xml:space="preserve">to </w:t>
      </w:r>
      <w:r>
        <w:t xml:space="preserve">amend its DPRP submission </w:t>
      </w:r>
      <w:r w:rsidR="00BC0F1B">
        <w:t>in order to maintain best practices to prepare for and respond to disasters</w:t>
      </w:r>
      <w:r>
        <w:t xml:space="preserve">.  </w:t>
      </w:r>
    </w:p>
    <w:p w:rsidR="00B42363" w:rsidP="00673EAE" w14:paraId="5E078B36" w14:textId="77777777">
      <w:pPr>
        <w:pStyle w:val="Heading5"/>
      </w:pPr>
      <w:r>
        <w:t>Obligation to Update DPRP</w:t>
      </w:r>
    </w:p>
    <w:p w:rsidR="00085502" w:rsidRPr="00085502" w:rsidP="00085502" w14:paraId="62748C8D" w14:textId="487780C1">
      <w:pPr>
        <w:pStyle w:val="ParaNum"/>
      </w:pPr>
      <w:r>
        <w:t xml:space="preserve">A support recipient must certify annually to USAC that </w:t>
      </w:r>
      <w:r w:rsidR="00A55EE5">
        <w:t>it has</w:t>
      </w:r>
      <w:r>
        <w:t xml:space="preserve"> recently reviewed the DPRP and considered whether any changes or revisions were necessary.  </w:t>
      </w:r>
      <w:r>
        <w:t xml:space="preserve">A </w:t>
      </w:r>
      <w:r>
        <w:t>support recipient</w:t>
      </w:r>
      <w:r>
        <w:t xml:space="preserve"> has the obligation to provide the Bureau with an updated DPRP </w:t>
      </w:r>
      <w:r>
        <w:t>within 10 days of making any</w:t>
      </w:r>
      <w:r>
        <w:t xml:space="preserve"> material changes</w:t>
      </w:r>
      <w:r>
        <w:t xml:space="preserve"> to the DPRP, and </w:t>
      </w:r>
      <w:r>
        <w:t>for as long as it receives Stage 2 support.</w:t>
      </w:r>
      <w:r>
        <w:rPr>
          <w:rStyle w:val="FootnoteReference"/>
        </w:rPr>
        <w:footnoteReference w:id="126"/>
      </w:r>
      <w:r>
        <w:t xml:space="preserve"> </w:t>
      </w:r>
      <w:r>
        <w:t xml:space="preserve"> </w:t>
      </w:r>
    </w:p>
    <w:p w:rsidR="002454C0" w:rsidP="00701932" w14:paraId="2C40F9AE" w14:textId="77777777">
      <w:pPr>
        <w:pStyle w:val="Heading2"/>
      </w:pPr>
      <w:bookmarkStart w:id="1331" w:name="_Toc497122383"/>
      <w:bookmarkStart w:id="1332" w:name="_Toc497214485"/>
      <w:bookmarkStart w:id="1333" w:name="_Toc497403609"/>
      <w:bookmarkStart w:id="1334" w:name="_Toc497490917"/>
      <w:bookmarkStart w:id="1335" w:name="_Toc497914371"/>
      <w:bookmarkStart w:id="1336" w:name="_Toc498007843"/>
      <w:bookmarkStart w:id="1337" w:name="_Toc498008556"/>
      <w:bookmarkStart w:id="1338" w:name="_Toc498442168"/>
      <w:bookmarkStart w:id="1339" w:name="_Toc498505768"/>
      <w:bookmarkStart w:id="1340" w:name="_Toc498507721"/>
      <w:bookmarkStart w:id="1341" w:name="_Toc498519797"/>
      <w:bookmarkStart w:id="1342" w:name="_Toc498527970"/>
      <w:bookmarkStart w:id="1343" w:name="_Toc499285933"/>
      <w:bookmarkStart w:id="1344" w:name="_Toc499794140"/>
      <w:bookmarkStart w:id="1345" w:name="_Toc499902573"/>
      <w:bookmarkStart w:id="1346" w:name="_Toc500921843"/>
      <w:bookmarkStart w:id="1347" w:name="_Toc501095386"/>
      <w:bookmarkStart w:id="1348" w:name="_Toc501361448"/>
      <w:bookmarkStart w:id="1349" w:name="_Toc501361656"/>
      <w:bookmarkStart w:id="1350" w:name="_Toc502758357"/>
      <w:bookmarkStart w:id="1351" w:name="_Toc502845769"/>
      <w:bookmarkStart w:id="1352" w:name="_Toc502926704"/>
      <w:bookmarkStart w:id="1353" w:name="_Toc502932099"/>
      <w:bookmarkStart w:id="1354" w:name="_Toc504660978"/>
      <w:bookmarkStart w:id="1355" w:name="_Toc504721769"/>
      <w:bookmarkStart w:id="1356" w:name="_Toc505008705"/>
      <w:bookmarkStart w:id="1357" w:name="_Toc505161633"/>
      <w:bookmarkStart w:id="1358" w:name="_Toc22643863"/>
      <w:bookmarkStart w:id="1359" w:name="_Toc30099838"/>
      <w:bookmarkStart w:id="1360" w:name="_Toc491262550"/>
      <w:bookmarkStart w:id="1361" w:name="_Toc491263113"/>
      <w:bookmarkStart w:id="1362" w:name="_Toc491676649"/>
      <w:bookmarkStart w:id="1363" w:name="_Toc491677468"/>
      <w:bookmarkStart w:id="1364" w:name="_Toc491697178"/>
      <w:bookmarkStart w:id="1365" w:name="_Toc491765013"/>
      <w:bookmarkStart w:id="1366" w:name="_Toc491765601"/>
      <w:bookmarkStart w:id="1367" w:name="_Toc491786337"/>
      <w:bookmarkStart w:id="1368" w:name="_Toc491789541"/>
      <w:bookmarkStart w:id="1369" w:name="_Toc491849714"/>
      <w:bookmarkStart w:id="1370" w:name="_Toc491850166"/>
      <w:bookmarkStart w:id="1371" w:name="_Toc491850916"/>
      <w:bookmarkStart w:id="1372" w:name="_Toc491941497"/>
      <w:bookmarkStart w:id="1373" w:name="_Toc492976075"/>
      <w:bookmarkStart w:id="1374" w:name="_Toc493232286"/>
      <w:bookmarkStart w:id="1375" w:name="_Toc493234392"/>
      <w:bookmarkStart w:id="1376" w:name="_Toc493244308"/>
      <w:bookmarkStart w:id="1377" w:name="_Toc493772266"/>
      <w:bookmarkStart w:id="1378" w:name="_Toc493862832"/>
      <w:bookmarkStart w:id="1379" w:name="_Toc495058428"/>
      <w:bookmarkStart w:id="1380" w:name="_Toc495678617"/>
      <w:bookmarkStart w:id="1381" w:name="_Toc496104400"/>
      <w:bookmarkStart w:id="1382" w:name="_Toc496619138"/>
      <w:bookmarkStart w:id="1383" w:name="_Toc496620181"/>
      <w:bookmarkStart w:id="1384" w:name="_Toc496780677"/>
      <w:bookmarkStart w:id="1385" w:name="_Toc496886167"/>
      <w:bookmarkStart w:id="1386" w:name="_Toc496889405"/>
      <w:bookmarkStart w:id="1387" w:name="_Toc491262585"/>
      <w:bookmarkStart w:id="1388" w:name="_Toc491263148"/>
      <w:bookmarkStart w:id="1389" w:name="_Toc491676684"/>
      <w:bookmarkStart w:id="1390" w:name="_Toc491677503"/>
      <w:bookmarkStart w:id="1391" w:name="_Toc31809555"/>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t>Procedures for Limited Disclosure of Application Information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91"/>
    </w:p>
    <w:p w:rsidR="002454C0" w:rsidRPr="009D446F" w:rsidP="002454C0" w14:paraId="53B756BC" w14:textId="385C34F6">
      <w:pPr>
        <w:pStyle w:val="ParaNum"/>
        <w:rPr>
          <w:szCs w:val="22"/>
        </w:rPr>
      </w:pPr>
      <w:r w:rsidRPr="009D446F">
        <w:rPr>
          <w:szCs w:val="22"/>
        </w:rPr>
        <w:t xml:space="preserve">Consistent with the </w:t>
      </w:r>
      <w:r>
        <w:rPr>
          <w:szCs w:val="22"/>
        </w:rPr>
        <w:t xml:space="preserve">Commission’s practice in the </w:t>
      </w:r>
      <w:r w:rsidR="009E3B02">
        <w:rPr>
          <w:szCs w:val="22"/>
        </w:rPr>
        <w:t xml:space="preserve">CAF II Auction </w:t>
      </w:r>
      <w:r w:rsidR="00BC2787">
        <w:rPr>
          <w:szCs w:val="22"/>
        </w:rPr>
        <w:t xml:space="preserve">(Auction </w:t>
      </w:r>
      <w:r w:rsidR="009E3B02">
        <w:rPr>
          <w:szCs w:val="22"/>
        </w:rPr>
        <w:t>903</w:t>
      </w:r>
      <w:r w:rsidR="00BC2787">
        <w:rPr>
          <w:szCs w:val="22"/>
        </w:rPr>
        <w:t>)</w:t>
      </w:r>
      <w:r w:rsidR="009E3B02">
        <w:rPr>
          <w:szCs w:val="22"/>
        </w:rPr>
        <w:t xml:space="preserve">, </w:t>
      </w:r>
      <w:r>
        <w:rPr>
          <w:szCs w:val="22"/>
        </w:rPr>
        <w:t>Mobility Fund I</w:t>
      </w:r>
      <w:r w:rsidRPr="009D446F">
        <w:rPr>
          <w:szCs w:val="22"/>
        </w:rPr>
        <w:t xml:space="preserve"> </w:t>
      </w:r>
      <w:r w:rsidR="00BC2787">
        <w:rPr>
          <w:szCs w:val="22"/>
        </w:rPr>
        <w:t xml:space="preserve">and Tribal Mobility Fund I </w:t>
      </w:r>
      <w:r w:rsidRPr="009D446F">
        <w:rPr>
          <w:szCs w:val="22"/>
        </w:rPr>
        <w:t>(</w:t>
      </w:r>
      <w:r w:rsidR="00BC2787">
        <w:rPr>
          <w:szCs w:val="22"/>
        </w:rPr>
        <w:t xml:space="preserve">Auctions </w:t>
      </w:r>
      <w:r>
        <w:rPr>
          <w:szCs w:val="22"/>
        </w:rPr>
        <w:t>901</w:t>
      </w:r>
      <w:r w:rsidR="00BC2787">
        <w:rPr>
          <w:szCs w:val="22"/>
        </w:rPr>
        <w:t xml:space="preserve"> and 902</w:t>
      </w:r>
      <w:r w:rsidRPr="009D446F">
        <w:rPr>
          <w:szCs w:val="22"/>
        </w:rPr>
        <w:t xml:space="preserve">) and recent spectrum </w:t>
      </w:r>
      <w:r w:rsidR="00F9421B">
        <w:rPr>
          <w:szCs w:val="22"/>
        </w:rPr>
        <w:t>auctions</w:t>
      </w:r>
      <w:r w:rsidRPr="009D446F">
        <w:rPr>
          <w:szCs w:val="22"/>
        </w:rPr>
        <w:t xml:space="preserve">, we </w:t>
      </w:r>
      <w:r>
        <w:rPr>
          <w:szCs w:val="22"/>
        </w:rPr>
        <w:t>adopt procedures for limiting the application information that will be disclosed to the public</w:t>
      </w:r>
      <w:r w:rsidRPr="007E6D0B">
        <w:rPr>
          <w:szCs w:val="22"/>
        </w:rPr>
        <w:t>.</w:t>
      </w:r>
      <w:r>
        <w:rPr>
          <w:rStyle w:val="FootnoteReference"/>
          <w:szCs w:val="22"/>
        </w:rPr>
        <w:footnoteReference w:id="127"/>
      </w:r>
      <w:r>
        <w:rPr>
          <w:szCs w:val="22"/>
        </w:rPr>
        <w:t xml:space="preserve">   </w:t>
      </w:r>
      <w:r w:rsidRPr="009D446F">
        <w:rPr>
          <w:szCs w:val="22"/>
        </w:rPr>
        <w:t xml:space="preserve">  </w:t>
      </w:r>
    </w:p>
    <w:p w:rsidR="002454C0" w:rsidP="002454C0" w14:paraId="3B8751EC" w14:textId="0BA656E3">
      <w:pPr>
        <w:pStyle w:val="ParaNum"/>
        <w:rPr>
          <w:szCs w:val="22"/>
        </w:rPr>
      </w:pPr>
      <w:r w:rsidRPr="009D446F">
        <w:rPr>
          <w:szCs w:val="22"/>
        </w:rPr>
        <w:t>Specifically,</w:t>
      </w:r>
      <w:r w:rsidR="002B76BA">
        <w:rPr>
          <w:szCs w:val="22"/>
        </w:rPr>
        <w:t xml:space="preserve"> the Bureau will with</w:t>
      </w:r>
      <w:r w:rsidR="007F5B1F">
        <w:rPr>
          <w:szCs w:val="22"/>
        </w:rPr>
        <w:t>ho</w:t>
      </w:r>
      <w:r w:rsidR="002B76BA">
        <w:rPr>
          <w:szCs w:val="22"/>
        </w:rPr>
        <w:t>ld from the public and other applicants</w:t>
      </w:r>
      <w:r w:rsidR="00903AE9">
        <w:rPr>
          <w:szCs w:val="22"/>
        </w:rPr>
        <w:t xml:space="preserve"> </w:t>
      </w:r>
      <w:r w:rsidR="00196E08">
        <w:rPr>
          <w:szCs w:val="22"/>
        </w:rPr>
        <w:t xml:space="preserve">the </w:t>
      </w:r>
      <w:r w:rsidR="00903AE9">
        <w:rPr>
          <w:szCs w:val="22"/>
        </w:rPr>
        <w:t>application</w:t>
      </w:r>
      <w:r w:rsidR="00B93B02">
        <w:rPr>
          <w:szCs w:val="22"/>
        </w:rPr>
        <w:t xml:space="preserve"> </w:t>
      </w:r>
      <w:r w:rsidR="007F5B1F">
        <w:rPr>
          <w:szCs w:val="22"/>
        </w:rPr>
        <w:t>information listed below</w:t>
      </w:r>
      <w:r w:rsidRPr="009D446F">
        <w:rPr>
          <w:szCs w:val="22"/>
        </w:rPr>
        <w:t xml:space="preserve"> </w:t>
      </w:r>
      <w:r>
        <w:rPr>
          <w:szCs w:val="22"/>
        </w:rPr>
        <w:t xml:space="preserve">to help ensure anonymous </w:t>
      </w:r>
      <w:r w:rsidR="003E7786">
        <w:rPr>
          <w:szCs w:val="22"/>
        </w:rPr>
        <w:t xml:space="preserve">applications </w:t>
      </w:r>
      <w:r>
        <w:rPr>
          <w:szCs w:val="22"/>
        </w:rPr>
        <w:t>and to protect applicants’ competitively sensitive information</w:t>
      </w:r>
      <w:r w:rsidR="007F5B1F">
        <w:rPr>
          <w:szCs w:val="22"/>
        </w:rPr>
        <w:t>.  This</w:t>
      </w:r>
      <w:r w:rsidR="00B93B02">
        <w:rPr>
          <w:szCs w:val="22"/>
        </w:rPr>
        <w:t xml:space="preserve"> Bureau will withhold the</w:t>
      </w:r>
      <w:r w:rsidR="007F5B1F">
        <w:rPr>
          <w:szCs w:val="22"/>
        </w:rPr>
        <w:t xml:space="preserve"> </w:t>
      </w:r>
      <w:r w:rsidR="00903AE9">
        <w:rPr>
          <w:szCs w:val="22"/>
        </w:rPr>
        <w:t xml:space="preserve">application </w:t>
      </w:r>
      <w:r w:rsidR="007F5B1F">
        <w:rPr>
          <w:szCs w:val="22"/>
        </w:rPr>
        <w:t xml:space="preserve">information </w:t>
      </w:r>
      <w:r>
        <w:rPr>
          <w:szCs w:val="22"/>
        </w:rPr>
        <w:t xml:space="preserve">until </w:t>
      </w:r>
      <w:r w:rsidR="00903AE9">
        <w:rPr>
          <w:szCs w:val="22"/>
        </w:rPr>
        <w:t xml:space="preserve">at least </w:t>
      </w:r>
      <w:r>
        <w:rPr>
          <w:szCs w:val="22"/>
        </w:rPr>
        <w:t xml:space="preserve">after the </w:t>
      </w:r>
      <w:r w:rsidR="009423E5">
        <w:rPr>
          <w:szCs w:val="22"/>
        </w:rPr>
        <w:t>winning applica</w:t>
      </w:r>
      <w:r w:rsidR="00544EE2">
        <w:rPr>
          <w:szCs w:val="22"/>
        </w:rPr>
        <w:t>nts have been authorized to receive Stage 2 high-cost support</w:t>
      </w:r>
      <w:r w:rsidR="00FC586E">
        <w:rPr>
          <w:szCs w:val="22"/>
        </w:rPr>
        <w:t>.  The application information to be withheld</w:t>
      </w:r>
      <w:r w:rsidR="00ED4D3E">
        <w:rPr>
          <w:szCs w:val="22"/>
        </w:rPr>
        <w:t xml:space="preserve"> include</w:t>
      </w:r>
      <w:r w:rsidR="00FC586E">
        <w:rPr>
          <w:szCs w:val="22"/>
        </w:rPr>
        <w:t>s</w:t>
      </w:r>
      <w:r w:rsidR="00ED4D3E">
        <w:rPr>
          <w:szCs w:val="22"/>
        </w:rPr>
        <w:t>, but is not limited to</w:t>
      </w:r>
      <w:r w:rsidRPr="009D446F">
        <w:rPr>
          <w:szCs w:val="22"/>
        </w:rPr>
        <w:t xml:space="preserve">:  </w:t>
      </w:r>
    </w:p>
    <w:p w:rsidR="002454C0" w:rsidP="002454C0" w14:paraId="515EAC97" w14:textId="2684191C">
      <w:pPr>
        <w:pStyle w:val="ParaNum"/>
        <w:numPr>
          <w:ilvl w:val="0"/>
          <w:numId w:val="10"/>
        </w:numPr>
        <w:ind w:left="720"/>
        <w:rPr>
          <w:szCs w:val="22"/>
        </w:rPr>
      </w:pPr>
      <w:r>
        <w:rPr>
          <w:szCs w:val="22"/>
        </w:rPr>
        <w:t>T</w:t>
      </w:r>
      <w:r w:rsidRPr="009D446F">
        <w:rPr>
          <w:szCs w:val="22"/>
        </w:rPr>
        <w:t xml:space="preserve">he </w:t>
      </w:r>
      <w:r w:rsidR="003C576D">
        <w:rPr>
          <w:szCs w:val="22"/>
        </w:rPr>
        <w:t>minimum geographic areas</w:t>
      </w:r>
      <w:r w:rsidRPr="009D446F">
        <w:rPr>
          <w:szCs w:val="22"/>
        </w:rPr>
        <w:t xml:space="preserve"> </w:t>
      </w:r>
      <w:r>
        <w:rPr>
          <w:szCs w:val="22"/>
        </w:rPr>
        <w:t>selected by</w:t>
      </w:r>
      <w:r w:rsidRPr="009D446F">
        <w:rPr>
          <w:szCs w:val="22"/>
        </w:rPr>
        <w:t xml:space="preserve"> an app</w:t>
      </w:r>
      <w:r>
        <w:rPr>
          <w:szCs w:val="22"/>
        </w:rPr>
        <w:t>licant.</w:t>
      </w:r>
    </w:p>
    <w:p w:rsidR="004A3179" w:rsidP="00983D97" w14:paraId="73B98C34" w14:textId="77777777">
      <w:pPr>
        <w:pStyle w:val="ParaNum"/>
        <w:numPr>
          <w:ilvl w:val="0"/>
          <w:numId w:val="10"/>
        </w:numPr>
        <w:ind w:left="720"/>
        <w:rPr>
          <w:szCs w:val="22"/>
        </w:rPr>
      </w:pPr>
      <w:r>
        <w:rPr>
          <w:szCs w:val="22"/>
        </w:rPr>
        <w:t>T</w:t>
      </w:r>
      <w:r w:rsidRPr="009D446F">
        <w:rPr>
          <w:szCs w:val="22"/>
        </w:rPr>
        <w:t>he performance</w:t>
      </w:r>
      <w:r>
        <w:rPr>
          <w:szCs w:val="22"/>
        </w:rPr>
        <w:t xml:space="preserve"> tier</w:t>
      </w:r>
      <w:r w:rsidRPr="009D446F">
        <w:rPr>
          <w:szCs w:val="22"/>
        </w:rPr>
        <w:t xml:space="preserve"> and latency combination(s) </w:t>
      </w:r>
      <w:r>
        <w:rPr>
          <w:szCs w:val="22"/>
        </w:rPr>
        <w:t>selected by</w:t>
      </w:r>
      <w:r w:rsidRPr="009D446F">
        <w:rPr>
          <w:szCs w:val="22"/>
        </w:rPr>
        <w:t xml:space="preserve"> an applicant</w:t>
      </w:r>
      <w:r>
        <w:rPr>
          <w:szCs w:val="22"/>
        </w:rPr>
        <w:t xml:space="preserve"> and the associated weight for each combination.</w:t>
      </w:r>
      <w:r w:rsidRPr="00983D97" w:rsidR="00983D97">
        <w:rPr>
          <w:szCs w:val="22"/>
        </w:rPr>
        <w:t xml:space="preserve"> </w:t>
      </w:r>
    </w:p>
    <w:p w:rsidR="002454C0" w:rsidRPr="00E43FB5" w:rsidP="00E43FB5" w14:paraId="58BF8D97" w14:textId="1AB363C8">
      <w:pPr>
        <w:pStyle w:val="ParaNum"/>
        <w:numPr>
          <w:ilvl w:val="0"/>
          <w:numId w:val="10"/>
        </w:numPr>
        <w:ind w:left="720"/>
        <w:rPr>
          <w:szCs w:val="22"/>
        </w:rPr>
      </w:pPr>
      <w:r>
        <w:rPr>
          <w:szCs w:val="22"/>
        </w:rPr>
        <w:t>The applicant’s price percentage(s).</w:t>
      </w:r>
    </w:p>
    <w:p w:rsidR="002454C0" w:rsidP="002454C0" w14:paraId="47A7D02B" w14:textId="1A6CF00A">
      <w:pPr>
        <w:pStyle w:val="ParaNum"/>
        <w:numPr>
          <w:ilvl w:val="0"/>
          <w:numId w:val="10"/>
        </w:numPr>
        <w:ind w:left="720"/>
        <w:rPr>
          <w:szCs w:val="22"/>
        </w:rPr>
      </w:pPr>
      <w:r>
        <w:rPr>
          <w:szCs w:val="22"/>
        </w:rPr>
        <w:t xml:space="preserve">The spectrum access </w:t>
      </w:r>
      <w:r w:rsidR="00CD006F">
        <w:rPr>
          <w:szCs w:val="22"/>
        </w:rPr>
        <w:t>description</w:t>
      </w:r>
      <w:r>
        <w:rPr>
          <w:szCs w:val="22"/>
        </w:rPr>
        <w:t>.</w:t>
      </w:r>
    </w:p>
    <w:p w:rsidR="002454C0" w:rsidP="002454C0" w14:paraId="247E3C16" w14:textId="6F07ADC5">
      <w:pPr>
        <w:pStyle w:val="ParaNum"/>
        <w:numPr>
          <w:ilvl w:val="0"/>
          <w:numId w:val="10"/>
        </w:numPr>
        <w:ind w:left="720"/>
        <w:rPr>
          <w:szCs w:val="22"/>
        </w:rPr>
      </w:pPr>
      <w:r>
        <w:rPr>
          <w:szCs w:val="22"/>
        </w:rPr>
        <w:t xml:space="preserve">An applicant’s responses to the questions in </w:t>
      </w:r>
      <w:r w:rsidR="00C97538">
        <w:rPr>
          <w:szCs w:val="22"/>
        </w:rPr>
        <w:t>this Public Notice</w:t>
      </w:r>
      <w:r>
        <w:rPr>
          <w:szCs w:val="22"/>
        </w:rPr>
        <w:t xml:space="preserve"> and any supporting documentation submitted in any attachment(s)</w:t>
      </w:r>
      <w:r w:rsidRPr="009D446F">
        <w:rPr>
          <w:szCs w:val="22"/>
        </w:rPr>
        <w:t xml:space="preserve"> that </w:t>
      </w:r>
      <w:r>
        <w:rPr>
          <w:szCs w:val="22"/>
        </w:rPr>
        <w:t>are</w:t>
      </w:r>
      <w:r w:rsidRPr="009D446F">
        <w:rPr>
          <w:szCs w:val="22"/>
        </w:rPr>
        <w:t xml:space="preserve"> intended to demonstrate an applicant’s ability to meet the public interest obligations for each performance </w:t>
      </w:r>
      <w:r>
        <w:rPr>
          <w:szCs w:val="22"/>
        </w:rPr>
        <w:t xml:space="preserve">tier </w:t>
      </w:r>
      <w:r w:rsidRPr="009D446F">
        <w:rPr>
          <w:szCs w:val="22"/>
        </w:rPr>
        <w:t xml:space="preserve">and latency combination that the applicant has </w:t>
      </w:r>
      <w:r>
        <w:rPr>
          <w:szCs w:val="22"/>
        </w:rPr>
        <w:t>selected in its application.</w:t>
      </w:r>
    </w:p>
    <w:p w:rsidR="002454C0" w:rsidP="00701932" w14:paraId="19D3DB21" w14:textId="19742A81">
      <w:pPr>
        <w:pStyle w:val="ParaNum"/>
        <w:widowControl/>
        <w:numPr>
          <w:ilvl w:val="0"/>
          <w:numId w:val="10"/>
        </w:numPr>
        <w:ind w:left="720"/>
        <w:rPr>
          <w:szCs w:val="22"/>
        </w:rPr>
      </w:pPr>
      <w:r>
        <w:rPr>
          <w:szCs w:val="22"/>
        </w:rPr>
        <w:t xml:space="preserve">Any financial information contained in an applicant’s </w:t>
      </w:r>
      <w:r w:rsidR="003C576D">
        <w:rPr>
          <w:szCs w:val="22"/>
        </w:rPr>
        <w:t>Stage 2</w:t>
      </w:r>
      <w:r>
        <w:rPr>
          <w:szCs w:val="22"/>
        </w:rPr>
        <w:t xml:space="preserve"> application for which the applicant has requested confidential treatment under the abbreviated process in section 0.459(a)(4) of the Commission’s rules.</w:t>
      </w:r>
      <w:r>
        <w:rPr>
          <w:rStyle w:val="FootnoteReference"/>
          <w:szCs w:val="22"/>
        </w:rPr>
        <w:footnoteReference w:id="128"/>
      </w:r>
    </w:p>
    <w:p w:rsidR="00755FC0" w:rsidRPr="0046199A" w:rsidP="00755FC0" w14:paraId="4E1506E7" w14:textId="77777777">
      <w:pPr>
        <w:pStyle w:val="ParaNum"/>
        <w:numPr>
          <w:ilvl w:val="0"/>
          <w:numId w:val="10"/>
        </w:numPr>
        <w:ind w:left="720"/>
        <w:rPr>
          <w:szCs w:val="22"/>
        </w:rPr>
      </w:pPr>
      <w:r>
        <w:t xml:space="preserve">An applicant’s </w:t>
      </w:r>
      <w:r w:rsidRPr="009D446F">
        <w:t xml:space="preserve">letter of interest from a qualified bank that the bank would provide a letter of credit to the </w:t>
      </w:r>
      <w:r>
        <w:t>applicant.</w:t>
      </w:r>
    </w:p>
    <w:p w:rsidR="00755FC0" w:rsidRPr="00D97B6F" w:rsidP="00D97B6F" w14:paraId="188F574E" w14:textId="6AF3EB61">
      <w:pPr>
        <w:pStyle w:val="ParaNum"/>
        <w:numPr>
          <w:ilvl w:val="0"/>
          <w:numId w:val="10"/>
        </w:numPr>
        <w:ind w:left="720"/>
        <w:rPr>
          <w:szCs w:val="22"/>
        </w:rPr>
      </w:pPr>
      <w:r>
        <w:t xml:space="preserve">The applicant’s </w:t>
      </w:r>
      <w:r>
        <w:t>DPRP.</w:t>
      </w:r>
    </w:p>
    <w:p w:rsidR="002454C0" w:rsidRPr="00DD5BA5" w:rsidP="002454C0" w14:paraId="537B6F79" w14:textId="0F462A7C">
      <w:pPr>
        <w:pStyle w:val="ParaNum"/>
        <w:rPr>
          <w:szCs w:val="22"/>
        </w:rPr>
      </w:pPr>
      <w:r>
        <w:t>Unlike the typical section 0.459 process, which requires that an applicant submit a statement of the reasons for withholding the information for which confidential treatment is sought from public inspection,</w:t>
      </w:r>
      <w:r>
        <w:rPr>
          <w:rStyle w:val="FootnoteReference"/>
        </w:rPr>
        <w:footnoteReference w:id="129"/>
      </w:r>
      <w:r>
        <w:t xml:space="preserve"> an applicant that seeks confidential treatment of the financial information contained in its application need not submit a statement that conforms with the requirements of section 0.459(b) unless and until its request for confidential treatment is challenged.</w:t>
      </w:r>
      <w:r>
        <w:rPr>
          <w:rStyle w:val="FootnoteReference"/>
        </w:rPr>
        <w:footnoteReference w:id="130"/>
      </w:r>
      <w:r>
        <w:t xml:space="preserve">  Because we have found in other contexts that financial information that is not otherwise publicly available could be competitively sensitive,</w:t>
      </w:r>
      <w:r>
        <w:rPr>
          <w:rStyle w:val="FootnoteReference"/>
        </w:rPr>
        <w:footnoteReference w:id="131"/>
      </w:r>
      <w:r>
        <w:t xml:space="preserve"> we permit applicants seeking confidential treatment of financial information to use this abbreviated process.  </w:t>
      </w:r>
    </w:p>
    <w:p w:rsidR="002454C0" w:rsidP="005913B3" w14:paraId="41704787" w14:textId="79A611F1">
      <w:pPr>
        <w:pStyle w:val="ParaNum"/>
        <w:widowControl/>
      </w:pPr>
      <w:r>
        <w:t xml:space="preserve">The section 0.459(a)(4) abbreviated process for requesting confidential treatment may </w:t>
      </w:r>
      <w:r>
        <w:rPr>
          <w:i/>
        </w:rPr>
        <w:t>not</w:t>
      </w:r>
      <w:r>
        <w:t xml:space="preserve"> be used by an applicant to request confidential treatment of any information in its application other than its financial information.  Thus, an applicant that wishes to seek confidential treatment of any other portion(s) of its application must file a regular section 0.459 request for confidential treatment of any such information with its application (other than responses to the questions in </w:t>
      </w:r>
      <w:r w:rsidR="00E70189">
        <w:t>this Public Notice</w:t>
      </w:r>
      <w:r>
        <w:t xml:space="preserve"> and associated supporting documentation that we presume to be competitively sensitive).  This request must include a statement of the reasons for withholding those portions of the application from public inspection.</w:t>
      </w:r>
      <w:r>
        <w:rPr>
          <w:rStyle w:val="FootnoteReference"/>
        </w:rPr>
        <w:footnoteReference w:id="132"/>
      </w:r>
      <w:r>
        <w:t xml:space="preserve">  Additionally, in the event an applicant’s abbreviated request for confidential treatment of the financial information contained in its application is challenged, the applicant must submit a request for confidential treatment of its financial information that conforms with the requirements of section 0.459 within 10 business days after receiving notice of the challenge.  </w:t>
      </w:r>
    </w:p>
    <w:p w:rsidR="002454C0" w:rsidRPr="003F53FD" w:rsidP="002454C0" w14:paraId="0B74E654" w14:textId="7FAE4052">
      <w:pPr>
        <w:pStyle w:val="ParaNum"/>
      </w:pPr>
      <w:r>
        <w:rPr>
          <w:szCs w:val="22"/>
        </w:rPr>
        <w:t>A</w:t>
      </w:r>
      <w:r w:rsidRPr="009D446F">
        <w:rPr>
          <w:szCs w:val="22"/>
        </w:rPr>
        <w:t xml:space="preserve">fter the </w:t>
      </w:r>
      <w:r w:rsidR="002D373C">
        <w:rPr>
          <w:szCs w:val="22"/>
        </w:rPr>
        <w:t>winning applicant(s) is authorized to receive Stage 2 fixed support</w:t>
      </w:r>
      <w:r>
        <w:rPr>
          <w:szCs w:val="22"/>
        </w:rPr>
        <w:t xml:space="preserve">, we no longer have a need to preserve </w:t>
      </w:r>
      <w:r w:rsidR="00B67CF1">
        <w:rPr>
          <w:szCs w:val="22"/>
        </w:rPr>
        <w:t>the confidentiality of the contents of applications</w:t>
      </w:r>
      <w:r>
        <w:rPr>
          <w:szCs w:val="22"/>
        </w:rPr>
        <w:t xml:space="preserve">.  Accordingly, </w:t>
      </w:r>
      <w:r w:rsidRPr="009D446F">
        <w:rPr>
          <w:szCs w:val="22"/>
        </w:rPr>
        <w:t xml:space="preserve">we </w:t>
      </w:r>
      <w:r>
        <w:rPr>
          <w:szCs w:val="22"/>
        </w:rPr>
        <w:t xml:space="preserve">will make </w:t>
      </w:r>
      <w:r w:rsidRPr="009D446F">
        <w:rPr>
          <w:szCs w:val="22"/>
        </w:rPr>
        <w:t xml:space="preserve">publicly </w:t>
      </w:r>
      <w:r>
        <w:rPr>
          <w:szCs w:val="22"/>
        </w:rPr>
        <w:t>available</w:t>
      </w:r>
      <w:r w:rsidRPr="009D446F">
        <w:rPr>
          <w:szCs w:val="22"/>
        </w:rPr>
        <w:t xml:space="preserve"> all</w:t>
      </w:r>
      <w:r w:rsidR="00700ACF">
        <w:rPr>
          <w:szCs w:val="22"/>
        </w:rPr>
        <w:t xml:space="preserve"> application information</w:t>
      </w:r>
      <w:r w:rsidRPr="009D446F" w:rsidR="00700ACF">
        <w:rPr>
          <w:szCs w:val="22"/>
        </w:rPr>
        <w:t xml:space="preserve">, except for </w:t>
      </w:r>
      <w:r w:rsidR="00700ACF">
        <w:rPr>
          <w:szCs w:val="22"/>
        </w:rPr>
        <w:t xml:space="preserve">an applicant’s operational information (including its DPRP), letter of interest, and confidential </w:t>
      </w:r>
      <w:r w:rsidRPr="009D446F" w:rsidR="00700ACF">
        <w:rPr>
          <w:szCs w:val="22"/>
        </w:rPr>
        <w:t>financial information</w:t>
      </w:r>
      <w:r w:rsidR="00887FB3">
        <w:rPr>
          <w:szCs w:val="22"/>
        </w:rPr>
        <w:t xml:space="preserve">.  </w:t>
      </w:r>
      <w:r w:rsidRPr="009D446F">
        <w:rPr>
          <w:szCs w:val="22"/>
        </w:rPr>
        <w:t xml:space="preserve">This </w:t>
      </w:r>
      <w:r>
        <w:rPr>
          <w:szCs w:val="22"/>
        </w:rPr>
        <w:t xml:space="preserve">approach is </w:t>
      </w:r>
      <w:r w:rsidRPr="009D446F">
        <w:rPr>
          <w:szCs w:val="22"/>
        </w:rPr>
        <w:t>consistent with</w:t>
      </w:r>
      <w:r>
        <w:rPr>
          <w:szCs w:val="22"/>
        </w:rPr>
        <w:t xml:space="preserve"> our interest in a transparent </w:t>
      </w:r>
      <w:r w:rsidR="00FD050E">
        <w:rPr>
          <w:szCs w:val="22"/>
        </w:rPr>
        <w:t>competition</w:t>
      </w:r>
      <w:r>
        <w:rPr>
          <w:szCs w:val="22"/>
        </w:rPr>
        <w:t xml:space="preserve"> process and the Commission’s </w:t>
      </w:r>
      <w:r w:rsidR="00562421">
        <w:rPr>
          <w:szCs w:val="22"/>
        </w:rPr>
        <w:t xml:space="preserve">recent </w:t>
      </w:r>
      <w:r>
        <w:rPr>
          <w:szCs w:val="22"/>
        </w:rPr>
        <w:t>practice</w:t>
      </w:r>
      <w:r w:rsidR="00562421">
        <w:rPr>
          <w:szCs w:val="22"/>
        </w:rPr>
        <w:t>s</w:t>
      </w:r>
      <w:r>
        <w:rPr>
          <w:szCs w:val="22"/>
        </w:rPr>
        <w:t xml:space="preserve"> in the</w:t>
      </w:r>
      <w:r w:rsidR="00562421">
        <w:rPr>
          <w:szCs w:val="22"/>
        </w:rPr>
        <w:t xml:space="preserve"> CAF II Auction 903,</w:t>
      </w:r>
      <w:r>
        <w:rPr>
          <w:szCs w:val="22"/>
        </w:rPr>
        <w:t xml:space="preserve"> Mobility Fund Phase I</w:t>
      </w:r>
      <w:r w:rsidRPr="009D446F">
        <w:rPr>
          <w:szCs w:val="22"/>
        </w:rPr>
        <w:t xml:space="preserve"> </w:t>
      </w:r>
      <w:r w:rsidR="00FD050E">
        <w:rPr>
          <w:szCs w:val="22"/>
        </w:rPr>
        <w:t>competition</w:t>
      </w:r>
      <w:r>
        <w:rPr>
          <w:szCs w:val="22"/>
        </w:rPr>
        <w:t xml:space="preserve"> </w:t>
      </w:r>
      <w:r w:rsidRPr="009D446F">
        <w:rPr>
          <w:szCs w:val="22"/>
        </w:rPr>
        <w:t xml:space="preserve">and our typical spectrum </w:t>
      </w:r>
      <w:r w:rsidR="00FD050E">
        <w:rPr>
          <w:szCs w:val="22"/>
        </w:rPr>
        <w:t>competition</w:t>
      </w:r>
      <w:r w:rsidRPr="009D446F">
        <w:rPr>
          <w:szCs w:val="22"/>
        </w:rPr>
        <w:t>s.</w:t>
      </w:r>
    </w:p>
    <w:p w:rsidR="002454C0" w:rsidP="00701932" w14:paraId="1EB4E7A7" w14:textId="77777777">
      <w:pPr>
        <w:pStyle w:val="Heading2"/>
      </w:pPr>
      <w:bookmarkStart w:id="1392" w:name="_Toc497122384"/>
      <w:bookmarkStart w:id="1393" w:name="_Toc497214486"/>
      <w:bookmarkStart w:id="1394" w:name="_Toc497403610"/>
      <w:bookmarkStart w:id="1395" w:name="_Toc497490918"/>
      <w:bookmarkStart w:id="1396" w:name="_Toc497914372"/>
      <w:bookmarkStart w:id="1397" w:name="_Toc498007844"/>
      <w:bookmarkStart w:id="1398" w:name="_Toc498008557"/>
      <w:bookmarkStart w:id="1399" w:name="_Toc498442169"/>
      <w:bookmarkStart w:id="1400" w:name="_Toc498505769"/>
      <w:bookmarkStart w:id="1401" w:name="_Toc498507722"/>
      <w:bookmarkStart w:id="1402" w:name="_Toc498519798"/>
      <w:bookmarkStart w:id="1403" w:name="_Toc498527971"/>
      <w:bookmarkStart w:id="1404" w:name="_Toc499285934"/>
      <w:bookmarkStart w:id="1405" w:name="_Toc499794141"/>
      <w:bookmarkStart w:id="1406" w:name="_Toc499902574"/>
      <w:bookmarkStart w:id="1407" w:name="_Toc500921844"/>
      <w:bookmarkStart w:id="1408" w:name="_Toc501095387"/>
      <w:bookmarkStart w:id="1409" w:name="_Toc501361449"/>
      <w:bookmarkStart w:id="1410" w:name="_Toc501361657"/>
      <w:bookmarkStart w:id="1411" w:name="_Toc502758358"/>
      <w:bookmarkStart w:id="1412" w:name="_Toc502845770"/>
      <w:bookmarkStart w:id="1413" w:name="_Toc502926705"/>
      <w:bookmarkStart w:id="1414" w:name="_Toc502932100"/>
      <w:bookmarkStart w:id="1415" w:name="_Toc504660979"/>
      <w:bookmarkStart w:id="1416" w:name="_Toc504721770"/>
      <w:bookmarkStart w:id="1417" w:name="_Toc505008706"/>
      <w:bookmarkStart w:id="1418" w:name="_Toc505161634"/>
      <w:bookmarkStart w:id="1419" w:name="_Toc22643864"/>
      <w:bookmarkStart w:id="1420" w:name="_Toc30099839"/>
      <w:bookmarkStart w:id="1421" w:name="_Toc31809556"/>
      <w:r>
        <w:t>Prohibited Communications and Compliance with Antitrust Laws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2454C0" w:rsidP="002454C0" w14:paraId="1D27C1EB" w14:textId="650DD770">
      <w:pPr>
        <w:pStyle w:val="ParaNum"/>
        <w:widowControl/>
        <w:rPr>
          <w:szCs w:val="22"/>
        </w:rPr>
      </w:pPr>
      <w:r>
        <w:rPr>
          <w:szCs w:val="22"/>
        </w:rPr>
        <w:t xml:space="preserve">To help protect competition </w:t>
      </w:r>
      <w:r w:rsidR="004C27D5">
        <w:rPr>
          <w:szCs w:val="22"/>
        </w:rPr>
        <w:t>during</w:t>
      </w:r>
      <w:r>
        <w:rPr>
          <w:szCs w:val="22"/>
        </w:rPr>
        <w:t xml:space="preserve"> the </w:t>
      </w:r>
      <w:r w:rsidR="00C6622B">
        <w:rPr>
          <w:szCs w:val="22"/>
        </w:rPr>
        <w:t>Stage 2 Competition</w:t>
      </w:r>
      <w:r>
        <w:rPr>
          <w:szCs w:val="22"/>
        </w:rPr>
        <w:t xml:space="preserve">, </w:t>
      </w:r>
      <w:r w:rsidR="002347DF">
        <w:rPr>
          <w:szCs w:val="22"/>
        </w:rPr>
        <w:t xml:space="preserve">we incorporate into this process </w:t>
      </w:r>
      <w:r>
        <w:rPr>
          <w:szCs w:val="22"/>
        </w:rPr>
        <w:t xml:space="preserve">the Commission’s rules </w:t>
      </w:r>
      <w:r w:rsidR="002347DF">
        <w:rPr>
          <w:szCs w:val="22"/>
        </w:rPr>
        <w:t>prohibiting</w:t>
      </w:r>
      <w:r>
        <w:rPr>
          <w:szCs w:val="22"/>
        </w:rPr>
        <w:t xml:space="preserve"> an applicant from communicating certain </w:t>
      </w:r>
      <w:r w:rsidR="00C36847">
        <w:rPr>
          <w:szCs w:val="22"/>
        </w:rPr>
        <w:t>proposal</w:t>
      </w:r>
      <w:r>
        <w:rPr>
          <w:szCs w:val="22"/>
        </w:rPr>
        <w:t xml:space="preserve">-related information to another applicant from the application filing deadline until </w:t>
      </w:r>
      <w:r w:rsidR="00D904CF">
        <w:rPr>
          <w:szCs w:val="22"/>
        </w:rPr>
        <w:t>awards are announced</w:t>
      </w:r>
      <w:r>
        <w:rPr>
          <w:szCs w:val="22"/>
        </w:rPr>
        <w:t>.</w:t>
      </w:r>
      <w:r>
        <w:rPr>
          <w:rStyle w:val="FootnoteReference"/>
          <w:szCs w:val="22"/>
        </w:rPr>
        <w:footnoteReference w:id="133"/>
      </w:r>
      <w:r>
        <w:rPr>
          <w:szCs w:val="22"/>
        </w:rPr>
        <w:t xml:space="preserve">  More specifically, section 1.21002 of the Commission’s rules prohibits an applicant from cooperating or collaborating with any other applicant with respect to its own, or one another’s, or any other competing applicant’s </w:t>
      </w:r>
      <w:r w:rsidR="00FD050E">
        <w:rPr>
          <w:szCs w:val="22"/>
        </w:rPr>
        <w:t>application</w:t>
      </w:r>
      <w:r>
        <w:rPr>
          <w:szCs w:val="22"/>
        </w:rPr>
        <w:t xml:space="preserve">s or </w:t>
      </w:r>
      <w:r w:rsidR="0078711F">
        <w:rPr>
          <w:szCs w:val="22"/>
        </w:rPr>
        <w:t xml:space="preserve">application </w:t>
      </w:r>
      <w:r>
        <w:rPr>
          <w:szCs w:val="22"/>
        </w:rPr>
        <w:t xml:space="preserve">strategies, and from communicating with any other applicant in any manner the substance of its own, or one another’s, or any other competing applicant’s </w:t>
      </w:r>
      <w:r w:rsidR="00FD050E">
        <w:rPr>
          <w:szCs w:val="22"/>
        </w:rPr>
        <w:t>application</w:t>
      </w:r>
      <w:r>
        <w:rPr>
          <w:szCs w:val="22"/>
        </w:rPr>
        <w:t xml:space="preserve">s or </w:t>
      </w:r>
      <w:r w:rsidR="0078711F">
        <w:rPr>
          <w:szCs w:val="22"/>
        </w:rPr>
        <w:t xml:space="preserve">application </w:t>
      </w:r>
      <w:r>
        <w:rPr>
          <w:szCs w:val="22"/>
        </w:rPr>
        <w:t>strategies during the prohibition period.</w:t>
      </w:r>
      <w:r>
        <w:rPr>
          <w:rStyle w:val="FootnoteReference"/>
          <w:szCs w:val="22"/>
        </w:rPr>
        <w:footnoteReference w:id="134"/>
      </w:r>
      <w:r>
        <w:rPr>
          <w:szCs w:val="22"/>
        </w:rPr>
        <w:t xml:space="preserve">  The rule provides an exception for communications between applicants if those applicants identify each other on their respective applications as members of a joint </w:t>
      </w:r>
      <w:r w:rsidR="0078711F">
        <w:rPr>
          <w:szCs w:val="22"/>
        </w:rPr>
        <w:t xml:space="preserve">application </w:t>
      </w:r>
      <w:r>
        <w:rPr>
          <w:szCs w:val="22"/>
        </w:rPr>
        <w:t xml:space="preserve">arrangement and certify that the application identifies all real parties in interest to agreements related to the applicant’s participation in the </w:t>
      </w:r>
      <w:r w:rsidR="00FD050E">
        <w:rPr>
          <w:szCs w:val="22"/>
        </w:rPr>
        <w:t>competition</w:t>
      </w:r>
      <w:r>
        <w:rPr>
          <w:szCs w:val="22"/>
        </w:rPr>
        <w:t>.</w:t>
      </w:r>
      <w:r>
        <w:rPr>
          <w:rStyle w:val="FootnoteReference"/>
          <w:szCs w:val="22"/>
        </w:rPr>
        <w:footnoteReference w:id="135"/>
      </w:r>
      <w:r w:rsidR="002C7960">
        <w:rPr>
          <w:szCs w:val="22"/>
        </w:rPr>
        <w:t xml:space="preserve">  Consistent with the Commission’s direction in the </w:t>
      </w:r>
      <w:r w:rsidR="002C7960">
        <w:rPr>
          <w:i/>
          <w:szCs w:val="22"/>
        </w:rPr>
        <w:t>PR-USVI Stage 2 Order</w:t>
      </w:r>
      <w:r w:rsidR="002C7960">
        <w:rPr>
          <w:szCs w:val="22"/>
        </w:rPr>
        <w:t xml:space="preserve">, we </w:t>
      </w:r>
      <w:r w:rsidR="00F16C35">
        <w:rPr>
          <w:szCs w:val="22"/>
        </w:rPr>
        <w:t>apply</w:t>
      </w:r>
      <w:r w:rsidR="00C9299A">
        <w:rPr>
          <w:szCs w:val="22"/>
        </w:rPr>
        <w:t xml:space="preserve"> a prohibition identical to section 1.21002 to the Stage 2 Competition.</w:t>
      </w:r>
      <w:r>
        <w:rPr>
          <w:rStyle w:val="FootnoteReference"/>
          <w:szCs w:val="22"/>
        </w:rPr>
        <w:footnoteReference w:id="136"/>
      </w:r>
      <w:r w:rsidR="00C9299A">
        <w:rPr>
          <w:szCs w:val="22"/>
        </w:rPr>
        <w:t xml:space="preserve">  </w:t>
      </w:r>
      <w:r w:rsidR="00F16C35">
        <w:rPr>
          <w:szCs w:val="22"/>
        </w:rPr>
        <w:t xml:space="preserve"> </w:t>
      </w:r>
    </w:p>
    <w:p w:rsidR="002454C0" w:rsidRPr="001433FB" w:rsidP="002454C0" w14:paraId="19471C74" w14:textId="78146E64">
      <w:pPr>
        <w:pStyle w:val="ParaNum"/>
        <w:widowControl/>
      </w:pPr>
      <w:r>
        <w:rPr>
          <w:szCs w:val="22"/>
        </w:rPr>
        <w:t xml:space="preserve">This section provides guidance on the application of the rule during </w:t>
      </w:r>
      <w:r w:rsidR="002347DF">
        <w:rPr>
          <w:szCs w:val="22"/>
        </w:rPr>
        <w:t xml:space="preserve">the </w:t>
      </w:r>
      <w:r w:rsidR="007E23F5">
        <w:rPr>
          <w:szCs w:val="22"/>
        </w:rPr>
        <w:t>Stage 2 Competition</w:t>
      </w:r>
      <w:r>
        <w:rPr>
          <w:szCs w:val="22"/>
        </w:rPr>
        <w:t xml:space="preserve">.  As in past </w:t>
      </w:r>
      <w:r w:rsidR="00FD050E">
        <w:rPr>
          <w:szCs w:val="22"/>
        </w:rPr>
        <w:t>competition</w:t>
      </w:r>
      <w:r>
        <w:rPr>
          <w:szCs w:val="22"/>
        </w:rPr>
        <w:t>s</w:t>
      </w:r>
      <w:r w:rsidR="004C7016">
        <w:rPr>
          <w:szCs w:val="22"/>
        </w:rPr>
        <w:t xml:space="preserve"> and auctions for support</w:t>
      </w:r>
      <w:r>
        <w:rPr>
          <w:szCs w:val="22"/>
        </w:rPr>
        <w:t xml:space="preserve">, the targeted restrictions imposed by the rule are necessary to serve the important public interest in a fair and competitive </w:t>
      </w:r>
      <w:r w:rsidR="00C50134">
        <w:rPr>
          <w:szCs w:val="22"/>
        </w:rPr>
        <w:t>process</w:t>
      </w:r>
      <w:r>
        <w:rPr>
          <w:szCs w:val="22"/>
        </w:rPr>
        <w:t>.</w:t>
      </w:r>
      <w:r>
        <w:rPr>
          <w:rStyle w:val="FootnoteReference"/>
          <w:szCs w:val="22"/>
        </w:rPr>
        <w:footnoteReference w:id="137"/>
      </w:r>
    </w:p>
    <w:p w:rsidR="002454C0" w:rsidP="002454C0" w14:paraId="581B5DF0" w14:textId="471DCE0B">
      <w:pPr>
        <w:pStyle w:val="Heading3"/>
      </w:pPr>
      <w:bookmarkStart w:id="1422" w:name="_Toc491262551"/>
      <w:bookmarkStart w:id="1423" w:name="_Toc491263114"/>
      <w:bookmarkStart w:id="1424" w:name="_Toc491676650"/>
      <w:bookmarkStart w:id="1425" w:name="_Toc491677469"/>
      <w:bookmarkStart w:id="1426" w:name="_Toc491697179"/>
      <w:bookmarkStart w:id="1427" w:name="_Toc491765014"/>
      <w:bookmarkStart w:id="1428" w:name="_Toc491765602"/>
      <w:bookmarkStart w:id="1429" w:name="_Toc491786338"/>
      <w:bookmarkStart w:id="1430" w:name="_Toc491789542"/>
      <w:bookmarkStart w:id="1431" w:name="_Toc491849715"/>
      <w:bookmarkStart w:id="1432" w:name="_Toc491850167"/>
      <w:bookmarkStart w:id="1433" w:name="_Toc491850917"/>
      <w:bookmarkStart w:id="1434" w:name="_Toc491941498"/>
      <w:bookmarkStart w:id="1435" w:name="_Toc492976076"/>
      <w:bookmarkStart w:id="1436" w:name="_Toc493232287"/>
      <w:bookmarkStart w:id="1437" w:name="_Toc493234393"/>
      <w:bookmarkStart w:id="1438" w:name="_Toc493244309"/>
      <w:bookmarkStart w:id="1439" w:name="_Toc493772267"/>
      <w:bookmarkStart w:id="1440" w:name="_Toc493862833"/>
      <w:bookmarkStart w:id="1441" w:name="_Toc495058429"/>
      <w:bookmarkStart w:id="1442" w:name="_Toc495678618"/>
      <w:bookmarkStart w:id="1443" w:name="_Toc496104401"/>
      <w:bookmarkStart w:id="1444" w:name="_Toc496619139"/>
      <w:bookmarkStart w:id="1445" w:name="_Toc496620182"/>
      <w:bookmarkStart w:id="1446" w:name="_Toc496780678"/>
      <w:bookmarkStart w:id="1447" w:name="_Toc496886168"/>
      <w:bookmarkStart w:id="1448" w:name="_Toc496889406"/>
      <w:bookmarkStart w:id="1449" w:name="_Toc497122385"/>
      <w:bookmarkStart w:id="1450" w:name="_Toc497214487"/>
      <w:bookmarkStart w:id="1451" w:name="_Toc497403611"/>
      <w:bookmarkStart w:id="1452" w:name="_Toc497490919"/>
      <w:bookmarkStart w:id="1453" w:name="_Toc497914373"/>
      <w:bookmarkStart w:id="1454" w:name="_Toc498007845"/>
      <w:bookmarkStart w:id="1455" w:name="_Toc498008558"/>
      <w:bookmarkStart w:id="1456" w:name="_Toc498442170"/>
      <w:bookmarkStart w:id="1457" w:name="_Toc498505770"/>
      <w:bookmarkStart w:id="1458" w:name="_Toc498507723"/>
      <w:bookmarkStart w:id="1459" w:name="_Toc498519799"/>
      <w:bookmarkStart w:id="1460" w:name="_Toc498527972"/>
      <w:bookmarkStart w:id="1461" w:name="_Toc499285935"/>
      <w:bookmarkStart w:id="1462" w:name="_Toc499794142"/>
      <w:bookmarkStart w:id="1463" w:name="_Toc499902575"/>
      <w:bookmarkStart w:id="1464" w:name="_Toc500921845"/>
      <w:bookmarkStart w:id="1465" w:name="_Toc501095388"/>
      <w:bookmarkStart w:id="1466" w:name="_Toc501361450"/>
      <w:bookmarkStart w:id="1467" w:name="_Toc501361658"/>
      <w:bookmarkStart w:id="1468" w:name="_Toc502758359"/>
      <w:bookmarkStart w:id="1469" w:name="_Toc502845771"/>
      <w:bookmarkStart w:id="1470" w:name="_Toc502926706"/>
      <w:bookmarkStart w:id="1471" w:name="_Toc502932101"/>
      <w:bookmarkStart w:id="1472" w:name="_Toc504660980"/>
      <w:bookmarkStart w:id="1473" w:name="_Toc504721771"/>
      <w:bookmarkStart w:id="1474" w:name="_Toc505008707"/>
      <w:bookmarkStart w:id="1475" w:name="_Toc505161635"/>
      <w:bookmarkStart w:id="1476" w:name="_Toc22643865"/>
      <w:bookmarkStart w:id="1477" w:name="_Toc30099840"/>
      <w:bookmarkStart w:id="1478" w:name="_Toc31809557"/>
      <w:r>
        <w:t xml:space="preserve">Entities Covered by </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002C7960">
        <w:t>Communications Prohibition</w:t>
      </w:r>
      <w:bookmarkEnd w:id="1477"/>
      <w:bookmarkEnd w:id="1478"/>
    </w:p>
    <w:p w:rsidR="002454C0" w:rsidP="002454C0" w14:paraId="2CEFAB30" w14:textId="1D7B63E5">
      <w:pPr>
        <w:pStyle w:val="ParaNum"/>
        <w:widowControl/>
        <w:rPr>
          <w:szCs w:val="22"/>
        </w:rPr>
      </w:pPr>
      <w:r>
        <w:rPr>
          <w:szCs w:val="22"/>
        </w:rPr>
        <w:t xml:space="preserve">Consistent with section </w:t>
      </w:r>
      <w:r w:rsidR="007A0959">
        <w:rPr>
          <w:szCs w:val="22"/>
        </w:rPr>
        <w:t>1.21002</w:t>
      </w:r>
      <w:r>
        <w:rPr>
          <w:szCs w:val="22"/>
        </w:rPr>
        <w:t>, the</w:t>
      </w:r>
      <w:r w:rsidR="007A0959">
        <w:rPr>
          <w:szCs w:val="22"/>
        </w:rPr>
        <w:t xml:space="preserve"> prohibition of certain communications</w:t>
      </w:r>
      <w:r>
        <w:rPr>
          <w:szCs w:val="22"/>
        </w:rPr>
        <w:t xml:space="preserve"> that we adopt</w:t>
      </w:r>
      <w:r w:rsidR="007A0959">
        <w:rPr>
          <w:szCs w:val="22"/>
        </w:rPr>
        <w:t xml:space="preserve"> will apply to any </w:t>
      </w:r>
      <w:r w:rsidR="00994164">
        <w:rPr>
          <w:szCs w:val="22"/>
        </w:rPr>
        <w:t xml:space="preserve">party </w:t>
      </w:r>
      <w:r w:rsidR="007A0959">
        <w:rPr>
          <w:szCs w:val="22"/>
        </w:rPr>
        <w:t xml:space="preserve">that submits </w:t>
      </w:r>
      <w:r w:rsidR="00386284">
        <w:rPr>
          <w:szCs w:val="22"/>
        </w:rPr>
        <w:t>an</w:t>
      </w:r>
      <w:r w:rsidR="007A0959">
        <w:rPr>
          <w:szCs w:val="22"/>
        </w:rPr>
        <w:t xml:space="preserve"> application to participate in </w:t>
      </w:r>
      <w:r w:rsidR="00386284">
        <w:rPr>
          <w:szCs w:val="22"/>
        </w:rPr>
        <w:t xml:space="preserve">the </w:t>
      </w:r>
      <w:r w:rsidR="007E23F5">
        <w:rPr>
          <w:szCs w:val="22"/>
        </w:rPr>
        <w:t>Stage 2 Competition</w:t>
      </w:r>
      <w:r w:rsidR="007A0959">
        <w:rPr>
          <w:szCs w:val="22"/>
        </w:rPr>
        <w:t xml:space="preserve">.  </w:t>
      </w:r>
      <w:r w:rsidR="007A0959">
        <w:rPr>
          <w:b/>
          <w:szCs w:val="22"/>
        </w:rPr>
        <w:t xml:space="preserve">This prohibition applies to all </w:t>
      </w:r>
      <w:r w:rsidR="00994164">
        <w:rPr>
          <w:b/>
          <w:szCs w:val="22"/>
        </w:rPr>
        <w:t xml:space="preserve">parties </w:t>
      </w:r>
      <w:r w:rsidR="007A0959">
        <w:rPr>
          <w:b/>
          <w:szCs w:val="22"/>
        </w:rPr>
        <w:t xml:space="preserve">that submit </w:t>
      </w:r>
      <w:r w:rsidR="002347DF">
        <w:rPr>
          <w:b/>
          <w:szCs w:val="22"/>
        </w:rPr>
        <w:t>an</w:t>
      </w:r>
      <w:r w:rsidR="007A0959">
        <w:rPr>
          <w:b/>
          <w:szCs w:val="22"/>
        </w:rPr>
        <w:t xml:space="preserve"> application</w:t>
      </w:r>
      <w:r w:rsidR="001D06F8">
        <w:rPr>
          <w:b/>
          <w:szCs w:val="22"/>
        </w:rPr>
        <w:t xml:space="preserve"> by the deadline</w:t>
      </w:r>
      <w:r w:rsidR="007A0959">
        <w:rPr>
          <w:b/>
          <w:szCs w:val="22"/>
        </w:rPr>
        <w:t xml:space="preserve"> regardless of whether such </w:t>
      </w:r>
      <w:r w:rsidR="00982D8E">
        <w:rPr>
          <w:b/>
          <w:szCs w:val="22"/>
        </w:rPr>
        <w:t xml:space="preserve">parties </w:t>
      </w:r>
      <w:r w:rsidR="007A0959">
        <w:rPr>
          <w:b/>
          <w:szCs w:val="22"/>
        </w:rPr>
        <w:t xml:space="preserve">become </w:t>
      </w:r>
      <w:r w:rsidR="002347DF">
        <w:rPr>
          <w:b/>
          <w:szCs w:val="22"/>
        </w:rPr>
        <w:t>winning applicants authorized to receive Stage 2 support</w:t>
      </w:r>
      <w:r w:rsidR="007A0959">
        <w:rPr>
          <w:b/>
          <w:szCs w:val="22"/>
        </w:rPr>
        <w:t>.</w:t>
      </w:r>
      <w:r>
        <w:rPr>
          <w:rStyle w:val="FootnoteReference"/>
          <w:szCs w:val="22"/>
        </w:rPr>
        <w:footnoteReference w:id="138"/>
      </w:r>
      <w:r w:rsidR="007A0959">
        <w:rPr>
          <w:szCs w:val="22"/>
        </w:rPr>
        <w:t xml:space="preserve">  </w:t>
      </w:r>
    </w:p>
    <w:p w:rsidR="002454C0" w:rsidP="002454C0" w14:paraId="0187129A" w14:textId="77777777">
      <w:pPr>
        <w:pStyle w:val="ParaNum"/>
        <w:widowControl/>
        <w:rPr>
          <w:szCs w:val="22"/>
        </w:rPr>
      </w:pPr>
      <w:r>
        <w:rPr>
          <w:bCs/>
        </w:rPr>
        <w:t xml:space="preserve">“Applicant” for purposes </w:t>
      </w:r>
      <w:r>
        <w:t>of this rule includes the entity filing the application, each party capable of controlling the applicant, and each party that may be controlled by the applicant or by a party capable of controlling the applicant.</w:t>
      </w:r>
      <w:r>
        <w:rPr>
          <w:rStyle w:val="FootnoteReference"/>
        </w:rPr>
        <w:footnoteReference w:id="139"/>
      </w:r>
      <w:r>
        <w:t xml:space="preserve"> </w:t>
      </w:r>
    </w:p>
    <w:p w:rsidR="002454C0" w:rsidP="002454C0" w14:paraId="35E16055" w14:textId="0F752404">
      <w:pPr>
        <w:pStyle w:val="ParaNum"/>
      </w:pPr>
      <w:r>
        <w:t xml:space="preserve">Subject to the exception described above, the prohibition applies to communications </w:t>
      </w:r>
      <w:r w:rsidR="006C5A5D">
        <w:t xml:space="preserve">by </w:t>
      </w:r>
      <w:r>
        <w:t>an applicant that are conveyed to another applicant</w:t>
      </w:r>
      <w:r w:rsidRPr="001F2E8C">
        <w:rPr>
          <w:szCs w:val="22"/>
        </w:rPr>
        <w:t>.</w:t>
      </w:r>
      <w:r>
        <w:rPr>
          <w:rStyle w:val="FootnoteReference"/>
          <w:szCs w:val="22"/>
        </w:rPr>
        <w:footnoteReference w:id="140"/>
      </w:r>
      <w:r>
        <w:rPr>
          <w:szCs w:val="22"/>
        </w:rPr>
        <w:t xml:space="preserve">  The prohibition of “communicating in any manner” includes public disclosures as well as private communications and indirect or implicit communications, as well as express statements.</w:t>
      </w:r>
      <w:r>
        <w:rPr>
          <w:rStyle w:val="FootnoteReference"/>
          <w:szCs w:val="22"/>
        </w:rPr>
        <w:footnoteReference w:id="141"/>
      </w:r>
      <w:r>
        <w:rPr>
          <w:szCs w:val="22"/>
        </w:rPr>
        <w:t xml:space="preserve">  Consequently, </w:t>
      </w:r>
      <w:r>
        <w:t xml:space="preserve">an applicant must take care to determine whether its </w:t>
      </w:r>
      <w:r w:rsidR="00F91BDD">
        <w:t>Stage 2 C</w:t>
      </w:r>
      <w:r w:rsidR="00FD050E">
        <w:t>ompetition</w:t>
      </w:r>
      <w:r>
        <w:t>-related communications may reach another applicant, unless the exception applies.</w:t>
      </w:r>
      <w:r>
        <w:rPr>
          <w:rStyle w:val="FootnoteReference"/>
        </w:rPr>
        <w:footnoteReference w:id="142"/>
      </w:r>
    </w:p>
    <w:p w:rsidR="002454C0" w:rsidRPr="00C133A0" w:rsidP="002454C0" w14:paraId="2239742C" w14:textId="6F1DB75B">
      <w:pPr>
        <w:pStyle w:val="ParaNum"/>
        <w:widowControl/>
      </w:pPr>
      <w:r>
        <w:t xml:space="preserve">Applicants should take special care in circumstances where their officers, directors, and employees may receive information directly or indirectly relating to any other applicant’s </w:t>
      </w:r>
      <w:r w:rsidR="007E2C33">
        <w:t xml:space="preserve">Stage 2 </w:t>
      </w:r>
      <w:r w:rsidR="00FD050E">
        <w:t>application</w:t>
      </w:r>
      <w:r>
        <w:t xml:space="preserve">s or </w:t>
      </w:r>
      <w:r w:rsidR="00913810">
        <w:t xml:space="preserve">application </w:t>
      </w:r>
      <w:r>
        <w:t xml:space="preserve">strategies.  Information received by a party related to the applicant may be deemed to have been received by the applicant under certain circumstances.  For example, Commission staff have found that, where an individual serves as an officer and director for two or more applicants, the </w:t>
      </w:r>
      <w:r w:rsidR="00FD050E">
        <w:t>application</w:t>
      </w:r>
      <w:r>
        <w:t xml:space="preserve">s and </w:t>
      </w:r>
      <w:r w:rsidR="00913810">
        <w:t xml:space="preserve">application </w:t>
      </w:r>
      <w:r>
        <w:t>strategies of one applicant are presumed conveyed to the other applicant, and, absent a disclosed agreement that makes the rule’s exception applicable, the shared officer creates an apparent violation of the rule.</w:t>
      </w:r>
      <w:r>
        <w:rPr>
          <w:rStyle w:val="FootnoteReference"/>
        </w:rPr>
        <w:footnoteReference w:id="143"/>
      </w:r>
      <w:r>
        <w:t xml:space="preserve"> </w:t>
      </w:r>
    </w:p>
    <w:p w:rsidR="002454C0" w:rsidP="002454C0" w14:paraId="112A9261" w14:textId="77777777">
      <w:pPr>
        <w:pStyle w:val="Heading3"/>
      </w:pPr>
      <w:bookmarkStart w:id="1479" w:name="_Toc491262552"/>
      <w:bookmarkStart w:id="1480" w:name="_Toc491263115"/>
      <w:bookmarkStart w:id="1481" w:name="_Toc491676651"/>
      <w:bookmarkStart w:id="1482" w:name="_Toc491677470"/>
      <w:bookmarkStart w:id="1483" w:name="_Toc491697180"/>
      <w:bookmarkStart w:id="1484" w:name="_Toc491765015"/>
      <w:bookmarkStart w:id="1485" w:name="_Toc491765603"/>
      <w:bookmarkStart w:id="1486" w:name="_Toc491786339"/>
      <w:bookmarkStart w:id="1487" w:name="_Toc491789543"/>
      <w:bookmarkStart w:id="1488" w:name="_Toc491849716"/>
      <w:bookmarkStart w:id="1489" w:name="_Toc491850168"/>
      <w:bookmarkStart w:id="1490" w:name="_Toc491850918"/>
      <w:bookmarkStart w:id="1491" w:name="_Toc491941499"/>
      <w:bookmarkStart w:id="1492" w:name="_Toc492976077"/>
      <w:bookmarkStart w:id="1493" w:name="_Toc493232288"/>
      <w:bookmarkStart w:id="1494" w:name="_Toc493234394"/>
      <w:bookmarkStart w:id="1495" w:name="_Toc493244310"/>
      <w:bookmarkStart w:id="1496" w:name="_Toc493772268"/>
      <w:bookmarkStart w:id="1497" w:name="_Toc493862834"/>
      <w:bookmarkStart w:id="1498" w:name="_Toc495058430"/>
      <w:bookmarkStart w:id="1499" w:name="_Toc495678619"/>
      <w:bookmarkStart w:id="1500" w:name="_Toc496104402"/>
      <w:bookmarkStart w:id="1501" w:name="_Toc496619140"/>
      <w:bookmarkStart w:id="1502" w:name="_Toc496620183"/>
      <w:bookmarkStart w:id="1503" w:name="_Toc496780679"/>
      <w:bookmarkStart w:id="1504" w:name="_Toc496886169"/>
      <w:bookmarkStart w:id="1505" w:name="_Toc496889407"/>
      <w:bookmarkStart w:id="1506" w:name="_Toc497122386"/>
      <w:bookmarkStart w:id="1507" w:name="_Toc497214488"/>
      <w:bookmarkStart w:id="1508" w:name="_Toc497403612"/>
      <w:bookmarkStart w:id="1509" w:name="_Toc497490920"/>
      <w:bookmarkStart w:id="1510" w:name="_Toc497914374"/>
      <w:bookmarkStart w:id="1511" w:name="_Toc498007846"/>
      <w:bookmarkStart w:id="1512" w:name="_Toc498008559"/>
      <w:bookmarkStart w:id="1513" w:name="_Toc498442171"/>
      <w:bookmarkStart w:id="1514" w:name="_Toc498505771"/>
      <w:bookmarkStart w:id="1515" w:name="_Toc498507724"/>
      <w:bookmarkStart w:id="1516" w:name="_Toc498519800"/>
      <w:bookmarkStart w:id="1517" w:name="_Toc498527973"/>
      <w:bookmarkStart w:id="1518" w:name="_Toc499285936"/>
      <w:bookmarkStart w:id="1519" w:name="_Toc499794143"/>
      <w:bookmarkStart w:id="1520" w:name="_Toc499902576"/>
      <w:bookmarkStart w:id="1521" w:name="_Toc500921846"/>
      <w:bookmarkStart w:id="1522" w:name="_Toc501095389"/>
      <w:bookmarkStart w:id="1523" w:name="_Toc501361451"/>
      <w:bookmarkStart w:id="1524" w:name="_Toc501361659"/>
      <w:bookmarkStart w:id="1525" w:name="_Toc502758360"/>
      <w:bookmarkStart w:id="1526" w:name="_Toc502845772"/>
      <w:bookmarkStart w:id="1527" w:name="_Toc502926707"/>
      <w:bookmarkStart w:id="1528" w:name="_Toc502932102"/>
      <w:bookmarkStart w:id="1529" w:name="_Toc504660981"/>
      <w:bookmarkStart w:id="1530" w:name="_Toc504721772"/>
      <w:bookmarkStart w:id="1531" w:name="_Toc505008708"/>
      <w:bookmarkStart w:id="1532" w:name="_Toc505161636"/>
      <w:bookmarkStart w:id="1533" w:name="_Toc22643866"/>
      <w:bookmarkStart w:id="1534" w:name="_Toc30099841"/>
      <w:bookmarkStart w:id="1535" w:name="_Toc31809558"/>
      <w:r>
        <w:t>Prohibition Applies Until Deadline</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rsidR="002454C0" w:rsidRPr="00C133A0" w:rsidP="002454C0" w14:paraId="293E5746" w14:textId="00BD6004">
      <w:pPr>
        <w:pStyle w:val="ParaNum"/>
      </w:pPr>
      <w:r>
        <w:t>Consistent with</w:t>
      </w:r>
      <w:r w:rsidR="007A0959">
        <w:t xml:space="preserve"> section 1.21002</w:t>
      </w:r>
      <w:r w:rsidR="008C6A43">
        <w:t>, the</w:t>
      </w:r>
      <w:r w:rsidR="007A0959">
        <w:t xml:space="preserve"> prohibition of certain communications begins at the application filing deadline and ends </w:t>
      </w:r>
      <w:r w:rsidR="00705D6B">
        <w:t xml:space="preserve">when the </w:t>
      </w:r>
      <w:r w:rsidR="00BB7C73">
        <w:t>winning applicants are authorized to receive Stage 2 support</w:t>
      </w:r>
      <w:r w:rsidR="007A0959">
        <w:t>.</w:t>
      </w:r>
      <w:r w:rsidR="007A0959">
        <w:rPr>
          <w:szCs w:val="22"/>
        </w:rPr>
        <w:t xml:space="preserve">  </w:t>
      </w:r>
    </w:p>
    <w:p w:rsidR="002454C0" w:rsidP="002454C0" w14:paraId="57A6EF92" w14:textId="77777777">
      <w:pPr>
        <w:pStyle w:val="Heading3"/>
      </w:pPr>
      <w:bookmarkStart w:id="1536" w:name="_Toc491262553"/>
      <w:bookmarkStart w:id="1537" w:name="_Toc491263116"/>
      <w:bookmarkStart w:id="1538" w:name="_Toc491676652"/>
      <w:bookmarkStart w:id="1539" w:name="_Toc491677471"/>
      <w:bookmarkStart w:id="1540" w:name="_Toc491697181"/>
      <w:bookmarkStart w:id="1541" w:name="_Toc491765016"/>
      <w:bookmarkStart w:id="1542" w:name="_Toc491765604"/>
      <w:bookmarkStart w:id="1543" w:name="_Toc491786340"/>
      <w:bookmarkStart w:id="1544" w:name="_Toc491789544"/>
      <w:bookmarkStart w:id="1545" w:name="_Toc491849717"/>
      <w:bookmarkStart w:id="1546" w:name="_Toc491850169"/>
      <w:bookmarkStart w:id="1547" w:name="_Toc491850919"/>
      <w:bookmarkStart w:id="1548" w:name="_Toc491941500"/>
      <w:bookmarkStart w:id="1549" w:name="_Toc492976078"/>
      <w:bookmarkStart w:id="1550" w:name="_Toc493232289"/>
      <w:bookmarkStart w:id="1551" w:name="_Toc493234395"/>
      <w:bookmarkStart w:id="1552" w:name="_Toc493244311"/>
      <w:bookmarkStart w:id="1553" w:name="_Toc493772269"/>
      <w:bookmarkStart w:id="1554" w:name="_Toc493862835"/>
      <w:bookmarkStart w:id="1555" w:name="_Toc495058431"/>
      <w:bookmarkStart w:id="1556" w:name="_Toc495678620"/>
      <w:bookmarkStart w:id="1557" w:name="_Toc496104403"/>
      <w:bookmarkStart w:id="1558" w:name="_Toc496619141"/>
      <w:bookmarkStart w:id="1559" w:name="_Toc496620184"/>
      <w:bookmarkStart w:id="1560" w:name="_Toc496780680"/>
      <w:bookmarkStart w:id="1561" w:name="_Toc496886170"/>
      <w:bookmarkStart w:id="1562" w:name="_Toc496889408"/>
      <w:bookmarkStart w:id="1563" w:name="_Toc497122387"/>
      <w:bookmarkStart w:id="1564" w:name="_Toc497214489"/>
      <w:bookmarkStart w:id="1565" w:name="_Toc497403613"/>
      <w:bookmarkStart w:id="1566" w:name="_Toc497490921"/>
      <w:bookmarkStart w:id="1567" w:name="_Toc497914375"/>
      <w:bookmarkStart w:id="1568" w:name="_Toc498007847"/>
      <w:bookmarkStart w:id="1569" w:name="_Toc498008560"/>
      <w:bookmarkStart w:id="1570" w:name="_Toc498442172"/>
      <w:bookmarkStart w:id="1571" w:name="_Toc498505772"/>
      <w:bookmarkStart w:id="1572" w:name="_Toc498507725"/>
      <w:bookmarkStart w:id="1573" w:name="_Toc498519801"/>
      <w:bookmarkStart w:id="1574" w:name="_Toc498527974"/>
      <w:bookmarkStart w:id="1575" w:name="_Toc499285937"/>
      <w:bookmarkStart w:id="1576" w:name="_Toc499794144"/>
      <w:bookmarkStart w:id="1577" w:name="_Toc499902577"/>
      <w:bookmarkStart w:id="1578" w:name="_Toc500921847"/>
      <w:bookmarkStart w:id="1579" w:name="_Toc501095390"/>
      <w:bookmarkStart w:id="1580" w:name="_Toc501361452"/>
      <w:bookmarkStart w:id="1581" w:name="_Toc501361660"/>
      <w:bookmarkStart w:id="1582" w:name="_Toc502758361"/>
      <w:bookmarkStart w:id="1583" w:name="_Toc502845773"/>
      <w:bookmarkStart w:id="1584" w:name="_Toc502926708"/>
      <w:bookmarkStart w:id="1585" w:name="_Toc502932103"/>
      <w:bookmarkStart w:id="1586" w:name="_Toc504660982"/>
      <w:bookmarkStart w:id="1587" w:name="_Toc504721773"/>
      <w:bookmarkStart w:id="1588" w:name="_Toc505008709"/>
      <w:bookmarkStart w:id="1589" w:name="_Toc505161637"/>
      <w:bookmarkStart w:id="1590" w:name="_Toc22643867"/>
      <w:bookmarkStart w:id="1591" w:name="_Toc30099842"/>
      <w:bookmarkStart w:id="1592" w:name="_Toc31809559"/>
      <w:r>
        <w:t>Prohibited Communications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rsidR="002454C0" w:rsidRPr="00CC525C" w:rsidP="002454C0" w14:paraId="3A419765" w14:textId="6D05308C">
      <w:pPr>
        <w:pStyle w:val="ParaNum"/>
        <w:widowControl/>
        <w:rPr>
          <w:snapToGrid/>
        </w:rPr>
      </w:pPr>
      <w:r>
        <w:t>Consistent with s</w:t>
      </w:r>
      <w:r w:rsidR="007A0959">
        <w:t>ection 1.21002</w:t>
      </w:r>
      <w:r w:rsidR="00C0085F">
        <w:t xml:space="preserve"> as applied to this Stage 2 Competition</w:t>
      </w:r>
      <w:r w:rsidR="00FF19ED">
        <w:t>, the rule</w:t>
      </w:r>
      <w:r w:rsidR="007A0959">
        <w:t xml:space="preserve"> prohibit</w:t>
      </w:r>
      <w:r w:rsidR="00C0085F">
        <w:t>s</w:t>
      </w:r>
      <w:r w:rsidR="007A0959">
        <w:t xml:space="preserve"> an applicant from communicating with another applicant only with respect to “its own, or one another’s, or any other competing applicant’s </w:t>
      </w:r>
      <w:r w:rsidR="00FD050E">
        <w:t>application</w:t>
      </w:r>
      <w:r w:rsidR="007A0959">
        <w:t xml:space="preserve"> or </w:t>
      </w:r>
      <w:r w:rsidR="001E39B8">
        <w:t xml:space="preserve">application </w:t>
      </w:r>
      <w:r w:rsidR="007A0959">
        <w:t>strategies.”</w:t>
      </w:r>
      <w:r>
        <w:rPr>
          <w:rStyle w:val="FootnoteReference"/>
        </w:rPr>
        <w:footnoteReference w:id="144"/>
      </w:r>
      <w:r w:rsidR="007A0959">
        <w:t xml:space="preserve">  Thus, the prohibition does not apply to all communications between or among applicants; it applies to any communication conveying, in whole or part, directly or indirectly, the applicant’s or a competing applicant’s </w:t>
      </w:r>
      <w:r w:rsidR="008D0526">
        <w:t>“</w:t>
      </w:r>
      <w:r w:rsidR="00FD050E">
        <w:t>application</w:t>
      </w:r>
      <w:r w:rsidR="007A0959">
        <w:t xml:space="preserve"> or </w:t>
      </w:r>
      <w:r w:rsidR="00262D23">
        <w:t xml:space="preserve">application </w:t>
      </w:r>
      <w:r w:rsidR="007A0959">
        <w:t>strategies.</w:t>
      </w:r>
      <w:r w:rsidR="008D0526">
        <w:t>”</w:t>
      </w:r>
    </w:p>
    <w:p w:rsidR="002454C0" w:rsidRPr="00CC525C" w:rsidP="002454C0" w14:paraId="0159D1FD" w14:textId="6CB2E60E">
      <w:pPr>
        <w:pStyle w:val="ParaNum"/>
        <w:rPr>
          <w:snapToGrid/>
        </w:rPr>
      </w:pPr>
      <w:r>
        <w:rPr>
          <w:szCs w:val="22"/>
        </w:rPr>
        <w:t xml:space="preserve">All applicants </w:t>
      </w:r>
      <w:r w:rsidR="00BD0D0B">
        <w:rPr>
          <w:szCs w:val="22"/>
        </w:rPr>
        <w:t xml:space="preserve">seeking </w:t>
      </w:r>
      <w:r>
        <w:rPr>
          <w:szCs w:val="22"/>
        </w:rPr>
        <w:t>support</w:t>
      </w:r>
      <w:r w:rsidR="00B83E6D">
        <w:rPr>
          <w:szCs w:val="22"/>
        </w:rPr>
        <w:t xml:space="preserve"> </w:t>
      </w:r>
      <w:r w:rsidR="009D5749">
        <w:rPr>
          <w:szCs w:val="22"/>
        </w:rPr>
        <w:t>in the competitive proposal process</w:t>
      </w:r>
      <w:r>
        <w:rPr>
          <w:szCs w:val="22"/>
        </w:rPr>
        <w:t xml:space="preserve"> are “competing applicants” under the rule.  Parties apply to participate in </w:t>
      </w:r>
      <w:r w:rsidR="00BB7C73">
        <w:rPr>
          <w:szCs w:val="22"/>
        </w:rPr>
        <w:t xml:space="preserve">the </w:t>
      </w:r>
      <w:r w:rsidR="007E23F5">
        <w:rPr>
          <w:szCs w:val="22"/>
        </w:rPr>
        <w:t>Stage 2 Competition</w:t>
      </w:r>
      <w:r>
        <w:rPr>
          <w:szCs w:val="22"/>
        </w:rPr>
        <w:t xml:space="preserve"> to obtain support from a fixed budget.</w:t>
      </w:r>
      <w:bookmarkStart w:id="1593" w:name="_Hlk497988669"/>
      <w:r>
        <w:rPr>
          <w:szCs w:val="22"/>
        </w:rPr>
        <w:t xml:space="preserve">  </w:t>
      </w:r>
      <w:bookmarkEnd w:id="1593"/>
      <w:r w:rsidR="008D0526">
        <w:rPr>
          <w:szCs w:val="22"/>
        </w:rPr>
        <w:t>As such</w:t>
      </w:r>
      <w:r>
        <w:rPr>
          <w:szCs w:val="22"/>
        </w:rPr>
        <w:t xml:space="preserve">, applicants are competing with one another regardless of whether each seeks to serve different geographic areas with </w:t>
      </w:r>
      <w:r w:rsidR="00FD050E">
        <w:rPr>
          <w:szCs w:val="22"/>
        </w:rPr>
        <w:t>Stage 2</w:t>
      </w:r>
      <w:r w:rsidR="008D0526">
        <w:rPr>
          <w:szCs w:val="22"/>
        </w:rPr>
        <w:t xml:space="preserve"> </w:t>
      </w:r>
      <w:r>
        <w:rPr>
          <w:szCs w:val="22"/>
        </w:rPr>
        <w:t>support.</w:t>
      </w:r>
      <w:r>
        <w:rPr>
          <w:rStyle w:val="FootnoteReference"/>
          <w:szCs w:val="22"/>
        </w:rPr>
        <w:footnoteReference w:id="145"/>
      </w:r>
    </w:p>
    <w:p w:rsidR="002454C0" w:rsidRPr="00D42B4E" w:rsidP="002454C0" w14:paraId="4F9B92BF" w14:textId="2FC5AD66">
      <w:pPr>
        <w:pStyle w:val="ParaNum"/>
        <w:rPr>
          <w:snapToGrid/>
        </w:rPr>
      </w:pPr>
      <w:r>
        <w:rPr>
          <w:rFonts w:eastAsia="TimesNewRoman" w:cs="TimesNewRoman"/>
        </w:rPr>
        <w:t xml:space="preserve">Business discussions and negotiations that are </w:t>
      </w:r>
      <w:r>
        <w:rPr>
          <w:rFonts w:eastAsia="TimesNewRoman" w:cs="TimesNewRoman,Italic"/>
          <w:i/>
          <w:iCs/>
        </w:rPr>
        <w:t xml:space="preserve">unrelated </w:t>
      </w:r>
      <w:r w:rsidRPr="00F442AA">
        <w:rPr>
          <w:rFonts w:eastAsia="TimesNewRoman" w:cs="TimesNewRoman,Italic"/>
          <w:iCs/>
        </w:rPr>
        <w:t xml:space="preserve">to </w:t>
      </w:r>
      <w:r w:rsidR="006A1E25">
        <w:rPr>
          <w:rFonts w:eastAsia="TimesNewRoman" w:cs="TimesNewRoman,Italic"/>
          <w:iCs/>
        </w:rPr>
        <w:t xml:space="preserve">applications </w:t>
      </w:r>
      <w:r>
        <w:rPr>
          <w:rFonts w:eastAsia="TimesNewRoman" w:cs="TimesNewRoman,Italic"/>
          <w:iCs/>
        </w:rPr>
        <w:t>in</w:t>
      </w:r>
      <w:r w:rsidR="005E6AFF">
        <w:rPr>
          <w:rFonts w:eastAsia="TimesNewRoman" w:cs="TimesNewRoman,Italic"/>
          <w:iCs/>
        </w:rPr>
        <w:t xml:space="preserve"> the</w:t>
      </w:r>
      <w:r>
        <w:rPr>
          <w:rFonts w:eastAsia="TimesNewRoman" w:cs="TimesNewRoman,Italic"/>
          <w:iCs/>
        </w:rPr>
        <w:t xml:space="preserve"> </w:t>
      </w:r>
      <w:r w:rsidR="007E23F5">
        <w:rPr>
          <w:rFonts w:eastAsia="TimesNewRoman" w:cs="TimesNewRoman,Italic"/>
          <w:iCs/>
        </w:rPr>
        <w:t>Stage 2 Competition</w:t>
      </w:r>
      <w:r>
        <w:rPr>
          <w:rFonts w:eastAsia="TimesNewRoman" w:cs="TimesNewRoman,Italic"/>
          <w:iCs/>
        </w:rPr>
        <w:t xml:space="preserve"> </w:t>
      </w:r>
      <w:r>
        <w:rPr>
          <w:rFonts w:eastAsia="TimesNewRoman" w:cs="TimesNewRoman"/>
        </w:rPr>
        <w:t xml:space="preserve">and that do not convey information about </w:t>
      </w:r>
      <w:r w:rsidR="00FD050E">
        <w:rPr>
          <w:rFonts w:eastAsia="TimesNewRoman" w:cs="TimesNewRoman"/>
        </w:rPr>
        <w:t>Stage 2</w:t>
      </w:r>
      <w:r w:rsidR="005E6AFF">
        <w:rPr>
          <w:rFonts w:eastAsia="TimesNewRoman" w:cs="TimesNewRoman"/>
        </w:rPr>
        <w:t xml:space="preserve"> </w:t>
      </w:r>
      <w:r w:rsidR="00FD050E">
        <w:rPr>
          <w:rFonts w:eastAsia="TimesNewRoman" w:cs="TimesNewRoman"/>
        </w:rPr>
        <w:t>application</w:t>
      </w:r>
      <w:r>
        <w:rPr>
          <w:rFonts w:eastAsia="TimesNewRoman" w:cs="TimesNewRoman"/>
        </w:rPr>
        <w:t xml:space="preserve">s or </w:t>
      </w:r>
      <w:r w:rsidR="006A1E25">
        <w:rPr>
          <w:rFonts w:eastAsia="TimesNewRoman" w:cs="TimesNewRoman"/>
        </w:rPr>
        <w:t xml:space="preserve">application </w:t>
      </w:r>
      <w:r>
        <w:rPr>
          <w:rFonts w:eastAsia="TimesNewRoman" w:cs="TimesNewRoman"/>
        </w:rPr>
        <w:t>strategies are not prohibited by the rule.</w:t>
      </w:r>
      <w:r>
        <w:rPr>
          <w:rStyle w:val="FootnoteReference"/>
          <w:rFonts w:eastAsia="TimesNewRoman" w:cs="TimesNewRoman"/>
        </w:rPr>
        <w:footnoteReference w:id="146"/>
      </w:r>
      <w:r>
        <w:rPr>
          <w:rFonts w:eastAsia="TimesNewRoman" w:cs="TimesNewRoman"/>
        </w:rPr>
        <w:t xml:space="preserve">  </w:t>
      </w:r>
      <w:r>
        <w:rPr>
          <w:szCs w:val="22"/>
        </w:rPr>
        <w:t xml:space="preserve">Moreover, not all </w:t>
      </w:r>
      <w:r w:rsidR="00FD050E">
        <w:rPr>
          <w:szCs w:val="22"/>
        </w:rPr>
        <w:t>competition</w:t>
      </w:r>
      <w:r>
        <w:rPr>
          <w:szCs w:val="22"/>
        </w:rPr>
        <w:t xml:space="preserve">-related information is covered by the prohibition.  For example, </w:t>
      </w:r>
      <w:r>
        <w:t xml:space="preserve">communicating merely whether a party has or has not applied to participate in </w:t>
      </w:r>
      <w:r w:rsidR="00A425F0">
        <w:t xml:space="preserve">the </w:t>
      </w:r>
      <w:r w:rsidR="007E23F5">
        <w:t>Stage 2 Competition</w:t>
      </w:r>
      <w:r>
        <w:t xml:space="preserve"> will not violate the rule.  In contrast, communicating how a party </w:t>
      </w:r>
      <w:r w:rsidR="00F548FC">
        <w:t>is participating</w:t>
      </w:r>
      <w:r>
        <w:t xml:space="preserve">, including specific </w:t>
      </w:r>
      <w:r w:rsidR="00A425F0">
        <w:t>areas</w:t>
      </w:r>
      <w:r>
        <w:t xml:space="preserve"> and/or tier and latency combinations selected, specific </w:t>
      </w:r>
      <w:r w:rsidR="00D53599">
        <w:t xml:space="preserve">price </w:t>
      </w:r>
      <w:r>
        <w:t xml:space="preserve">percentages, and/or whether or not the party </w:t>
      </w:r>
      <w:r w:rsidR="000079C0">
        <w:t>has submitted an</w:t>
      </w:r>
      <w:r>
        <w:t xml:space="preserve"> </w:t>
      </w:r>
      <w:r w:rsidR="00FD050E">
        <w:t>application</w:t>
      </w:r>
      <w:r>
        <w:t xml:space="preserve">, would convey </w:t>
      </w:r>
      <w:r w:rsidR="00FD050E">
        <w:t>application</w:t>
      </w:r>
      <w:r>
        <w:t xml:space="preserve">s or </w:t>
      </w:r>
      <w:r w:rsidR="006A1E25">
        <w:t xml:space="preserve">application </w:t>
      </w:r>
      <w:r>
        <w:t>strategies and would be prohibited.</w:t>
      </w:r>
      <w:r>
        <w:rPr>
          <w:rStyle w:val="FootnoteReference"/>
        </w:rPr>
        <w:footnoteReference w:id="147"/>
      </w:r>
      <w:r>
        <w:t xml:space="preserve">  </w:t>
      </w:r>
    </w:p>
    <w:p w:rsidR="00C31D47" w:rsidRPr="00D42B4E" w:rsidP="00C31D47" w14:paraId="355620D2" w14:textId="34E924CD">
      <w:pPr>
        <w:pStyle w:val="ParaNum"/>
        <w:rPr>
          <w:snapToGrid/>
        </w:rPr>
      </w:pPr>
      <w:r>
        <w:t xml:space="preserve">In the present context, the prohibited communications rule will </w:t>
      </w:r>
      <w:r w:rsidR="00197D6D">
        <w:t xml:space="preserve">take effect </w:t>
      </w:r>
      <w:r w:rsidR="000C44F4">
        <w:t xml:space="preserve">after applications are due and </w:t>
      </w:r>
      <w:r w:rsidR="00417B58">
        <w:t xml:space="preserve">continue to be </w:t>
      </w:r>
      <w:r w:rsidR="009D781B">
        <w:t xml:space="preserve">in effect until the Bureau announces </w:t>
      </w:r>
      <w:r w:rsidR="00163B29">
        <w:t xml:space="preserve">the </w:t>
      </w:r>
      <w:r w:rsidR="009D781B">
        <w:t>winning applicants that are authorized for support.</w:t>
      </w:r>
      <w:r w:rsidR="00163B29">
        <w:t xml:space="preserve">  </w:t>
      </w:r>
      <w:r w:rsidR="00FD2807">
        <w:t>Although there</w:t>
      </w:r>
      <w:r>
        <w:t xml:space="preserve"> are no subsequent rounds, and </w:t>
      </w:r>
      <w:r w:rsidR="006B2A0B">
        <w:t xml:space="preserve">applicants may not add or subtract </w:t>
      </w:r>
      <w:r>
        <w:t>competitive area-specific proposals after that date</w:t>
      </w:r>
      <w:r w:rsidR="00E11C83">
        <w:t xml:space="preserve">, </w:t>
      </w:r>
      <w:r>
        <w:t xml:space="preserve">it is imperative that an applicant not discuss with any other applicant any aspect of its application and proposals until the </w:t>
      </w:r>
      <w:r w:rsidR="000B6F3E">
        <w:t>winning applicants are authorized for support</w:t>
      </w:r>
      <w:r w:rsidR="009E27B0">
        <w:t xml:space="preserve"> to </w:t>
      </w:r>
      <w:r w:rsidR="00396C59">
        <w:t xml:space="preserve">comply with </w:t>
      </w:r>
      <w:r>
        <w:t>the rule.  Previously, the Commission has found discussions related to strategic defaults between winning auction bidders after the close of bidding in an auction to violate the prohibited communications rule.</w:t>
      </w:r>
      <w:r>
        <w:rPr>
          <w:rStyle w:val="FootnoteReference"/>
        </w:rPr>
        <w:footnoteReference w:id="148"/>
      </w:r>
    </w:p>
    <w:p w:rsidR="002454C0" w:rsidRPr="00890B1C" w:rsidP="002454C0" w14:paraId="1E598DDE" w14:textId="57D6582E">
      <w:pPr>
        <w:pStyle w:val="ParaNum"/>
        <w:rPr>
          <w:snapToGrid/>
        </w:rPr>
      </w:pPr>
      <w:r>
        <w:t xml:space="preserve">While </w:t>
      </w:r>
      <w:r w:rsidR="008C6A43">
        <w:t xml:space="preserve">consistent with </w:t>
      </w:r>
      <w:r>
        <w:t xml:space="preserve">section 1.21002 </w:t>
      </w:r>
      <w:r w:rsidR="008C6A43">
        <w:t xml:space="preserve">we </w:t>
      </w:r>
      <w:r>
        <w:t xml:space="preserve">do not prohibit business discussions and negotiations among applicants that are not </w:t>
      </w:r>
      <w:r w:rsidR="00FD050E">
        <w:t>competition</w:t>
      </w:r>
      <w:r>
        <w:t xml:space="preserve"> related, each applicant must remain vigilant not to communicate, directly or indirectly, information that affects, or could affect, </w:t>
      </w:r>
      <w:r w:rsidR="00FD050E">
        <w:t>application</w:t>
      </w:r>
      <w:r>
        <w:t xml:space="preserve">s or </w:t>
      </w:r>
      <w:r w:rsidR="00416BCE">
        <w:t xml:space="preserve">application </w:t>
      </w:r>
      <w:r>
        <w:t xml:space="preserve">strategy.  </w:t>
      </w:r>
      <w:r>
        <w:rPr>
          <w:szCs w:val="22"/>
        </w:rPr>
        <w:t xml:space="preserve">Certain discussions might touch upon subject matters that could convey cost information and </w:t>
      </w:r>
      <w:r w:rsidR="00A73D74">
        <w:rPr>
          <w:szCs w:val="22"/>
        </w:rPr>
        <w:t xml:space="preserve">application </w:t>
      </w:r>
      <w:r>
        <w:rPr>
          <w:szCs w:val="22"/>
        </w:rPr>
        <w:t>strategies.  Such subject areas include, but are not limited to, management, sales, local marketing agreements, and other transactional agreements.</w:t>
      </w:r>
      <w:r>
        <w:rPr>
          <w:rStyle w:val="CommentReference"/>
        </w:rPr>
        <w:t xml:space="preserve"> </w:t>
      </w:r>
    </w:p>
    <w:p w:rsidR="002454C0" w:rsidRPr="00ED51C9" w:rsidP="002454C0" w14:paraId="6CA44760" w14:textId="4CDDFC8D">
      <w:pPr>
        <w:pStyle w:val="ParaNum"/>
        <w:rPr>
          <w:snapToGrid/>
        </w:rPr>
      </w:pPr>
      <w:r>
        <w:t xml:space="preserve">We caution applicants that </w:t>
      </w:r>
      <w:r w:rsidR="00FD050E">
        <w:t>application</w:t>
      </w:r>
      <w:r>
        <w:t xml:space="preserve">s or </w:t>
      </w:r>
      <w:r w:rsidR="000D1255">
        <w:t xml:space="preserve">application </w:t>
      </w:r>
      <w:r>
        <w:t xml:space="preserve">strategies may be communicated outside of situations that involve one party subject to the prohibition communicating privately and directly with another such party.  </w:t>
      </w:r>
    </w:p>
    <w:p w:rsidR="002454C0" w:rsidRPr="00890B1C" w:rsidP="00C34203" w14:paraId="1194989B" w14:textId="121A79B8">
      <w:pPr>
        <w:pStyle w:val="ParaNum"/>
        <w:widowControl/>
        <w:rPr>
          <w:snapToGrid/>
        </w:rPr>
      </w:pPr>
      <w:r>
        <w:t xml:space="preserve">Applicants should use caution in their dealings with other parties, such as members of the press, financial analysts, or others who might become conduits for </w:t>
      </w:r>
      <w:r w:rsidR="00EA1A36">
        <w:t xml:space="preserve">prohibited </w:t>
      </w:r>
      <w:r>
        <w:t xml:space="preserve">communication of </w:t>
      </w:r>
      <w:r w:rsidR="00211D58">
        <w:t>application</w:t>
      </w:r>
      <w:r>
        <w:t xml:space="preserve"> information.  For example, even though communicating that it has applied to participate in the </w:t>
      </w:r>
      <w:r w:rsidR="00FD050E">
        <w:t>competition</w:t>
      </w:r>
      <w:r>
        <w:t xml:space="preserve"> will not violate the rule, an applicant’s statement to the press </w:t>
      </w:r>
      <w:r w:rsidR="002C1E82">
        <w:t xml:space="preserve">about the details of its application or proposal </w:t>
      </w:r>
      <w:r>
        <w:t xml:space="preserve">in the </w:t>
      </w:r>
      <w:r w:rsidR="00FD050E">
        <w:t>competition</w:t>
      </w:r>
      <w:r>
        <w:t xml:space="preserve"> could give rise to a finding of a violation</w:t>
      </w:r>
      <w:r w:rsidR="00F90FAE">
        <w:t xml:space="preserve"> of the prohibition on certain communications that we adopt</w:t>
      </w:r>
      <w:r>
        <w:t>.</w:t>
      </w:r>
      <w:r>
        <w:rPr>
          <w:rStyle w:val="FootnoteReference"/>
        </w:rPr>
        <w:footnoteReference w:id="149"/>
      </w:r>
      <w:r>
        <w:t xml:space="preserve">  </w:t>
      </w:r>
    </w:p>
    <w:p w:rsidR="002454C0" w:rsidP="002454C0" w14:paraId="3507702D" w14:textId="77777777">
      <w:pPr>
        <w:pStyle w:val="Heading3"/>
      </w:pPr>
      <w:bookmarkStart w:id="1594" w:name="_Toc30099843"/>
      <w:bookmarkStart w:id="1595" w:name="_Toc497914376"/>
      <w:bookmarkStart w:id="1596" w:name="_Toc498007848"/>
      <w:bookmarkStart w:id="1597" w:name="_Toc498008561"/>
      <w:bookmarkStart w:id="1598" w:name="_Toc498442173"/>
      <w:bookmarkStart w:id="1599" w:name="_Toc498505773"/>
      <w:bookmarkStart w:id="1600" w:name="_Toc498507726"/>
      <w:bookmarkStart w:id="1601" w:name="_Toc498519802"/>
      <w:bookmarkStart w:id="1602" w:name="_Toc498527975"/>
      <w:bookmarkStart w:id="1603" w:name="_Toc499285938"/>
      <w:bookmarkStart w:id="1604" w:name="_Toc499794145"/>
      <w:bookmarkStart w:id="1605" w:name="_Toc499902578"/>
      <w:bookmarkStart w:id="1606" w:name="_Toc500921848"/>
      <w:bookmarkStart w:id="1607" w:name="_Toc501095391"/>
      <w:bookmarkStart w:id="1608" w:name="_Toc501361453"/>
      <w:bookmarkStart w:id="1609" w:name="_Toc501361661"/>
      <w:bookmarkStart w:id="1610" w:name="_Toc502758362"/>
      <w:bookmarkStart w:id="1611" w:name="_Toc502845774"/>
      <w:bookmarkStart w:id="1612" w:name="_Toc502926709"/>
      <w:bookmarkStart w:id="1613" w:name="_Toc502932104"/>
      <w:bookmarkStart w:id="1614" w:name="_Toc504660983"/>
      <w:bookmarkStart w:id="1615" w:name="_Toc504721774"/>
      <w:bookmarkStart w:id="1616" w:name="_Toc505008710"/>
      <w:bookmarkStart w:id="1617" w:name="_Toc505161638"/>
      <w:bookmarkStart w:id="1618" w:name="_Toc22643868"/>
      <w:bookmarkStart w:id="1619" w:name="_Toc30099844"/>
      <w:bookmarkStart w:id="1620" w:name="_Toc491262554"/>
      <w:bookmarkStart w:id="1621" w:name="_Toc491263117"/>
      <w:bookmarkStart w:id="1622" w:name="_Toc491676653"/>
      <w:bookmarkStart w:id="1623" w:name="_Toc491677472"/>
      <w:bookmarkStart w:id="1624" w:name="_Toc491697182"/>
      <w:bookmarkStart w:id="1625" w:name="_Toc491765017"/>
      <w:bookmarkStart w:id="1626" w:name="_Toc491765605"/>
      <w:bookmarkStart w:id="1627" w:name="_Toc491786341"/>
      <w:bookmarkStart w:id="1628" w:name="_Toc491789545"/>
      <w:bookmarkStart w:id="1629" w:name="_Toc491849718"/>
      <w:bookmarkStart w:id="1630" w:name="_Toc491850170"/>
      <w:bookmarkStart w:id="1631" w:name="_Toc491850920"/>
      <w:bookmarkStart w:id="1632" w:name="_Toc491941501"/>
      <w:bookmarkStart w:id="1633" w:name="_Toc492976079"/>
      <w:bookmarkStart w:id="1634" w:name="_Toc493232290"/>
      <w:bookmarkStart w:id="1635" w:name="_Toc493234396"/>
      <w:bookmarkStart w:id="1636" w:name="_Toc493244312"/>
      <w:bookmarkStart w:id="1637" w:name="_Toc493772270"/>
      <w:bookmarkStart w:id="1638" w:name="_Toc493862836"/>
      <w:bookmarkStart w:id="1639" w:name="_Toc495058432"/>
      <w:bookmarkStart w:id="1640" w:name="_Toc495678621"/>
      <w:bookmarkStart w:id="1641" w:name="_Toc496104404"/>
      <w:bookmarkStart w:id="1642" w:name="_Toc496619142"/>
      <w:bookmarkStart w:id="1643" w:name="_Toc496620185"/>
      <w:bookmarkStart w:id="1644" w:name="_Toc496780681"/>
      <w:bookmarkStart w:id="1645" w:name="_Toc496886171"/>
      <w:bookmarkStart w:id="1646" w:name="_Toc496889409"/>
      <w:bookmarkStart w:id="1647" w:name="_Toc497122388"/>
      <w:bookmarkStart w:id="1648" w:name="_Toc497214490"/>
      <w:bookmarkStart w:id="1649" w:name="_Toc497403614"/>
      <w:bookmarkStart w:id="1650" w:name="_Toc497490922"/>
      <w:bookmarkStart w:id="1651" w:name="_Toc31809560"/>
      <w:bookmarkEnd w:id="1594"/>
      <w:r>
        <w:t>Communicating with Third Parties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51"/>
    </w:p>
    <w:p w:rsidR="002454C0" w:rsidRPr="00C93977" w:rsidP="002454C0" w14:paraId="796748EF" w14:textId="7BED6B55">
      <w:pPr>
        <w:pStyle w:val="ParaNum"/>
        <w:rPr>
          <w:snapToGrid/>
          <w:szCs w:val="22"/>
        </w:rPr>
      </w:pPr>
      <w:r>
        <w:rPr>
          <w:szCs w:val="22"/>
        </w:rPr>
        <w:t>Consistent with s</w:t>
      </w:r>
      <w:r w:rsidRPr="00C93977" w:rsidR="007A0959">
        <w:rPr>
          <w:szCs w:val="22"/>
        </w:rPr>
        <w:t>ection 1.21002</w:t>
      </w:r>
      <w:r>
        <w:rPr>
          <w:szCs w:val="22"/>
        </w:rPr>
        <w:t>, we</w:t>
      </w:r>
      <w:r w:rsidRPr="00C93977" w:rsidR="007A0959">
        <w:rPr>
          <w:szCs w:val="22"/>
        </w:rPr>
        <w:t xml:space="preserve"> do not prohibit an applicant from communicating </w:t>
      </w:r>
      <w:r w:rsidR="00FD050E">
        <w:rPr>
          <w:szCs w:val="22"/>
        </w:rPr>
        <w:t>application</w:t>
      </w:r>
      <w:r w:rsidRPr="00C93977" w:rsidR="007A0959">
        <w:rPr>
          <w:szCs w:val="22"/>
        </w:rPr>
        <w:t xml:space="preserve"> or </w:t>
      </w:r>
      <w:r w:rsidR="00FA6FB4">
        <w:rPr>
          <w:szCs w:val="22"/>
        </w:rPr>
        <w:t>application</w:t>
      </w:r>
      <w:r w:rsidRPr="00C93977" w:rsidR="00FA6FB4">
        <w:rPr>
          <w:szCs w:val="22"/>
        </w:rPr>
        <w:t xml:space="preserve"> </w:t>
      </w:r>
      <w:r w:rsidRPr="00C93977" w:rsidR="007A0959">
        <w:rPr>
          <w:szCs w:val="22"/>
        </w:rPr>
        <w:t>strategies to a third</w:t>
      </w:r>
      <w:r w:rsidR="003502BA">
        <w:rPr>
          <w:szCs w:val="22"/>
        </w:rPr>
        <w:t xml:space="preserve"> </w:t>
      </w:r>
      <w:r w:rsidRPr="00C93977" w:rsidR="007A0959">
        <w:rPr>
          <w:szCs w:val="22"/>
        </w:rPr>
        <w:t xml:space="preserve">party, such as a consultant or consulting firm, counsel, or lender, provided that the applicant takes appropriate steps to ensure that </w:t>
      </w:r>
      <w:r w:rsidR="00FC0978">
        <w:rPr>
          <w:szCs w:val="22"/>
        </w:rPr>
        <w:t>the</w:t>
      </w:r>
      <w:r w:rsidRPr="00C93977" w:rsidR="00FC0978">
        <w:rPr>
          <w:szCs w:val="22"/>
        </w:rPr>
        <w:t xml:space="preserve"> </w:t>
      </w:r>
      <w:r w:rsidRPr="00C93977" w:rsidR="007A0959">
        <w:rPr>
          <w:szCs w:val="22"/>
        </w:rPr>
        <w:t xml:space="preserve">third party does not become a conduit for prohibited communications to other applicants, unless both applicants are parties to a joint </w:t>
      </w:r>
      <w:r w:rsidR="00DC071E">
        <w:rPr>
          <w:szCs w:val="22"/>
        </w:rPr>
        <w:t>application</w:t>
      </w:r>
      <w:r w:rsidRPr="00C93977" w:rsidR="00DC071E">
        <w:rPr>
          <w:szCs w:val="22"/>
        </w:rPr>
        <w:t xml:space="preserve"> </w:t>
      </w:r>
      <w:r w:rsidRPr="00C93977" w:rsidR="007A0959">
        <w:rPr>
          <w:szCs w:val="22"/>
        </w:rPr>
        <w:t>arrangement disclosed on their respective applications.</w:t>
      </w:r>
      <w:r>
        <w:rPr>
          <w:rStyle w:val="FootnoteReference"/>
          <w:sz w:val="22"/>
          <w:szCs w:val="22"/>
        </w:rPr>
        <w:footnoteReference w:id="150"/>
      </w:r>
      <w:r w:rsidRPr="00C93977" w:rsidR="007A0959">
        <w:rPr>
          <w:szCs w:val="22"/>
        </w:rPr>
        <w:t xml:space="preserve"> </w:t>
      </w:r>
      <w:r w:rsidRPr="00C93977" w:rsidR="007A0959">
        <w:rPr>
          <w:rFonts w:ascii="TimesNewRoman" w:hAnsi="TimesNewRoman" w:cs="TimesNewRoman"/>
          <w:snapToGrid/>
          <w:kern w:val="0"/>
          <w:szCs w:val="22"/>
        </w:rPr>
        <w:t xml:space="preserve"> </w:t>
      </w:r>
      <w:r w:rsidRPr="00C93977" w:rsidR="007A0959">
        <w:rPr>
          <w:snapToGrid/>
          <w:szCs w:val="22"/>
        </w:rPr>
        <w:t xml:space="preserve">For example, an applicant might require a third party, such as a lender, to sign a non-disclosure agreement before the applicant communicates any information regarding </w:t>
      </w:r>
      <w:r w:rsidR="00FD050E">
        <w:rPr>
          <w:snapToGrid/>
          <w:szCs w:val="22"/>
        </w:rPr>
        <w:t>application</w:t>
      </w:r>
      <w:r w:rsidRPr="00C93977" w:rsidR="007A0959">
        <w:rPr>
          <w:snapToGrid/>
          <w:szCs w:val="22"/>
        </w:rPr>
        <w:t xml:space="preserve"> or </w:t>
      </w:r>
      <w:r w:rsidR="00DC071E">
        <w:rPr>
          <w:snapToGrid/>
          <w:szCs w:val="22"/>
        </w:rPr>
        <w:t>application</w:t>
      </w:r>
      <w:r w:rsidRPr="00C93977" w:rsidR="00DC071E">
        <w:rPr>
          <w:snapToGrid/>
          <w:szCs w:val="22"/>
        </w:rPr>
        <w:t xml:space="preserve"> </w:t>
      </w:r>
      <w:r w:rsidRPr="00C93977" w:rsidR="007A0959">
        <w:rPr>
          <w:snapToGrid/>
          <w:szCs w:val="22"/>
        </w:rPr>
        <w:t>strategy to the third party.</w:t>
      </w:r>
      <w:r>
        <w:rPr>
          <w:rStyle w:val="FootnoteReference"/>
          <w:rFonts w:cs="TimesNewRoman"/>
          <w:kern w:val="0"/>
          <w:sz w:val="22"/>
          <w:szCs w:val="22"/>
        </w:rPr>
        <w:footnoteReference w:id="151"/>
      </w:r>
      <w:r w:rsidRPr="00C93977" w:rsidR="007A0959">
        <w:rPr>
          <w:snapToGrid/>
          <w:szCs w:val="22"/>
        </w:rPr>
        <w:t xml:space="preserve">  Within </w:t>
      </w:r>
      <w:r w:rsidRPr="00C93977" w:rsidR="007A0959">
        <w:rPr>
          <w:szCs w:val="22"/>
        </w:rPr>
        <w:t xml:space="preserve">third-party firms, separate individual employees, such as attorneys or </w:t>
      </w:r>
      <w:r w:rsidR="00FD050E">
        <w:rPr>
          <w:szCs w:val="22"/>
        </w:rPr>
        <w:t>competition</w:t>
      </w:r>
      <w:r w:rsidRPr="00C93977" w:rsidR="007A0959">
        <w:rPr>
          <w:szCs w:val="22"/>
        </w:rPr>
        <w:t xml:space="preserve"> consultants, may advise individual applicants on </w:t>
      </w:r>
      <w:r w:rsidR="00FD050E">
        <w:rPr>
          <w:szCs w:val="22"/>
        </w:rPr>
        <w:t>application</w:t>
      </w:r>
      <w:r w:rsidRPr="00C93977" w:rsidR="007A0959">
        <w:rPr>
          <w:szCs w:val="22"/>
        </w:rPr>
        <w:t xml:space="preserve"> or </w:t>
      </w:r>
      <w:r w:rsidR="00DC071E">
        <w:rPr>
          <w:szCs w:val="22"/>
        </w:rPr>
        <w:t>application</w:t>
      </w:r>
      <w:r w:rsidRPr="00C93977" w:rsidR="00DC071E">
        <w:rPr>
          <w:szCs w:val="22"/>
        </w:rPr>
        <w:t xml:space="preserve"> </w:t>
      </w:r>
      <w:r w:rsidRPr="00C93977" w:rsidR="007A0959">
        <w:rPr>
          <w:szCs w:val="22"/>
        </w:rPr>
        <w:t xml:space="preserve">strategies, as long as such firms implement firewalls and other compliance procedures that prevent such individuals from communicating the </w:t>
      </w:r>
      <w:r w:rsidR="00FD050E">
        <w:rPr>
          <w:szCs w:val="22"/>
        </w:rPr>
        <w:t>application</w:t>
      </w:r>
      <w:r w:rsidRPr="00C93977" w:rsidR="007A0959">
        <w:rPr>
          <w:szCs w:val="22"/>
        </w:rPr>
        <w:t xml:space="preserve"> or </w:t>
      </w:r>
      <w:r w:rsidR="00DC071E">
        <w:rPr>
          <w:szCs w:val="22"/>
        </w:rPr>
        <w:t>application</w:t>
      </w:r>
      <w:r w:rsidRPr="00C93977" w:rsidR="00DC071E">
        <w:rPr>
          <w:szCs w:val="22"/>
        </w:rPr>
        <w:t xml:space="preserve"> </w:t>
      </w:r>
      <w:r w:rsidRPr="00C93977" w:rsidR="007A0959">
        <w:rPr>
          <w:szCs w:val="22"/>
        </w:rPr>
        <w:t>strategies of one applicant to other individuals representing separate applicants.</w:t>
      </w:r>
      <w:r>
        <w:rPr>
          <w:rStyle w:val="FootnoteReference"/>
          <w:sz w:val="22"/>
          <w:szCs w:val="22"/>
        </w:rPr>
        <w:footnoteReference w:id="152"/>
      </w:r>
      <w:r w:rsidRPr="00C93977" w:rsidR="007A0959">
        <w:rPr>
          <w:szCs w:val="22"/>
        </w:rPr>
        <w:t xml:space="preserve">  Although firewalls and/or other procedures should be used, their existence is not an absolute defense to liability if a violation of the rule has occurred.</w:t>
      </w:r>
      <w:r>
        <w:rPr>
          <w:rStyle w:val="FootnoteReference"/>
          <w:sz w:val="22"/>
          <w:szCs w:val="22"/>
        </w:rPr>
        <w:footnoteReference w:id="153"/>
      </w:r>
    </w:p>
    <w:p w:rsidR="002454C0" w:rsidRPr="00CC525C" w:rsidP="002454C0" w14:paraId="0A65E9D2" w14:textId="62D69E80">
      <w:pPr>
        <w:pStyle w:val="ParaNum"/>
        <w:rPr>
          <w:snapToGrid/>
        </w:rPr>
      </w:pPr>
      <w:r>
        <w:t xml:space="preserve">As </w:t>
      </w:r>
      <w:r w:rsidR="00432ECC">
        <w:t xml:space="preserve">the </w:t>
      </w:r>
      <w:r>
        <w:t xml:space="preserve">Commission </w:t>
      </w:r>
      <w:r w:rsidR="000B2A68">
        <w:t xml:space="preserve">has previously </w:t>
      </w:r>
      <w:r>
        <w:t>explained, in the case of an individual, the objective precautionary measure of a firewall is not available.</w:t>
      </w:r>
      <w:r>
        <w:rPr>
          <w:rStyle w:val="FootnoteReference"/>
        </w:rPr>
        <w:footnoteReference w:id="154"/>
      </w:r>
      <w:r>
        <w:t xml:space="preserve">  As a result, an individual that is privy to </w:t>
      </w:r>
      <w:r w:rsidR="001776DA">
        <w:t>bids</w:t>
      </w:r>
      <w:r>
        <w:t xml:space="preserve"> or </w:t>
      </w:r>
      <w:r w:rsidR="001776DA">
        <w:t>bidding</w:t>
      </w:r>
      <w:r>
        <w:t xml:space="preserve"> information of more than one applicant presents a greater risk of engaging in a prohibited communication.</w:t>
      </w:r>
      <w:r>
        <w:rPr>
          <w:rStyle w:val="FootnoteReference"/>
        </w:rPr>
        <w:footnoteReference w:id="155"/>
      </w:r>
      <w:r>
        <w:t xml:space="preserve">  We will take the same approach to interpreting the prohibited communications rule in </w:t>
      </w:r>
      <w:r w:rsidR="001776DA">
        <w:t xml:space="preserve">the </w:t>
      </w:r>
      <w:r w:rsidR="007E23F5">
        <w:t>Stage 2 Competition</w:t>
      </w:r>
      <w:r>
        <w:t xml:space="preserve">.  We emphasize that whether a prohibited communication has taken place in a given case will depend on all the facts pertaining to the case, including who possessed what information, what information was conveyed to whom, and the </w:t>
      </w:r>
      <w:r w:rsidR="00383E0E">
        <w:t xml:space="preserve">status </w:t>
      </w:r>
      <w:r>
        <w:t xml:space="preserve">of the </w:t>
      </w:r>
      <w:r w:rsidR="00FD050E">
        <w:t>competition</w:t>
      </w:r>
      <w:r>
        <w:t>.</w:t>
      </w:r>
      <w:r>
        <w:rPr>
          <w:rStyle w:val="FootnoteReference"/>
        </w:rPr>
        <w:footnoteReference w:id="156"/>
      </w:r>
    </w:p>
    <w:p w:rsidR="002454C0" w:rsidRPr="00287F43" w:rsidP="002454C0" w14:paraId="3DBCD2D7" w14:textId="14FCCA46">
      <w:pPr>
        <w:pStyle w:val="ParaNum"/>
        <w:rPr>
          <w:snapToGrid/>
        </w:rPr>
      </w:pPr>
      <w:r>
        <w:t xml:space="preserve">We remind potential applicants that they may discuss the application or </w:t>
      </w:r>
      <w:r w:rsidR="00827428">
        <w:t xml:space="preserve">proposals </w:t>
      </w:r>
      <w:r>
        <w:t xml:space="preserve">for specific </w:t>
      </w:r>
      <w:r w:rsidR="00827428">
        <w:t xml:space="preserve">geographic areas </w:t>
      </w:r>
      <w:r>
        <w:t xml:space="preserve">with the counsel, consultant, or expert of their choice </w:t>
      </w:r>
      <w:r w:rsidRPr="00A82AA4">
        <w:rPr>
          <w:i/>
        </w:rPr>
        <w:t>before</w:t>
      </w:r>
      <w:r>
        <w:t xml:space="preserve"> the application deadline.  Furthermore, the same third-party individual could continue to give advice after the deadline regarding the application, provided that no information pertaining to </w:t>
      </w:r>
      <w:r w:rsidR="00FD050E">
        <w:t>application</w:t>
      </w:r>
      <w:r>
        <w:t xml:space="preserve"> or </w:t>
      </w:r>
      <w:r w:rsidR="00494295">
        <w:t xml:space="preserve">application </w:t>
      </w:r>
      <w:r>
        <w:t>strategies</w:t>
      </w:r>
      <w:r w:rsidR="001776DA">
        <w:t xml:space="preserve"> </w:t>
      </w:r>
      <w:r>
        <w:t xml:space="preserve">is conveyed to that individual.  </w:t>
      </w:r>
    </w:p>
    <w:p w:rsidR="002454C0" w:rsidP="002454C0" w14:paraId="38A92CDD" w14:textId="6D2173A9">
      <w:pPr>
        <w:pStyle w:val="Heading3"/>
      </w:pPr>
      <w:bookmarkStart w:id="1652" w:name="_Toc491262555"/>
      <w:bookmarkStart w:id="1653" w:name="_Toc491263118"/>
      <w:bookmarkStart w:id="1654" w:name="_Toc491676654"/>
      <w:bookmarkStart w:id="1655" w:name="_Toc491677473"/>
      <w:bookmarkStart w:id="1656" w:name="_Toc491697183"/>
      <w:bookmarkStart w:id="1657" w:name="_Toc491765018"/>
      <w:bookmarkStart w:id="1658" w:name="_Toc491765606"/>
      <w:bookmarkStart w:id="1659" w:name="_Toc491786342"/>
      <w:bookmarkStart w:id="1660" w:name="_Toc491789546"/>
      <w:bookmarkStart w:id="1661" w:name="_Toc491849719"/>
      <w:bookmarkStart w:id="1662" w:name="_Toc491850171"/>
      <w:bookmarkStart w:id="1663" w:name="_Toc491850921"/>
      <w:bookmarkStart w:id="1664" w:name="_Toc491941502"/>
      <w:bookmarkStart w:id="1665" w:name="_Toc492976080"/>
      <w:bookmarkStart w:id="1666" w:name="_Toc493232291"/>
      <w:bookmarkStart w:id="1667" w:name="_Toc493234397"/>
      <w:bookmarkStart w:id="1668" w:name="_Toc493244313"/>
      <w:bookmarkStart w:id="1669" w:name="_Toc493772271"/>
      <w:bookmarkStart w:id="1670" w:name="_Toc493862837"/>
      <w:bookmarkStart w:id="1671" w:name="_Toc495058433"/>
      <w:bookmarkStart w:id="1672" w:name="_Toc495678622"/>
      <w:bookmarkStart w:id="1673" w:name="_Toc496104405"/>
      <w:bookmarkStart w:id="1674" w:name="_Toc496619143"/>
      <w:bookmarkStart w:id="1675" w:name="_Toc496620186"/>
      <w:bookmarkStart w:id="1676" w:name="_Toc496780682"/>
      <w:bookmarkStart w:id="1677" w:name="_Toc496886172"/>
      <w:bookmarkStart w:id="1678" w:name="_Toc496889410"/>
      <w:bookmarkStart w:id="1679" w:name="_Toc497122389"/>
      <w:bookmarkStart w:id="1680" w:name="_Toc497214491"/>
      <w:bookmarkStart w:id="1681" w:name="_Toc497403615"/>
      <w:bookmarkStart w:id="1682" w:name="_Toc497490923"/>
      <w:bookmarkStart w:id="1683" w:name="_Toc497914377"/>
      <w:bookmarkStart w:id="1684" w:name="_Toc498007849"/>
      <w:bookmarkStart w:id="1685" w:name="_Toc498008562"/>
      <w:bookmarkStart w:id="1686" w:name="_Toc498442174"/>
      <w:bookmarkStart w:id="1687" w:name="_Toc498505774"/>
      <w:bookmarkStart w:id="1688" w:name="_Toc498507727"/>
      <w:bookmarkStart w:id="1689" w:name="_Toc498519803"/>
      <w:bookmarkStart w:id="1690" w:name="_Toc498527976"/>
      <w:bookmarkStart w:id="1691" w:name="_Toc499285939"/>
      <w:bookmarkStart w:id="1692" w:name="_Toc499794146"/>
      <w:bookmarkStart w:id="1693" w:name="_Toc499902579"/>
      <w:bookmarkStart w:id="1694" w:name="_Toc500921849"/>
      <w:bookmarkStart w:id="1695" w:name="_Toc501095392"/>
      <w:bookmarkStart w:id="1696" w:name="_Toc501361454"/>
      <w:bookmarkStart w:id="1697" w:name="_Toc501361662"/>
      <w:bookmarkStart w:id="1698" w:name="_Toc502758363"/>
      <w:bookmarkStart w:id="1699" w:name="_Toc502845775"/>
      <w:bookmarkStart w:id="1700" w:name="_Toc502926710"/>
      <w:bookmarkStart w:id="1701" w:name="_Toc502932105"/>
      <w:bookmarkStart w:id="1702" w:name="_Toc504660984"/>
      <w:bookmarkStart w:id="1703" w:name="_Toc504721775"/>
      <w:bookmarkStart w:id="1704" w:name="_Toc505008711"/>
      <w:bookmarkStart w:id="1705" w:name="_Toc505161639"/>
      <w:bookmarkStart w:id="1706" w:name="_Toc22643869"/>
      <w:bookmarkStart w:id="1707" w:name="_Toc30099845"/>
      <w:bookmarkStart w:id="1708" w:name="_Toc31809561"/>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t>Certification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2454C0" w:rsidP="002454C0" w14:paraId="4D2AEEE1" w14:textId="375F010C">
      <w:pPr>
        <w:pStyle w:val="ParaNum"/>
        <w:widowControl/>
        <w:rPr>
          <w:szCs w:val="22"/>
        </w:rPr>
      </w:pPr>
      <w:r>
        <w:rPr>
          <w:szCs w:val="22"/>
        </w:rPr>
        <w:t>By submitting a</w:t>
      </w:r>
      <w:r w:rsidR="00792F93">
        <w:rPr>
          <w:szCs w:val="22"/>
        </w:rPr>
        <w:t>n</w:t>
      </w:r>
      <w:r>
        <w:rPr>
          <w:szCs w:val="22"/>
        </w:rPr>
        <w:t xml:space="preserve"> application, each applicant in </w:t>
      </w:r>
      <w:r w:rsidR="00792F93">
        <w:rPr>
          <w:szCs w:val="22"/>
        </w:rPr>
        <w:t xml:space="preserve">the </w:t>
      </w:r>
      <w:r w:rsidR="007E23F5">
        <w:rPr>
          <w:szCs w:val="22"/>
        </w:rPr>
        <w:t>Stage 2 Competition</w:t>
      </w:r>
      <w:r>
        <w:rPr>
          <w:szCs w:val="22"/>
        </w:rPr>
        <w:t xml:space="preserve"> certifies its compliance with </w:t>
      </w:r>
      <w:r w:rsidR="009E1A00">
        <w:rPr>
          <w:szCs w:val="22"/>
        </w:rPr>
        <w:t xml:space="preserve">the prohibition on certain communications that we adopt, consistent with the Commission’s direction in the </w:t>
      </w:r>
      <w:r w:rsidR="009E1A00">
        <w:rPr>
          <w:i/>
          <w:szCs w:val="22"/>
        </w:rPr>
        <w:t>PR-USVI Stage 2 Order</w:t>
      </w:r>
      <w:r>
        <w:rPr>
          <w:szCs w:val="22"/>
        </w:rPr>
        <w:t>.</w:t>
      </w:r>
      <w:r>
        <w:rPr>
          <w:rStyle w:val="FootnoteReference"/>
          <w:szCs w:val="22"/>
        </w:rPr>
        <w:footnoteReference w:id="157"/>
      </w:r>
      <w:r>
        <w:rPr>
          <w:szCs w:val="22"/>
        </w:rPr>
        <w:t xml:space="preserve">  In particular, an applicant must certify under penalty of perjury that the application discloses all real parties in interest to any agreements involving the applicant’s participation in the </w:t>
      </w:r>
      <w:r w:rsidR="00FD050E">
        <w:rPr>
          <w:szCs w:val="22"/>
        </w:rPr>
        <w:t>applying</w:t>
      </w:r>
      <w:r>
        <w:rPr>
          <w:szCs w:val="22"/>
        </w:rPr>
        <w:t xml:space="preserve"> for </w:t>
      </w:r>
      <w:r w:rsidR="00FD050E">
        <w:rPr>
          <w:szCs w:val="22"/>
        </w:rPr>
        <w:t>Stage 2</w:t>
      </w:r>
      <w:r w:rsidR="00792F93">
        <w:rPr>
          <w:szCs w:val="22"/>
        </w:rPr>
        <w:t xml:space="preserve"> </w:t>
      </w:r>
      <w:r>
        <w:rPr>
          <w:szCs w:val="22"/>
        </w:rPr>
        <w:t>support.</w:t>
      </w:r>
      <w:r>
        <w:rPr>
          <w:rStyle w:val="FootnoteReference"/>
          <w:szCs w:val="22"/>
        </w:rPr>
        <w:footnoteReference w:id="158"/>
      </w:r>
      <w:r>
        <w:rPr>
          <w:szCs w:val="22"/>
        </w:rPr>
        <w:t xml:space="preserve">  Also, the applicant must certify that it and all applicable parties have complied with and will continue to comply with </w:t>
      </w:r>
      <w:r w:rsidR="00D452FA">
        <w:rPr>
          <w:szCs w:val="22"/>
        </w:rPr>
        <w:t xml:space="preserve">the prohibition we adopt, which is identical to </w:t>
      </w:r>
      <w:r>
        <w:rPr>
          <w:szCs w:val="22"/>
        </w:rPr>
        <w:t>47 CFR § 1.21002.</w:t>
      </w:r>
      <w:r>
        <w:rPr>
          <w:rStyle w:val="FootnoteReference"/>
          <w:szCs w:val="22"/>
        </w:rPr>
        <w:footnoteReference w:id="159"/>
      </w:r>
      <w:r>
        <w:rPr>
          <w:szCs w:val="22"/>
        </w:rPr>
        <w:t xml:space="preserve">  </w:t>
      </w:r>
    </w:p>
    <w:p w:rsidR="002454C0" w:rsidRPr="00A06A2F" w:rsidP="002454C0" w14:paraId="031B0A5B" w14:textId="0B754F4E">
      <w:pPr>
        <w:pStyle w:val="ParaNum"/>
      </w:pPr>
      <w:r>
        <w:rPr>
          <w:szCs w:val="22"/>
        </w:rPr>
        <w:t>We caution, however, that merely filing a certifying statement as part of an application will not outweigh specific evidence that a prohibited communication has occurred, nor will it preclude the initiation of an investigation when warranted.</w:t>
      </w:r>
      <w:r>
        <w:rPr>
          <w:rStyle w:val="FootnoteReference"/>
          <w:szCs w:val="22"/>
        </w:rPr>
        <w:footnoteReference w:id="160"/>
      </w:r>
      <w:r>
        <w:rPr>
          <w:szCs w:val="22"/>
        </w:rPr>
        <w:t xml:space="preserve">  The Commission has stated that it “intend[s] to scrutinize carefully any instances in which </w:t>
      </w:r>
      <w:r w:rsidR="00FD050E">
        <w:rPr>
          <w:szCs w:val="22"/>
        </w:rPr>
        <w:t>applying</w:t>
      </w:r>
      <w:r>
        <w:rPr>
          <w:szCs w:val="22"/>
        </w:rPr>
        <w:t xml:space="preserve"> patterns suggest that collusion may be occurring.”</w:t>
      </w:r>
      <w:r>
        <w:rPr>
          <w:rStyle w:val="FootnoteReference"/>
          <w:szCs w:val="22"/>
        </w:rPr>
        <w:footnoteReference w:id="161"/>
      </w:r>
      <w:r>
        <w:rPr>
          <w:szCs w:val="22"/>
        </w:rPr>
        <w:t xml:space="preserve">  Any applicant found to have violated </w:t>
      </w:r>
      <w:r w:rsidR="00E534CF">
        <w:rPr>
          <w:szCs w:val="22"/>
        </w:rPr>
        <w:t>the prohibition on certain communications</w:t>
      </w:r>
      <w:r>
        <w:rPr>
          <w:szCs w:val="22"/>
        </w:rPr>
        <w:t xml:space="preserve"> may be subject to sanctions.</w:t>
      </w:r>
      <w:r>
        <w:rPr>
          <w:rStyle w:val="FootnoteReference"/>
          <w:szCs w:val="22"/>
        </w:rPr>
        <w:footnoteReference w:id="162"/>
      </w:r>
    </w:p>
    <w:p w:rsidR="002454C0" w:rsidP="002454C0" w14:paraId="3F68E5A7" w14:textId="77777777">
      <w:pPr>
        <w:pStyle w:val="Heading3"/>
      </w:pPr>
      <w:bookmarkStart w:id="1709" w:name="_Toc491262556"/>
      <w:bookmarkStart w:id="1710" w:name="_Toc491263119"/>
      <w:bookmarkStart w:id="1711" w:name="_Toc491676655"/>
      <w:bookmarkStart w:id="1712" w:name="_Toc491677474"/>
      <w:bookmarkStart w:id="1713" w:name="_Toc491697184"/>
      <w:bookmarkStart w:id="1714" w:name="_Toc491765019"/>
      <w:bookmarkStart w:id="1715" w:name="_Toc491765607"/>
      <w:bookmarkStart w:id="1716" w:name="_Toc491786343"/>
      <w:bookmarkStart w:id="1717" w:name="_Toc491789547"/>
      <w:bookmarkStart w:id="1718" w:name="_Toc491849720"/>
      <w:bookmarkStart w:id="1719" w:name="_Toc491850172"/>
      <w:bookmarkStart w:id="1720" w:name="_Toc491850922"/>
      <w:bookmarkStart w:id="1721" w:name="_Toc491941503"/>
      <w:bookmarkStart w:id="1722" w:name="_Toc492976081"/>
      <w:bookmarkStart w:id="1723" w:name="_Toc493232292"/>
      <w:bookmarkStart w:id="1724" w:name="_Toc493234398"/>
      <w:bookmarkStart w:id="1725" w:name="_Toc493244314"/>
      <w:bookmarkStart w:id="1726" w:name="_Toc493772272"/>
      <w:bookmarkStart w:id="1727" w:name="_Toc493862838"/>
      <w:bookmarkStart w:id="1728" w:name="_Toc495058434"/>
      <w:bookmarkStart w:id="1729" w:name="_Toc495678623"/>
      <w:bookmarkStart w:id="1730" w:name="_Toc496104406"/>
      <w:bookmarkStart w:id="1731" w:name="_Toc496619144"/>
      <w:bookmarkStart w:id="1732" w:name="_Toc496620187"/>
      <w:bookmarkStart w:id="1733" w:name="_Toc496780683"/>
      <w:bookmarkStart w:id="1734" w:name="_Toc496886173"/>
      <w:bookmarkStart w:id="1735" w:name="_Toc496889411"/>
      <w:bookmarkStart w:id="1736" w:name="_Toc497122390"/>
      <w:bookmarkStart w:id="1737" w:name="_Toc497214492"/>
      <w:bookmarkStart w:id="1738" w:name="_Toc497403616"/>
      <w:bookmarkStart w:id="1739" w:name="_Toc497490924"/>
      <w:bookmarkStart w:id="1740" w:name="_Toc497914378"/>
      <w:bookmarkStart w:id="1741" w:name="_Toc498007850"/>
      <w:bookmarkStart w:id="1742" w:name="_Toc498008563"/>
      <w:bookmarkStart w:id="1743" w:name="_Toc498442175"/>
      <w:bookmarkStart w:id="1744" w:name="_Toc498505775"/>
      <w:bookmarkStart w:id="1745" w:name="_Toc498507728"/>
      <w:bookmarkStart w:id="1746" w:name="_Toc498519804"/>
      <w:bookmarkStart w:id="1747" w:name="_Toc498527977"/>
      <w:bookmarkStart w:id="1748" w:name="_Toc499285940"/>
      <w:bookmarkStart w:id="1749" w:name="_Toc499794147"/>
      <w:bookmarkStart w:id="1750" w:name="_Toc499902580"/>
      <w:bookmarkStart w:id="1751" w:name="_Toc500921850"/>
      <w:bookmarkStart w:id="1752" w:name="_Toc501095393"/>
      <w:bookmarkStart w:id="1753" w:name="_Toc501361455"/>
      <w:bookmarkStart w:id="1754" w:name="_Toc501361663"/>
      <w:bookmarkStart w:id="1755" w:name="_Toc502758364"/>
      <w:bookmarkStart w:id="1756" w:name="_Toc502845776"/>
      <w:bookmarkStart w:id="1757" w:name="_Toc502926711"/>
      <w:bookmarkStart w:id="1758" w:name="_Toc502932106"/>
      <w:bookmarkStart w:id="1759" w:name="_Toc504660985"/>
      <w:bookmarkStart w:id="1760" w:name="_Toc504721776"/>
      <w:bookmarkStart w:id="1761" w:name="_Toc505008712"/>
      <w:bookmarkStart w:id="1762" w:name="_Toc505161640"/>
      <w:bookmarkStart w:id="1763" w:name="_Toc22643870"/>
      <w:bookmarkStart w:id="1764" w:name="_Toc30099846"/>
      <w:bookmarkStart w:id="1765" w:name="_Toc31809562"/>
      <w:r>
        <w:t>Duty to Report Prohibited Communications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2454C0" w:rsidP="002454C0" w14:paraId="363F1209" w14:textId="6D12FFCD">
      <w:pPr>
        <w:pStyle w:val="ParaNum"/>
        <w:widowControl/>
        <w:rPr>
          <w:szCs w:val="22"/>
        </w:rPr>
      </w:pPr>
      <w:r>
        <w:t>Consistent with s</w:t>
      </w:r>
      <w:r w:rsidR="007A0959">
        <w:t>ection 1.21002(c)</w:t>
      </w:r>
      <w:r>
        <w:t>, we require</w:t>
      </w:r>
      <w:r w:rsidR="007A0959">
        <w:t xml:space="preserve"> that any applicant that makes or receives a communication that appears to violate </w:t>
      </w:r>
      <w:r>
        <w:t xml:space="preserve">the prohibition </w:t>
      </w:r>
      <w:r w:rsidR="00ED6FBC">
        <w:t>on certain communications that we adopt</w:t>
      </w:r>
      <w:r w:rsidR="007A0959">
        <w:t xml:space="preserve"> must report such communication in writing to the Commission immediately, and in no case later than five business days after the communication occurs.</w:t>
      </w:r>
      <w:r>
        <w:rPr>
          <w:rStyle w:val="FootnoteReference"/>
          <w:szCs w:val="22"/>
        </w:rPr>
        <w:footnoteReference w:id="163"/>
      </w:r>
      <w:r w:rsidR="007A0959">
        <w:t xml:space="preserve">  An applicant’s obligation to make such a report continues until the report has been made.</w:t>
      </w:r>
      <w:r>
        <w:rPr>
          <w:rStyle w:val="FootnoteReference"/>
        </w:rPr>
        <w:footnoteReference w:id="164"/>
      </w:r>
    </w:p>
    <w:p w:rsidR="002454C0" w:rsidP="002454C0" w14:paraId="2CA3AFFF" w14:textId="3F4DCA33">
      <w:pPr>
        <w:pStyle w:val="ParaNum"/>
        <w:widowControl/>
        <w:rPr>
          <w:szCs w:val="22"/>
        </w:rPr>
      </w:pPr>
      <w:r>
        <w:t>In addition, 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szCs w:val="22"/>
        </w:rPr>
        <w:footnoteReference w:id="165"/>
      </w:r>
      <w:r>
        <w:t xml:space="preserve">  Thus, section 1.65 requires </w:t>
      </w:r>
      <w:r w:rsidR="00B45B86">
        <w:t>a</w:t>
      </w:r>
      <w:r>
        <w:t xml:space="preserve"> </w:t>
      </w:r>
      <w:r w:rsidR="007E23F5">
        <w:t>Stage 2 Competition</w:t>
      </w:r>
      <w:r>
        <w:t xml:space="preserve"> applicant to notify the Commission of any substantial change to the information or certifications included in its pending application.  An applicant is therefore required by section 1.65 to report to the Commission any communication the applicant has made to or received from another applicant after the application filing deadline that affects or has the potential to affect</w:t>
      </w:r>
      <w:r w:rsidR="00B45B86">
        <w:t xml:space="preserve"> its</w:t>
      </w:r>
      <w:r>
        <w:t xml:space="preserve"> </w:t>
      </w:r>
      <w:r w:rsidR="00FD050E">
        <w:t>application</w:t>
      </w:r>
      <w:r>
        <w:t xml:space="preserve"> or </w:t>
      </w:r>
      <w:r w:rsidR="006D7521">
        <w:t>application</w:t>
      </w:r>
      <w:r>
        <w:t xml:space="preserve"> strategy, unless such communication is made to or received from an applicant that is a member of a joint </w:t>
      </w:r>
      <w:r w:rsidR="006D7521">
        <w:t>application</w:t>
      </w:r>
      <w:r>
        <w:t xml:space="preserve"> arrangement identified on the application.</w:t>
      </w:r>
      <w:r>
        <w:rPr>
          <w:rStyle w:val="FootnoteReference"/>
        </w:rPr>
        <w:footnoteReference w:id="166"/>
      </w:r>
    </w:p>
    <w:p w:rsidR="002454C0" w:rsidRPr="00A06A2F" w:rsidP="002454C0" w14:paraId="1EA3A37A" w14:textId="525363D4">
      <w:pPr>
        <w:pStyle w:val="ParaNum"/>
        <w:widowControl/>
      </w:pPr>
      <w:r>
        <w:t>Sections 1.65(a) and 1.21002 of the Commission’s rules require each applicant in competitive proceedings to furnish additional or corrected information within five days of a significant occurrence, or to amend its application no more than five days after the applicant becomes aware of the need for amendment.</w:t>
      </w:r>
      <w:r>
        <w:rPr>
          <w:rStyle w:val="FootnoteReference"/>
          <w:szCs w:val="22"/>
        </w:rPr>
        <w:footnoteReference w:id="167"/>
      </w:r>
      <w:r>
        <w:t xml:space="preserve">  These rules are intended to facilitate the </w:t>
      </w:r>
      <w:r w:rsidR="00FD050E">
        <w:t>competition</w:t>
      </w:r>
      <w:r>
        <w:t xml:space="preserve"> process by making information that should be publicly available promptly accessible to all participants and to enable the </w:t>
      </w:r>
      <w:r w:rsidR="004F7FF4">
        <w:t>Bureau</w:t>
      </w:r>
      <w:r>
        <w:t xml:space="preserve"> to act expeditiously on those changes when such action is necessary.</w:t>
      </w:r>
      <w:r>
        <w:rPr>
          <w:rStyle w:val="FootnoteReference"/>
        </w:rPr>
        <w:footnoteReference w:id="168"/>
      </w:r>
      <w:r w:rsidR="00953384">
        <w:t xml:space="preserve">  For the avoidance of doubt, we apply the same requirement here.  </w:t>
      </w:r>
    </w:p>
    <w:p w:rsidR="002454C0" w:rsidP="002454C0" w14:paraId="06C350FF" w14:textId="77777777">
      <w:pPr>
        <w:pStyle w:val="Heading3"/>
      </w:pPr>
      <w:bookmarkStart w:id="1766" w:name="_Toc491262557"/>
      <w:bookmarkStart w:id="1767" w:name="_Toc491263120"/>
      <w:bookmarkStart w:id="1768" w:name="_Toc491676656"/>
      <w:bookmarkStart w:id="1769" w:name="_Toc491677475"/>
      <w:bookmarkStart w:id="1770" w:name="_Toc491697185"/>
      <w:bookmarkStart w:id="1771" w:name="_Toc491765020"/>
      <w:bookmarkStart w:id="1772" w:name="_Toc491765608"/>
      <w:bookmarkStart w:id="1773" w:name="_Toc491786344"/>
      <w:bookmarkStart w:id="1774" w:name="_Toc491789548"/>
      <w:bookmarkStart w:id="1775" w:name="_Toc491849721"/>
      <w:bookmarkStart w:id="1776" w:name="_Toc491850173"/>
      <w:bookmarkStart w:id="1777" w:name="_Toc491850923"/>
      <w:bookmarkStart w:id="1778" w:name="_Toc491941504"/>
      <w:bookmarkStart w:id="1779" w:name="_Toc492976082"/>
      <w:bookmarkStart w:id="1780" w:name="_Toc493232293"/>
      <w:bookmarkStart w:id="1781" w:name="_Toc493234399"/>
      <w:bookmarkStart w:id="1782" w:name="_Toc493244315"/>
      <w:bookmarkStart w:id="1783" w:name="_Toc493772273"/>
      <w:bookmarkStart w:id="1784" w:name="_Toc493862839"/>
      <w:bookmarkStart w:id="1785" w:name="_Toc495058435"/>
      <w:bookmarkStart w:id="1786" w:name="_Toc495678624"/>
      <w:bookmarkStart w:id="1787" w:name="_Toc496104407"/>
      <w:bookmarkStart w:id="1788" w:name="_Toc496619145"/>
      <w:bookmarkStart w:id="1789" w:name="_Toc496620188"/>
      <w:bookmarkStart w:id="1790" w:name="_Toc496780684"/>
      <w:bookmarkStart w:id="1791" w:name="_Toc496886174"/>
      <w:bookmarkStart w:id="1792" w:name="_Toc496889412"/>
      <w:bookmarkStart w:id="1793" w:name="_Toc497122391"/>
      <w:bookmarkStart w:id="1794" w:name="_Toc497214493"/>
      <w:bookmarkStart w:id="1795" w:name="_Toc497403617"/>
      <w:bookmarkStart w:id="1796" w:name="_Toc497490925"/>
      <w:bookmarkStart w:id="1797" w:name="_Toc497914379"/>
      <w:bookmarkStart w:id="1798" w:name="_Toc498007851"/>
      <w:bookmarkStart w:id="1799" w:name="_Toc498008564"/>
      <w:bookmarkStart w:id="1800" w:name="_Toc498442176"/>
      <w:bookmarkStart w:id="1801" w:name="_Toc498505776"/>
      <w:bookmarkStart w:id="1802" w:name="_Toc498507729"/>
      <w:bookmarkStart w:id="1803" w:name="_Toc498519805"/>
      <w:bookmarkStart w:id="1804" w:name="_Toc498527978"/>
      <w:bookmarkStart w:id="1805" w:name="_Toc499285941"/>
      <w:bookmarkStart w:id="1806" w:name="_Toc499794148"/>
      <w:bookmarkStart w:id="1807" w:name="_Toc499902581"/>
      <w:bookmarkStart w:id="1808" w:name="_Toc500921851"/>
      <w:bookmarkStart w:id="1809" w:name="_Toc501095394"/>
      <w:bookmarkStart w:id="1810" w:name="_Toc501361456"/>
      <w:bookmarkStart w:id="1811" w:name="_Toc501361664"/>
      <w:bookmarkStart w:id="1812" w:name="_Toc502758365"/>
      <w:bookmarkStart w:id="1813" w:name="_Toc502845777"/>
      <w:bookmarkStart w:id="1814" w:name="_Toc502926712"/>
      <w:bookmarkStart w:id="1815" w:name="_Toc502932107"/>
      <w:bookmarkStart w:id="1816" w:name="_Toc504660986"/>
      <w:bookmarkStart w:id="1817" w:name="_Toc504721777"/>
      <w:bookmarkStart w:id="1818" w:name="_Toc505008713"/>
      <w:bookmarkStart w:id="1819" w:name="_Toc505161641"/>
      <w:bookmarkStart w:id="1820" w:name="_Toc22643871"/>
      <w:bookmarkStart w:id="1821" w:name="_Toc30099847"/>
      <w:bookmarkStart w:id="1822" w:name="_Toc31809563"/>
      <w:r>
        <w:t>Procedure for Reporting Prohibited Communications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2454C0" w:rsidP="002454C0" w14:paraId="0E06F9AB" w14:textId="62F8C86B">
      <w:pPr>
        <w:pStyle w:val="ParaNum"/>
        <w:widowControl/>
        <w:rPr>
          <w:szCs w:val="22"/>
        </w:rPr>
      </w:pPr>
      <w:r>
        <w:t>A party reporting any prohibited communication pursuant to sections 1.65</w:t>
      </w:r>
      <w:r w:rsidR="00953384">
        <w:t xml:space="preserve"> </w:t>
      </w:r>
      <w:r w:rsidR="00555B08">
        <w:t>or the prohibition we adopt here (i.e., a communication that would be prohibited by</w:t>
      </w:r>
      <w:r>
        <w:t xml:space="preserve"> </w:t>
      </w:r>
      <w:r w:rsidR="00555B08">
        <w:t xml:space="preserve">section </w:t>
      </w:r>
      <w:r>
        <w:t>1.21001(b), or 1.21002(c)</w:t>
      </w:r>
      <w:r w:rsidR="00555B08">
        <w:t>)</w:t>
      </w:r>
      <w:r>
        <w:t xml:space="preserve"> must take care to ensure that any report of the </w:t>
      </w:r>
      <w:r>
        <w:rPr>
          <w:szCs w:val="22"/>
        </w:rPr>
        <w:t>prohibited</w:t>
      </w:r>
      <w:r>
        <w:t xml:space="preserve"> communication does not itself give rise to a violation of </w:t>
      </w:r>
      <w:r w:rsidR="00555B08">
        <w:t>the communications prohibition we adopt</w:t>
      </w:r>
      <w:r>
        <w:t>.</w:t>
      </w:r>
      <w:r>
        <w:rPr>
          <w:rStyle w:val="FootnoteReference"/>
        </w:rPr>
        <w:footnoteReference w:id="169"/>
      </w:r>
      <w:r>
        <w:t xml:space="preserve">  For example, a party’s report of a prohibited communication could violate the rule by communicating prohibited information to other applicants through the use of Commission filing procedures that allow such materials to be made available for public inspection.  </w:t>
      </w:r>
    </w:p>
    <w:p w:rsidR="002454C0" w:rsidRPr="00AF763E" w:rsidP="002454C0" w14:paraId="3CA4BCFC" w14:textId="5C341FFB">
      <w:pPr>
        <w:pStyle w:val="ParaNum"/>
        <w:widowControl/>
        <w:rPr>
          <w:szCs w:val="22"/>
        </w:rPr>
      </w:pPr>
      <w:r w:rsidRPr="00AA3671">
        <w:t xml:space="preserve">Parties must file only a single report concerning a prohibited communication and must file that report with the Commission personnel expressly charged with administering the Commission’s </w:t>
      </w:r>
      <w:r w:rsidR="00FD050E">
        <w:t>competition</w:t>
      </w:r>
      <w:r w:rsidRPr="00AA3671">
        <w:t>s.</w:t>
      </w:r>
      <w:r>
        <w:rPr>
          <w:rStyle w:val="FootnoteReference"/>
          <w:szCs w:val="22"/>
        </w:rPr>
        <w:footnoteReference w:id="170"/>
      </w:r>
      <w:r w:rsidRPr="00AA3671">
        <w:t xml:space="preserve">  This rule is designed to minimize the risk of inadvertent dissemination of information in such reports.  Any </w:t>
      </w:r>
      <w:r w:rsidR="00555B08">
        <w:t>required reports</w:t>
      </w:r>
      <w:r w:rsidRPr="00AA3671">
        <w:t xml:space="preserve"> must be filed consistent with the instructions set forth in this Public Notice.</w:t>
      </w:r>
      <w:r>
        <w:rPr>
          <w:rStyle w:val="FootnoteReference"/>
          <w:szCs w:val="22"/>
        </w:rPr>
        <w:footnoteReference w:id="171"/>
      </w:r>
      <w:r w:rsidRPr="00AA3671">
        <w:t xml:space="preserve">  For </w:t>
      </w:r>
      <w:r w:rsidR="00B45B86">
        <w:t xml:space="preserve">the </w:t>
      </w:r>
      <w:r w:rsidR="007E23F5">
        <w:t>Stage 2 Competition</w:t>
      </w:r>
      <w:r w:rsidRPr="00AA3671">
        <w:t xml:space="preserve">, such reports must be filed with </w:t>
      </w:r>
      <w:r w:rsidR="00B45B86">
        <w:t>Ryan Palmer</w:t>
      </w:r>
      <w:r w:rsidRPr="00AA3671">
        <w:t xml:space="preserve">, the Chief of the </w:t>
      </w:r>
      <w:r w:rsidR="00B45B86">
        <w:t>Telecommunications</w:t>
      </w:r>
      <w:r w:rsidRPr="00AA3671">
        <w:t xml:space="preserve"> Access </w:t>
      </w:r>
      <w:r w:rsidR="00B45B86">
        <w:t xml:space="preserve">Policy </w:t>
      </w:r>
      <w:r w:rsidRPr="00AA3671">
        <w:t xml:space="preserve">Division, </w:t>
      </w:r>
      <w:r w:rsidR="00B45B86">
        <w:t>Wireline Competition</w:t>
      </w:r>
      <w:r w:rsidRPr="00AA3671">
        <w:t xml:space="preserve"> Bureau, by the most expeditious means available.  Any such report should be submitted by </w:t>
      </w:r>
      <w:r>
        <w:t>email</w:t>
      </w:r>
      <w:r w:rsidRPr="00AA3671">
        <w:t xml:space="preserve"> to </w:t>
      </w:r>
      <w:r w:rsidR="00B45B86">
        <w:t xml:space="preserve">Mr. Palmer </w:t>
      </w:r>
      <w:r w:rsidRPr="00AA3671">
        <w:t xml:space="preserve">at the following </w:t>
      </w:r>
      <w:r>
        <w:t>email</w:t>
      </w:r>
      <w:r w:rsidRPr="00AA3671">
        <w:t xml:space="preserve"> address: </w:t>
      </w:r>
      <w:r w:rsidR="00CF758F">
        <w:t>ConnectAmerica@fcc.gov</w:t>
      </w:r>
      <w:r w:rsidRPr="00AA3671">
        <w:t xml:space="preserve">.  </w:t>
      </w:r>
      <w:r w:rsidRPr="00AF763E">
        <w:t xml:space="preserve">If you choose instead to submit a report in hard copy, any such report must be delivered only to: </w:t>
      </w:r>
      <w:r w:rsidR="00B45B86">
        <w:t>Ryan Palmer</w:t>
      </w:r>
      <w:r w:rsidRPr="00AF763E">
        <w:t xml:space="preserve">, Chief, </w:t>
      </w:r>
      <w:r w:rsidR="00B45B86">
        <w:t>Telecommunications</w:t>
      </w:r>
      <w:r w:rsidRPr="00AA3671" w:rsidR="00B45B86">
        <w:t xml:space="preserve"> Access </w:t>
      </w:r>
      <w:r w:rsidR="00B45B86">
        <w:t xml:space="preserve">Policy </w:t>
      </w:r>
      <w:r w:rsidRPr="00AA3671" w:rsidR="00B45B86">
        <w:t xml:space="preserve">Division, </w:t>
      </w:r>
      <w:r w:rsidR="00B45B86">
        <w:t>Wireline Competition</w:t>
      </w:r>
      <w:r w:rsidRPr="00AA3671" w:rsidR="00B45B86">
        <w:t xml:space="preserve"> Bureau</w:t>
      </w:r>
      <w:r w:rsidRPr="00AF763E">
        <w:t>, Federal Communications Commission, 445 12</w:t>
      </w:r>
      <w:r w:rsidRPr="00AF763E">
        <w:rPr>
          <w:vertAlign w:val="superscript"/>
        </w:rPr>
        <w:t>th</w:t>
      </w:r>
      <w:r w:rsidRPr="00AF763E">
        <w:t xml:space="preserve"> Street, SW, Room </w:t>
      </w:r>
      <w:r w:rsidR="00F104E8">
        <w:t>5</w:t>
      </w:r>
      <w:r w:rsidRPr="00AF763E">
        <w:t>-</w:t>
      </w:r>
      <w:r w:rsidR="00F104E8">
        <w:t>A426</w:t>
      </w:r>
      <w:r w:rsidRPr="00AF763E">
        <w:t>, Washington, DC 20554.</w:t>
      </w:r>
    </w:p>
    <w:p w:rsidR="002454C0" w:rsidRPr="00A06A2F" w:rsidP="00CA44AA" w14:paraId="16F2DB4D" w14:textId="190D78BA">
      <w:pPr>
        <w:pStyle w:val="ParaNum"/>
        <w:widowControl/>
      </w:pPr>
      <w:r>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172"/>
      </w:r>
      <w:r>
        <w:t xml:space="preserve">  We encourage such parties to coordinate with the </w:t>
      </w:r>
      <w:r w:rsidR="00F104E8">
        <w:t>Telecommunications</w:t>
      </w:r>
      <w:r w:rsidRPr="00AA3671" w:rsidR="00F104E8">
        <w:t xml:space="preserve"> Access </w:t>
      </w:r>
      <w:r w:rsidR="00F104E8">
        <w:t xml:space="preserve">Policy </w:t>
      </w:r>
      <w:r w:rsidRPr="00AA3671" w:rsidR="00F104E8">
        <w:t>Division</w:t>
      </w:r>
      <w:r w:rsidR="00F104E8">
        <w:t xml:space="preserve"> </w:t>
      </w:r>
      <w:r>
        <w:t>staff about the procedures for submitting such reports.</w:t>
      </w:r>
      <w:r>
        <w:rPr>
          <w:rStyle w:val="FootnoteReference"/>
        </w:rPr>
        <w:footnoteReference w:id="173"/>
      </w:r>
      <w:r>
        <w:t xml:space="preserve">  </w:t>
      </w:r>
    </w:p>
    <w:p w:rsidR="002454C0" w:rsidP="002454C0" w14:paraId="7DD3E4F2" w14:textId="05A78BD2">
      <w:pPr>
        <w:pStyle w:val="Heading3"/>
      </w:pPr>
      <w:bookmarkStart w:id="1823" w:name="_Toc30099848"/>
      <w:bookmarkStart w:id="1824" w:name="_Toc31809564"/>
      <w:r>
        <w:t>Disclosure of Agreement Terms</w:t>
      </w:r>
      <w:bookmarkEnd w:id="1823"/>
      <w:bookmarkEnd w:id="1824"/>
    </w:p>
    <w:p w:rsidR="002454C0" w:rsidRPr="00A06A2F" w:rsidP="002454C0" w14:paraId="45031F29" w14:textId="4B0C8920">
      <w:pPr>
        <w:pStyle w:val="ParaNum"/>
        <w:widowControl/>
      </w:pPr>
      <w:r>
        <w:rPr>
          <w:szCs w:val="22"/>
        </w:rPr>
        <w:t>Each applicant may be required to disclose in its application the specific terms, conditions, and parties involved in any agreement into which it has entered.</w:t>
      </w:r>
      <w:r>
        <w:rPr>
          <w:rStyle w:val="FootnoteReference"/>
          <w:szCs w:val="22"/>
        </w:rPr>
        <w:footnoteReference w:id="174"/>
      </w:r>
      <w:r>
        <w:rPr>
          <w:szCs w:val="22"/>
        </w:rPr>
        <w:t xml:space="preserve">  This may apply to </w:t>
      </w:r>
      <w:r w:rsidR="00AA4E83">
        <w:rPr>
          <w:szCs w:val="22"/>
        </w:rPr>
        <w:t>an applicant that is a</w:t>
      </w:r>
      <w:r>
        <w:rPr>
          <w:szCs w:val="22"/>
        </w:rPr>
        <w:t xml:space="preserve"> consortia, joint venture, partnership, or agreement, understanding, or other arrangement entered into relating to the </w:t>
      </w:r>
      <w:r w:rsidR="00AA4E83">
        <w:rPr>
          <w:szCs w:val="22"/>
        </w:rPr>
        <w:t xml:space="preserve">Stage 2 </w:t>
      </w:r>
      <w:r>
        <w:rPr>
          <w:szCs w:val="22"/>
        </w:rPr>
        <w:t xml:space="preserve">competitive </w:t>
      </w:r>
      <w:r w:rsidR="00800C3E">
        <w:rPr>
          <w:szCs w:val="22"/>
        </w:rPr>
        <w:t xml:space="preserve">proposal </w:t>
      </w:r>
      <w:r>
        <w:rPr>
          <w:szCs w:val="22"/>
        </w:rPr>
        <w:t>process, including any agreement relating to the post-</w:t>
      </w:r>
      <w:r w:rsidR="00FD050E">
        <w:rPr>
          <w:szCs w:val="22"/>
        </w:rPr>
        <w:t>competition</w:t>
      </w:r>
      <w:r>
        <w:rPr>
          <w:szCs w:val="22"/>
        </w:rPr>
        <w:t xml:space="preserve"> market structure.  </w:t>
      </w:r>
      <w:r>
        <w:t>Failure to comply with the Commission’s rules can result in enforcement action.</w:t>
      </w:r>
      <w:r>
        <w:rPr>
          <w:szCs w:val="22"/>
        </w:rPr>
        <w:t xml:space="preserve"> </w:t>
      </w:r>
      <w:r>
        <w:t xml:space="preserve"> </w:t>
      </w:r>
    </w:p>
    <w:p w:rsidR="002454C0" w:rsidP="002454C0" w14:paraId="23CF3C7E" w14:textId="0EF26A8D">
      <w:pPr>
        <w:pStyle w:val="Heading3"/>
      </w:pPr>
      <w:bookmarkStart w:id="1825" w:name="_Toc491262559"/>
      <w:bookmarkStart w:id="1826" w:name="_Toc491263122"/>
      <w:bookmarkStart w:id="1827" w:name="_Toc491676658"/>
      <w:bookmarkStart w:id="1828" w:name="_Toc491677477"/>
      <w:bookmarkStart w:id="1829" w:name="_Toc491697187"/>
      <w:bookmarkStart w:id="1830" w:name="_Toc491765022"/>
      <w:bookmarkStart w:id="1831" w:name="_Toc491765610"/>
      <w:bookmarkStart w:id="1832" w:name="_Toc491786346"/>
      <w:bookmarkStart w:id="1833" w:name="_Toc491789550"/>
      <w:bookmarkStart w:id="1834" w:name="_Toc491849723"/>
      <w:bookmarkStart w:id="1835" w:name="_Toc491850175"/>
      <w:bookmarkStart w:id="1836" w:name="_Toc491850925"/>
      <w:bookmarkStart w:id="1837" w:name="_Toc491941506"/>
      <w:bookmarkStart w:id="1838" w:name="_Toc492976084"/>
      <w:bookmarkStart w:id="1839" w:name="_Toc493232295"/>
      <w:bookmarkStart w:id="1840" w:name="_Toc493234401"/>
      <w:bookmarkStart w:id="1841" w:name="_Toc493244317"/>
      <w:bookmarkStart w:id="1842" w:name="_Toc493772275"/>
      <w:bookmarkStart w:id="1843" w:name="_Toc493862841"/>
      <w:bookmarkStart w:id="1844" w:name="_Toc495058437"/>
      <w:bookmarkStart w:id="1845" w:name="_Toc495678626"/>
      <w:bookmarkStart w:id="1846" w:name="_Toc496104409"/>
      <w:bookmarkStart w:id="1847" w:name="_Toc496619147"/>
      <w:bookmarkStart w:id="1848" w:name="_Toc496620190"/>
      <w:bookmarkStart w:id="1849" w:name="_Toc496780686"/>
      <w:bookmarkStart w:id="1850" w:name="_Toc496886176"/>
      <w:bookmarkStart w:id="1851" w:name="_Toc496889414"/>
      <w:bookmarkStart w:id="1852" w:name="_Toc497122393"/>
      <w:bookmarkStart w:id="1853" w:name="_Toc497214495"/>
      <w:bookmarkStart w:id="1854" w:name="_Toc30099849"/>
      <w:bookmarkStart w:id="1855" w:name="_Toc497403619"/>
      <w:bookmarkStart w:id="1856" w:name="_Toc497490927"/>
      <w:bookmarkStart w:id="1857" w:name="_Toc497914381"/>
      <w:bookmarkStart w:id="1858" w:name="_Toc498007853"/>
      <w:bookmarkStart w:id="1859" w:name="_Toc498008566"/>
      <w:bookmarkStart w:id="1860" w:name="_Toc498442178"/>
      <w:bookmarkStart w:id="1861" w:name="_Toc498505778"/>
      <w:bookmarkStart w:id="1862" w:name="_Toc498507731"/>
      <w:bookmarkStart w:id="1863" w:name="_Toc498519807"/>
      <w:bookmarkStart w:id="1864" w:name="_Toc498527980"/>
      <w:bookmarkStart w:id="1865" w:name="_Toc499285943"/>
      <w:bookmarkStart w:id="1866" w:name="_Toc499794150"/>
      <w:bookmarkStart w:id="1867" w:name="_Toc499902583"/>
      <w:bookmarkStart w:id="1868" w:name="_Toc500921853"/>
      <w:bookmarkStart w:id="1869" w:name="_Toc501095396"/>
      <w:bookmarkStart w:id="1870" w:name="_Toc501361458"/>
      <w:bookmarkStart w:id="1871" w:name="_Toc501361666"/>
      <w:bookmarkStart w:id="1872" w:name="_Toc502758367"/>
      <w:bookmarkStart w:id="1873" w:name="_Toc502845779"/>
      <w:bookmarkStart w:id="1874" w:name="_Toc502926714"/>
      <w:bookmarkStart w:id="1875" w:name="_Toc502932109"/>
      <w:bookmarkStart w:id="1876" w:name="_Toc504660988"/>
      <w:bookmarkStart w:id="1877" w:name="_Toc504721779"/>
      <w:bookmarkStart w:id="1878" w:name="_Toc505008715"/>
      <w:bookmarkStart w:id="1879" w:name="_Toc505161643"/>
      <w:bookmarkStart w:id="1880" w:name="_Toc22643873"/>
      <w:bookmarkStart w:id="1881" w:name="_Toc31809565"/>
      <w:r>
        <w:t>Additional Information Concerning Prohibition of Certain Communications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81"/>
      <w:r>
        <w:t xml:space="preserve"> </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rsidR="002454C0" w:rsidRPr="00CB53BC" w:rsidP="002454C0" w14:paraId="60506405" w14:textId="60EBD2E7">
      <w:pPr>
        <w:pStyle w:val="ParaNum"/>
      </w:pPr>
      <w:r>
        <w:rPr>
          <w:szCs w:val="22"/>
        </w:rPr>
        <w:t>The prohibition we adopt here</w:t>
      </w:r>
      <w:r w:rsidR="007A0959">
        <w:rPr>
          <w:szCs w:val="22"/>
        </w:rPr>
        <w:t xml:space="preserve"> is consistent with similar rules the Commission has applied in other Commission </w:t>
      </w:r>
      <w:r w:rsidR="00FD050E">
        <w:rPr>
          <w:szCs w:val="22"/>
        </w:rPr>
        <w:t>competition</w:t>
      </w:r>
      <w:r w:rsidR="007A0959">
        <w:rPr>
          <w:szCs w:val="22"/>
        </w:rPr>
        <w:t>s</w:t>
      </w:r>
      <w:r w:rsidR="00437145">
        <w:rPr>
          <w:szCs w:val="22"/>
        </w:rPr>
        <w:t xml:space="preserve"> and auctions</w:t>
      </w:r>
      <w:r w:rsidR="007A0959">
        <w:rPr>
          <w:szCs w:val="22"/>
        </w:rPr>
        <w:t xml:space="preserve">.  Applicants may gain insight into the public policies underlying section 1.21002 by reviewing information about the application of these other rules.  Decisions applying these rules by courts and by the Commission and its </w:t>
      </w:r>
      <w:r w:rsidR="004F7FF4">
        <w:rPr>
          <w:szCs w:val="22"/>
        </w:rPr>
        <w:t>Bureau</w:t>
      </w:r>
      <w:r w:rsidR="007A0959">
        <w:rPr>
          <w:szCs w:val="22"/>
        </w:rPr>
        <w:t xml:space="preserve"> in other Commission </w:t>
      </w:r>
      <w:r w:rsidR="00FD050E">
        <w:rPr>
          <w:szCs w:val="22"/>
        </w:rPr>
        <w:t>competition</w:t>
      </w:r>
      <w:r w:rsidR="007A0959">
        <w:rPr>
          <w:szCs w:val="22"/>
        </w:rPr>
        <w:t xml:space="preserve">s can be found at </w:t>
      </w:r>
      <w:hyperlink r:id="rId6" w:history="1">
        <w:r w:rsidR="00C248E4">
          <w:rPr>
            <w:rStyle w:val="Hyperlink"/>
          </w:rPr>
          <w:t>https://www.fcc.gov/summary-listing-documents-addressing-application-rule-prohibiting-certain-communications</w:t>
        </w:r>
      </w:hyperlink>
      <w:r w:rsidR="007A0959">
        <w:rPr>
          <w:szCs w:val="22"/>
        </w:rPr>
        <w:t>.</w:t>
      </w:r>
      <w:r>
        <w:rPr>
          <w:rStyle w:val="FootnoteReference"/>
          <w:szCs w:val="22"/>
        </w:rPr>
        <w:footnoteReference w:id="175"/>
      </w:r>
      <w:r w:rsidR="007A0959">
        <w:rPr>
          <w:szCs w:val="22"/>
        </w:rPr>
        <w:t xml:space="preserve">  Applicants utilizing these precedents should keep in mind the specific language of the rule applied in past decisions, as well as any differences in the context.</w:t>
      </w:r>
    </w:p>
    <w:p w:rsidR="002454C0" w:rsidP="002454C0" w14:paraId="071A0124" w14:textId="77777777">
      <w:pPr>
        <w:pStyle w:val="Heading3"/>
      </w:pPr>
      <w:bookmarkStart w:id="1882" w:name="_Toc491262560"/>
      <w:bookmarkStart w:id="1883" w:name="_Toc491263123"/>
      <w:bookmarkStart w:id="1884" w:name="_Toc491676659"/>
      <w:bookmarkStart w:id="1885" w:name="_Toc491677478"/>
      <w:bookmarkStart w:id="1886" w:name="_Toc491697188"/>
      <w:bookmarkStart w:id="1887" w:name="_Toc491765023"/>
      <w:bookmarkStart w:id="1888" w:name="_Toc491765611"/>
      <w:bookmarkStart w:id="1889" w:name="_Toc491786347"/>
      <w:bookmarkStart w:id="1890" w:name="_Toc491789551"/>
      <w:bookmarkStart w:id="1891" w:name="_Toc491849724"/>
      <w:bookmarkStart w:id="1892" w:name="_Toc491850176"/>
      <w:bookmarkStart w:id="1893" w:name="_Toc491850926"/>
      <w:bookmarkStart w:id="1894" w:name="_Toc491941507"/>
      <w:bookmarkStart w:id="1895" w:name="_Toc492976085"/>
      <w:bookmarkStart w:id="1896" w:name="_Toc493232296"/>
      <w:bookmarkStart w:id="1897" w:name="_Toc493234402"/>
      <w:bookmarkStart w:id="1898" w:name="_Toc493244318"/>
      <w:bookmarkStart w:id="1899" w:name="_Toc493772276"/>
      <w:bookmarkStart w:id="1900" w:name="_Toc493862842"/>
      <w:bookmarkStart w:id="1901" w:name="_Toc495058438"/>
      <w:bookmarkStart w:id="1902" w:name="_Toc495678627"/>
      <w:bookmarkStart w:id="1903" w:name="_Toc496104410"/>
      <w:bookmarkStart w:id="1904" w:name="_Toc496619148"/>
      <w:bookmarkStart w:id="1905" w:name="_Toc496620191"/>
      <w:bookmarkStart w:id="1906" w:name="_Toc496780687"/>
      <w:bookmarkStart w:id="1907" w:name="_Toc496886177"/>
      <w:bookmarkStart w:id="1908" w:name="_Toc496889415"/>
      <w:bookmarkStart w:id="1909" w:name="_Toc497122394"/>
      <w:bookmarkStart w:id="1910" w:name="_Toc497214496"/>
      <w:bookmarkStart w:id="1911" w:name="_Toc497403620"/>
      <w:bookmarkStart w:id="1912" w:name="_Toc497490928"/>
      <w:bookmarkStart w:id="1913" w:name="_Toc497914382"/>
      <w:bookmarkStart w:id="1914" w:name="_Toc498007854"/>
      <w:bookmarkStart w:id="1915" w:name="_Toc498008567"/>
      <w:bookmarkStart w:id="1916" w:name="_Toc498442179"/>
      <w:bookmarkStart w:id="1917" w:name="_Toc498505779"/>
      <w:bookmarkStart w:id="1918" w:name="_Toc498507732"/>
      <w:bookmarkStart w:id="1919" w:name="_Toc498519808"/>
      <w:bookmarkStart w:id="1920" w:name="_Toc498527981"/>
      <w:bookmarkStart w:id="1921" w:name="_Toc499285944"/>
      <w:bookmarkStart w:id="1922" w:name="_Toc499794151"/>
      <w:bookmarkStart w:id="1923" w:name="_Toc499902584"/>
      <w:bookmarkStart w:id="1924" w:name="_Toc500921854"/>
      <w:bookmarkStart w:id="1925" w:name="_Toc501095397"/>
      <w:bookmarkStart w:id="1926" w:name="_Toc501361459"/>
      <w:bookmarkStart w:id="1927" w:name="_Toc501361667"/>
      <w:bookmarkStart w:id="1928" w:name="_Toc502758368"/>
      <w:bookmarkStart w:id="1929" w:name="_Toc502845780"/>
      <w:bookmarkStart w:id="1930" w:name="_Toc502926715"/>
      <w:bookmarkStart w:id="1931" w:name="_Toc502932110"/>
      <w:bookmarkStart w:id="1932" w:name="_Toc504660989"/>
      <w:bookmarkStart w:id="1933" w:name="_Toc504721780"/>
      <w:bookmarkStart w:id="1934" w:name="_Toc505008716"/>
      <w:bookmarkStart w:id="1935" w:name="_Toc505161644"/>
      <w:bookmarkStart w:id="1936" w:name="_Toc22643874"/>
      <w:bookmarkStart w:id="1937" w:name="_Toc30099850"/>
      <w:bookmarkStart w:id="1938" w:name="_Toc31809566"/>
      <w:r>
        <w:t>Antitrust Laws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rsidR="002454C0" w:rsidRPr="009B5102" w:rsidP="00CA44AA" w14:paraId="0BAA7615" w14:textId="2652C997">
      <w:pPr>
        <w:pStyle w:val="ParaNum"/>
        <w:widowControl/>
        <w:rPr>
          <w:szCs w:val="22"/>
        </w:rPr>
      </w:pPr>
      <w:r>
        <w:t>Regardless of compliance with the Commission’s rules, applicants remain subject to the antitrust laws, which are designed to prevent anticompetitive behavior in the marketplace.</w:t>
      </w:r>
      <w:r>
        <w:rPr>
          <w:rStyle w:val="FootnoteReference"/>
          <w:szCs w:val="22"/>
        </w:rPr>
        <w:footnoteReference w:id="176"/>
      </w:r>
      <w:r>
        <w:t xml:space="preserve">  Compliance with the disclosure </w:t>
      </w:r>
      <w:r w:rsidR="00C070E6">
        <w:t>of prohibit</w:t>
      </w:r>
      <w:r w:rsidR="00E74CDC">
        <w:t>e</w:t>
      </w:r>
      <w:r w:rsidR="00C070E6">
        <w:t>d communic</w:t>
      </w:r>
      <w:r w:rsidR="00051C79">
        <w:t>a</w:t>
      </w:r>
      <w:r w:rsidR="00C070E6">
        <w:t xml:space="preserve">tions </w:t>
      </w:r>
      <w:r w:rsidR="00C62C3A">
        <w:t xml:space="preserve">pursuant to the rules we adopt in this Notice </w:t>
      </w:r>
      <w:r>
        <w:t>will not insulate a party from enforcement of the antitrust laws.</w:t>
      </w:r>
      <w:r>
        <w:rPr>
          <w:rStyle w:val="FootnoteReference"/>
          <w:szCs w:val="22"/>
        </w:rPr>
        <w:footnoteReference w:id="177"/>
      </w:r>
      <w:r>
        <w:t xml:space="preserve">  For instance, a violation of the antitrust laws could arise out of actions taking place well before </w:t>
      </w:r>
      <w:r w:rsidR="000262AE">
        <w:t>the application filing deadline, when the prohibited communications rule takes effect</w:t>
      </w:r>
      <w:r>
        <w:t>.</w:t>
      </w:r>
      <w:r>
        <w:rPr>
          <w:rStyle w:val="FootnoteReference"/>
          <w:szCs w:val="22"/>
        </w:rPr>
        <w:footnoteReference w:id="178"/>
      </w:r>
      <w:r>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rPr>
        <w:footnoteReference w:id="179"/>
      </w:r>
      <w:r>
        <w:t xml:space="preserve">  Similarly, Commission staff have previously reminded potential applicants and others that “[e]ven where the applicant discloses parties with whom it has reached an agreement on the</w:t>
      </w:r>
      <w:r w:rsidR="0093359F">
        <w:t xml:space="preserve"> </w:t>
      </w:r>
      <w:r>
        <w:t>application</w:t>
      </w:r>
      <w:r w:rsidR="002E20CB">
        <w:t>…</w:t>
      </w:r>
      <w:r>
        <w:t xml:space="preserve"> the applicant is nevertheless subject to existing antitrust laws.”</w:t>
      </w:r>
      <w:r>
        <w:rPr>
          <w:rStyle w:val="FootnoteReference"/>
        </w:rPr>
        <w:footnoteReference w:id="180"/>
      </w:r>
    </w:p>
    <w:p w:rsidR="002454C0" w:rsidP="002454C0" w14:paraId="2580B95B" w14:textId="64AA4132">
      <w:pPr>
        <w:pStyle w:val="ParaNum"/>
      </w:pPr>
      <w:r>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181"/>
      </w:r>
      <w:r>
        <w:t xml:space="preserve">  If an applicant is found to have violated the antitrust laws or the Commission’s rules in connection with its participation in the </w:t>
      </w:r>
      <w:r w:rsidR="0033135C">
        <w:t>Stage 2 Competition</w:t>
      </w:r>
      <w:r>
        <w:t xml:space="preserve"> </w:t>
      </w:r>
      <w:r w:rsidR="0033135C">
        <w:t xml:space="preserve">application </w:t>
      </w:r>
      <w:r>
        <w:t xml:space="preserve">process, it may be subject to a forfeiture and may be prohibited from participating further in </w:t>
      </w:r>
      <w:r w:rsidR="0033135C">
        <w:t xml:space="preserve">the </w:t>
      </w:r>
      <w:r w:rsidR="007E23F5">
        <w:t>Stage 2 Competition</w:t>
      </w:r>
      <w:r>
        <w:t xml:space="preserve"> and in future </w:t>
      </w:r>
      <w:r w:rsidR="00FD050E">
        <w:t>competition</w:t>
      </w:r>
      <w:r>
        <w:t>s</w:t>
      </w:r>
      <w:r w:rsidR="009848BA">
        <w:t xml:space="preserve"> and auctions</w:t>
      </w:r>
      <w:r>
        <w:t>, among other sanctions.</w:t>
      </w:r>
      <w:r>
        <w:rPr>
          <w:rStyle w:val="FootnoteReference"/>
        </w:rPr>
        <w:footnoteReference w:id="182"/>
      </w:r>
    </w:p>
    <w:p w:rsidR="002454C0" w:rsidP="00701932" w14:paraId="5653949A" w14:textId="77777777">
      <w:pPr>
        <w:pStyle w:val="Heading2"/>
      </w:pPr>
      <w:bookmarkStart w:id="1939" w:name="_Toc491697189"/>
      <w:bookmarkStart w:id="1940" w:name="_Toc491765024"/>
      <w:bookmarkStart w:id="1941" w:name="_Toc491765612"/>
      <w:bookmarkStart w:id="1942" w:name="_Toc491786348"/>
      <w:bookmarkStart w:id="1943" w:name="_Toc491789552"/>
      <w:bookmarkStart w:id="1944" w:name="_Toc491849725"/>
      <w:bookmarkStart w:id="1945" w:name="_Toc491850177"/>
      <w:bookmarkStart w:id="1946" w:name="_Toc491850927"/>
      <w:bookmarkStart w:id="1947" w:name="_Toc491941508"/>
      <w:bookmarkStart w:id="1948" w:name="_Toc492976086"/>
      <w:bookmarkStart w:id="1949" w:name="_Toc493232297"/>
      <w:bookmarkStart w:id="1950" w:name="_Toc493234403"/>
      <w:bookmarkStart w:id="1951" w:name="_Toc493244319"/>
      <w:bookmarkStart w:id="1952" w:name="_Toc493772277"/>
      <w:bookmarkStart w:id="1953" w:name="_Toc493862843"/>
      <w:bookmarkStart w:id="1954" w:name="_Toc495058439"/>
      <w:bookmarkStart w:id="1955" w:name="_Toc495678628"/>
      <w:bookmarkStart w:id="1956" w:name="_Toc496104411"/>
      <w:bookmarkStart w:id="1957" w:name="_Toc496619149"/>
      <w:bookmarkStart w:id="1958" w:name="_Toc496620192"/>
      <w:bookmarkStart w:id="1959" w:name="_Toc496780688"/>
      <w:bookmarkStart w:id="1960" w:name="_Toc496886178"/>
      <w:bookmarkStart w:id="1961" w:name="_Toc496889416"/>
      <w:bookmarkStart w:id="1962" w:name="_Toc497122395"/>
      <w:bookmarkStart w:id="1963" w:name="_Toc497214497"/>
      <w:bookmarkStart w:id="1964" w:name="_Toc497403621"/>
      <w:bookmarkStart w:id="1965" w:name="_Toc497490929"/>
      <w:bookmarkStart w:id="1966" w:name="_Toc497914383"/>
      <w:bookmarkStart w:id="1967" w:name="_Toc498007855"/>
      <w:bookmarkStart w:id="1968" w:name="_Toc498008568"/>
      <w:bookmarkStart w:id="1969" w:name="_Toc498442180"/>
      <w:bookmarkStart w:id="1970" w:name="_Toc498505780"/>
      <w:bookmarkStart w:id="1971" w:name="_Toc498507733"/>
      <w:bookmarkStart w:id="1972" w:name="_Toc498519809"/>
      <w:bookmarkStart w:id="1973" w:name="_Toc498527982"/>
      <w:bookmarkStart w:id="1974" w:name="_Toc499285945"/>
      <w:bookmarkStart w:id="1975" w:name="_Toc499794152"/>
      <w:bookmarkStart w:id="1976" w:name="_Toc499902585"/>
      <w:bookmarkStart w:id="1977" w:name="_Toc500921855"/>
      <w:bookmarkStart w:id="1978" w:name="_Toc501095398"/>
      <w:bookmarkStart w:id="1979" w:name="_Toc501361460"/>
      <w:bookmarkStart w:id="1980" w:name="_Toc501361668"/>
      <w:bookmarkStart w:id="1981" w:name="_Toc502758369"/>
      <w:bookmarkStart w:id="1982" w:name="_Toc502845781"/>
      <w:bookmarkStart w:id="1983" w:name="_Toc502926716"/>
      <w:bookmarkStart w:id="1984" w:name="_Toc502932111"/>
      <w:bookmarkStart w:id="1985" w:name="_Toc504660990"/>
      <w:bookmarkStart w:id="1986" w:name="_Toc504721781"/>
      <w:bookmarkStart w:id="1987" w:name="_Toc505008717"/>
      <w:bookmarkStart w:id="1988" w:name="_Toc505161645"/>
      <w:bookmarkStart w:id="1989" w:name="_Toc22643875"/>
      <w:bookmarkStart w:id="1990" w:name="_Toc30099851"/>
      <w:bookmarkStart w:id="1991" w:name="_Toc31809567"/>
      <w:r>
        <w:t>Red Light Rule</w:t>
      </w:r>
      <w:bookmarkEnd w:id="1387"/>
      <w:bookmarkEnd w:id="1388"/>
      <w:bookmarkEnd w:id="1389"/>
      <w:bookmarkEnd w:id="1390"/>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rsidR="002454C0" w:rsidP="002454C0" w14:paraId="5F78A8CB" w14:textId="0C7893C7">
      <w:pPr>
        <w:pStyle w:val="ParaNum"/>
      </w:pPr>
      <w:r>
        <w:rPr>
          <w:szCs w:val="22"/>
        </w:rPr>
        <w:t xml:space="preserve">The Commission </w:t>
      </w:r>
      <w:r w:rsidR="00316CF4">
        <w:rPr>
          <w:szCs w:val="22"/>
        </w:rPr>
        <w:t xml:space="preserve">has </w:t>
      </w:r>
      <w:r>
        <w:rPr>
          <w:szCs w:val="22"/>
        </w:rPr>
        <w:t xml:space="preserve">adopted </w:t>
      </w:r>
      <w:r w:rsidRPr="001A7F99">
        <w:rPr>
          <w:szCs w:val="22"/>
        </w:rPr>
        <w:t xml:space="preserve">rules, including a provision referred to as the “red light rule,” </w:t>
      </w:r>
      <w:r>
        <w:rPr>
          <w:szCs w:val="22"/>
        </w:rPr>
        <w:t xml:space="preserve">that </w:t>
      </w:r>
      <w:r w:rsidRPr="001A7F99">
        <w:rPr>
          <w:szCs w:val="22"/>
        </w:rPr>
        <w:t>implement the Commission’s obligation under the Debt Collection Improvement Act of 1996</w:t>
      </w:r>
      <w:r>
        <w:rPr>
          <w:szCs w:val="22"/>
        </w:rPr>
        <w:t>,</w:t>
      </w:r>
      <w:r w:rsidRPr="00C60499">
        <w:t xml:space="preserve"> which governs the collection of debts owed to the United States</w:t>
      </w:r>
      <w:r>
        <w:t>, in</w:t>
      </w:r>
      <w:r>
        <w:rPr>
          <w:szCs w:val="22"/>
        </w:rPr>
        <w:t xml:space="preserve">cluding </w:t>
      </w:r>
      <w:r w:rsidRPr="001A7F99">
        <w:rPr>
          <w:szCs w:val="22"/>
        </w:rPr>
        <w:t>debts owed to the Commission.</w:t>
      </w:r>
      <w:r>
        <w:rPr>
          <w:rStyle w:val="FootnoteReference"/>
        </w:rPr>
        <w:footnoteReference w:id="183"/>
      </w:r>
      <w:r w:rsidRPr="001A7F99">
        <w:rPr>
          <w:szCs w:val="22"/>
        </w:rPr>
        <w:t xml:space="preserve">  </w:t>
      </w:r>
      <w:r w:rsidRPr="00C60499">
        <w:t>Under the red light rule, applications and other requests for benefits filed by parties that have outstanding debts owed to the Commission will not be processed.</w:t>
      </w:r>
      <w:r>
        <w:rPr>
          <w:rStyle w:val="FootnoteReference"/>
        </w:rPr>
        <w:footnoteReference w:id="184"/>
      </w:r>
      <w:r w:rsidRPr="001A7F99">
        <w:rPr>
          <w:szCs w:val="22"/>
        </w:rPr>
        <w:t xml:space="preserve"> </w:t>
      </w:r>
      <w:r w:rsidRPr="00C60499">
        <w:t xml:space="preserve"> </w:t>
      </w:r>
      <w:r>
        <w:t xml:space="preserve">Applicants seeking to participate in </w:t>
      </w:r>
      <w:r w:rsidR="0061113F">
        <w:t xml:space="preserve">the </w:t>
      </w:r>
      <w:r w:rsidR="007E23F5">
        <w:t>Stage 2 Competition</w:t>
      </w:r>
      <w:r>
        <w:t xml:space="preserve"> are subject to the Commission’s red light rule.</w:t>
      </w:r>
      <w:r>
        <w:rPr>
          <w:rStyle w:val="FootnoteReference"/>
        </w:rPr>
        <w:footnoteReference w:id="185"/>
      </w:r>
      <w:r>
        <w:t xml:space="preserve">  Pursuant to the red light rule, unless otherwise expressly provided for, the Commission will withhold action on an application by any entity found to be delinquent in its debt to the Commission.</w:t>
      </w:r>
      <w:r>
        <w:rPr>
          <w:rStyle w:val="FootnoteReference"/>
        </w:rPr>
        <w:footnoteReference w:id="186"/>
      </w:r>
    </w:p>
    <w:p w:rsidR="002454C0" w:rsidRPr="006D1F83" w:rsidP="00CA44AA" w14:paraId="32F04D36" w14:textId="7F11A4E3">
      <w:pPr>
        <w:pStyle w:val="ParaNum"/>
        <w:widowControl/>
      </w:pPr>
      <w:r>
        <w:rPr>
          <w:szCs w:val="22"/>
        </w:rPr>
        <w:t xml:space="preserve">Specifically, a red-lighted applicant seeking to participate in </w:t>
      </w:r>
      <w:r w:rsidR="00C51CAE">
        <w:rPr>
          <w:szCs w:val="22"/>
        </w:rPr>
        <w:t xml:space="preserve">the </w:t>
      </w:r>
      <w:r w:rsidR="007E23F5">
        <w:rPr>
          <w:szCs w:val="22"/>
        </w:rPr>
        <w:t>Stage 2 Competition</w:t>
      </w:r>
      <w:r>
        <w:rPr>
          <w:szCs w:val="22"/>
        </w:rPr>
        <w:t xml:space="preserve"> </w:t>
      </w:r>
      <w:r w:rsidR="00C10CDC">
        <w:rPr>
          <w:szCs w:val="22"/>
        </w:rPr>
        <w:t>must</w:t>
      </w:r>
      <w:r>
        <w:rPr>
          <w:szCs w:val="22"/>
        </w:rPr>
        <w:t xml:space="preserve"> pay any debt(s) associated with the red light</w:t>
      </w:r>
      <w:r w:rsidR="00C10CDC">
        <w:rPr>
          <w:szCs w:val="22"/>
        </w:rPr>
        <w:t xml:space="preserve"> prior to filing </w:t>
      </w:r>
      <w:r w:rsidR="00457339">
        <w:rPr>
          <w:szCs w:val="22"/>
        </w:rPr>
        <w:t>its application</w:t>
      </w:r>
      <w:r w:rsidRPr="001A7F99">
        <w:rPr>
          <w:szCs w:val="22"/>
        </w:rPr>
        <w:t>.</w:t>
      </w:r>
      <w:r>
        <w:rPr>
          <w:szCs w:val="22"/>
        </w:rPr>
        <w:t xml:space="preserve">  </w:t>
      </w:r>
      <w:r w:rsidRPr="00AB1023">
        <w:rPr>
          <w:szCs w:val="22"/>
        </w:rPr>
        <w:t xml:space="preserve">If an applicant has not resolved its red light issue(s) </w:t>
      </w:r>
      <w:r w:rsidR="00457339">
        <w:rPr>
          <w:szCs w:val="22"/>
        </w:rPr>
        <w:t xml:space="preserve">prior to </w:t>
      </w:r>
      <w:r w:rsidRPr="00AB1023">
        <w:rPr>
          <w:szCs w:val="22"/>
        </w:rPr>
        <w:t>filing, its application will be deemed incomplete</w:t>
      </w:r>
      <w:r>
        <w:rPr>
          <w:szCs w:val="22"/>
        </w:rPr>
        <w:t xml:space="preserve">.  </w:t>
      </w:r>
      <w:r w:rsidR="00C51CAE">
        <w:rPr>
          <w:szCs w:val="22"/>
        </w:rPr>
        <w:t>Bureau</w:t>
      </w:r>
      <w:r>
        <w:rPr>
          <w:szCs w:val="22"/>
        </w:rPr>
        <w:t xml:space="preserve"> staff will </w:t>
      </w:r>
      <w:r w:rsidR="00AC7CE7">
        <w:rPr>
          <w:szCs w:val="22"/>
        </w:rPr>
        <w:t>not process</w:t>
      </w:r>
      <w:r>
        <w:rPr>
          <w:szCs w:val="22"/>
        </w:rPr>
        <w:t xml:space="preserve"> the applicant’s </w:t>
      </w:r>
      <w:r w:rsidR="00C51CAE">
        <w:rPr>
          <w:szCs w:val="22"/>
        </w:rPr>
        <w:t xml:space="preserve">Stage 2 </w:t>
      </w:r>
      <w:r>
        <w:rPr>
          <w:szCs w:val="22"/>
        </w:rPr>
        <w:t xml:space="preserve">application, and the applicant will be deemed not qualified to </w:t>
      </w:r>
      <w:r w:rsidR="00C51CAE">
        <w:rPr>
          <w:szCs w:val="22"/>
        </w:rPr>
        <w:t>apply for Stage 2 support</w:t>
      </w:r>
      <w:r>
        <w:rPr>
          <w:szCs w:val="22"/>
        </w:rPr>
        <w:t xml:space="preserve">.  </w:t>
      </w:r>
    </w:p>
    <w:p w:rsidR="002454C0" w:rsidP="00C34203" w14:paraId="47CEE5CF" w14:textId="0B71C317">
      <w:pPr>
        <w:pStyle w:val="ParaNum"/>
        <w:widowControl/>
      </w:pPr>
      <w:r w:rsidRPr="006D1F83">
        <w:t xml:space="preserve">Potential applicants for </w:t>
      </w:r>
      <w:r w:rsidR="00C51CAE">
        <w:t xml:space="preserve">the </w:t>
      </w:r>
      <w:r w:rsidR="007E23F5">
        <w:t>Stage 2 Competition</w:t>
      </w:r>
      <w:r w:rsidRPr="006D1F83">
        <w:t xml:space="preserve"> should review their own records</w:t>
      </w:r>
      <w:r>
        <w:t>,</w:t>
      </w:r>
      <w:r w:rsidRPr="006D1F83">
        <w:t xml:space="preserve"> as well as the Commission’s Red Light Display System (RLD)</w:t>
      </w:r>
      <w:r>
        <w:t>,</w:t>
      </w:r>
      <w:r w:rsidRPr="006D1F83">
        <w:t xml:space="preserve"> to determine whether they owe any </w:t>
      </w:r>
      <w:r>
        <w:t xml:space="preserve">non-tax </w:t>
      </w:r>
      <w:r w:rsidRPr="006D1F83">
        <w:t xml:space="preserve">debt to the Commission and should try to resolve and pay any outstanding debt(s) prior to submitting a </w:t>
      </w:r>
      <w:r w:rsidR="0093359F">
        <w:t xml:space="preserve"> </w:t>
      </w:r>
      <w:r w:rsidRPr="006D1F83">
        <w:t xml:space="preserve"> application.  </w:t>
      </w:r>
      <w:r>
        <w:t xml:space="preserve">The RLD enables a party to check the status of its account by individual FCC Registration Numbers (FRNs) and links other FRNs sharing the same Tax Identification Number (TIN) when determining whether there are outstanding delinquent debts.  The RLD is available at </w:t>
      </w:r>
      <w:hyperlink r:id="rId7" w:history="1">
        <w:r>
          <w:rPr>
            <w:rStyle w:val="Hyperlink"/>
          </w:rPr>
          <w:t>http://www.fcc.gov/redlight/</w:t>
        </w:r>
      </w:hyperlink>
      <w:r>
        <w:t xml:space="preserve">.  Additional information is available at </w:t>
      </w:r>
      <w:hyperlink r:id="rId8" w:history="1">
        <w:r>
          <w:rPr>
            <w:rStyle w:val="Hyperlink"/>
          </w:rPr>
          <w:t>https://www.fcc.gov/debt_collection/</w:t>
        </w:r>
      </w:hyperlink>
      <w:r>
        <w:t>.</w:t>
      </w:r>
    </w:p>
    <w:p w:rsidR="002454C0" w:rsidP="002454C0" w14:paraId="67532431" w14:textId="333E97C4">
      <w:pPr>
        <w:pStyle w:val="ParaNum"/>
      </w:pPr>
      <w:r w:rsidRPr="006D1F83">
        <w:t xml:space="preserve">Additionally, we recognize that </w:t>
      </w:r>
      <w:r w:rsidR="00C51CAE">
        <w:t>a</w:t>
      </w:r>
      <w:r w:rsidRPr="006D1F83">
        <w:t xml:space="preserve"> </w:t>
      </w:r>
      <w:r w:rsidR="007E23F5">
        <w:t>Stage 2 Competition</w:t>
      </w:r>
      <w:r w:rsidRPr="006D1F83">
        <w:t xml:space="preserve"> applicant may incur debt to the Commission after it files its application and may fail to pay that debt when due.  An applicant should note that the Commission will conduct </w:t>
      </w:r>
      <w:r>
        <w:t>additional</w:t>
      </w:r>
      <w:r w:rsidRPr="006D1F83">
        <w:t xml:space="preserve"> red light check</w:t>
      </w:r>
      <w:r>
        <w:t>s</w:t>
      </w:r>
      <w:r w:rsidRPr="006D1F83">
        <w:t xml:space="preserve"> prior to authorizing </w:t>
      </w:r>
      <w:r w:rsidR="00FD050E">
        <w:t>Stage 2</w:t>
      </w:r>
      <w:r w:rsidR="00C51CAE">
        <w:t xml:space="preserve"> </w:t>
      </w:r>
      <w:r w:rsidRPr="006D1F83">
        <w:t xml:space="preserve">support.  We therefore encourage qualified </w:t>
      </w:r>
      <w:r w:rsidR="007E23F5">
        <w:t>applicant</w:t>
      </w:r>
      <w:r w:rsidRPr="006D1F83">
        <w:t xml:space="preserve">s to continue to review their own records as well as the RLD periodically during the </w:t>
      </w:r>
      <w:r w:rsidR="00C51CAE">
        <w:t>Stage 2 C</w:t>
      </w:r>
      <w:r w:rsidR="00FD050E">
        <w:t>ompetition</w:t>
      </w:r>
      <w:r w:rsidRPr="006D1F83">
        <w:t xml:space="preserve"> and to resolve and pay all outstanding debts to the Commission as soon as possible.  The Commission will not authorize any winning </w:t>
      </w:r>
      <w:r w:rsidR="007E23F5">
        <w:t>applicant</w:t>
      </w:r>
      <w:r w:rsidRPr="006D1F83">
        <w:t xml:space="preserve"> to receive </w:t>
      </w:r>
      <w:r w:rsidR="00FD050E">
        <w:t xml:space="preserve">Stage </w:t>
      </w:r>
      <w:r w:rsidR="00C51CAE">
        <w:t>2</w:t>
      </w:r>
      <w:r w:rsidRPr="006D1F83">
        <w:t xml:space="preserve"> support until its red light issues have been resolved.</w:t>
      </w:r>
    </w:p>
    <w:p w:rsidR="002454C0" w:rsidP="00701932" w14:paraId="7BA05E83" w14:textId="77777777">
      <w:pPr>
        <w:pStyle w:val="Heading2"/>
      </w:pPr>
      <w:bookmarkStart w:id="1992" w:name="_Toc491262586"/>
      <w:bookmarkStart w:id="1993" w:name="_Toc491263149"/>
      <w:bookmarkStart w:id="1994" w:name="_Toc491676685"/>
      <w:bookmarkStart w:id="1995" w:name="_Toc491677504"/>
      <w:bookmarkStart w:id="1996" w:name="_Toc491697190"/>
      <w:bookmarkStart w:id="1997" w:name="_Toc491765025"/>
      <w:bookmarkStart w:id="1998" w:name="_Toc491765613"/>
      <w:bookmarkStart w:id="1999" w:name="_Toc491786349"/>
      <w:bookmarkStart w:id="2000" w:name="_Toc491789553"/>
      <w:bookmarkStart w:id="2001" w:name="_Toc491849726"/>
      <w:bookmarkStart w:id="2002" w:name="_Toc491850178"/>
      <w:bookmarkStart w:id="2003" w:name="_Toc491850928"/>
      <w:bookmarkStart w:id="2004" w:name="_Toc491941509"/>
      <w:bookmarkStart w:id="2005" w:name="_Toc492976087"/>
      <w:bookmarkStart w:id="2006" w:name="_Toc493232298"/>
      <w:bookmarkStart w:id="2007" w:name="_Toc493234404"/>
      <w:bookmarkStart w:id="2008" w:name="_Toc493244320"/>
      <w:bookmarkStart w:id="2009" w:name="_Toc493772278"/>
      <w:bookmarkStart w:id="2010" w:name="_Toc493862844"/>
      <w:bookmarkStart w:id="2011" w:name="_Toc495058440"/>
      <w:bookmarkStart w:id="2012" w:name="_Toc495678629"/>
      <w:bookmarkStart w:id="2013" w:name="_Toc496104412"/>
      <w:bookmarkStart w:id="2014" w:name="_Toc496619150"/>
      <w:bookmarkStart w:id="2015" w:name="_Toc496620193"/>
      <w:bookmarkStart w:id="2016" w:name="_Toc496780689"/>
      <w:bookmarkStart w:id="2017" w:name="_Toc496886179"/>
      <w:bookmarkStart w:id="2018" w:name="_Toc496889417"/>
      <w:bookmarkStart w:id="2019" w:name="_Toc497122396"/>
      <w:bookmarkStart w:id="2020" w:name="_Toc497214498"/>
      <w:bookmarkStart w:id="2021" w:name="_Toc497403622"/>
      <w:bookmarkStart w:id="2022" w:name="_Toc497490930"/>
      <w:bookmarkStart w:id="2023" w:name="_Toc497914384"/>
      <w:bookmarkStart w:id="2024" w:name="_Toc498007856"/>
      <w:bookmarkStart w:id="2025" w:name="_Toc498008569"/>
      <w:bookmarkStart w:id="2026" w:name="_Toc498442181"/>
      <w:bookmarkStart w:id="2027" w:name="_Toc498505781"/>
      <w:bookmarkStart w:id="2028" w:name="_Toc498507734"/>
      <w:bookmarkStart w:id="2029" w:name="_Toc498519810"/>
      <w:bookmarkStart w:id="2030" w:name="_Toc498527983"/>
      <w:bookmarkStart w:id="2031" w:name="_Toc499285946"/>
      <w:bookmarkStart w:id="2032" w:name="_Toc499794153"/>
      <w:bookmarkStart w:id="2033" w:name="_Toc499902586"/>
      <w:bookmarkStart w:id="2034" w:name="_Toc500921856"/>
      <w:bookmarkStart w:id="2035" w:name="_Toc501095399"/>
      <w:bookmarkStart w:id="2036" w:name="_Toc501361461"/>
      <w:bookmarkStart w:id="2037" w:name="_Toc501361669"/>
      <w:bookmarkStart w:id="2038" w:name="_Toc502758370"/>
      <w:bookmarkStart w:id="2039" w:name="_Toc502845782"/>
      <w:bookmarkStart w:id="2040" w:name="_Toc502926717"/>
      <w:bookmarkStart w:id="2041" w:name="_Toc502932112"/>
      <w:bookmarkStart w:id="2042" w:name="_Toc504660991"/>
      <w:bookmarkStart w:id="2043" w:name="_Toc504721782"/>
      <w:bookmarkStart w:id="2044" w:name="_Toc505008718"/>
      <w:bookmarkStart w:id="2045" w:name="_Toc505161646"/>
      <w:bookmarkStart w:id="2046" w:name="_Toc22643876"/>
      <w:bookmarkStart w:id="2047" w:name="_Toc30099852"/>
      <w:bookmarkStart w:id="2048" w:name="_Toc31809568"/>
      <w:r>
        <w:t>USF Debarment</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rsidR="002454C0" w:rsidP="002454C0" w14:paraId="5256CB50" w14:textId="77145A22">
      <w:pPr>
        <w:pStyle w:val="ParaNum"/>
      </w:pPr>
      <w:r w:rsidRPr="0038503E">
        <w:rPr>
          <w:szCs w:val="22"/>
        </w:rPr>
        <w:t>The Commission’s rules provide for the debarment of those convicted of or found civilly liable for defrauding the high-cost support program.</w:t>
      </w:r>
      <w:r>
        <w:rPr>
          <w:rStyle w:val="FootnoteReference"/>
          <w:szCs w:val="22"/>
        </w:rPr>
        <w:footnoteReference w:id="187"/>
      </w:r>
      <w:r w:rsidRPr="0038503E">
        <w:rPr>
          <w:szCs w:val="22"/>
        </w:rPr>
        <w:t xml:space="preserve">  </w:t>
      </w:r>
      <w:r w:rsidR="007E23F5">
        <w:rPr>
          <w:szCs w:val="22"/>
        </w:rPr>
        <w:t>Stage 2 Competition</w:t>
      </w:r>
      <w:r w:rsidRPr="0038503E">
        <w:rPr>
          <w:szCs w:val="22"/>
        </w:rPr>
        <w:t xml:space="preserve"> applicants are reminded that those rules apply with equal force to the </w:t>
      </w:r>
      <w:r w:rsidR="00FD050E">
        <w:rPr>
          <w:szCs w:val="22"/>
        </w:rPr>
        <w:t>Stage 2</w:t>
      </w:r>
      <w:r w:rsidR="00C51CAE">
        <w:rPr>
          <w:szCs w:val="22"/>
        </w:rPr>
        <w:t xml:space="preserve"> C</w:t>
      </w:r>
      <w:r w:rsidR="00FD050E">
        <w:rPr>
          <w:szCs w:val="22"/>
        </w:rPr>
        <w:t>ompetition</w:t>
      </w:r>
      <w:r w:rsidRPr="0038503E">
        <w:rPr>
          <w:szCs w:val="22"/>
        </w:rPr>
        <w:t>.</w:t>
      </w:r>
    </w:p>
    <w:p w:rsidR="002454C0" w:rsidP="003347F8" w14:paraId="282B3A66" w14:textId="3C393A97">
      <w:pPr>
        <w:pStyle w:val="Heading1"/>
      </w:pPr>
      <w:bookmarkStart w:id="2049" w:name="_Toc30099853"/>
      <w:bookmarkStart w:id="2050" w:name="_Toc484779512"/>
      <w:bookmarkStart w:id="2051" w:name="_Toc485026110"/>
      <w:bookmarkStart w:id="2052" w:name="_Toc485108668"/>
      <w:bookmarkStart w:id="2053" w:name="_Toc485142657"/>
      <w:bookmarkStart w:id="2054" w:name="_Toc485312855"/>
      <w:bookmarkStart w:id="2055" w:name="_Toc485653041"/>
      <w:bookmarkStart w:id="2056" w:name="_Toc485736915"/>
      <w:bookmarkStart w:id="2057" w:name="_Toc485830552"/>
      <w:bookmarkStart w:id="2058" w:name="_Toc485914107"/>
      <w:bookmarkStart w:id="2059" w:name="_Toc486434296"/>
      <w:bookmarkStart w:id="2060" w:name="_Toc486580258"/>
      <w:bookmarkStart w:id="2061" w:name="_Toc486580503"/>
      <w:bookmarkStart w:id="2062" w:name="_Toc486580628"/>
      <w:bookmarkStart w:id="2063" w:name="_Toc486592724"/>
      <w:bookmarkStart w:id="2064" w:name="_Toc487191752"/>
      <w:bookmarkStart w:id="2065" w:name="_Toc487450660"/>
      <w:bookmarkStart w:id="2066" w:name="_Toc487552693"/>
      <w:bookmarkStart w:id="2067" w:name="_Toc487553978"/>
      <w:bookmarkStart w:id="2068" w:name="_Toc487619809"/>
      <w:bookmarkStart w:id="2069" w:name="_Toc489345740"/>
      <w:bookmarkStart w:id="2070" w:name="_Toc31809569"/>
      <w:r>
        <w:t>EVALUATING STAGE 2</w:t>
      </w:r>
      <w:r w:rsidR="00C6622B">
        <w:t xml:space="preserve"> COMPETITION</w:t>
      </w:r>
      <w:r>
        <w:t xml:space="preserve"> APPLICATIONS</w:t>
      </w:r>
      <w:r w:rsidR="006D61E0">
        <w:t xml:space="preserve"> AND </w:t>
      </w:r>
      <w:r w:rsidR="0019735D">
        <w:t>Proposals</w:t>
      </w:r>
      <w:bookmarkEnd w:id="2049"/>
      <w:bookmarkEnd w:id="2070"/>
    </w:p>
    <w:p w:rsidR="00F16A63" w:rsidRPr="00F16A63" w:rsidP="00701932" w14:paraId="459E113C" w14:textId="77777777">
      <w:pPr>
        <w:pStyle w:val="Heading2"/>
      </w:pPr>
      <w:bookmarkStart w:id="2071" w:name="_Toc22643891"/>
      <w:bookmarkStart w:id="2072" w:name="_Toc30099854"/>
      <w:bookmarkStart w:id="2073" w:name="_Toc31809570"/>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t>Evaluation of Applications</w:t>
      </w:r>
      <w:bookmarkEnd w:id="2071"/>
      <w:bookmarkEnd w:id="2072"/>
      <w:bookmarkEnd w:id="2073"/>
    </w:p>
    <w:p w:rsidR="00F16A63" w:rsidP="00F16A63" w14:paraId="3C97FC84" w14:textId="77777777">
      <w:pPr>
        <w:pStyle w:val="Heading3"/>
      </w:pPr>
      <w:bookmarkStart w:id="2074" w:name="_Toc22643892"/>
      <w:bookmarkStart w:id="2075" w:name="_Toc30099855"/>
      <w:bookmarkStart w:id="2076" w:name="_Toc31809571"/>
      <w:r>
        <w:t>Evaluation Process Overview</w:t>
      </w:r>
      <w:bookmarkEnd w:id="2074"/>
      <w:bookmarkEnd w:id="2075"/>
      <w:bookmarkEnd w:id="2076"/>
    </w:p>
    <w:p w:rsidR="00FD1F88" w:rsidRPr="00856191" w:rsidP="00FD1F88" w14:paraId="11481307" w14:textId="2A1AF25C">
      <w:pPr>
        <w:pStyle w:val="ParaNum"/>
      </w:pPr>
      <w:r>
        <w:rPr>
          <w:szCs w:val="22"/>
        </w:rPr>
        <w:t xml:space="preserve">We strongly encourage each applicant to carefully review its </w:t>
      </w:r>
      <w:r w:rsidR="00ED53BE">
        <w:rPr>
          <w:szCs w:val="22"/>
        </w:rPr>
        <w:t xml:space="preserve">entire </w:t>
      </w:r>
      <w:r w:rsidR="006D61E0">
        <w:rPr>
          <w:szCs w:val="22"/>
        </w:rPr>
        <w:t>application</w:t>
      </w:r>
      <w:r w:rsidR="00ED53BE">
        <w:rPr>
          <w:szCs w:val="22"/>
        </w:rPr>
        <w:t xml:space="preserve">, including specific </w:t>
      </w:r>
      <w:r w:rsidR="006D61E0">
        <w:rPr>
          <w:szCs w:val="22"/>
        </w:rPr>
        <w:t>proposals</w:t>
      </w:r>
      <w:r w:rsidR="00ED53BE">
        <w:rPr>
          <w:szCs w:val="22"/>
        </w:rPr>
        <w:t xml:space="preserve"> for each geographic area,</w:t>
      </w:r>
      <w:r>
        <w:rPr>
          <w:szCs w:val="22"/>
        </w:rPr>
        <w:t xml:space="preserve"> for completeness and accuracy.  </w:t>
      </w:r>
      <w:r w:rsidR="00786905">
        <w:rPr>
          <w:szCs w:val="22"/>
        </w:rPr>
        <w:t xml:space="preserve">Following </w:t>
      </w:r>
      <w:r w:rsidR="001D43B0">
        <w:rPr>
          <w:szCs w:val="22"/>
        </w:rPr>
        <w:t xml:space="preserve">an application’s </w:t>
      </w:r>
      <w:r w:rsidR="00786905">
        <w:rPr>
          <w:szCs w:val="22"/>
        </w:rPr>
        <w:t>submission to the Commission, a</w:t>
      </w:r>
      <w:r>
        <w:rPr>
          <w:szCs w:val="22"/>
        </w:rPr>
        <w:t xml:space="preserve">n applicant is not afforded </w:t>
      </w:r>
      <w:r w:rsidR="005D308C">
        <w:rPr>
          <w:szCs w:val="22"/>
        </w:rPr>
        <w:t>any</w:t>
      </w:r>
      <w:r>
        <w:rPr>
          <w:szCs w:val="22"/>
        </w:rPr>
        <w:t xml:space="preserve"> opportunity to</w:t>
      </w:r>
      <w:r w:rsidR="007A24A4">
        <w:rPr>
          <w:szCs w:val="22"/>
        </w:rPr>
        <w:t xml:space="preserve"> cure deficiencies or</w:t>
      </w:r>
      <w:r>
        <w:rPr>
          <w:szCs w:val="22"/>
        </w:rPr>
        <w:t xml:space="preserve"> make major modifications to its competitive proposal</w:t>
      </w:r>
      <w:r w:rsidR="00786905">
        <w:rPr>
          <w:szCs w:val="22"/>
        </w:rPr>
        <w:t xml:space="preserve"> that</w:t>
      </w:r>
      <w:r w:rsidR="003B7FEE">
        <w:rPr>
          <w:szCs w:val="22"/>
        </w:rPr>
        <w:t xml:space="preserve"> </w:t>
      </w:r>
      <w:r w:rsidR="00A52EC2">
        <w:rPr>
          <w:szCs w:val="22"/>
        </w:rPr>
        <w:t>may affect Commission staff</w:t>
      </w:r>
      <w:r w:rsidR="00ED6EAF">
        <w:rPr>
          <w:szCs w:val="22"/>
        </w:rPr>
        <w:t xml:space="preserve">’s ultimate </w:t>
      </w:r>
      <w:r w:rsidR="00E231C8">
        <w:rPr>
          <w:szCs w:val="22"/>
        </w:rPr>
        <w:t>scoring of proposals.</w:t>
      </w:r>
      <w:r w:rsidR="00B54349">
        <w:rPr>
          <w:szCs w:val="22"/>
        </w:rPr>
        <w:t xml:space="preserve">  However, the Bureau may request additional information from applicants to facilitate its review of underlying applications.  </w:t>
      </w:r>
      <w:r>
        <w:rPr>
          <w:szCs w:val="22"/>
        </w:rPr>
        <w:t xml:space="preserve">  </w:t>
      </w:r>
    </w:p>
    <w:p w:rsidR="00023A8D" w:rsidRPr="00023A8D" w:rsidP="00FD1F88" w14:paraId="226B8869" w14:textId="016DE075">
      <w:pPr>
        <w:pStyle w:val="ParaNum"/>
      </w:pPr>
      <w:r>
        <w:rPr>
          <w:szCs w:val="22"/>
        </w:rPr>
        <w:t xml:space="preserve">Once the </w:t>
      </w:r>
      <w:r w:rsidR="00A863B8">
        <w:rPr>
          <w:szCs w:val="22"/>
        </w:rPr>
        <w:t>deadline</w:t>
      </w:r>
      <w:r>
        <w:rPr>
          <w:szCs w:val="22"/>
        </w:rPr>
        <w:t xml:space="preserve"> </w:t>
      </w:r>
      <w:r w:rsidR="00451B33">
        <w:rPr>
          <w:szCs w:val="22"/>
        </w:rPr>
        <w:t xml:space="preserve">to submit </w:t>
      </w:r>
      <w:r w:rsidR="00E72E31">
        <w:rPr>
          <w:szCs w:val="22"/>
        </w:rPr>
        <w:t>an application</w:t>
      </w:r>
      <w:r w:rsidR="00451B33">
        <w:rPr>
          <w:szCs w:val="22"/>
        </w:rPr>
        <w:t xml:space="preserve"> </w:t>
      </w:r>
      <w:r>
        <w:rPr>
          <w:szCs w:val="22"/>
        </w:rPr>
        <w:t xml:space="preserve">has </w:t>
      </w:r>
      <w:r w:rsidR="00451B33">
        <w:rPr>
          <w:szCs w:val="22"/>
        </w:rPr>
        <w:t>passed</w:t>
      </w:r>
      <w:r>
        <w:rPr>
          <w:szCs w:val="22"/>
        </w:rPr>
        <w:t>, Bureau staff will determine whether each applicant has complied with the application requirements and provided all information concerning its competitive proposal</w:t>
      </w:r>
      <w:r w:rsidR="00191885">
        <w:rPr>
          <w:szCs w:val="22"/>
        </w:rPr>
        <w:t>(s)</w:t>
      </w:r>
      <w:r>
        <w:rPr>
          <w:szCs w:val="22"/>
        </w:rPr>
        <w:t>.  The Bureau will issue a public notice with each applicant’s proposal status identifying (1) those that are complete and (2) those that are incomplete or deficient.  Eligible applicants that submit complete proposals will be reviewed as part of the Stage 2 Competition for the Territories consistent with the methodology prescribed by</w:t>
      </w:r>
      <w:r w:rsidR="00A9177B">
        <w:rPr>
          <w:szCs w:val="22"/>
        </w:rPr>
        <w:t xml:space="preserve"> </w:t>
      </w:r>
      <w:r>
        <w:rPr>
          <w:szCs w:val="22"/>
        </w:rPr>
        <w:t xml:space="preserve">the </w:t>
      </w:r>
      <w:r w:rsidRPr="003F7160">
        <w:rPr>
          <w:i/>
          <w:szCs w:val="22"/>
        </w:rPr>
        <w:t>PR-USVI Stage 2 Order</w:t>
      </w:r>
      <w:r>
        <w:rPr>
          <w:szCs w:val="22"/>
        </w:rPr>
        <w:t xml:space="preserve">.  </w:t>
      </w:r>
    </w:p>
    <w:p w:rsidR="00FD1F88" w:rsidRPr="00F16A63" w:rsidP="00FD1F88" w14:paraId="150EA0BA" w14:textId="4FEE8EDE">
      <w:pPr>
        <w:pStyle w:val="ParaNum"/>
      </w:pPr>
      <w:r>
        <w:t xml:space="preserve">The </w:t>
      </w:r>
      <w:r w:rsidRPr="00B77284">
        <w:t xml:space="preserve">Bureau </w:t>
      </w:r>
      <w:r>
        <w:t>will</w:t>
      </w:r>
      <w:r w:rsidRPr="00B77284">
        <w:t xml:space="preserve"> select </w:t>
      </w:r>
      <w:r>
        <w:t xml:space="preserve">only one </w:t>
      </w:r>
      <w:r w:rsidRPr="00B77284">
        <w:t>winner</w:t>
      </w:r>
      <w:r>
        <w:t xml:space="preserve"> per geographic area in the Territories. </w:t>
      </w:r>
      <w:r>
        <w:rPr>
          <w:szCs w:val="22"/>
        </w:rPr>
        <w:t xml:space="preserve"> T</w:t>
      </w:r>
      <w:r w:rsidRPr="00B77284">
        <w:t xml:space="preserve">he Bureau </w:t>
      </w:r>
      <w:r>
        <w:t>staff will</w:t>
      </w:r>
      <w:r w:rsidRPr="00B77284">
        <w:t xml:space="preserve"> </w:t>
      </w:r>
      <w:r>
        <w:t>score</w:t>
      </w:r>
      <w:r w:rsidRPr="00B77284">
        <w:t xml:space="preserve"> the applications using </w:t>
      </w:r>
      <w:r>
        <w:t>at least two</w:t>
      </w:r>
      <w:r w:rsidRPr="00B77284">
        <w:t xml:space="preserve"> independent reviewers</w:t>
      </w:r>
      <w:r>
        <w:t xml:space="preserve"> </w:t>
      </w:r>
      <w:r w:rsidRPr="00B77284">
        <w:t>for each application</w:t>
      </w:r>
      <w:r w:rsidRPr="008229BE">
        <w:t xml:space="preserve"> </w:t>
      </w:r>
      <w:r>
        <w:t>who will not communicate about the contents or merits of the applications prior to issuing a final score</w:t>
      </w:r>
      <w:r w:rsidRPr="00B77284">
        <w:t xml:space="preserve">.  Each reviewer </w:t>
      </w:r>
      <w:r>
        <w:t>will</w:t>
      </w:r>
      <w:r w:rsidRPr="00B77284">
        <w:t xml:space="preserve"> score separately, and the final </w:t>
      </w:r>
      <w:r w:rsidR="00D340C2">
        <w:t xml:space="preserve">overall </w:t>
      </w:r>
      <w:r w:rsidRPr="00B77284">
        <w:t xml:space="preserve">score for each </w:t>
      </w:r>
      <w:r w:rsidR="004A1C17">
        <w:t>competitive proposal</w:t>
      </w:r>
      <w:r w:rsidRPr="00B77284">
        <w:t xml:space="preserve"> will be the average </w:t>
      </w:r>
      <w:r w:rsidR="004A1C17">
        <w:t xml:space="preserve">score </w:t>
      </w:r>
      <w:r w:rsidRPr="00B77284">
        <w:t>of</w:t>
      </w:r>
      <w:r w:rsidR="00EA4DFE">
        <w:t xml:space="preserve"> the proposal based on</w:t>
      </w:r>
      <w:r w:rsidRPr="00B77284">
        <w:t xml:space="preserve"> all </w:t>
      </w:r>
      <w:r w:rsidR="00787B79">
        <w:t>scores from reviewers.</w:t>
      </w:r>
      <w:r>
        <w:rPr>
          <w:rStyle w:val="FootnoteReference"/>
        </w:rPr>
        <w:footnoteReference w:id="188"/>
      </w:r>
      <w:r>
        <w:rPr>
          <w:szCs w:val="22"/>
        </w:rPr>
        <w:t xml:space="preserve">  There will be no public comment period on </w:t>
      </w:r>
      <w:r w:rsidR="00681A16">
        <w:rPr>
          <w:szCs w:val="22"/>
        </w:rPr>
        <w:t xml:space="preserve">competitive proposals submitted </w:t>
      </w:r>
      <w:r w:rsidR="002E3F06">
        <w:rPr>
          <w:szCs w:val="22"/>
        </w:rPr>
        <w:t>in the Stage 2 Competition.</w:t>
      </w:r>
      <w:r>
        <w:rPr>
          <w:rStyle w:val="FootnoteReference"/>
          <w:szCs w:val="22"/>
        </w:rPr>
        <w:footnoteReference w:id="189"/>
      </w:r>
    </w:p>
    <w:p w:rsidR="00F16A63" w:rsidP="00F16A63" w14:paraId="16DFDDDD" w14:textId="70FB0143">
      <w:pPr>
        <w:pStyle w:val="Heading3"/>
      </w:pPr>
      <w:bookmarkStart w:id="2077" w:name="_Toc22643893"/>
      <w:bookmarkStart w:id="2078" w:name="_Toc30099856"/>
      <w:bookmarkStart w:id="2079" w:name="_Toc31809572"/>
      <w:r>
        <w:t>Overall Scoring and Weighting</w:t>
      </w:r>
      <w:bookmarkEnd w:id="2077"/>
      <w:bookmarkEnd w:id="2078"/>
      <w:bookmarkEnd w:id="2079"/>
    </w:p>
    <w:p w:rsidR="006905EC" w:rsidRPr="00A27A5E" w:rsidP="00C34203" w14:paraId="01F4D5D6" w14:textId="120FB5D1">
      <w:pPr>
        <w:pStyle w:val="ParaNum"/>
        <w:widowControl/>
      </w:pPr>
      <w:r>
        <w:t xml:space="preserve">Bureau staff will </w:t>
      </w:r>
      <w:r w:rsidR="00FE3974">
        <w:t xml:space="preserve">apply </w:t>
      </w:r>
      <w:r>
        <w:t>three</w:t>
      </w:r>
      <w:r w:rsidR="00FE3974">
        <w:t xml:space="preserve"> objective</w:t>
      </w:r>
      <w:r>
        <w:t xml:space="preserve"> factors in scoring and selecting winning applicants</w:t>
      </w:r>
      <w:r w:rsidR="00AB6C74">
        <w:t xml:space="preserve"> based upon </w:t>
      </w:r>
      <w:r w:rsidR="00C32B05">
        <w:t>information provided in each applicant’s competitive proposal</w:t>
      </w:r>
      <w:r w:rsidR="003E2EBF">
        <w:t xml:space="preserve"> for a specific geographic area</w:t>
      </w:r>
      <w:r>
        <w:t>: (1) price per location; (2) network performance, including speed</w:t>
      </w:r>
      <w:r w:rsidRPr="6D69B3D8">
        <w:t xml:space="preserve">, </w:t>
      </w:r>
      <w:r>
        <w:t xml:space="preserve">latency, and usage allowance; and (3) network resilience and redundancy.  </w:t>
      </w:r>
      <w:r w:rsidR="00D971E4">
        <w:t xml:space="preserve">For administrative simplicity in evaluating comprehensive proposals, applicants </w:t>
      </w:r>
      <w:r w:rsidR="00746FBF">
        <w:t xml:space="preserve">shall provide this information in a </w:t>
      </w:r>
      <w:r w:rsidR="001F453F">
        <w:t xml:space="preserve">Microsoft Excel or Access format using </w:t>
      </w:r>
      <w:r w:rsidR="009D3649">
        <w:t>Schedule B</w:t>
      </w:r>
      <w:r w:rsidR="009F0B63">
        <w:t xml:space="preserve"> to </w:t>
      </w:r>
      <w:r w:rsidR="0035534A">
        <w:t xml:space="preserve">the </w:t>
      </w:r>
      <w:r w:rsidR="00C56876">
        <w:t xml:space="preserve">Application </w:t>
      </w:r>
      <w:r w:rsidR="009F0B63">
        <w:t>Form</w:t>
      </w:r>
      <w:r w:rsidR="00106307">
        <w:t xml:space="preserve"> for each geographic area it seeks </w:t>
      </w:r>
      <w:r w:rsidR="00A85A91">
        <w:t>Stage 2 support</w:t>
      </w:r>
      <w:r w:rsidR="009F0B63">
        <w:t xml:space="preserve">. </w:t>
      </w:r>
      <w:r w:rsidR="00802A85">
        <w:t xml:space="preserve"> </w:t>
      </w:r>
    </w:p>
    <w:p w:rsidR="007C25F2" w:rsidP="007C25F2" w14:paraId="254F379C" w14:textId="238E0967">
      <w:pPr>
        <w:pStyle w:val="ParaNum"/>
        <w:tabs>
          <w:tab w:val="clear" w:pos="1080"/>
          <w:tab w:val="num" w:pos="1440"/>
        </w:tabs>
      </w:pPr>
      <w:r>
        <w:t xml:space="preserve">Bureau staff will evaluate </w:t>
      </w:r>
      <w:r w:rsidR="004A2275">
        <w:t xml:space="preserve">each </w:t>
      </w:r>
      <w:r w:rsidR="007D4457">
        <w:t>geographic area</w:t>
      </w:r>
      <w:r w:rsidR="004A2275">
        <w:t xml:space="preserve"> contained in an applicant’s competitive proposal</w:t>
      </w:r>
      <w:r w:rsidR="007D4457">
        <w:t xml:space="preserve"> </w:t>
      </w:r>
      <w:r>
        <w:t>based on</w:t>
      </w:r>
      <w:r w:rsidRPr="00C34893">
        <w:t xml:space="preserve"> a </w:t>
      </w:r>
      <w:r>
        <w:t>270</w:t>
      </w:r>
      <w:r w:rsidRPr="00C34893">
        <w:t>-point scale</w:t>
      </w:r>
      <w:r>
        <w:t>, as shown in the table below and allocated as follows:</w:t>
      </w:r>
      <w:r w:rsidRPr="00C34893">
        <w:t xml:space="preserve"> </w:t>
      </w:r>
      <w:r>
        <w:t>100</w:t>
      </w:r>
      <w:r w:rsidRPr="00C34893">
        <w:t xml:space="preserve"> points </w:t>
      </w:r>
      <w:r>
        <w:t>for</w:t>
      </w:r>
      <w:r w:rsidRPr="00C34893">
        <w:t xml:space="preserve"> price per location</w:t>
      </w:r>
      <w:r>
        <w:t>, 90</w:t>
      </w:r>
      <w:r w:rsidRPr="00C34893">
        <w:t xml:space="preserve"> points </w:t>
      </w:r>
      <w:r>
        <w:t>for</w:t>
      </w:r>
      <w:r w:rsidRPr="00C34893">
        <w:t xml:space="preserve"> </w:t>
      </w:r>
      <w:r>
        <w:t>network performance,</w:t>
      </w:r>
      <w:r w:rsidRPr="00C34893">
        <w:t xml:space="preserve"> and </w:t>
      </w:r>
      <w:r>
        <w:t>80</w:t>
      </w:r>
      <w:r w:rsidRPr="00C34893">
        <w:t xml:space="preserve"> points </w:t>
      </w:r>
      <w:r>
        <w:t>for</w:t>
      </w:r>
      <w:r w:rsidRPr="00C34893">
        <w:t xml:space="preserve"> </w:t>
      </w:r>
      <w:r>
        <w:t>network resilience and redundancy</w:t>
      </w:r>
      <w:r w:rsidRPr="00C34893">
        <w:t xml:space="preserve">.  </w:t>
      </w:r>
      <w:r>
        <w:t>An</w:t>
      </w:r>
      <w:r w:rsidRPr="00C34893">
        <w:t xml:space="preserve"> applicant </w:t>
      </w:r>
      <w:r>
        <w:t>will be assigned</w:t>
      </w:r>
      <w:r w:rsidRPr="00C34893">
        <w:t xml:space="preserve"> a specific point value in each category</w:t>
      </w:r>
      <w:r w:rsidR="00B3405B">
        <w:t>,</w:t>
      </w:r>
      <w:r w:rsidRPr="00C34893">
        <w:t xml:space="preserve"> and</w:t>
      </w:r>
      <w:r w:rsidR="00B3405B">
        <w:t xml:space="preserve"> </w:t>
      </w:r>
      <w:r w:rsidR="001C7509">
        <w:t xml:space="preserve">it will </w:t>
      </w:r>
      <w:r w:rsidR="00B3405B">
        <w:t xml:space="preserve">receive a final </w:t>
      </w:r>
      <w:r w:rsidR="00284D69">
        <w:t>overall</w:t>
      </w:r>
      <w:r w:rsidR="00D73BED">
        <w:t xml:space="preserve"> </w:t>
      </w:r>
      <w:r w:rsidR="00B3405B">
        <w:t>score</w:t>
      </w:r>
      <w:r w:rsidR="003B5E1F">
        <w:t xml:space="preserve">, </w:t>
      </w:r>
      <w:r w:rsidR="00DB767E">
        <w:t>calculated</w:t>
      </w:r>
      <w:r w:rsidR="003B5E1F">
        <w:t xml:space="preserve"> as the average of all scores</w:t>
      </w:r>
      <w:r w:rsidR="00DB767E">
        <w:t xml:space="preserve"> from Commission staff</w:t>
      </w:r>
      <w:r w:rsidR="00FA73BC">
        <w:t xml:space="preserve"> </w:t>
      </w:r>
      <w:r>
        <w:t>f</w:t>
      </w:r>
      <w:r w:rsidRPr="00C34893">
        <w:t>or each geographic area</w:t>
      </w:r>
      <w:r>
        <w:t xml:space="preserve"> for which it seeks support.</w:t>
      </w:r>
      <w:r w:rsidRPr="00C34893">
        <w:t xml:space="preserve"> </w:t>
      </w:r>
      <w:r w:rsidR="00D01CD4">
        <w:t xml:space="preserve"> </w:t>
      </w:r>
      <w:r w:rsidR="00275551">
        <w:t>Price per location will be given the greatest weight</w:t>
      </w:r>
      <w:r w:rsidR="003476ED">
        <w:t>;</w:t>
      </w:r>
      <w:r w:rsidR="00275551">
        <w:t xml:space="preserve"> however, </w:t>
      </w:r>
      <w:r w:rsidR="0044284F">
        <w:t>a proposal for a network with top-notch performance and resilience</w:t>
      </w:r>
      <w:r w:rsidR="00A1528F">
        <w:t xml:space="preserve"> and redundancy can prevail over a proposal for a less expensive but less robust and resilient </w:t>
      </w:r>
      <w:r w:rsidR="007074F2">
        <w:t xml:space="preserve">network </w:t>
      </w:r>
      <w:r w:rsidR="00275551">
        <w:t xml:space="preserve">to encourage applicants to deploy high-performing, storm-hardened networks.  </w:t>
      </w:r>
      <w:r>
        <w:t>T</w:t>
      </w:r>
      <w:r w:rsidRPr="00C34893">
        <w:t xml:space="preserve">he applicant with the </w:t>
      </w:r>
      <w:r>
        <w:t>lowest</w:t>
      </w:r>
      <w:r w:rsidRPr="00C34893">
        <w:t xml:space="preserve"> </w:t>
      </w:r>
      <w:r w:rsidR="004E5E5A">
        <w:t xml:space="preserve">final </w:t>
      </w:r>
      <w:r w:rsidR="00687799">
        <w:t>overall</w:t>
      </w:r>
      <w:r w:rsidRPr="00C34893" w:rsidR="00687799">
        <w:t xml:space="preserve"> </w:t>
      </w:r>
      <w:r w:rsidR="00C92FD4">
        <w:t xml:space="preserve">point </w:t>
      </w:r>
      <w:r w:rsidRPr="00C34893">
        <w:t>score</w:t>
      </w:r>
      <w:r>
        <w:t xml:space="preserve"> </w:t>
      </w:r>
      <w:r w:rsidR="00C92FD4">
        <w:t xml:space="preserve">out of a total of 270 </w:t>
      </w:r>
      <w:r w:rsidR="00960643">
        <w:t xml:space="preserve">possible </w:t>
      </w:r>
      <w:r w:rsidR="00C92FD4">
        <w:t xml:space="preserve">points </w:t>
      </w:r>
      <w:r w:rsidR="00A76D15">
        <w:t xml:space="preserve">for </w:t>
      </w:r>
      <w:r>
        <w:t>a geographic area</w:t>
      </w:r>
      <w:r w:rsidRPr="00C34893">
        <w:t xml:space="preserve"> will </w:t>
      </w:r>
      <w:r>
        <w:t xml:space="preserve">win support </w:t>
      </w:r>
      <w:r w:rsidR="00A76D15">
        <w:t>for</w:t>
      </w:r>
      <w:r>
        <w:t xml:space="preserve"> that area</w:t>
      </w:r>
      <w:r w:rsidRPr="00C34893">
        <w:t xml:space="preserve">.  </w:t>
      </w:r>
      <w:r w:rsidR="00155394">
        <w:t>In the event of a tie</w:t>
      </w:r>
      <w:r w:rsidR="005C7135">
        <w:t>d score for a geographic area</w:t>
      </w:r>
      <w:r w:rsidR="00155394">
        <w:t xml:space="preserve">, the Bureau </w:t>
      </w:r>
      <w:r w:rsidR="00E246C1">
        <w:t xml:space="preserve">will </w:t>
      </w:r>
      <w:r w:rsidR="00155394">
        <w:t xml:space="preserve">select the </w:t>
      </w:r>
      <w:r w:rsidR="0034443E">
        <w:t xml:space="preserve">competitive proposal </w:t>
      </w:r>
      <w:r w:rsidR="00155394">
        <w:t>with the lowest price per location.</w:t>
      </w:r>
    </w:p>
    <w:p w:rsidR="007C25F2" w:rsidRPr="000626C0" w:rsidP="007C25F2" w14:paraId="6B152AB8" w14:textId="77777777">
      <w:pPr>
        <w:pStyle w:val="ParaNum"/>
        <w:keepNext/>
        <w:keepLines/>
        <w:numPr>
          <w:ilvl w:val="0"/>
          <w:numId w:val="0"/>
        </w:numPr>
        <w:jc w:val="center"/>
        <w:rPr>
          <w:b/>
        </w:rPr>
      </w:pPr>
      <w:r>
        <w:rPr>
          <w:b/>
        </w:rPr>
        <w:t>Table 1 — Overall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458"/>
      </w:tblGrid>
      <w:tr w14:paraId="637741B3" w14:textId="77777777" w:rsidTr="00B340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3438" w:type="dxa"/>
            <w:shd w:val="clear" w:color="auto" w:fill="D9D9D9"/>
          </w:tcPr>
          <w:p w:rsidR="007C25F2" w:rsidRPr="003313AD" w:rsidP="00B3405B" w14:paraId="2614C6E3" w14:textId="77777777">
            <w:pPr>
              <w:pStyle w:val="ParaNum"/>
              <w:keepNext/>
              <w:keepLines/>
              <w:numPr>
                <w:ilvl w:val="0"/>
                <w:numId w:val="0"/>
              </w:numPr>
              <w:rPr>
                <w:b/>
              </w:rPr>
            </w:pPr>
            <w:r w:rsidRPr="003313AD">
              <w:rPr>
                <w:b/>
              </w:rPr>
              <w:t>Overall Scoring</w:t>
            </w:r>
          </w:p>
        </w:tc>
        <w:tc>
          <w:tcPr>
            <w:tcW w:w="1458" w:type="dxa"/>
            <w:shd w:val="clear" w:color="auto" w:fill="D9D9D9"/>
          </w:tcPr>
          <w:p w:rsidR="007C25F2" w:rsidRPr="003313AD" w:rsidP="00B3405B" w14:paraId="061EB7A1" w14:textId="77777777">
            <w:pPr>
              <w:pStyle w:val="ParaNum"/>
              <w:keepNext/>
              <w:keepLines/>
              <w:numPr>
                <w:ilvl w:val="0"/>
                <w:numId w:val="0"/>
              </w:numPr>
              <w:rPr>
                <w:b/>
              </w:rPr>
            </w:pPr>
            <w:r w:rsidRPr="003313AD">
              <w:rPr>
                <w:b/>
              </w:rPr>
              <w:t>Points</w:t>
            </w:r>
          </w:p>
        </w:tc>
      </w:tr>
      <w:tr w14:paraId="5F044A88" w14:textId="77777777" w:rsidTr="00B3405B">
        <w:tblPrEx>
          <w:tblW w:w="0" w:type="auto"/>
          <w:jc w:val="center"/>
          <w:tblLook w:val="04A0"/>
        </w:tblPrEx>
        <w:trPr>
          <w:cantSplit/>
          <w:jc w:val="center"/>
        </w:trPr>
        <w:tc>
          <w:tcPr>
            <w:tcW w:w="3438" w:type="dxa"/>
            <w:shd w:val="clear" w:color="auto" w:fill="auto"/>
          </w:tcPr>
          <w:p w:rsidR="007C25F2" w:rsidRPr="00B90D02" w:rsidP="00B3405B" w14:paraId="7120624A" w14:textId="77777777">
            <w:pPr>
              <w:pStyle w:val="ParaNum"/>
              <w:keepNext/>
              <w:keepLines/>
              <w:numPr>
                <w:ilvl w:val="0"/>
                <w:numId w:val="0"/>
              </w:numPr>
            </w:pPr>
            <w:r>
              <w:t>Price Per Location</w:t>
            </w:r>
          </w:p>
        </w:tc>
        <w:tc>
          <w:tcPr>
            <w:tcW w:w="1458" w:type="dxa"/>
            <w:shd w:val="clear" w:color="auto" w:fill="auto"/>
          </w:tcPr>
          <w:p w:rsidR="007C25F2" w:rsidRPr="00B90D02" w:rsidP="00B3405B" w14:paraId="0267B12A" w14:textId="77777777">
            <w:pPr>
              <w:pStyle w:val="ParaNum"/>
              <w:keepNext/>
              <w:keepLines/>
              <w:numPr>
                <w:ilvl w:val="0"/>
                <w:numId w:val="0"/>
              </w:numPr>
            </w:pPr>
            <w:r>
              <w:t>100</w:t>
            </w:r>
          </w:p>
        </w:tc>
      </w:tr>
      <w:tr w14:paraId="170F0B54" w14:textId="77777777" w:rsidTr="00B3405B">
        <w:tblPrEx>
          <w:tblW w:w="0" w:type="auto"/>
          <w:jc w:val="center"/>
          <w:tblLook w:val="04A0"/>
        </w:tblPrEx>
        <w:trPr>
          <w:cantSplit/>
          <w:jc w:val="center"/>
        </w:trPr>
        <w:tc>
          <w:tcPr>
            <w:tcW w:w="3438" w:type="dxa"/>
            <w:shd w:val="clear" w:color="auto" w:fill="auto"/>
          </w:tcPr>
          <w:p w:rsidR="007C25F2" w:rsidRPr="00B90D02" w:rsidP="00B3405B" w14:paraId="42AC3F0A" w14:textId="77777777">
            <w:pPr>
              <w:pStyle w:val="ParaNum"/>
              <w:keepNext/>
              <w:keepLines/>
              <w:numPr>
                <w:ilvl w:val="0"/>
                <w:numId w:val="0"/>
              </w:numPr>
            </w:pPr>
            <w:r>
              <w:t>Network Performance</w:t>
            </w:r>
          </w:p>
        </w:tc>
        <w:tc>
          <w:tcPr>
            <w:tcW w:w="1458" w:type="dxa"/>
            <w:shd w:val="clear" w:color="auto" w:fill="auto"/>
          </w:tcPr>
          <w:p w:rsidR="007C25F2" w:rsidRPr="00B90D02" w:rsidP="00B3405B" w14:paraId="64FB483C" w14:textId="77777777">
            <w:pPr>
              <w:pStyle w:val="ParaNum"/>
              <w:keepNext/>
              <w:keepLines/>
              <w:numPr>
                <w:ilvl w:val="0"/>
                <w:numId w:val="0"/>
              </w:numPr>
            </w:pPr>
            <w:r>
              <w:t>90</w:t>
            </w:r>
          </w:p>
        </w:tc>
      </w:tr>
      <w:tr w14:paraId="5B09716A" w14:textId="77777777" w:rsidTr="00B3405B">
        <w:tblPrEx>
          <w:tblW w:w="0" w:type="auto"/>
          <w:jc w:val="center"/>
          <w:tblLook w:val="04A0"/>
        </w:tblPrEx>
        <w:trPr>
          <w:cantSplit/>
          <w:jc w:val="center"/>
        </w:trPr>
        <w:tc>
          <w:tcPr>
            <w:tcW w:w="3438" w:type="dxa"/>
            <w:shd w:val="clear" w:color="auto" w:fill="auto"/>
          </w:tcPr>
          <w:p w:rsidR="007C25F2" w:rsidRPr="00B90D02" w:rsidP="00B3405B" w14:paraId="37324DB6" w14:textId="77777777">
            <w:pPr>
              <w:pStyle w:val="ParaNum"/>
              <w:keepNext/>
              <w:keepLines/>
              <w:numPr>
                <w:ilvl w:val="0"/>
                <w:numId w:val="0"/>
              </w:numPr>
            </w:pPr>
            <w:r>
              <w:t>Network Resilience and Redundancy</w:t>
            </w:r>
          </w:p>
        </w:tc>
        <w:tc>
          <w:tcPr>
            <w:tcW w:w="1458" w:type="dxa"/>
            <w:shd w:val="clear" w:color="auto" w:fill="auto"/>
          </w:tcPr>
          <w:p w:rsidR="007C25F2" w:rsidRPr="00B90D02" w:rsidP="00B3405B" w14:paraId="1FDC21CD" w14:textId="77777777">
            <w:pPr>
              <w:pStyle w:val="ParaNum"/>
              <w:keepNext/>
              <w:keepLines/>
              <w:numPr>
                <w:ilvl w:val="0"/>
                <w:numId w:val="0"/>
              </w:numPr>
            </w:pPr>
            <w:r>
              <w:t>80</w:t>
            </w:r>
          </w:p>
        </w:tc>
      </w:tr>
      <w:tr w14:paraId="50528742" w14:textId="77777777" w:rsidTr="00B3405B">
        <w:tblPrEx>
          <w:tblW w:w="0" w:type="auto"/>
          <w:jc w:val="center"/>
          <w:tblLook w:val="04A0"/>
        </w:tblPrEx>
        <w:trPr>
          <w:cantSplit/>
          <w:jc w:val="center"/>
        </w:trPr>
        <w:tc>
          <w:tcPr>
            <w:tcW w:w="3438" w:type="dxa"/>
            <w:shd w:val="clear" w:color="auto" w:fill="auto"/>
          </w:tcPr>
          <w:p w:rsidR="007C25F2" w:rsidRPr="003313AD" w:rsidP="00B3405B" w14:paraId="1450D557" w14:textId="77777777">
            <w:pPr>
              <w:pStyle w:val="ParaNum"/>
              <w:keepNext/>
              <w:keepLines/>
              <w:numPr>
                <w:ilvl w:val="0"/>
                <w:numId w:val="0"/>
              </w:numPr>
              <w:rPr>
                <w:b/>
              </w:rPr>
            </w:pPr>
            <w:r w:rsidRPr="003313AD">
              <w:rPr>
                <w:b/>
              </w:rPr>
              <w:t>Total</w:t>
            </w:r>
          </w:p>
        </w:tc>
        <w:tc>
          <w:tcPr>
            <w:tcW w:w="1458" w:type="dxa"/>
            <w:shd w:val="clear" w:color="auto" w:fill="auto"/>
          </w:tcPr>
          <w:p w:rsidR="007C25F2" w:rsidRPr="003313AD" w:rsidP="00B3405B" w14:paraId="7C15184F" w14:textId="77777777">
            <w:pPr>
              <w:pStyle w:val="ParaNum"/>
              <w:keepNext/>
              <w:keepLines/>
              <w:numPr>
                <w:ilvl w:val="0"/>
                <w:numId w:val="0"/>
              </w:numPr>
              <w:rPr>
                <w:b/>
              </w:rPr>
            </w:pPr>
            <w:r>
              <w:rPr>
                <w:b/>
              </w:rPr>
              <w:t>270</w:t>
            </w:r>
          </w:p>
        </w:tc>
      </w:tr>
    </w:tbl>
    <w:p w:rsidR="00F16A63" w:rsidP="00C34203" w14:paraId="0B74FA46" w14:textId="03FF1C39">
      <w:pPr>
        <w:pStyle w:val="Heading3"/>
        <w:spacing w:before="120"/>
      </w:pPr>
      <w:bookmarkStart w:id="2080" w:name="_Toc22643894"/>
      <w:bookmarkStart w:id="2081" w:name="_Toc30099857"/>
      <w:bookmarkStart w:id="2082" w:name="_Toc31809573"/>
      <w:r>
        <w:t>Price Per Location</w:t>
      </w:r>
      <w:bookmarkEnd w:id="2080"/>
      <w:bookmarkEnd w:id="2081"/>
      <w:bookmarkEnd w:id="2082"/>
    </w:p>
    <w:p w:rsidR="00B530DD" w:rsidP="00205515" w14:paraId="2851A4C3" w14:textId="762C0F8C">
      <w:pPr>
        <w:pStyle w:val="ParaNum"/>
      </w:pPr>
      <w:r>
        <w:t xml:space="preserve">We will use the </w:t>
      </w:r>
      <w:r w:rsidR="00677641">
        <w:t xml:space="preserve">Proposal Price </w:t>
      </w:r>
      <w:r w:rsidR="00A11606">
        <w:t>submitted</w:t>
      </w:r>
      <w:r w:rsidR="00FA36FB">
        <w:t xml:space="preserve"> by applicants</w:t>
      </w:r>
      <w:r w:rsidR="00A11606">
        <w:t xml:space="preserve"> in their </w:t>
      </w:r>
      <w:r w:rsidR="00C906B8">
        <w:t>Application</w:t>
      </w:r>
      <w:r w:rsidR="004D6DB8">
        <w:t xml:space="preserve"> Form</w:t>
      </w:r>
      <w:r w:rsidR="00A013B7">
        <w:t xml:space="preserve"> to determine the</w:t>
      </w:r>
      <w:r w:rsidR="00FB7C95">
        <w:t>ir score</w:t>
      </w:r>
      <w:r w:rsidR="004D6DB8">
        <w:t>s</w:t>
      </w:r>
      <w:r w:rsidR="00FB7C95">
        <w:t xml:space="preserve"> for price per location.  </w:t>
      </w:r>
      <w:r w:rsidR="00394213">
        <w:t>The reserve price</w:t>
      </w:r>
      <w:r w:rsidR="005F7008">
        <w:t xml:space="preserve"> for each geographic area</w:t>
      </w:r>
      <w:r w:rsidR="00394213">
        <w:t xml:space="preserve"> is the maximum amount that a</w:t>
      </w:r>
      <w:r w:rsidR="005F7008">
        <w:t>n applicant may commit to accept in its proposal</w:t>
      </w:r>
      <w:r w:rsidR="00244E6C">
        <w:t xml:space="preserve">.  An applicant </w:t>
      </w:r>
      <w:r w:rsidR="00476F42">
        <w:t xml:space="preserve">who </w:t>
      </w:r>
      <w:r w:rsidR="00244E6C">
        <w:t xml:space="preserve">proposes </w:t>
      </w:r>
      <w:r w:rsidR="00476F42">
        <w:t>to</w:t>
      </w:r>
      <w:r w:rsidR="00F658AC">
        <w:t xml:space="preserve"> accept the reserve price </w:t>
      </w:r>
      <w:r w:rsidR="00052F70">
        <w:t xml:space="preserve">for a geographic area </w:t>
      </w:r>
      <w:r w:rsidR="00F658AC">
        <w:t xml:space="preserve">will receive the highest </w:t>
      </w:r>
      <w:r w:rsidR="00A75E12">
        <w:t>score of 100 points for price per location</w:t>
      </w:r>
      <w:r w:rsidR="0037299F">
        <w:t xml:space="preserve"> category</w:t>
      </w:r>
      <w:r w:rsidR="002A0645">
        <w:t xml:space="preserve">.  </w:t>
      </w:r>
      <w:r w:rsidR="00833005">
        <w:t xml:space="preserve">Unlike </w:t>
      </w:r>
      <w:r w:rsidR="00D40C3A">
        <w:t xml:space="preserve">in </w:t>
      </w:r>
      <w:r w:rsidR="008654D1">
        <w:t>the multi-round CAF II</w:t>
      </w:r>
      <w:r w:rsidR="00833005">
        <w:t xml:space="preserve"> reverse auction previously used </w:t>
      </w:r>
      <w:r w:rsidR="00C624F9">
        <w:t xml:space="preserve">by the Commission, </w:t>
      </w:r>
      <w:r w:rsidR="008654D1">
        <w:t>the competitive process here is only a single</w:t>
      </w:r>
      <w:r w:rsidR="004737BB">
        <w:t xml:space="preserve"> </w:t>
      </w:r>
      <w:r w:rsidR="008654D1">
        <w:t xml:space="preserve">round, so </w:t>
      </w:r>
      <w:r w:rsidR="00C624F9">
        <w:t>applicants</w:t>
      </w:r>
      <w:r w:rsidR="008654D1">
        <w:t xml:space="preserve"> must </w:t>
      </w:r>
      <w:r w:rsidR="00C624F9">
        <w:t>provide the</w:t>
      </w:r>
      <w:r w:rsidR="00371009">
        <w:t>ir</w:t>
      </w:r>
      <w:r w:rsidR="00C624F9">
        <w:t xml:space="preserve"> best </w:t>
      </w:r>
      <w:r w:rsidR="004B0197">
        <w:t xml:space="preserve">price possible in </w:t>
      </w:r>
      <w:r w:rsidR="008654D1">
        <w:t>the first instance</w:t>
      </w:r>
      <w:r w:rsidR="004813CA">
        <w:t>.</w:t>
      </w:r>
      <w:r w:rsidR="00A67448">
        <w:t xml:space="preserve"> </w:t>
      </w:r>
    </w:p>
    <w:p w:rsidR="00205515" w:rsidRPr="00205515" w:rsidP="00205515" w14:paraId="6CEA64B6" w14:textId="530B99B1">
      <w:pPr>
        <w:pStyle w:val="ParaNum"/>
      </w:pPr>
      <w:r>
        <w:t>We will sub</w:t>
      </w:r>
      <w:r w:rsidR="008A3854">
        <w:t xml:space="preserve">tract one point from the high score of 100 </w:t>
      </w:r>
      <w:r>
        <w:t xml:space="preserve">for each percentage point </w:t>
      </w:r>
      <w:r w:rsidR="00E20E9C">
        <w:t xml:space="preserve">the Proposal Price is </w:t>
      </w:r>
      <w:r>
        <w:t>below the reserve price, as shown in the Table 2 below.</w:t>
      </w:r>
      <w:r w:rsidR="005D4974">
        <w:t xml:space="preserve">  Applicants may submit a </w:t>
      </w:r>
      <w:r w:rsidR="009D5E4F">
        <w:t xml:space="preserve">Proposal Price </w:t>
      </w:r>
      <w:r w:rsidR="000F69D5">
        <w:t xml:space="preserve">below the reserve price to the nearest </w:t>
      </w:r>
      <w:r w:rsidR="00CC55CE">
        <w:t>hundredth</w:t>
      </w:r>
      <w:r w:rsidR="00D069B3">
        <w:t xml:space="preserve"> of </w:t>
      </w:r>
      <w:r w:rsidR="002E5673">
        <w:t>one</w:t>
      </w:r>
      <w:r w:rsidR="00D069B3">
        <w:t xml:space="preserve"> percent.  In such cases, </w:t>
      </w:r>
      <w:r w:rsidR="00A352C3">
        <w:t xml:space="preserve">the Bureau will round the percentage to the nearest whole </w:t>
      </w:r>
      <w:r w:rsidR="002371E0">
        <w:t>percentage</w:t>
      </w:r>
      <w:r w:rsidR="00A352C3">
        <w:t xml:space="preserve"> for the purpose of </w:t>
      </w:r>
      <w:r w:rsidR="00F513FA">
        <w:t xml:space="preserve">scoring.  </w:t>
      </w:r>
      <w:r w:rsidR="0042602A">
        <w:t xml:space="preserve">In the event two applicants have equal </w:t>
      </w:r>
      <w:r w:rsidR="003E00FE">
        <w:t xml:space="preserve">overall </w:t>
      </w:r>
      <w:r w:rsidR="004D31DC">
        <w:t xml:space="preserve">final </w:t>
      </w:r>
      <w:r w:rsidR="003E00FE">
        <w:t xml:space="preserve">scores, the applicant with the lowest Proposal Price will be selected the winning applicant.  </w:t>
      </w:r>
      <w:r w:rsidR="00F513FA">
        <w:t xml:space="preserve">For example, if an applicant commits to </w:t>
      </w:r>
      <w:r w:rsidR="00995DD4">
        <w:t>a</w:t>
      </w:r>
      <w:r w:rsidR="0017649F">
        <w:t xml:space="preserve"> Proposal Price</w:t>
      </w:r>
      <w:r w:rsidR="00995DD4">
        <w:t xml:space="preserve"> that is 10.</w:t>
      </w:r>
      <w:r w:rsidR="00DB155D">
        <w:t>5</w:t>
      </w:r>
      <w:r w:rsidR="00995DD4">
        <w:t>5 percent less tha</w:t>
      </w:r>
      <w:r w:rsidR="007875A7">
        <w:t>n</w:t>
      </w:r>
      <w:r w:rsidR="00995DD4">
        <w:t xml:space="preserve"> the </w:t>
      </w:r>
      <w:r w:rsidR="00262090">
        <w:t>reserve price, the applicant will receive a</w:t>
      </w:r>
      <w:r w:rsidR="00EE317D">
        <w:t>n</w:t>
      </w:r>
      <w:r w:rsidR="00262090">
        <w:t xml:space="preserve"> 11</w:t>
      </w:r>
      <w:r w:rsidR="00EE317D">
        <w:t>-</w:t>
      </w:r>
      <w:r w:rsidR="00262090">
        <w:t xml:space="preserve">point reduction from </w:t>
      </w:r>
      <w:r w:rsidR="0011643B">
        <w:t xml:space="preserve">the possible 100 points.  </w:t>
      </w:r>
      <w:r w:rsidR="00932C23">
        <w:t>In the event a</w:t>
      </w:r>
      <w:r w:rsidR="007875A7">
        <w:t xml:space="preserve"> second</w:t>
      </w:r>
      <w:r w:rsidR="00932C23">
        <w:t xml:space="preserve"> applicant submits a</w:t>
      </w:r>
      <w:r w:rsidR="00A67D6C">
        <w:t xml:space="preserve"> </w:t>
      </w:r>
      <w:r w:rsidR="0017649F">
        <w:t>Proposal Price</w:t>
      </w:r>
      <w:r w:rsidR="00622D93">
        <w:t xml:space="preserve"> for the same geographic area</w:t>
      </w:r>
      <w:r w:rsidR="00A67D6C">
        <w:t xml:space="preserve"> that is 10.7</w:t>
      </w:r>
      <w:r w:rsidR="00DB155D">
        <w:t>5</w:t>
      </w:r>
      <w:r w:rsidR="00A67D6C">
        <w:t xml:space="preserve"> percent less than the reserve price, </w:t>
      </w:r>
      <w:r w:rsidR="005B17FE">
        <w:t>thereby also receiving an 11</w:t>
      </w:r>
      <w:r w:rsidR="00EE317D">
        <w:t>-</w:t>
      </w:r>
      <w:r w:rsidR="005B17FE">
        <w:t xml:space="preserve">point reduction, </w:t>
      </w:r>
      <w:r w:rsidR="00C363E2">
        <w:t xml:space="preserve">and has the same point total as the first applicant in every other respect, </w:t>
      </w:r>
      <w:r w:rsidR="00195627">
        <w:t>this later applicant</w:t>
      </w:r>
      <w:r w:rsidR="00B57AF6">
        <w:t xml:space="preserve"> would be the winning bidder </w:t>
      </w:r>
      <w:r w:rsidR="00E87370">
        <w:t xml:space="preserve">because </w:t>
      </w:r>
      <w:r w:rsidR="003A05BE">
        <w:t xml:space="preserve">its </w:t>
      </w:r>
      <w:r w:rsidR="0025598F">
        <w:t>Proposal Price</w:t>
      </w:r>
      <w:r w:rsidR="003A05BE">
        <w:t xml:space="preserve"> would be less than the form</w:t>
      </w:r>
      <w:r w:rsidR="00CF7CAF">
        <w:t>er</w:t>
      </w:r>
      <w:r w:rsidR="003A05BE">
        <w:t xml:space="preserve"> </w:t>
      </w:r>
      <w:r w:rsidR="00BE66BE">
        <w:t xml:space="preserve">applicant, assuming </w:t>
      </w:r>
      <w:r w:rsidR="00FE0C01">
        <w:t xml:space="preserve">the </w:t>
      </w:r>
      <w:r w:rsidR="00096483">
        <w:t>final overall</w:t>
      </w:r>
      <w:r w:rsidR="00FE0C01">
        <w:t xml:space="preserve"> score for both applicants</w:t>
      </w:r>
      <w:r w:rsidR="00AF5AC8">
        <w:t>’ proposals</w:t>
      </w:r>
      <w:r w:rsidR="00FE0C01">
        <w:t xml:space="preserve"> were equal</w:t>
      </w:r>
      <w:r w:rsidR="003A05BE">
        <w:t>.</w:t>
      </w:r>
      <w:r>
        <w:t xml:space="preserve">  </w:t>
      </w:r>
      <w:r w:rsidR="00204761">
        <w:t>Thus, th</w:t>
      </w:r>
      <w:r w:rsidR="00245627">
        <w:t>is singl</w:t>
      </w:r>
      <w:r w:rsidR="00204761">
        <w:t>e</w:t>
      </w:r>
      <w:r w:rsidR="00245627">
        <w:t>-round</w:t>
      </w:r>
      <w:r w:rsidR="00204761">
        <w:t xml:space="preserve"> competitive process rewards applicants </w:t>
      </w:r>
      <w:r w:rsidR="008137B2">
        <w:t>to reveal their best price to increase the likelihood of being the winning applicant.</w:t>
      </w:r>
    </w:p>
    <w:p w:rsidR="00506976" w:rsidRPr="00205515" w:rsidP="00205515" w14:paraId="408435EF" w14:textId="4F4E2570">
      <w:pPr>
        <w:pStyle w:val="ParaNum"/>
        <w:keepNext/>
        <w:keepLines/>
        <w:numPr>
          <w:ilvl w:val="0"/>
          <w:numId w:val="0"/>
        </w:numPr>
        <w:jc w:val="center"/>
        <w:rPr>
          <w:b/>
        </w:rPr>
      </w:pPr>
      <w:r>
        <w:rPr>
          <w:b/>
        </w:rPr>
        <w:t>Table 2 — Price Per Location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00"/>
      </w:tblGrid>
      <w:tr w14:paraId="51E3A797" w14:textId="77777777" w:rsidTr="00A2686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3348" w:type="dxa"/>
            <w:shd w:val="clear" w:color="auto" w:fill="D9D9D9"/>
          </w:tcPr>
          <w:p w:rsidR="00506976" w:rsidRPr="003313AD" w:rsidP="00A2686E" w14:paraId="402EEC80" w14:textId="77777777">
            <w:pPr>
              <w:pStyle w:val="ParaNum"/>
              <w:keepNext/>
              <w:keepLines/>
              <w:numPr>
                <w:ilvl w:val="0"/>
                <w:numId w:val="0"/>
              </w:numPr>
              <w:rPr>
                <w:b/>
              </w:rPr>
            </w:pPr>
            <w:r w:rsidRPr="003313AD">
              <w:rPr>
                <w:b/>
              </w:rPr>
              <w:t>Price</w:t>
            </w:r>
          </w:p>
        </w:tc>
        <w:tc>
          <w:tcPr>
            <w:tcW w:w="2700" w:type="dxa"/>
            <w:shd w:val="clear" w:color="auto" w:fill="D9D9D9"/>
          </w:tcPr>
          <w:p w:rsidR="00506976" w:rsidRPr="003313AD" w:rsidP="00A2686E" w14:paraId="6333B640" w14:textId="77777777">
            <w:pPr>
              <w:pStyle w:val="ParaNum"/>
              <w:keepNext/>
              <w:keepLines/>
              <w:numPr>
                <w:ilvl w:val="0"/>
                <w:numId w:val="0"/>
              </w:numPr>
              <w:rPr>
                <w:b/>
              </w:rPr>
            </w:pPr>
            <w:r>
              <w:rPr>
                <w:b/>
              </w:rPr>
              <w:t xml:space="preserve">Assigned </w:t>
            </w:r>
            <w:r w:rsidRPr="003313AD">
              <w:rPr>
                <w:b/>
              </w:rPr>
              <w:t>Points</w:t>
            </w:r>
            <w:r>
              <w:rPr>
                <w:b/>
              </w:rPr>
              <w:t xml:space="preserve"> </w:t>
            </w:r>
          </w:p>
        </w:tc>
      </w:tr>
      <w:tr w14:paraId="71D8715A" w14:textId="77777777" w:rsidTr="00A2686E">
        <w:tblPrEx>
          <w:tblW w:w="0" w:type="auto"/>
          <w:jc w:val="center"/>
          <w:tblLook w:val="04A0"/>
        </w:tblPrEx>
        <w:trPr>
          <w:cantSplit/>
          <w:jc w:val="center"/>
        </w:trPr>
        <w:tc>
          <w:tcPr>
            <w:tcW w:w="3348" w:type="dxa"/>
            <w:shd w:val="clear" w:color="auto" w:fill="auto"/>
          </w:tcPr>
          <w:p w:rsidR="00506976" w:rsidRPr="00B90D02" w:rsidP="00A2686E" w14:paraId="25A12CBD" w14:textId="77777777">
            <w:pPr>
              <w:pStyle w:val="ParaNum"/>
              <w:keepNext/>
              <w:keepLines/>
              <w:numPr>
                <w:ilvl w:val="0"/>
                <w:numId w:val="0"/>
              </w:numPr>
            </w:pPr>
            <w:r>
              <w:t>Reserve Price</w:t>
            </w:r>
          </w:p>
        </w:tc>
        <w:tc>
          <w:tcPr>
            <w:tcW w:w="2700" w:type="dxa"/>
            <w:shd w:val="clear" w:color="auto" w:fill="auto"/>
          </w:tcPr>
          <w:p w:rsidR="00506976" w:rsidRPr="00B90D02" w:rsidP="00A2686E" w14:paraId="333E232E" w14:textId="77777777">
            <w:pPr>
              <w:pStyle w:val="ParaNum"/>
              <w:keepNext/>
              <w:keepLines/>
              <w:numPr>
                <w:ilvl w:val="0"/>
                <w:numId w:val="0"/>
              </w:numPr>
            </w:pPr>
            <w:r>
              <w:t>100</w:t>
            </w:r>
          </w:p>
        </w:tc>
      </w:tr>
      <w:tr w14:paraId="71C8E3BD" w14:textId="77777777" w:rsidTr="00A2686E">
        <w:tblPrEx>
          <w:tblW w:w="0" w:type="auto"/>
          <w:jc w:val="center"/>
          <w:tblLook w:val="04A0"/>
        </w:tblPrEx>
        <w:trPr>
          <w:cantSplit/>
          <w:jc w:val="center"/>
        </w:trPr>
        <w:tc>
          <w:tcPr>
            <w:tcW w:w="3348" w:type="dxa"/>
            <w:shd w:val="clear" w:color="auto" w:fill="auto"/>
          </w:tcPr>
          <w:p w:rsidR="00506976" w:rsidRPr="00B90D02" w:rsidP="00A2686E" w14:paraId="17817B24" w14:textId="77777777">
            <w:pPr>
              <w:pStyle w:val="ParaNum"/>
              <w:keepNext/>
              <w:keepLines/>
              <w:numPr>
                <w:ilvl w:val="0"/>
                <w:numId w:val="0"/>
              </w:numPr>
            </w:pPr>
            <w:r>
              <w:t>1%-100% Below Reserve Price</w:t>
            </w:r>
          </w:p>
        </w:tc>
        <w:tc>
          <w:tcPr>
            <w:tcW w:w="2700" w:type="dxa"/>
            <w:shd w:val="clear" w:color="auto" w:fill="auto"/>
          </w:tcPr>
          <w:p w:rsidR="00506976" w:rsidRPr="00B90D02" w:rsidP="00A2686E" w14:paraId="5D5DC7DA" w14:textId="77777777">
            <w:pPr>
              <w:pStyle w:val="ParaNum"/>
              <w:keepNext/>
              <w:keepLines/>
              <w:numPr>
                <w:ilvl w:val="0"/>
                <w:numId w:val="0"/>
              </w:numPr>
            </w:pPr>
            <w:r>
              <w:t>-1 point for each percentage below reserve</w:t>
            </w:r>
          </w:p>
        </w:tc>
      </w:tr>
    </w:tbl>
    <w:p w:rsidR="00F16A63" w:rsidP="00701932" w14:paraId="21B1F353" w14:textId="56F73396">
      <w:pPr>
        <w:pStyle w:val="Heading3"/>
        <w:spacing w:before="120"/>
      </w:pPr>
      <w:bookmarkStart w:id="2083" w:name="_Toc22643895"/>
      <w:bookmarkStart w:id="2084" w:name="_Toc30099858"/>
      <w:bookmarkStart w:id="2085" w:name="_Toc31809574"/>
      <w:r>
        <w:t>Network Performance</w:t>
      </w:r>
      <w:bookmarkEnd w:id="2083"/>
      <w:bookmarkEnd w:id="2084"/>
      <w:bookmarkEnd w:id="2085"/>
    </w:p>
    <w:p w:rsidR="00A96D04" w:rsidP="009B4670" w14:paraId="5BBDF53F" w14:textId="6877CE92">
      <w:pPr>
        <w:pStyle w:val="ParaNum"/>
        <w:tabs>
          <w:tab w:val="clear" w:pos="1080"/>
          <w:tab w:val="num" w:pos="1440"/>
        </w:tabs>
      </w:pPr>
      <w:r>
        <w:t xml:space="preserve">In the </w:t>
      </w:r>
      <w:r w:rsidRPr="00205054">
        <w:rPr>
          <w:i/>
        </w:rPr>
        <w:t>PR-USVI Stage 2 Order</w:t>
      </w:r>
      <w:r>
        <w:t xml:space="preserve"> </w:t>
      </w:r>
      <w:r w:rsidR="008654D1">
        <w:t xml:space="preserve">the Commission </w:t>
      </w:r>
      <w:r w:rsidR="00D13EFC">
        <w:t>establish</w:t>
      </w:r>
      <w:r>
        <w:t>ed</w:t>
      </w:r>
      <w:r w:rsidR="00D13EFC">
        <w:t xml:space="preserve"> three tiers for </w:t>
      </w:r>
      <w:r w:rsidR="00AE7088">
        <w:t xml:space="preserve">a combination of </w:t>
      </w:r>
      <w:r w:rsidR="00D13EFC">
        <w:t>network speed and usage allowances, and two tiers for network latency</w:t>
      </w:r>
      <w:r w:rsidR="004A52C5">
        <w:t>, as reflected in Table 3 below</w:t>
      </w:r>
      <w:r w:rsidR="00D13EFC">
        <w:t xml:space="preserve">.  We </w:t>
      </w:r>
      <w:r w:rsidR="00B4432B">
        <w:t xml:space="preserve">require </w:t>
      </w:r>
      <w:r w:rsidR="0032307F">
        <w:t>applicants to commit to the deployment of a ne</w:t>
      </w:r>
      <w:r w:rsidR="00106E26">
        <w:t xml:space="preserve">twork capable of providing a minimum </w:t>
      </w:r>
      <w:r w:rsidR="00303726">
        <w:t xml:space="preserve">upload and download </w:t>
      </w:r>
      <w:r w:rsidR="00106E26">
        <w:t>speed</w:t>
      </w:r>
      <w:r w:rsidR="00303726">
        <w:t>s</w:t>
      </w:r>
      <w:r w:rsidR="00106E26">
        <w:t xml:space="preserve"> of at least 25/3 Mbps with at least 200</w:t>
      </w:r>
      <w:r w:rsidR="001A0E39">
        <w:t xml:space="preserve"> </w:t>
      </w:r>
      <w:r w:rsidR="00471A54">
        <w:t>gigabytes (</w:t>
      </w:r>
      <w:r w:rsidR="001A0E39">
        <w:t>GB</w:t>
      </w:r>
      <w:r w:rsidR="00471A54">
        <w:t>)</w:t>
      </w:r>
      <w:r w:rsidR="001A0E39">
        <w:t xml:space="preserve"> of </w:t>
      </w:r>
      <w:r w:rsidR="00F4509D">
        <w:t xml:space="preserve">monthly </w:t>
      </w:r>
      <w:r w:rsidR="001A0E39">
        <w:t xml:space="preserve">data usage or </w:t>
      </w:r>
      <w:r w:rsidR="00DB2ECF">
        <w:t xml:space="preserve">a usage allowance that reflects </w:t>
      </w:r>
      <w:r w:rsidR="001A0E39">
        <w:t>the</w:t>
      </w:r>
      <w:r w:rsidR="000C2A8E">
        <w:t xml:space="preserve"> average usage of a majority of fixed broadband customers, </w:t>
      </w:r>
      <w:r w:rsidRPr="00CD652C" w:rsidR="00CD4DEF">
        <w:t xml:space="preserve">using Measuring Broadband America data or a similar data source, whichever is </w:t>
      </w:r>
      <w:r w:rsidR="00AF7F0B">
        <w:t>greater</w:t>
      </w:r>
      <w:r w:rsidR="00CD4DEF">
        <w:t>.</w:t>
      </w:r>
      <w:r w:rsidR="006146CB">
        <w:t xml:space="preserve"> </w:t>
      </w:r>
      <w:r>
        <w:t xml:space="preserve"> For each </w:t>
      </w:r>
      <w:r w:rsidR="00A722D9">
        <w:t xml:space="preserve">geographic area the applicant seeks support, the applicant </w:t>
      </w:r>
      <w:r w:rsidR="00AE4E25">
        <w:t xml:space="preserve">specifies the </w:t>
      </w:r>
      <w:r w:rsidR="00524186">
        <w:t xml:space="preserve">specific </w:t>
      </w:r>
      <w:r w:rsidR="00AE4E25">
        <w:t xml:space="preserve">speed, usage, and latency </w:t>
      </w:r>
      <w:r w:rsidR="00524186">
        <w:t xml:space="preserve">in </w:t>
      </w:r>
      <w:r w:rsidR="000B5CC5">
        <w:t>Schedule B</w:t>
      </w:r>
      <w:r w:rsidR="009D3649">
        <w:t xml:space="preserve"> of </w:t>
      </w:r>
      <w:r w:rsidR="00442E95">
        <w:t xml:space="preserve">the Application </w:t>
      </w:r>
      <w:r w:rsidR="009D3649">
        <w:t>Form</w:t>
      </w:r>
      <w:r w:rsidR="00442E95">
        <w:t>.</w:t>
      </w:r>
      <w:r w:rsidR="00524186">
        <w:t xml:space="preserve"> </w:t>
      </w:r>
      <w:r w:rsidR="004A7DEA">
        <w:t xml:space="preserve"> We do not require a</w:t>
      </w:r>
      <w:r w:rsidR="00316600">
        <w:t>n applicant to propose the same network performance measures</w:t>
      </w:r>
      <w:r w:rsidR="00EB4ED6">
        <w:t xml:space="preserve"> for each geographic area it proposes to provide </w:t>
      </w:r>
      <w:r w:rsidR="004A7DEA">
        <w:t>voice and broadband service in the territory.</w:t>
      </w:r>
    </w:p>
    <w:p w:rsidR="002C57BA" w:rsidP="009B4670" w14:paraId="5988ECB5" w14:textId="57B2900F">
      <w:pPr>
        <w:pStyle w:val="ParaNum"/>
        <w:tabs>
          <w:tab w:val="clear" w:pos="1080"/>
          <w:tab w:val="num" w:pos="1440"/>
        </w:tabs>
      </w:pPr>
      <w:r>
        <w:t>Applicants that propose to meet th</w:t>
      </w:r>
      <w:r w:rsidR="00EB6023">
        <w:t>ese</w:t>
      </w:r>
      <w:r>
        <w:t xml:space="preserve"> minimum network speed and usage requirements will be assigned the maximum 50 points allotted for this category.</w:t>
      </w:r>
      <w:r w:rsidR="00CD4DEF">
        <w:t xml:space="preserve">  </w:t>
      </w:r>
      <w:r w:rsidR="00B7495E">
        <w:t xml:space="preserve">  </w:t>
      </w:r>
      <w:r w:rsidR="00162EC8">
        <w:t xml:space="preserve"> </w:t>
      </w:r>
    </w:p>
    <w:p w:rsidR="00CD4DEF" w:rsidP="009B4670" w14:paraId="2912BBD3" w14:textId="392E8690">
      <w:pPr>
        <w:pStyle w:val="ParaNum"/>
        <w:tabs>
          <w:tab w:val="clear" w:pos="1080"/>
          <w:tab w:val="num" w:pos="1440"/>
        </w:tabs>
      </w:pPr>
      <w:r>
        <w:t xml:space="preserve">To promote </w:t>
      </w:r>
      <w:r w:rsidR="00BA35D0">
        <w:t xml:space="preserve">the deployment of advanced networks and access to quality services, we provide point reductions </w:t>
      </w:r>
      <w:r w:rsidR="00B77A07">
        <w:t xml:space="preserve">only by meeting specific performance metrics.  </w:t>
      </w:r>
      <w:r w:rsidR="008A0D69">
        <w:t xml:space="preserve">Applicants will be given </w:t>
      </w:r>
      <w:r w:rsidR="00525084">
        <w:t xml:space="preserve">a points reduction if its proposed network speed and data usage </w:t>
      </w:r>
      <w:r w:rsidR="00D425B4">
        <w:t>is greater than</w:t>
      </w:r>
      <w:r w:rsidR="008E6786">
        <w:t xml:space="preserve"> or equal to</w:t>
      </w:r>
      <w:r w:rsidR="00D425B4">
        <w:t xml:space="preserve"> </w:t>
      </w:r>
      <w:r w:rsidR="008E6786">
        <w:t xml:space="preserve">speeds of </w:t>
      </w:r>
      <w:r w:rsidR="00D425B4">
        <w:t>100/20 Mbps and greater than</w:t>
      </w:r>
      <w:r w:rsidR="008E6786">
        <w:t xml:space="preserve"> or equal to</w:t>
      </w:r>
      <w:r w:rsidR="00D425B4">
        <w:t xml:space="preserve"> 2 TB of monthly data usage</w:t>
      </w:r>
      <w:r w:rsidR="008E6786">
        <w:t xml:space="preserve">.  </w:t>
      </w:r>
      <w:r>
        <w:t>Staff</w:t>
      </w:r>
      <w:r w:rsidRPr="00D122B6">
        <w:t xml:space="preserve"> </w:t>
      </w:r>
      <w:r>
        <w:t xml:space="preserve">will assign 25 points </w:t>
      </w:r>
      <w:r w:rsidR="00792BA7">
        <w:t xml:space="preserve">out of a possible 50 points </w:t>
      </w:r>
      <w:r>
        <w:t xml:space="preserve">to </w:t>
      </w:r>
      <w:r w:rsidR="00792BA7">
        <w:t xml:space="preserve">applicants </w:t>
      </w:r>
      <w:r>
        <w:t xml:space="preserve">that commit to deploy networks </w:t>
      </w:r>
      <w:r w:rsidR="009546C6">
        <w:t>meeting or exceeding these specified speeds and minimum data usage.</w:t>
      </w:r>
      <w:r w:rsidR="00792BA7">
        <w:t xml:space="preserve">  </w:t>
      </w:r>
      <w:r>
        <w:t xml:space="preserve">And staff will assign </w:t>
      </w:r>
      <w:r w:rsidR="002B04B5">
        <w:t>zero</w:t>
      </w:r>
      <w:r>
        <w:t xml:space="preserve"> points </w:t>
      </w:r>
      <w:r w:rsidR="0001416A">
        <w:t xml:space="preserve">only if an applicant’s proposal meets or exceeds speeds of </w:t>
      </w:r>
      <w:r w:rsidRPr="00D122B6">
        <w:t>1 Gbps</w:t>
      </w:r>
      <w:r>
        <w:t>/</w:t>
      </w:r>
      <w:r w:rsidRPr="00D122B6">
        <w:t xml:space="preserve">500 Mbps </w:t>
      </w:r>
      <w:r>
        <w:t xml:space="preserve">with </w:t>
      </w:r>
      <w:r w:rsidR="00EA7C28">
        <w:t xml:space="preserve">at least </w:t>
      </w:r>
      <w:r>
        <w:t xml:space="preserve">2TB </w:t>
      </w:r>
      <w:r w:rsidR="00EA7C28">
        <w:t xml:space="preserve">for </w:t>
      </w:r>
      <w:r w:rsidRPr="00D122B6">
        <w:t>monthly usage allowance</w:t>
      </w:r>
      <w:r w:rsidR="00C42822">
        <w:t>.</w:t>
      </w:r>
      <w:r w:rsidRPr="00C42822" w:rsidR="00C42822">
        <w:t xml:space="preserve"> </w:t>
      </w:r>
      <w:r w:rsidR="00C42822">
        <w:t xml:space="preserve"> Unlike the price per location category, applicants do not receive incremental decreases in assigned points for increases in speed or monthly data usage allowance that are less than those specified for the next performance tier.  </w:t>
      </w:r>
    </w:p>
    <w:p w:rsidR="00D13EFC" w:rsidRPr="00515D82" w:rsidP="001055B8" w14:paraId="5208722E" w14:textId="41B2B6EC">
      <w:pPr>
        <w:pStyle w:val="ParaNum"/>
        <w:tabs>
          <w:tab w:val="clear" w:pos="1080"/>
          <w:tab w:val="num" w:pos="1440"/>
        </w:tabs>
      </w:pPr>
      <w:r>
        <w:t>All applicants must provide services with</w:t>
      </w:r>
      <w:r w:rsidRPr="00AA2062">
        <w:t xml:space="preserve"> a </w:t>
      </w:r>
      <w:r>
        <w:t>maximum</w:t>
      </w:r>
      <w:r w:rsidRPr="00AA2062">
        <w:t xml:space="preserve"> </w:t>
      </w:r>
      <w:r>
        <w:t>roundtrip</w:t>
      </w:r>
      <w:r w:rsidRPr="00AA2062">
        <w:t xml:space="preserve"> broadband and voice latency of ≤ 750 milliseconds (ms)</w:t>
      </w:r>
      <w:r>
        <w:t xml:space="preserve"> or less,</w:t>
      </w:r>
      <w:r w:rsidRPr="00AA2062">
        <w:rPr>
          <w:i/>
          <w:iCs/>
        </w:rPr>
        <w:t xml:space="preserve"> </w:t>
      </w:r>
      <w:r>
        <w:t>but</w:t>
      </w:r>
      <w:r w:rsidRPr="00AA2062">
        <w:t xml:space="preserve"> </w:t>
      </w:r>
      <w:r w:rsidR="001C7509">
        <w:t xml:space="preserve">we will </w:t>
      </w:r>
      <w:r>
        <w:t xml:space="preserve">give preference to applicants with </w:t>
      </w:r>
      <w:r w:rsidRPr="00AA2062">
        <w:t xml:space="preserve">low-latency broadband and voice </w:t>
      </w:r>
      <w:r>
        <w:t>at or below 100 ms as shown in Table 4 below</w:t>
      </w:r>
      <w:r w:rsidRPr="00AA2062">
        <w:t xml:space="preserve">.  </w:t>
      </w:r>
      <w:r>
        <w:t>Staff will assign high-latency commitments</w:t>
      </w:r>
      <w:r w:rsidR="009C4478">
        <w:t xml:space="preserve"> the full</w:t>
      </w:r>
      <w:r>
        <w:t xml:space="preserve"> 40 points</w:t>
      </w:r>
      <w:r w:rsidR="009C4478">
        <w:t xml:space="preserve"> for this category</w:t>
      </w:r>
      <w:r w:rsidR="00AE026C">
        <w:t xml:space="preserve"> and assign zero point</w:t>
      </w:r>
      <w:r w:rsidR="00B541C4">
        <w:t>s</w:t>
      </w:r>
      <w:r w:rsidR="00AE026C">
        <w:t xml:space="preserve"> for </w:t>
      </w:r>
      <w:r w:rsidR="00B541C4">
        <w:t>a proposal with low-latency</w:t>
      </w:r>
      <w:r>
        <w:t xml:space="preserve">. </w:t>
      </w:r>
      <w:r w:rsidR="00415EA6">
        <w:t xml:space="preserve"> Similar to speed and usage, applicants do not receive incremental point reductions</w:t>
      </w:r>
      <w:r w:rsidR="00496D67">
        <w:t xml:space="preserve"> for latency performance that </w:t>
      </w:r>
      <w:r w:rsidR="003665B8">
        <w:t>are</w:t>
      </w:r>
      <w:r w:rsidR="00496D67">
        <w:t xml:space="preserve"> between </w:t>
      </w:r>
      <w:r w:rsidR="00C85B8C">
        <w:t>750 ms and 100 ms.</w:t>
      </w:r>
    </w:p>
    <w:p w:rsidR="00D13EFC" w:rsidRPr="00515D82" w:rsidP="00D13EFC" w14:paraId="2911287A" w14:textId="77777777">
      <w:pPr>
        <w:pStyle w:val="ParaNum"/>
        <w:keepNext/>
        <w:keepLines/>
        <w:numPr>
          <w:ilvl w:val="0"/>
          <w:numId w:val="0"/>
        </w:numPr>
        <w:jc w:val="center"/>
        <w:rPr>
          <w:b/>
        </w:rPr>
      </w:pPr>
      <w:r>
        <w:rPr>
          <w:b/>
        </w:rPr>
        <w:t>Table 3 — Network Performance Scoring (1 of 2) — Speed/Usage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09"/>
        <w:gridCol w:w="1458"/>
      </w:tblGrid>
      <w:tr w14:paraId="18264D72" w14:textId="77777777" w:rsidTr="00A2686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2187" w:type="dxa"/>
            <w:shd w:val="clear" w:color="auto" w:fill="D9D9D9"/>
          </w:tcPr>
          <w:p w:rsidR="00D13EFC" w:rsidRPr="003313AD" w:rsidP="00A2686E" w14:paraId="124A9B07" w14:textId="77777777">
            <w:pPr>
              <w:pStyle w:val="ParaNum"/>
              <w:keepNext/>
              <w:keepLines/>
              <w:numPr>
                <w:ilvl w:val="0"/>
                <w:numId w:val="0"/>
              </w:numPr>
              <w:rPr>
                <w:b/>
              </w:rPr>
            </w:pPr>
            <w:r w:rsidRPr="003313AD">
              <w:rPr>
                <w:b/>
              </w:rPr>
              <w:t>Speed</w:t>
            </w:r>
          </w:p>
        </w:tc>
        <w:tc>
          <w:tcPr>
            <w:tcW w:w="2709" w:type="dxa"/>
            <w:shd w:val="clear" w:color="auto" w:fill="D9D9D9"/>
          </w:tcPr>
          <w:p w:rsidR="00D13EFC" w:rsidRPr="003313AD" w:rsidP="00A2686E" w14:paraId="532A12B0" w14:textId="77777777">
            <w:pPr>
              <w:pStyle w:val="ParaNum"/>
              <w:keepNext/>
              <w:keepLines/>
              <w:numPr>
                <w:ilvl w:val="0"/>
                <w:numId w:val="0"/>
              </w:numPr>
              <w:rPr>
                <w:b/>
              </w:rPr>
            </w:pPr>
            <w:r>
              <w:rPr>
                <w:b/>
              </w:rPr>
              <w:t xml:space="preserve">Monthly </w:t>
            </w:r>
            <w:r w:rsidRPr="003313AD">
              <w:rPr>
                <w:b/>
              </w:rPr>
              <w:t>Usage Allowance</w:t>
            </w:r>
          </w:p>
        </w:tc>
        <w:tc>
          <w:tcPr>
            <w:tcW w:w="1458" w:type="dxa"/>
            <w:shd w:val="clear" w:color="auto" w:fill="D9D9D9"/>
          </w:tcPr>
          <w:p w:rsidR="00D13EFC" w:rsidRPr="003313AD" w:rsidP="00A2686E" w14:paraId="101BDE28" w14:textId="77777777">
            <w:pPr>
              <w:pStyle w:val="ParaNum"/>
              <w:keepNext/>
              <w:keepLines/>
              <w:numPr>
                <w:ilvl w:val="0"/>
                <w:numId w:val="0"/>
              </w:numPr>
              <w:rPr>
                <w:b/>
              </w:rPr>
            </w:pPr>
            <w:r>
              <w:rPr>
                <w:b/>
              </w:rPr>
              <w:t xml:space="preserve">Assigned </w:t>
            </w:r>
            <w:r w:rsidRPr="003313AD">
              <w:rPr>
                <w:b/>
              </w:rPr>
              <w:t>Points</w:t>
            </w:r>
            <w:r>
              <w:rPr>
                <w:b/>
              </w:rPr>
              <w:t xml:space="preserve"> </w:t>
            </w:r>
          </w:p>
        </w:tc>
      </w:tr>
      <w:tr w14:paraId="4FB4574D" w14:textId="77777777" w:rsidTr="00A2686E">
        <w:tblPrEx>
          <w:tblW w:w="0" w:type="auto"/>
          <w:jc w:val="center"/>
          <w:tblLook w:val="04A0"/>
        </w:tblPrEx>
        <w:trPr>
          <w:cantSplit/>
          <w:jc w:val="center"/>
        </w:trPr>
        <w:tc>
          <w:tcPr>
            <w:tcW w:w="2187" w:type="dxa"/>
            <w:shd w:val="clear" w:color="auto" w:fill="auto"/>
          </w:tcPr>
          <w:p w:rsidR="00D13EFC" w:rsidRPr="00B90D02" w:rsidP="00A2686E" w14:paraId="1075C8A3" w14:textId="77777777">
            <w:pPr>
              <w:pStyle w:val="ParaNum"/>
              <w:keepNext/>
              <w:keepLines/>
              <w:numPr>
                <w:ilvl w:val="0"/>
                <w:numId w:val="0"/>
              </w:numPr>
            </w:pPr>
            <w:r w:rsidRPr="003313AD">
              <w:rPr>
                <w:rFonts w:eastAsia="Calibri"/>
                <w:kern w:val="0"/>
                <w:szCs w:val="22"/>
              </w:rPr>
              <w:t>≥ 25/3 Mbps</w:t>
            </w:r>
          </w:p>
        </w:tc>
        <w:tc>
          <w:tcPr>
            <w:tcW w:w="2709" w:type="dxa"/>
            <w:shd w:val="clear" w:color="auto" w:fill="auto"/>
          </w:tcPr>
          <w:p w:rsidR="00D13EFC" w:rsidRPr="00B90D02" w:rsidP="00A2686E" w14:paraId="119ECDDD" w14:textId="77777777">
            <w:pPr>
              <w:pStyle w:val="ParaNum"/>
              <w:keepNext/>
              <w:keepLines/>
              <w:numPr>
                <w:ilvl w:val="0"/>
                <w:numId w:val="0"/>
              </w:numPr>
            </w:pPr>
            <w:r w:rsidRPr="003313AD">
              <w:rPr>
                <w:rFonts w:eastAsia="Calibri"/>
                <w:kern w:val="0"/>
                <w:szCs w:val="22"/>
              </w:rPr>
              <w:t>≥ 200 GB or U.S. median, whichever is higher</w:t>
            </w:r>
          </w:p>
        </w:tc>
        <w:tc>
          <w:tcPr>
            <w:tcW w:w="1458" w:type="dxa"/>
            <w:shd w:val="clear" w:color="auto" w:fill="auto"/>
          </w:tcPr>
          <w:p w:rsidR="00D13EFC" w:rsidP="00A2686E" w14:paraId="144C570D" w14:textId="77777777">
            <w:pPr>
              <w:pStyle w:val="ParaNum"/>
              <w:keepNext/>
              <w:keepLines/>
              <w:numPr>
                <w:ilvl w:val="0"/>
                <w:numId w:val="0"/>
              </w:numPr>
            </w:pPr>
            <w:r>
              <w:t>50</w:t>
            </w:r>
          </w:p>
        </w:tc>
      </w:tr>
      <w:tr w14:paraId="63F13C30" w14:textId="77777777" w:rsidTr="00A2686E">
        <w:tblPrEx>
          <w:tblW w:w="0" w:type="auto"/>
          <w:jc w:val="center"/>
          <w:tblLook w:val="04A0"/>
        </w:tblPrEx>
        <w:trPr>
          <w:cantSplit/>
          <w:jc w:val="center"/>
        </w:trPr>
        <w:tc>
          <w:tcPr>
            <w:tcW w:w="2187" w:type="dxa"/>
            <w:shd w:val="clear" w:color="auto" w:fill="auto"/>
          </w:tcPr>
          <w:p w:rsidR="00D13EFC" w:rsidRPr="00B90D02" w:rsidP="00A2686E" w14:paraId="54860D0C" w14:textId="77777777">
            <w:pPr>
              <w:pStyle w:val="ParaNum"/>
              <w:keepNext/>
              <w:keepLines/>
              <w:numPr>
                <w:ilvl w:val="0"/>
                <w:numId w:val="0"/>
              </w:numPr>
            </w:pPr>
            <w:r w:rsidRPr="003313AD">
              <w:rPr>
                <w:rFonts w:eastAsia="Calibri"/>
                <w:kern w:val="0"/>
                <w:szCs w:val="22"/>
              </w:rPr>
              <w:t>≥100/20 Mbps</w:t>
            </w:r>
          </w:p>
        </w:tc>
        <w:tc>
          <w:tcPr>
            <w:tcW w:w="2709" w:type="dxa"/>
            <w:shd w:val="clear" w:color="auto" w:fill="auto"/>
          </w:tcPr>
          <w:p w:rsidR="00D13EFC" w:rsidRPr="00B90D02" w:rsidP="00A2686E" w14:paraId="35AF6AAA" w14:textId="77777777">
            <w:pPr>
              <w:pStyle w:val="ParaNum"/>
              <w:keepNext/>
              <w:keepLines/>
              <w:numPr>
                <w:ilvl w:val="0"/>
                <w:numId w:val="0"/>
              </w:numPr>
            </w:pPr>
            <w:r w:rsidRPr="003313AD">
              <w:rPr>
                <w:rFonts w:eastAsia="Calibri"/>
                <w:kern w:val="0"/>
                <w:szCs w:val="22"/>
              </w:rPr>
              <w:t>≥ 2 TB</w:t>
            </w:r>
          </w:p>
        </w:tc>
        <w:tc>
          <w:tcPr>
            <w:tcW w:w="1458" w:type="dxa"/>
            <w:shd w:val="clear" w:color="auto" w:fill="auto"/>
          </w:tcPr>
          <w:p w:rsidR="00D13EFC" w:rsidP="00A2686E" w14:paraId="259BC56A" w14:textId="77777777">
            <w:pPr>
              <w:pStyle w:val="ParaNum"/>
              <w:keepNext/>
              <w:keepLines/>
              <w:numPr>
                <w:ilvl w:val="0"/>
                <w:numId w:val="0"/>
              </w:numPr>
            </w:pPr>
            <w:r>
              <w:t>25</w:t>
            </w:r>
          </w:p>
        </w:tc>
      </w:tr>
      <w:tr w14:paraId="10329BDC" w14:textId="77777777" w:rsidTr="00A2686E">
        <w:tblPrEx>
          <w:tblW w:w="0" w:type="auto"/>
          <w:jc w:val="center"/>
          <w:tblLook w:val="04A0"/>
        </w:tblPrEx>
        <w:trPr>
          <w:cantSplit/>
          <w:jc w:val="center"/>
        </w:trPr>
        <w:tc>
          <w:tcPr>
            <w:tcW w:w="2187" w:type="dxa"/>
            <w:shd w:val="clear" w:color="auto" w:fill="auto"/>
          </w:tcPr>
          <w:p w:rsidR="00D13EFC" w:rsidRPr="00B90D02" w:rsidP="00A2686E" w14:paraId="389EDE9F" w14:textId="77777777">
            <w:pPr>
              <w:pStyle w:val="ParaNum"/>
              <w:keepNext/>
              <w:keepLines/>
              <w:numPr>
                <w:ilvl w:val="0"/>
                <w:numId w:val="0"/>
              </w:numPr>
            </w:pPr>
            <w:r w:rsidRPr="003313AD">
              <w:rPr>
                <w:rFonts w:eastAsia="Calibri"/>
                <w:kern w:val="0"/>
                <w:szCs w:val="22"/>
              </w:rPr>
              <w:t>1 Gbps/500 Mbps</w:t>
            </w:r>
          </w:p>
        </w:tc>
        <w:tc>
          <w:tcPr>
            <w:tcW w:w="2709" w:type="dxa"/>
            <w:shd w:val="clear" w:color="auto" w:fill="auto"/>
          </w:tcPr>
          <w:p w:rsidR="00D13EFC" w:rsidRPr="00B90D02" w:rsidP="00A2686E" w14:paraId="41CF43CB" w14:textId="77777777">
            <w:pPr>
              <w:pStyle w:val="ParaNum"/>
              <w:keepNext/>
              <w:keepLines/>
              <w:numPr>
                <w:ilvl w:val="0"/>
                <w:numId w:val="0"/>
              </w:numPr>
            </w:pPr>
            <w:r w:rsidRPr="003313AD">
              <w:rPr>
                <w:rFonts w:eastAsia="Calibri"/>
                <w:kern w:val="0"/>
                <w:szCs w:val="22"/>
              </w:rPr>
              <w:t>≥ 2 TB</w:t>
            </w:r>
          </w:p>
        </w:tc>
        <w:tc>
          <w:tcPr>
            <w:tcW w:w="1458" w:type="dxa"/>
            <w:shd w:val="clear" w:color="auto" w:fill="auto"/>
          </w:tcPr>
          <w:p w:rsidR="00D13EFC" w:rsidP="00A2686E" w14:paraId="476887E8" w14:textId="77777777">
            <w:pPr>
              <w:pStyle w:val="ParaNum"/>
              <w:keepNext/>
              <w:keepLines/>
              <w:numPr>
                <w:ilvl w:val="0"/>
                <w:numId w:val="0"/>
              </w:numPr>
            </w:pPr>
            <w:r>
              <w:t>0</w:t>
            </w:r>
          </w:p>
        </w:tc>
      </w:tr>
    </w:tbl>
    <w:p w:rsidR="00CD4DEF" w:rsidP="001C7509" w14:paraId="4E1F9E1F" w14:textId="77777777">
      <w:pPr>
        <w:pStyle w:val="ParaNum"/>
        <w:numPr>
          <w:ilvl w:val="0"/>
          <w:numId w:val="0"/>
        </w:numPr>
      </w:pPr>
    </w:p>
    <w:p w:rsidR="00CD4DEF" w:rsidRPr="008D4B2C" w:rsidP="00701932" w14:paraId="2F1A6C19" w14:textId="77777777">
      <w:pPr>
        <w:pStyle w:val="ParaNum"/>
        <w:keepNext/>
        <w:keepLines/>
        <w:numPr>
          <w:ilvl w:val="0"/>
          <w:numId w:val="0"/>
        </w:numPr>
        <w:jc w:val="center"/>
        <w:rPr>
          <w:b/>
        </w:rPr>
      </w:pPr>
      <w:r w:rsidRPr="008D4B2C">
        <w:rPr>
          <w:b/>
        </w:rPr>
        <w:t xml:space="preserve">Table </w:t>
      </w:r>
      <w:r>
        <w:rPr>
          <w:b/>
        </w:rPr>
        <w:t>4</w:t>
      </w:r>
      <w:r w:rsidRPr="008D4B2C">
        <w:rPr>
          <w:b/>
        </w:rPr>
        <w:t xml:space="preserve"> — Network Performance Scoring (</w:t>
      </w:r>
      <w:r>
        <w:rPr>
          <w:b/>
        </w:rPr>
        <w:t>2</w:t>
      </w:r>
      <w:r w:rsidRPr="008D4B2C">
        <w:rPr>
          <w:b/>
        </w:rPr>
        <w:t xml:space="preserve"> of 2) — </w:t>
      </w:r>
      <w:r>
        <w:rPr>
          <w:b/>
        </w:rPr>
        <w:t>Latency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09"/>
        <w:gridCol w:w="1458"/>
      </w:tblGrid>
      <w:tr w14:paraId="176BFDDB" w14:textId="77777777" w:rsidTr="00A2686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2187" w:type="dxa"/>
            <w:shd w:val="clear" w:color="auto" w:fill="D9D9D9"/>
          </w:tcPr>
          <w:p w:rsidR="00CD4DEF" w:rsidRPr="003313AD" w:rsidP="00701932" w14:paraId="23B1CC9B" w14:textId="77777777">
            <w:pPr>
              <w:pStyle w:val="ParaNum"/>
              <w:keepNext/>
              <w:keepLines/>
              <w:numPr>
                <w:ilvl w:val="0"/>
                <w:numId w:val="0"/>
              </w:numPr>
              <w:rPr>
                <w:b/>
              </w:rPr>
            </w:pPr>
            <w:r w:rsidRPr="003313AD">
              <w:rPr>
                <w:b/>
              </w:rPr>
              <w:t>Latency</w:t>
            </w:r>
          </w:p>
        </w:tc>
        <w:tc>
          <w:tcPr>
            <w:tcW w:w="2709" w:type="dxa"/>
            <w:shd w:val="clear" w:color="auto" w:fill="D9D9D9"/>
          </w:tcPr>
          <w:p w:rsidR="00CD4DEF" w:rsidRPr="003313AD" w:rsidP="00701932" w14:paraId="770321C2" w14:textId="77777777">
            <w:pPr>
              <w:pStyle w:val="ParaNum"/>
              <w:keepNext/>
              <w:keepLines/>
              <w:numPr>
                <w:ilvl w:val="0"/>
                <w:numId w:val="0"/>
              </w:numPr>
              <w:rPr>
                <w:b/>
              </w:rPr>
            </w:pPr>
            <w:r w:rsidRPr="003313AD">
              <w:rPr>
                <w:b/>
              </w:rPr>
              <w:t>Requirement</w:t>
            </w:r>
          </w:p>
        </w:tc>
        <w:tc>
          <w:tcPr>
            <w:tcW w:w="1458" w:type="dxa"/>
            <w:shd w:val="clear" w:color="auto" w:fill="D9D9D9"/>
          </w:tcPr>
          <w:p w:rsidR="00CD4DEF" w:rsidRPr="003313AD" w:rsidP="00701932" w14:paraId="4E330C4E" w14:textId="77777777">
            <w:pPr>
              <w:pStyle w:val="ParaNum"/>
              <w:keepNext/>
              <w:keepLines/>
              <w:numPr>
                <w:ilvl w:val="0"/>
                <w:numId w:val="0"/>
              </w:numPr>
              <w:rPr>
                <w:b/>
              </w:rPr>
            </w:pPr>
            <w:r>
              <w:rPr>
                <w:b/>
              </w:rPr>
              <w:t xml:space="preserve">Assigned </w:t>
            </w:r>
            <w:r w:rsidRPr="003313AD">
              <w:rPr>
                <w:b/>
              </w:rPr>
              <w:t>Points</w:t>
            </w:r>
            <w:r>
              <w:rPr>
                <w:b/>
              </w:rPr>
              <w:t xml:space="preserve"> </w:t>
            </w:r>
          </w:p>
        </w:tc>
      </w:tr>
      <w:tr w14:paraId="6BB12D09" w14:textId="77777777" w:rsidTr="00A2686E">
        <w:tblPrEx>
          <w:tblW w:w="0" w:type="auto"/>
          <w:jc w:val="center"/>
          <w:tblLook w:val="04A0"/>
        </w:tblPrEx>
        <w:trPr>
          <w:cantSplit/>
          <w:jc w:val="center"/>
        </w:trPr>
        <w:tc>
          <w:tcPr>
            <w:tcW w:w="2187" w:type="dxa"/>
            <w:shd w:val="clear" w:color="auto" w:fill="auto"/>
          </w:tcPr>
          <w:p w:rsidR="00CD4DEF" w:rsidRPr="00B90D02" w:rsidP="00701932" w14:paraId="24F67528" w14:textId="77777777">
            <w:pPr>
              <w:pStyle w:val="ParaNum"/>
              <w:keepNext/>
              <w:keepLines/>
              <w:numPr>
                <w:ilvl w:val="0"/>
                <w:numId w:val="0"/>
              </w:numPr>
            </w:pPr>
            <w:r w:rsidRPr="003313AD">
              <w:rPr>
                <w:rFonts w:eastAsia="Calibri"/>
                <w:kern w:val="0"/>
                <w:szCs w:val="22"/>
              </w:rPr>
              <w:t>Low</w:t>
            </w:r>
          </w:p>
        </w:tc>
        <w:tc>
          <w:tcPr>
            <w:tcW w:w="2709" w:type="dxa"/>
            <w:shd w:val="clear" w:color="auto" w:fill="auto"/>
          </w:tcPr>
          <w:p w:rsidR="00CD4DEF" w:rsidRPr="00B90D02" w:rsidP="00701932" w14:paraId="1DF934A8" w14:textId="77777777">
            <w:pPr>
              <w:pStyle w:val="ParaNum"/>
              <w:keepNext/>
              <w:keepLines/>
              <w:numPr>
                <w:ilvl w:val="0"/>
                <w:numId w:val="0"/>
              </w:numPr>
            </w:pPr>
            <w:r w:rsidRPr="003313AD">
              <w:rPr>
                <w:rFonts w:eastAsia="Calibri"/>
                <w:kern w:val="0"/>
                <w:szCs w:val="22"/>
              </w:rPr>
              <w:t>≤ 100 ms</w:t>
            </w:r>
          </w:p>
        </w:tc>
        <w:tc>
          <w:tcPr>
            <w:tcW w:w="1458" w:type="dxa"/>
            <w:shd w:val="clear" w:color="auto" w:fill="auto"/>
          </w:tcPr>
          <w:p w:rsidR="00CD4DEF" w:rsidP="00701932" w14:paraId="7C65E28D" w14:textId="77777777">
            <w:pPr>
              <w:pStyle w:val="ParaNum"/>
              <w:keepNext/>
              <w:keepLines/>
              <w:numPr>
                <w:ilvl w:val="0"/>
                <w:numId w:val="0"/>
              </w:numPr>
            </w:pPr>
            <w:r>
              <w:t>0</w:t>
            </w:r>
          </w:p>
        </w:tc>
      </w:tr>
      <w:tr w14:paraId="2FFFE115" w14:textId="77777777" w:rsidTr="00A2686E">
        <w:tblPrEx>
          <w:tblW w:w="0" w:type="auto"/>
          <w:jc w:val="center"/>
          <w:tblLook w:val="04A0"/>
        </w:tblPrEx>
        <w:trPr>
          <w:cantSplit/>
          <w:jc w:val="center"/>
        </w:trPr>
        <w:tc>
          <w:tcPr>
            <w:tcW w:w="2187" w:type="dxa"/>
            <w:shd w:val="clear" w:color="auto" w:fill="auto"/>
          </w:tcPr>
          <w:p w:rsidR="00CD4DEF" w:rsidRPr="00B90D02" w:rsidP="00A2686E" w14:paraId="0719AF2E" w14:textId="77777777">
            <w:pPr>
              <w:pStyle w:val="ParaNum"/>
              <w:keepNext/>
              <w:keepLines/>
              <w:numPr>
                <w:ilvl w:val="0"/>
                <w:numId w:val="0"/>
              </w:numPr>
            </w:pPr>
            <w:r w:rsidRPr="003313AD">
              <w:rPr>
                <w:rFonts w:eastAsia="Calibri"/>
                <w:kern w:val="0"/>
                <w:szCs w:val="22"/>
              </w:rPr>
              <w:t>High</w:t>
            </w:r>
          </w:p>
        </w:tc>
        <w:tc>
          <w:tcPr>
            <w:tcW w:w="2709" w:type="dxa"/>
            <w:shd w:val="clear" w:color="auto" w:fill="auto"/>
          </w:tcPr>
          <w:p w:rsidR="00CD4DEF" w:rsidRPr="00B90D02" w:rsidP="00A2686E" w14:paraId="7F622364" w14:textId="77777777">
            <w:pPr>
              <w:pStyle w:val="ParaNum"/>
              <w:keepNext/>
              <w:keepLines/>
              <w:numPr>
                <w:ilvl w:val="0"/>
                <w:numId w:val="0"/>
              </w:numPr>
            </w:pPr>
            <w:r w:rsidRPr="003313AD">
              <w:rPr>
                <w:rFonts w:eastAsia="Calibri"/>
                <w:kern w:val="0"/>
                <w:szCs w:val="22"/>
              </w:rPr>
              <w:t>≤ 750 ms</w:t>
            </w:r>
          </w:p>
        </w:tc>
        <w:tc>
          <w:tcPr>
            <w:tcW w:w="1458" w:type="dxa"/>
            <w:shd w:val="clear" w:color="auto" w:fill="auto"/>
          </w:tcPr>
          <w:p w:rsidR="00CD4DEF" w:rsidP="00A2686E" w14:paraId="72F4AF8E" w14:textId="77777777">
            <w:pPr>
              <w:pStyle w:val="ParaNum"/>
              <w:keepNext/>
              <w:keepLines/>
              <w:numPr>
                <w:ilvl w:val="0"/>
                <w:numId w:val="0"/>
              </w:numPr>
            </w:pPr>
            <w:r>
              <w:t>40</w:t>
            </w:r>
          </w:p>
        </w:tc>
      </w:tr>
    </w:tbl>
    <w:p w:rsidR="00F16A63" w:rsidP="00701932" w14:paraId="42D06ADA" w14:textId="3D8B77A2">
      <w:pPr>
        <w:pStyle w:val="Heading3"/>
        <w:spacing w:before="120"/>
      </w:pPr>
      <w:bookmarkStart w:id="2086" w:name="_Toc22643896"/>
      <w:bookmarkStart w:id="2087" w:name="_Toc30099859"/>
      <w:bookmarkStart w:id="2088" w:name="_Toc31809575"/>
      <w:r>
        <w:t>Network Resiliency and Redundancy</w:t>
      </w:r>
      <w:bookmarkEnd w:id="2086"/>
      <w:bookmarkEnd w:id="2087"/>
      <w:bookmarkEnd w:id="2088"/>
      <w:r>
        <w:t xml:space="preserve"> </w:t>
      </w:r>
    </w:p>
    <w:p w:rsidR="007F1F07" w:rsidP="00446B48" w14:paraId="7DF82E2B" w14:textId="5FE72A92">
      <w:pPr>
        <w:pStyle w:val="ParaNum"/>
        <w:tabs>
          <w:tab w:val="clear" w:pos="1080"/>
          <w:tab w:val="num" w:pos="1440"/>
        </w:tabs>
      </w:pPr>
      <w:r>
        <w:t>Bureau staff will</w:t>
      </w:r>
      <w:r w:rsidRPr="00AA2062">
        <w:t xml:space="preserve"> </w:t>
      </w:r>
      <w:r>
        <w:t xml:space="preserve">evaluate resiliency and redundancy by assigning points for a </w:t>
      </w:r>
      <w:r w:rsidRPr="00AA2062">
        <w:t xml:space="preserve">few key, objective </w:t>
      </w:r>
      <w:r>
        <w:t>criteria</w:t>
      </w:r>
      <w:r w:rsidR="006D3297">
        <w:t xml:space="preserve"> specified in Schedule B of</w:t>
      </w:r>
      <w:r w:rsidR="00A56EAE">
        <w:t xml:space="preserve"> the Application</w:t>
      </w:r>
      <w:r w:rsidR="006D3297">
        <w:t xml:space="preserve"> Form</w:t>
      </w:r>
      <w:r w:rsidR="00A56EAE">
        <w:t>.</w:t>
      </w:r>
      <w:r w:rsidRPr="00AA2062">
        <w:t xml:space="preserve">  </w:t>
      </w:r>
      <w:r w:rsidR="00B5230F">
        <w:t>Bureau staff will</w:t>
      </w:r>
      <w:r>
        <w:t xml:space="preserve"> award a</w:t>
      </w:r>
      <w:r w:rsidRPr="00CA7E28">
        <w:t xml:space="preserve"> points </w:t>
      </w:r>
      <w:r>
        <w:t xml:space="preserve">preference based on the level </w:t>
      </w:r>
      <w:r w:rsidRPr="00CA7E28">
        <w:t xml:space="preserve">of </w:t>
      </w:r>
      <w:r>
        <w:t>resilience</w:t>
      </w:r>
      <w:r w:rsidRPr="00CA7E28">
        <w:t xml:space="preserve"> </w:t>
      </w:r>
      <w:r>
        <w:t xml:space="preserve">an applicant proposes to build into its network </w:t>
      </w:r>
      <w:r w:rsidRPr="00CA7E28">
        <w:t xml:space="preserve">and/or </w:t>
      </w:r>
      <w:r>
        <w:t>the redundancy</w:t>
      </w:r>
      <w:r w:rsidRPr="00CA7E28">
        <w:t xml:space="preserve"> or diversity </w:t>
      </w:r>
      <w:r>
        <w:t>it proposes to create in</w:t>
      </w:r>
      <w:r w:rsidRPr="00CA7E28">
        <w:t xml:space="preserve"> its network</w:t>
      </w:r>
      <w:r w:rsidR="00052ACE">
        <w:t xml:space="preserve"> as measured </w:t>
      </w:r>
      <w:r w:rsidR="00596B9F">
        <w:t>in</w:t>
      </w:r>
      <w:r w:rsidR="00052ACE">
        <w:t xml:space="preserve"> </w:t>
      </w:r>
      <w:r w:rsidR="00596B9F">
        <w:t xml:space="preserve">network miles.  </w:t>
      </w:r>
    </w:p>
    <w:p w:rsidR="00446B48" w:rsidP="00446B48" w14:paraId="5DA640E4" w14:textId="441AC23E">
      <w:pPr>
        <w:pStyle w:val="ParaNum"/>
        <w:tabs>
          <w:tab w:val="clear" w:pos="1080"/>
          <w:tab w:val="num" w:pos="1440"/>
        </w:tabs>
      </w:pPr>
      <w:r>
        <w:t>Applicants must provide</w:t>
      </w:r>
      <w:r w:rsidR="004D4FAA">
        <w:t xml:space="preserve"> data concerning its </w:t>
      </w:r>
      <w:r w:rsidR="00075EFB">
        <w:t xml:space="preserve">proposed network for each geographic area for </w:t>
      </w:r>
      <w:r w:rsidR="00FD2B3E">
        <w:t>evaluation and scoring</w:t>
      </w:r>
      <w:r w:rsidR="00075EFB">
        <w:t xml:space="preserve">.  </w:t>
      </w:r>
      <w:r w:rsidR="00780374">
        <w:t xml:space="preserve">Applicants must provide </w:t>
      </w:r>
      <w:r>
        <w:t xml:space="preserve">the total network miles </w:t>
      </w:r>
      <w:r w:rsidR="00780374">
        <w:t>within the geographic area</w:t>
      </w:r>
      <w:r w:rsidR="00E84DAA">
        <w:t xml:space="preserve">.  Applicants must </w:t>
      </w:r>
      <w:r w:rsidR="00D602A5">
        <w:t>further</w:t>
      </w:r>
      <w:r w:rsidR="00E84DAA">
        <w:t xml:space="preserve"> provide </w:t>
      </w:r>
      <w:r w:rsidR="00976EE1">
        <w:t xml:space="preserve">the amount of </w:t>
      </w:r>
      <w:r w:rsidR="00D602A5">
        <w:t xml:space="preserve">its </w:t>
      </w:r>
      <w:r w:rsidR="00FD2B3E">
        <w:t xml:space="preserve">total </w:t>
      </w:r>
      <w:r w:rsidR="00976EE1">
        <w:t>network miles that consis</w:t>
      </w:r>
      <w:r w:rsidR="00D602A5">
        <w:t>t</w:t>
      </w:r>
      <w:r w:rsidR="00477B6D">
        <w:t>s</w:t>
      </w:r>
      <w:r w:rsidR="00D602A5">
        <w:t xml:space="preserve"> </w:t>
      </w:r>
      <w:r>
        <w:t xml:space="preserve">of </w:t>
      </w:r>
      <w:r w:rsidR="00477B6D">
        <w:t>buried fiber, aerial fiber using standard poles, aerial fiber using comp</w:t>
      </w:r>
      <w:r w:rsidR="00B95047">
        <w:t xml:space="preserve">osite high-wind rated poles, </w:t>
      </w:r>
      <w:r w:rsidR="004612F9">
        <w:t xml:space="preserve">and </w:t>
      </w:r>
      <w:r w:rsidR="00B95047">
        <w:t>fixed wireless</w:t>
      </w:r>
      <w:r w:rsidR="006A16FE">
        <w:t xml:space="preserve"> technology. </w:t>
      </w:r>
      <w:r w:rsidR="0049267E">
        <w:t xml:space="preserve"> </w:t>
      </w:r>
      <w:r w:rsidR="003C0AFD">
        <w:t>An applicant will receive a score for network resilience based on the percentage of these technologies</w:t>
      </w:r>
      <w:r w:rsidR="00164126">
        <w:t>, as measured by network miles,</w:t>
      </w:r>
      <w:r w:rsidR="003C0AFD">
        <w:t xml:space="preserve"> </w:t>
      </w:r>
      <w:r w:rsidR="00164126">
        <w:t xml:space="preserve">that comprise the entire network within the geographic area.  </w:t>
      </w:r>
      <w:r w:rsidR="0049267E">
        <w:t xml:space="preserve">We </w:t>
      </w:r>
      <w:r w:rsidR="00FC10FD">
        <w:t>assign the full 60</w:t>
      </w:r>
      <w:r w:rsidR="009202FE">
        <w:t xml:space="preserve"> </w:t>
      </w:r>
      <w:r w:rsidR="00FC10FD">
        <w:t>points for this category to a</w:t>
      </w:r>
      <w:r w:rsidR="00067BE1">
        <w:t xml:space="preserve"> network comprised entirely of </w:t>
      </w:r>
      <w:r w:rsidR="006F08CA">
        <w:t xml:space="preserve">aerial fiber </w:t>
      </w:r>
      <w:r w:rsidR="00FE5A91">
        <w:t>using standard poles</w:t>
      </w:r>
      <w:r w:rsidR="00067BE1">
        <w:t>,</w:t>
      </w:r>
      <w:r w:rsidR="00FE5A91">
        <w:t xml:space="preserve"> and provide the greatest preference, </w:t>
      </w:r>
      <w:r w:rsidR="00067BE1">
        <w:t>with</w:t>
      </w:r>
      <w:r w:rsidR="00FE5A91">
        <w:t xml:space="preserve"> least amount of points, to an all-buried fiber </w:t>
      </w:r>
      <w:r w:rsidR="007D4488">
        <w:t xml:space="preserve">network.  </w:t>
      </w:r>
      <w:r w:rsidR="001F7E39">
        <w:t>Bureau staff</w:t>
      </w:r>
      <w:r w:rsidR="00441799">
        <w:t xml:space="preserve"> will assign as few as zero points for a</w:t>
      </w:r>
      <w:r w:rsidR="003A6927">
        <w:t xml:space="preserve"> network</w:t>
      </w:r>
      <w:r w:rsidR="00441799">
        <w:t xml:space="preserve"> resiliency solution that relies on all-buried fiber</w:t>
      </w:r>
      <w:r w:rsidR="00702E28">
        <w:t>.</w:t>
      </w:r>
    </w:p>
    <w:p w:rsidR="00AE13FF" w:rsidRPr="001C7509" w:rsidP="001C7509" w14:paraId="61D29658" w14:textId="6F95DF9C">
      <w:pPr>
        <w:pStyle w:val="ParaNum"/>
        <w:tabs>
          <w:tab w:val="clear" w:pos="1080"/>
          <w:tab w:val="num" w:pos="1440"/>
        </w:tabs>
      </w:pPr>
      <w:r>
        <w:t xml:space="preserve">Finally, Bureau staff will assign up to 20 points depending on whether an applicant proposes a redundancy solution that includes a backup network or path diversity.  </w:t>
      </w:r>
      <w:r w:rsidR="007C7496">
        <w:t>Network diversity means maintaining a separate communication</w:t>
      </w:r>
      <w:r w:rsidR="005E3E7D">
        <w:t>s</w:t>
      </w:r>
      <w:r w:rsidR="007C7496">
        <w:t xml:space="preserve"> network that can provide services should the first type fail.  </w:t>
      </w:r>
      <w:r w:rsidR="007D5554">
        <w:t xml:space="preserve">Path diversity means that there is an alternate route to achieving communications within the network.  </w:t>
      </w:r>
      <w:r>
        <w:t xml:space="preserve">Specifically, staff will assign no points for a proposal that includes either a backup network or path redundancy, and staff will assign 20 points to a proposal that includes neither a backup network or path redundancy.  </w:t>
      </w:r>
      <w:r w:rsidR="00A85108">
        <w:t>Applicants must specify the amount of network miles</w:t>
      </w:r>
      <w:r w:rsidR="00D24937">
        <w:t xml:space="preserve"> within the geographic area</w:t>
      </w:r>
      <w:r w:rsidR="00A85108">
        <w:t xml:space="preserve"> that include </w:t>
      </w:r>
      <w:r w:rsidR="00D34377">
        <w:t>a backup network, path diversity, or both</w:t>
      </w:r>
      <w:r w:rsidR="00D24937">
        <w:t xml:space="preserve">.  </w:t>
      </w:r>
      <w:r>
        <w:t>Bureau staff will not deduct points for satellite providers for redundancy simply based on the availability of a backup satellite path.</w:t>
      </w:r>
      <w:r w:rsidR="004E27C0">
        <w:t xml:space="preserve">  </w:t>
      </w:r>
      <w:r w:rsidR="007F6BAD">
        <w:t>S</w:t>
      </w:r>
      <w:r w:rsidR="00EE5A7E">
        <w:t xml:space="preserve">atellite providers </w:t>
      </w:r>
      <w:r w:rsidR="00682FA2">
        <w:t>will receive a reduction in points based on the percentage of locations that it intends to reach with a backup network.</w:t>
      </w:r>
      <w:r>
        <w:t xml:space="preserve">  Although </w:t>
      </w:r>
      <w:r w:rsidRPr="00CA7E28">
        <w:t xml:space="preserve">scoring </w:t>
      </w:r>
      <w:r>
        <w:t xml:space="preserve">will </w:t>
      </w:r>
      <w:r w:rsidRPr="00CA7E28">
        <w:t>equally reward a carrier for building in e</w:t>
      </w:r>
      <w:r>
        <w:t xml:space="preserve">ither network or path diversity, we encourage carriers to build both into their network wherever possible as a best practice for building a storm-hardened network.  </w:t>
      </w:r>
    </w:p>
    <w:p w:rsidR="00446B48" w:rsidRPr="001F7E39" w:rsidP="00701932" w14:paraId="15018323" w14:textId="7A1A6646">
      <w:pPr>
        <w:pStyle w:val="ParaNum"/>
        <w:keepNext/>
        <w:keepLines/>
        <w:numPr>
          <w:ilvl w:val="0"/>
          <w:numId w:val="0"/>
        </w:numPr>
        <w:ind w:left="1440" w:firstLine="720"/>
        <w:rPr>
          <w:b/>
        </w:rPr>
      </w:pPr>
      <w:r w:rsidRPr="001F7E39">
        <w:rPr>
          <w:b/>
        </w:rPr>
        <w:t>Table 5 — Network Resilience and Redundancy Scoring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00"/>
      </w:tblGrid>
      <w:tr w14:paraId="3DC33050" w14:textId="77777777" w:rsidTr="00A2686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3348" w:type="dxa"/>
            <w:shd w:val="clear" w:color="auto" w:fill="D9D9D9"/>
          </w:tcPr>
          <w:p w:rsidR="00446B48" w:rsidRPr="003313AD" w:rsidP="00701932" w14:paraId="76108F7B" w14:textId="77777777">
            <w:pPr>
              <w:pStyle w:val="ParaNum"/>
              <w:keepNext/>
              <w:keepLines/>
              <w:numPr>
                <w:ilvl w:val="0"/>
                <w:numId w:val="0"/>
              </w:numPr>
              <w:rPr>
                <w:b/>
              </w:rPr>
            </w:pPr>
            <w:r w:rsidRPr="003313AD">
              <w:rPr>
                <w:b/>
              </w:rPr>
              <w:t>Network Resilienc</w:t>
            </w:r>
            <w:r>
              <w:rPr>
                <w:b/>
              </w:rPr>
              <w:t>e</w:t>
            </w:r>
            <w:r w:rsidRPr="003313AD">
              <w:rPr>
                <w:b/>
              </w:rPr>
              <w:t xml:space="preserve"> and Redundancy Measures</w:t>
            </w:r>
          </w:p>
        </w:tc>
        <w:tc>
          <w:tcPr>
            <w:tcW w:w="2700" w:type="dxa"/>
            <w:shd w:val="clear" w:color="auto" w:fill="D9D9D9"/>
          </w:tcPr>
          <w:p w:rsidR="00446B48" w:rsidRPr="003313AD" w:rsidP="00701932" w14:paraId="745D639B" w14:textId="77777777">
            <w:pPr>
              <w:pStyle w:val="ParaNum"/>
              <w:keepNext/>
              <w:keepLines/>
              <w:numPr>
                <w:ilvl w:val="0"/>
                <w:numId w:val="0"/>
              </w:numPr>
              <w:rPr>
                <w:b/>
              </w:rPr>
            </w:pPr>
            <w:r>
              <w:rPr>
                <w:b/>
              </w:rPr>
              <w:t xml:space="preserve">Assigned </w:t>
            </w:r>
            <w:r w:rsidRPr="003313AD">
              <w:rPr>
                <w:b/>
              </w:rPr>
              <w:t>Points</w:t>
            </w:r>
            <w:r>
              <w:rPr>
                <w:b/>
              </w:rPr>
              <w:t xml:space="preserve"> </w:t>
            </w:r>
          </w:p>
        </w:tc>
      </w:tr>
      <w:tr w14:paraId="3625F1CE" w14:textId="77777777" w:rsidTr="00A2686E">
        <w:tblPrEx>
          <w:tblW w:w="0" w:type="auto"/>
          <w:jc w:val="center"/>
          <w:tblLook w:val="04A0"/>
        </w:tblPrEx>
        <w:trPr>
          <w:cantSplit/>
          <w:jc w:val="center"/>
        </w:trPr>
        <w:tc>
          <w:tcPr>
            <w:tcW w:w="3348" w:type="dxa"/>
            <w:shd w:val="clear" w:color="auto" w:fill="auto"/>
          </w:tcPr>
          <w:p w:rsidR="00446B48" w:rsidRPr="00CA7E28" w:rsidP="00701932" w14:paraId="04214269" w14:textId="77777777">
            <w:pPr>
              <w:pStyle w:val="ParaNum"/>
              <w:keepNext/>
              <w:keepLines/>
              <w:numPr>
                <w:ilvl w:val="0"/>
                <w:numId w:val="0"/>
              </w:numPr>
            </w:pPr>
            <w:r w:rsidRPr="00CA7E28">
              <w:t xml:space="preserve">Aerial </w:t>
            </w:r>
            <w:r>
              <w:t>wireline deployment</w:t>
            </w:r>
          </w:p>
        </w:tc>
        <w:tc>
          <w:tcPr>
            <w:tcW w:w="2700" w:type="dxa"/>
            <w:shd w:val="clear" w:color="auto" w:fill="auto"/>
          </w:tcPr>
          <w:p w:rsidR="00446B48" w:rsidP="00701932" w14:paraId="0AFD655A" w14:textId="77777777">
            <w:pPr>
              <w:pStyle w:val="ParaNum"/>
              <w:keepNext/>
              <w:keepLines/>
              <w:numPr>
                <w:ilvl w:val="0"/>
                <w:numId w:val="0"/>
              </w:numPr>
            </w:pPr>
            <w:r>
              <w:t>60</w:t>
            </w:r>
          </w:p>
        </w:tc>
      </w:tr>
      <w:tr w14:paraId="00468E7A" w14:textId="77777777" w:rsidTr="00A2686E">
        <w:tblPrEx>
          <w:tblW w:w="0" w:type="auto"/>
          <w:jc w:val="center"/>
          <w:tblLook w:val="04A0"/>
        </w:tblPrEx>
        <w:trPr>
          <w:cantSplit/>
          <w:jc w:val="center"/>
        </w:trPr>
        <w:tc>
          <w:tcPr>
            <w:tcW w:w="3348" w:type="dxa"/>
            <w:shd w:val="clear" w:color="auto" w:fill="auto"/>
          </w:tcPr>
          <w:p w:rsidR="00446B48" w:rsidRPr="00CA7E28" w:rsidP="00701932" w14:paraId="68BA49F2" w14:textId="77777777">
            <w:pPr>
              <w:pStyle w:val="ParaNum"/>
              <w:keepNext/>
              <w:keepLines/>
              <w:numPr>
                <w:ilvl w:val="0"/>
                <w:numId w:val="0"/>
              </w:numPr>
            </w:pPr>
            <w:r>
              <w:t>Satellite; f</w:t>
            </w:r>
            <w:r w:rsidRPr="00CA7E28">
              <w:t xml:space="preserve">ixed </w:t>
            </w:r>
            <w:r>
              <w:t>w</w:t>
            </w:r>
            <w:r w:rsidRPr="00CA7E28">
              <w:t xml:space="preserve">ireless </w:t>
            </w:r>
            <w:r>
              <w:t>end user location connection; microwave backhaul; aerial wireline deployment using high-wind rated composite poles</w:t>
            </w:r>
          </w:p>
        </w:tc>
        <w:tc>
          <w:tcPr>
            <w:tcW w:w="2700" w:type="dxa"/>
            <w:shd w:val="clear" w:color="auto" w:fill="auto"/>
          </w:tcPr>
          <w:p w:rsidR="00446B48" w:rsidP="00701932" w14:paraId="4DB3A826" w14:textId="77777777">
            <w:pPr>
              <w:pStyle w:val="ParaNum"/>
              <w:keepNext/>
              <w:keepLines/>
              <w:numPr>
                <w:ilvl w:val="0"/>
                <w:numId w:val="0"/>
              </w:numPr>
            </w:pPr>
            <w:r>
              <w:t>40-60 sliding scale</w:t>
            </w:r>
          </w:p>
        </w:tc>
      </w:tr>
      <w:tr w14:paraId="04547639" w14:textId="77777777" w:rsidTr="00A2686E">
        <w:tblPrEx>
          <w:tblW w:w="0" w:type="auto"/>
          <w:jc w:val="center"/>
          <w:tblLook w:val="04A0"/>
        </w:tblPrEx>
        <w:trPr>
          <w:cantSplit/>
          <w:jc w:val="center"/>
        </w:trPr>
        <w:tc>
          <w:tcPr>
            <w:tcW w:w="3348" w:type="dxa"/>
            <w:shd w:val="clear" w:color="auto" w:fill="auto"/>
          </w:tcPr>
          <w:p w:rsidR="00446B48" w:rsidRPr="00B90D02" w:rsidP="00701932" w14:paraId="2DD49B8A" w14:textId="77777777">
            <w:pPr>
              <w:pStyle w:val="ParaNum"/>
              <w:keepNext/>
              <w:keepLines/>
              <w:numPr>
                <w:ilvl w:val="0"/>
                <w:numId w:val="0"/>
              </w:numPr>
            </w:pPr>
            <w:r w:rsidRPr="00CA7E28">
              <w:t xml:space="preserve">Underground </w:t>
            </w:r>
            <w:r>
              <w:t>fiber</w:t>
            </w:r>
          </w:p>
        </w:tc>
        <w:tc>
          <w:tcPr>
            <w:tcW w:w="2700" w:type="dxa"/>
            <w:shd w:val="clear" w:color="auto" w:fill="auto"/>
          </w:tcPr>
          <w:p w:rsidR="00446B48" w:rsidRPr="00B90D02" w:rsidP="00701932" w14:paraId="505FBFF8" w14:textId="77777777">
            <w:pPr>
              <w:pStyle w:val="ParaNum"/>
              <w:keepNext/>
              <w:keepLines/>
              <w:numPr>
                <w:ilvl w:val="0"/>
                <w:numId w:val="0"/>
              </w:numPr>
            </w:pPr>
            <w:r>
              <w:t>0-60 sliding scale</w:t>
            </w:r>
          </w:p>
        </w:tc>
      </w:tr>
      <w:tr w14:paraId="080ADFA3" w14:textId="77777777" w:rsidTr="00A2686E">
        <w:tblPrEx>
          <w:tblW w:w="0" w:type="auto"/>
          <w:jc w:val="center"/>
          <w:tblLook w:val="04A0"/>
        </w:tblPrEx>
        <w:trPr>
          <w:cantSplit/>
          <w:jc w:val="center"/>
        </w:trPr>
        <w:tc>
          <w:tcPr>
            <w:tcW w:w="3348" w:type="dxa"/>
            <w:shd w:val="clear" w:color="auto" w:fill="auto"/>
          </w:tcPr>
          <w:p w:rsidR="00446B48" w:rsidRPr="00CA7E28" w:rsidP="00701932" w14:paraId="3748161D" w14:textId="77777777">
            <w:pPr>
              <w:pStyle w:val="ParaNum"/>
              <w:keepNext/>
              <w:keepLines/>
              <w:numPr>
                <w:ilvl w:val="0"/>
                <w:numId w:val="0"/>
              </w:numPr>
            </w:pPr>
            <w:r>
              <w:t>Backup network/path diversity</w:t>
            </w:r>
          </w:p>
        </w:tc>
        <w:tc>
          <w:tcPr>
            <w:tcW w:w="2700" w:type="dxa"/>
            <w:shd w:val="clear" w:color="auto" w:fill="auto"/>
          </w:tcPr>
          <w:p w:rsidR="00446B48" w:rsidP="00701932" w14:paraId="63853338" w14:textId="77777777">
            <w:pPr>
              <w:pStyle w:val="ParaNum"/>
              <w:keepNext/>
              <w:keepLines/>
              <w:numPr>
                <w:ilvl w:val="0"/>
                <w:numId w:val="0"/>
              </w:numPr>
            </w:pPr>
            <w:r>
              <w:t>0-20 sliding scale</w:t>
            </w:r>
          </w:p>
        </w:tc>
      </w:tr>
    </w:tbl>
    <w:p w:rsidR="00F16A63" w:rsidP="00701932" w14:paraId="50A013C5" w14:textId="2C4BEC63">
      <w:pPr>
        <w:pStyle w:val="Heading2"/>
      </w:pPr>
      <w:bookmarkStart w:id="2089" w:name="_Toc22643897"/>
      <w:bookmarkStart w:id="2090" w:name="_Toc30099860"/>
      <w:bookmarkStart w:id="2091" w:name="_Toc31809576"/>
      <w:r>
        <w:t>Confidentiality and Availability of Competition Information</w:t>
      </w:r>
      <w:bookmarkEnd w:id="2089"/>
      <w:bookmarkEnd w:id="2090"/>
      <w:bookmarkEnd w:id="2091"/>
    </w:p>
    <w:p w:rsidR="008E59AB" w:rsidRPr="008E59AB" w:rsidP="008E59AB" w14:paraId="77B85433" w14:textId="46BF77C5">
      <w:pPr>
        <w:pStyle w:val="ParaNum"/>
      </w:pPr>
      <w:r>
        <w:t xml:space="preserve">All applications </w:t>
      </w:r>
      <w:r w:rsidR="00155394">
        <w:t>must</w:t>
      </w:r>
      <w:r>
        <w:t xml:space="preserve"> be submitted confidentially and will not be made public prior to </w:t>
      </w:r>
      <w:r w:rsidR="001B6177">
        <w:t xml:space="preserve">winning bidders </w:t>
      </w:r>
      <w:r w:rsidR="00670F33">
        <w:t>becoming</w:t>
      </w:r>
      <w:r w:rsidR="001B6177">
        <w:t xml:space="preserve"> authorized </w:t>
      </w:r>
      <w:r w:rsidR="005A39DF">
        <w:t>to receive support.</w:t>
      </w:r>
    </w:p>
    <w:p w:rsidR="00D514D8" w:rsidP="00701932" w14:paraId="7C81FCE8" w14:textId="77777777">
      <w:pPr>
        <w:pStyle w:val="Heading2"/>
      </w:pPr>
      <w:bookmarkStart w:id="2092" w:name="_Toc30099861"/>
      <w:bookmarkStart w:id="2093" w:name="_Toc22643898"/>
      <w:bookmarkStart w:id="2094" w:name="_Toc31809577"/>
      <w:r>
        <w:t>Default Payment Requirements</w:t>
      </w:r>
      <w:bookmarkEnd w:id="2092"/>
      <w:bookmarkEnd w:id="2094"/>
    </w:p>
    <w:p w:rsidR="00D514D8" w:rsidP="00D514D8" w14:paraId="21D05655" w14:textId="77777777">
      <w:pPr>
        <w:pStyle w:val="Heading3"/>
      </w:pPr>
      <w:bookmarkStart w:id="2095" w:name="_Toc30099862"/>
      <w:bookmarkStart w:id="2096" w:name="_Toc31809578"/>
      <w:r>
        <w:t>Forfeiture</w:t>
      </w:r>
      <w:bookmarkEnd w:id="2095"/>
      <w:bookmarkEnd w:id="2096"/>
    </w:p>
    <w:p w:rsidR="00D514D8" w:rsidP="00D514D8" w14:paraId="508CACB5" w14:textId="7CEF486B">
      <w:pPr>
        <w:pStyle w:val="ParaNum"/>
        <w:widowControl/>
      </w:pPr>
      <w:r>
        <w:t xml:space="preserve">Any Stage 2 </w:t>
      </w:r>
      <w:r w:rsidR="0075690A">
        <w:t xml:space="preserve">Competition </w:t>
      </w:r>
      <w:r>
        <w:t>winning applicant will be subject to a forfeiture in the event of a default before it is authorized to begin receiving support.</w:t>
      </w:r>
      <w:r>
        <w:rPr>
          <w:rStyle w:val="FootnoteReference"/>
        </w:rPr>
        <w:footnoteReference w:id="190"/>
      </w:r>
      <w:r>
        <w:t xml:space="preserve">  A winning applicant will be considered in default and will be subject to forfeiture if it fails to meet the document submission deadlines, is found ineligible or unqualified to receive Stage 2 support by the Bureau, and/or otherwise defaults on its winning applications or is disqualified for any reason prior to the authorization of support.  Any such determination by the Bureau shall be final, and a winning applicant shall have no opportunity to cure through additional submissions, negotiations, or otherwise.  Agreeing to such payment in the event of a default is a condition for participating in application in the Stage 2 </w:t>
      </w:r>
      <w:r w:rsidR="0075690A">
        <w:t>Competition</w:t>
      </w:r>
      <w:r>
        <w:t>.</w:t>
      </w:r>
      <w:r>
        <w:rPr>
          <w:rStyle w:val="FootnoteReference"/>
        </w:rPr>
        <w:footnoteReference w:id="191"/>
      </w:r>
      <w:r>
        <w:t xml:space="preserve">  </w:t>
      </w:r>
    </w:p>
    <w:p w:rsidR="00D514D8" w:rsidP="00D514D8" w14:paraId="3FCA6D93" w14:textId="4BF197D0">
      <w:pPr>
        <w:pStyle w:val="ParaNum"/>
        <w:widowControl/>
      </w:pPr>
      <w:r>
        <w:t xml:space="preserve">The Commission established a base forfeiture of $3,000 </w:t>
      </w:r>
      <w:r w:rsidR="00E5096C">
        <w:t xml:space="preserve">per </w:t>
      </w:r>
      <w:r>
        <w:t>census block group</w:t>
      </w:r>
      <w:r w:rsidR="00F2502C">
        <w:t xml:space="preserve"> within a </w:t>
      </w:r>
      <w:r>
        <w:t>geographic area for a</w:t>
      </w:r>
      <w:r w:rsidRPr="00F47EF1">
        <w:t xml:space="preserve">ny </w:t>
      </w:r>
      <w:r w:rsidR="0082224B">
        <w:t>applicant</w:t>
      </w:r>
      <w:r w:rsidRPr="00F47EF1">
        <w:t xml:space="preserve"> that</w:t>
      </w:r>
      <w:r w:rsidR="002D12AB">
        <w:t xml:space="preserve"> (i)</w:t>
      </w:r>
      <w:r w:rsidRPr="00F47EF1">
        <w:t xml:space="preserve"> </w:t>
      </w:r>
      <w:r>
        <w:t>fails to meet the document submission deadlines</w:t>
      </w:r>
      <w:r w:rsidR="002D12AB">
        <w:t>, (ii)</w:t>
      </w:r>
      <w:r>
        <w:t xml:space="preserve"> is found ineligible or unqualified to receive support by the Bureau</w:t>
      </w:r>
      <w:r w:rsidR="002D12AB">
        <w:t>,</w:t>
      </w:r>
      <w:r>
        <w:t xml:space="preserve"> or</w:t>
      </w:r>
      <w:r w:rsidR="002D12AB">
        <w:t xml:space="preserve"> (iii)</w:t>
      </w:r>
      <w:r>
        <w:t xml:space="preserve"> otherwise defaults on its bid or was disqualified for any reason prior to </w:t>
      </w:r>
      <w:r w:rsidR="0082224B">
        <w:t xml:space="preserve">receiving </w:t>
      </w:r>
      <w:r>
        <w:t>authorization</w:t>
      </w:r>
      <w:r w:rsidR="0082224B">
        <w:t xml:space="preserve"> for support</w:t>
      </w:r>
      <w:r w:rsidR="000D4C47">
        <w:t xml:space="preserve">.  The </w:t>
      </w:r>
      <w:r w:rsidR="00C35A29">
        <w:t>forfeiture</w:t>
      </w:r>
      <w:r w:rsidR="000D4C47">
        <w:t xml:space="preserve"> amount </w:t>
      </w:r>
      <w:r w:rsidR="00237D76">
        <w:t xml:space="preserve">resulting from an applicant’s default prior to receiving authorization for support </w:t>
      </w:r>
      <w:r w:rsidR="000D4C47">
        <w:t>will be</w:t>
      </w:r>
      <w:r>
        <w:t xml:space="preserve"> subject to adjustment based on the criteria set forth in </w:t>
      </w:r>
      <w:r w:rsidR="000D4C47">
        <w:t>the Commission’s</w:t>
      </w:r>
      <w:r>
        <w:t xml:space="preserve"> forfeiture guidelines</w:t>
      </w:r>
      <w:r w:rsidR="00052B14">
        <w:t>.</w:t>
      </w:r>
      <w:r>
        <w:rPr>
          <w:rStyle w:val="FootnoteReference"/>
        </w:rPr>
        <w:footnoteReference w:id="192"/>
      </w:r>
      <w:r>
        <w:t xml:space="preserve"> </w:t>
      </w:r>
    </w:p>
    <w:p w:rsidR="00D514D8" w:rsidP="00D514D8" w14:paraId="53DA87BA" w14:textId="2FC54E4F">
      <w:pPr>
        <w:pStyle w:val="ParaNum"/>
        <w:widowControl/>
      </w:pPr>
      <w:r>
        <w:t xml:space="preserve">A winning applicant </w:t>
      </w:r>
      <w:r w:rsidR="00F5308C">
        <w:t>will be subject to the base forfeiture for each separate violation of the Commission’s rules.</w:t>
      </w:r>
      <w:r>
        <w:rPr>
          <w:rStyle w:val="FootnoteReference"/>
        </w:rPr>
        <w:footnoteReference w:id="193"/>
      </w:r>
      <w:r w:rsidR="00F5308C">
        <w:t xml:space="preserve">  </w:t>
      </w:r>
      <w:r>
        <w:t>The Commission defined a violation as any form of default with respect to the geographic area.  In other words, there shall be separate violations for each winning geographic areas in an application.</w:t>
      </w:r>
      <w:r>
        <w:rPr>
          <w:rStyle w:val="FootnoteReference"/>
        </w:rPr>
        <w:footnoteReference w:id="194"/>
      </w:r>
      <w:r>
        <w:t xml:space="preserve">  To ensure that the amount of the base forfeiture is not disproportionate to the amount of a winning applicant’s application, the Commission </w:t>
      </w:r>
      <w:r w:rsidRPr="008725D4">
        <w:t>decided to limit the total base forfeiture to five percent of the applicant’s total assigned support for the application for the support term.</w:t>
      </w:r>
      <w:r>
        <w:rPr>
          <w:rStyle w:val="FootnoteReference"/>
        </w:rPr>
        <w:footnoteReference w:id="195"/>
      </w:r>
    </w:p>
    <w:p w:rsidR="00D514D8" w:rsidRPr="00AE729D" w:rsidP="00D514D8" w14:paraId="0195D6EC" w14:textId="77777777">
      <w:pPr>
        <w:pStyle w:val="ParaNum"/>
      </w:pPr>
      <w:r>
        <w:t>In the event of default, the Bureau will notify and identify the next-in-line applicant as the new winning applicant.</w:t>
      </w:r>
      <w:r>
        <w:rPr>
          <w:rStyle w:val="FootnoteReference"/>
        </w:rPr>
        <w:footnoteReference w:id="196"/>
      </w:r>
      <w:r>
        <w:t xml:space="preserve">  The new winning applicant will have all the same obligations for submitting additional information and filings and obligations as did the initial winning applicant.</w:t>
      </w:r>
    </w:p>
    <w:p w:rsidR="00D514D8" w:rsidP="00D514D8" w14:paraId="6C62C1DF" w14:textId="77777777">
      <w:pPr>
        <w:pStyle w:val="Heading3"/>
      </w:pPr>
      <w:bookmarkStart w:id="2097" w:name="_Toc30099863"/>
      <w:bookmarkStart w:id="2098" w:name="_Toc31809579"/>
      <w:r>
        <w:t>Non-Compliance Measures Post-Authorization</w:t>
      </w:r>
      <w:bookmarkEnd w:id="2097"/>
      <w:bookmarkEnd w:id="2098"/>
    </w:p>
    <w:p w:rsidR="00D514D8" w:rsidRPr="00AE729D" w:rsidP="00D514D8" w14:paraId="23B47350" w14:textId="2805AC79">
      <w:pPr>
        <w:pStyle w:val="ParaNum"/>
      </w:pPr>
      <w:r>
        <w:t>An applicant that has received notice from the Commission that it is authorized to receive Stage 2 support will be subject to non-compliance measures if it fails or is unable to meet its minimum coverage requirement, other service requirements, or fails to fulfill any other term or condition of Stage 2 support.</w:t>
      </w:r>
      <w:r>
        <w:rPr>
          <w:rStyle w:val="FootnoteReference"/>
        </w:rPr>
        <w:footnoteReference w:id="197"/>
      </w:r>
      <w:r>
        <w:t xml:space="preserve">  As described in the </w:t>
      </w:r>
      <w:r>
        <w:rPr>
          <w:i/>
        </w:rPr>
        <w:t>PR-USVI Stage 2 Order</w:t>
      </w:r>
      <w:r>
        <w:t>, these measures will scale with the extent of non-compliance, and include additional reporting, withholding of support, support recovery, and drawing on the support recipient’s letter of credit if the support recipient cannot pay back the relevant support by the applicable deadline.</w:t>
      </w:r>
      <w:r>
        <w:rPr>
          <w:rStyle w:val="FootnoteReference"/>
        </w:rPr>
        <w:footnoteReference w:id="198"/>
      </w:r>
      <w:r>
        <w:t xml:space="preserve">  A support recipient may also be subject to other sanctions for non-compliance with the terms and conditions of Stage 2 support, including, but not limited to, potential revocation of ETC designations and suspension or debarment.</w:t>
      </w:r>
      <w:r>
        <w:rPr>
          <w:rStyle w:val="FootnoteReference"/>
        </w:rPr>
        <w:footnoteReference w:id="199"/>
      </w:r>
      <w:r>
        <w:t xml:space="preserve">  Additionally, a support recipient will be subject to any non-compliance measures in conjunction with a methodology for high-cost support recipients to measure and report speed and latency performance to fixed locations.</w:t>
      </w:r>
    </w:p>
    <w:p w:rsidR="00F16A63" w:rsidP="00701932" w14:paraId="28235FF5" w14:textId="77777777">
      <w:pPr>
        <w:pStyle w:val="Heading2"/>
      </w:pPr>
      <w:bookmarkStart w:id="2099" w:name="_Toc30099864"/>
      <w:bookmarkStart w:id="2100" w:name="_Toc31809580"/>
      <w:r>
        <w:t>Closing Conditions</w:t>
      </w:r>
      <w:bookmarkEnd w:id="2093"/>
      <w:bookmarkEnd w:id="2099"/>
      <w:bookmarkEnd w:id="2100"/>
    </w:p>
    <w:p w:rsidR="00E21624" w:rsidRPr="00E21624" w:rsidP="00E21624" w14:paraId="7025095A" w14:textId="57CD6E93">
      <w:pPr>
        <w:pStyle w:val="ParaNum"/>
      </w:pPr>
      <w:r>
        <w:t xml:space="preserve">The Stage 2 Competition window </w:t>
      </w:r>
      <w:r w:rsidR="003938AB">
        <w:t xml:space="preserve">for applicants </w:t>
      </w:r>
      <w:r>
        <w:t xml:space="preserve">will close </w:t>
      </w:r>
      <w:r w:rsidR="00B5621C">
        <w:t>on a date to be announced by the Bureau</w:t>
      </w:r>
      <w:r>
        <w:t xml:space="preserve">.  No further applications will be accepted after that time.  To avoid concerns related to electronic or technical errors, we encourage applicants to submit ahead of this time and date. The Bureau will confirm receipt via electronic mail of </w:t>
      </w:r>
      <w:r w:rsidR="00B3405B">
        <w:t>each application received by the deadline.</w:t>
      </w:r>
    </w:p>
    <w:p w:rsidR="00F16A63" w:rsidP="00701932" w14:paraId="57E4A93F" w14:textId="77777777">
      <w:pPr>
        <w:pStyle w:val="Heading2"/>
      </w:pPr>
      <w:bookmarkStart w:id="2101" w:name="_Toc22643899"/>
      <w:bookmarkStart w:id="2102" w:name="_Toc30099865"/>
      <w:bookmarkStart w:id="2103" w:name="_Toc31809581"/>
      <w:r>
        <w:t>Competition Announcements</w:t>
      </w:r>
      <w:bookmarkEnd w:id="2101"/>
      <w:bookmarkEnd w:id="2102"/>
      <w:bookmarkEnd w:id="2103"/>
    </w:p>
    <w:p w:rsidR="00BD2CA5" w:rsidRPr="00BD2CA5" w:rsidP="00BD2CA5" w14:paraId="7A3DB0EC" w14:textId="5C583A48">
      <w:pPr>
        <w:pStyle w:val="ParaNum"/>
      </w:pPr>
      <w:r>
        <w:t xml:space="preserve">The Bureau will make announcements as necessary to report or request information from applicants during the Stage 2 Competition. Announcements will be available at </w:t>
      </w:r>
      <w:r w:rsidR="0075690A">
        <w:t>the FCC’s website.</w:t>
      </w:r>
    </w:p>
    <w:p w:rsidR="00F16A63" w:rsidP="005913B3" w14:paraId="2BB9422D" w14:textId="77777777">
      <w:pPr>
        <w:pStyle w:val="Heading2"/>
        <w:widowControl/>
      </w:pPr>
      <w:bookmarkStart w:id="2104" w:name="_Toc22643900"/>
      <w:bookmarkStart w:id="2105" w:name="_Toc30099866"/>
      <w:bookmarkStart w:id="2106" w:name="_Toc31809582"/>
      <w:r>
        <w:t>Competition Results</w:t>
      </w:r>
      <w:bookmarkEnd w:id="2104"/>
      <w:bookmarkEnd w:id="2105"/>
      <w:bookmarkEnd w:id="2106"/>
    </w:p>
    <w:p w:rsidR="00BD2CA5" w:rsidRPr="00BD2CA5" w:rsidP="005913B3" w14:paraId="7D2C764F" w14:textId="761F0B21">
      <w:pPr>
        <w:pStyle w:val="ParaNum"/>
        <w:keepNext/>
        <w:widowControl/>
        <w:rPr>
          <w:snapToGrid/>
        </w:rPr>
      </w:pPr>
      <w:r>
        <w:t xml:space="preserve">The Bureaus will determine the winning applicants as described elsewhere in this Public Notice and will announce the results in a public notice.  </w:t>
      </w:r>
      <w:r w:rsidR="00941FEC">
        <w:t>T</w:t>
      </w:r>
      <w:r>
        <w:t xml:space="preserve">he Bureau </w:t>
      </w:r>
      <w:r w:rsidR="00DF4DC2">
        <w:t>will make the final</w:t>
      </w:r>
      <w:r w:rsidR="00884D70">
        <w:t xml:space="preserve"> </w:t>
      </w:r>
      <w:r w:rsidR="00DF4DC2">
        <w:t xml:space="preserve">overall application </w:t>
      </w:r>
      <w:r>
        <w:t>scores</w:t>
      </w:r>
      <w:r w:rsidR="00D100DF">
        <w:t xml:space="preserve"> for </w:t>
      </w:r>
      <w:r w:rsidR="008725D4">
        <w:t xml:space="preserve">all </w:t>
      </w:r>
      <w:r w:rsidR="00D100DF">
        <w:t>applicants</w:t>
      </w:r>
      <w:r>
        <w:t xml:space="preserve"> available for public viewing</w:t>
      </w:r>
      <w:r w:rsidR="001137A1">
        <w:t xml:space="preserve"> after </w:t>
      </w:r>
      <w:r w:rsidR="008725D4">
        <w:t xml:space="preserve">winning </w:t>
      </w:r>
      <w:r w:rsidR="001137A1">
        <w:t>applicants are authorized to receive support</w:t>
      </w:r>
      <w:r>
        <w:t>.</w:t>
      </w:r>
      <w:r w:rsidR="00155394">
        <w:t xml:space="preserve">  Winning applicants will then be required to complete the necessary actions described in this Public Notice to become authorized for support.</w:t>
      </w:r>
      <w:r>
        <w:t xml:space="preserve"> </w:t>
      </w:r>
    </w:p>
    <w:p w:rsidR="002C00E8" w:rsidP="00F16A63" w14:paraId="2DC3BD38" w14:textId="77777777">
      <w:pPr>
        <w:pStyle w:val="Heading1"/>
      </w:pPr>
      <w:bookmarkStart w:id="2107" w:name="_Toc22643901"/>
      <w:bookmarkStart w:id="2108" w:name="_Toc30099867"/>
      <w:bookmarkStart w:id="2109" w:name="_Toc31809583"/>
      <w:r>
        <w:t>POST-COMPETITION PROCEDURES</w:t>
      </w:r>
      <w:bookmarkEnd w:id="2107"/>
      <w:bookmarkEnd w:id="2108"/>
      <w:bookmarkEnd w:id="2109"/>
    </w:p>
    <w:p w:rsidR="002B640D" w:rsidP="00701932" w14:paraId="493EE562" w14:textId="77777777">
      <w:pPr>
        <w:pStyle w:val="Heading2"/>
      </w:pPr>
      <w:bookmarkStart w:id="2110" w:name="_Toc30099868"/>
      <w:bookmarkStart w:id="2111" w:name="_Toc31809584"/>
      <w:r>
        <w:t>Authorization Public Notice</w:t>
      </w:r>
      <w:bookmarkEnd w:id="2110"/>
      <w:bookmarkEnd w:id="2111"/>
    </w:p>
    <w:p w:rsidR="000C3514" w:rsidRPr="000C3514" w:rsidP="000C3514" w14:paraId="0CF2CADA" w14:textId="75690022">
      <w:pPr>
        <w:pStyle w:val="ParaNum"/>
        <w:widowControl/>
      </w:pPr>
      <w:r>
        <w:t>A</w:t>
      </w:r>
      <w:r w:rsidRPr="00C55158">
        <w:t xml:space="preserve">fter </w:t>
      </w:r>
      <w:r>
        <w:t xml:space="preserve">the Stage 2 </w:t>
      </w:r>
      <w:r w:rsidR="0075690A">
        <w:t>Competition</w:t>
      </w:r>
      <w:r w:rsidRPr="00C55158" w:rsidR="0075690A">
        <w:t xml:space="preserve"> </w:t>
      </w:r>
      <w:r w:rsidRPr="00C55158">
        <w:t>has ended, the Bureau</w:t>
      </w:r>
      <w:r>
        <w:t xml:space="preserve"> </w:t>
      </w:r>
      <w:r w:rsidRPr="00C55158">
        <w:t xml:space="preserve">will issue a public notice declaring the </w:t>
      </w:r>
      <w:r>
        <w:t>competition</w:t>
      </w:r>
      <w:r w:rsidRPr="00C55158">
        <w:t xml:space="preserve"> close</w:t>
      </w:r>
      <w:r>
        <w:t xml:space="preserve">d, </w:t>
      </w:r>
      <w:r w:rsidRPr="00C55158">
        <w:t xml:space="preserve">identifying the winning </w:t>
      </w:r>
      <w:r>
        <w:t>applicants</w:t>
      </w:r>
      <w:r w:rsidRPr="00C55158">
        <w:t xml:space="preserve">, and establishing the deadline for </w:t>
      </w:r>
      <w:r>
        <w:t>submission of further information</w:t>
      </w:r>
      <w:r w:rsidR="00155394">
        <w:t xml:space="preserve"> for authorizing support</w:t>
      </w:r>
      <w:r w:rsidRPr="00C55158">
        <w:t>.</w:t>
      </w:r>
      <w:r>
        <w:rPr>
          <w:rStyle w:val="FootnoteReference"/>
        </w:rPr>
        <w:footnoteReference w:id="200"/>
      </w:r>
      <w:r w:rsidRPr="00C55158">
        <w:t xml:space="preserve">  </w:t>
      </w:r>
      <w:r w:rsidRPr="00C55158">
        <w:rPr>
          <w:szCs w:val="22"/>
        </w:rPr>
        <w:t xml:space="preserve">Winning </w:t>
      </w:r>
      <w:r>
        <w:rPr>
          <w:szCs w:val="22"/>
        </w:rPr>
        <w:t>applicants</w:t>
      </w:r>
      <w:r w:rsidRPr="00C55158">
        <w:rPr>
          <w:szCs w:val="22"/>
        </w:rPr>
        <w:t xml:space="preserve"> will </w:t>
      </w:r>
      <w:r>
        <w:rPr>
          <w:szCs w:val="22"/>
        </w:rPr>
        <w:t xml:space="preserve">file </w:t>
      </w:r>
      <w:r w:rsidR="007B2559">
        <w:rPr>
          <w:szCs w:val="22"/>
        </w:rPr>
        <w:t xml:space="preserve">the information </w:t>
      </w:r>
      <w:r>
        <w:rPr>
          <w:szCs w:val="22"/>
        </w:rPr>
        <w:t>using ECFS</w:t>
      </w:r>
      <w:r w:rsidR="007B2559">
        <w:rPr>
          <w:szCs w:val="22"/>
        </w:rPr>
        <w:t xml:space="preserve"> and </w:t>
      </w:r>
      <w:r w:rsidR="00155394">
        <w:rPr>
          <w:szCs w:val="22"/>
        </w:rPr>
        <w:t>e-</w:t>
      </w:r>
      <w:r w:rsidR="007B2559">
        <w:rPr>
          <w:szCs w:val="22"/>
        </w:rPr>
        <w:t>mail to the Bureau</w:t>
      </w:r>
      <w:r w:rsidRPr="00C55158">
        <w:rPr>
          <w:szCs w:val="22"/>
        </w:rPr>
        <w:t xml:space="preserve">.  Details regarding the submission </w:t>
      </w:r>
      <w:r w:rsidR="001C7509">
        <w:rPr>
          <w:szCs w:val="22"/>
        </w:rPr>
        <w:t xml:space="preserve">requirements </w:t>
      </w:r>
      <w:r w:rsidRPr="00C55158">
        <w:rPr>
          <w:szCs w:val="22"/>
        </w:rPr>
        <w:t xml:space="preserve">will be provided in </w:t>
      </w:r>
      <w:r w:rsidR="007B2559">
        <w:rPr>
          <w:szCs w:val="22"/>
        </w:rPr>
        <w:t>the</w:t>
      </w:r>
      <w:r w:rsidRPr="00C55158">
        <w:rPr>
          <w:szCs w:val="22"/>
        </w:rPr>
        <w:t xml:space="preserve"> public notice.  After </w:t>
      </w:r>
      <w:r w:rsidR="007B2559">
        <w:t xml:space="preserve">the information </w:t>
      </w:r>
      <w:r w:rsidRPr="00C55158">
        <w:t xml:space="preserve">has been reviewed and is considered to be complete, </w:t>
      </w:r>
      <w:r w:rsidR="001C7509">
        <w:t xml:space="preserve">including the Disaster Preparation and Response Plan, </w:t>
      </w:r>
      <w:r w:rsidRPr="00C55158">
        <w:t xml:space="preserve">and the </w:t>
      </w:r>
      <w:r w:rsidR="007B2559">
        <w:t xml:space="preserve">winning </w:t>
      </w:r>
      <w:r w:rsidRPr="00C55158">
        <w:t xml:space="preserve">applicant has submitted an acceptable letter of credit and accompanying Bankruptcy Code opinion letter as described below, a public notice will be released authorizing the </w:t>
      </w:r>
      <w:r w:rsidR="007B2559">
        <w:t>winning</w:t>
      </w:r>
      <w:r w:rsidRPr="00C55158">
        <w:t xml:space="preserve"> applicant to receive </w:t>
      </w:r>
      <w:r w:rsidR="007B2559">
        <w:t>Stage 2</w:t>
      </w:r>
      <w:r w:rsidRPr="00C55158">
        <w:t xml:space="preserve"> support.</w:t>
      </w:r>
      <w:r>
        <w:rPr>
          <w:rStyle w:val="FootnoteReference"/>
        </w:rPr>
        <w:footnoteReference w:id="201"/>
      </w:r>
    </w:p>
    <w:p w:rsidR="002B640D" w:rsidP="00701932" w14:paraId="595CD666" w14:textId="77777777">
      <w:pPr>
        <w:pStyle w:val="Heading2"/>
      </w:pPr>
      <w:bookmarkStart w:id="2112" w:name="_Toc22643903"/>
      <w:bookmarkStart w:id="2113" w:name="_Toc30099869"/>
      <w:bookmarkStart w:id="2114" w:name="_Toc31809585"/>
      <w:r>
        <w:t>Eligible Telecommunications Carrier Designation and Certification</w:t>
      </w:r>
      <w:bookmarkEnd w:id="2112"/>
      <w:bookmarkEnd w:id="2113"/>
      <w:bookmarkEnd w:id="2114"/>
    </w:p>
    <w:p w:rsidR="007743AA" w:rsidRPr="007743AA" w:rsidP="007743AA" w14:paraId="5999F2A7" w14:textId="2E700C78">
      <w:pPr>
        <w:pStyle w:val="ParaNum"/>
      </w:pPr>
      <w:r w:rsidRPr="00E157C7">
        <w:rPr>
          <w:snapToGrid/>
          <w:kern w:val="0"/>
          <w:szCs w:val="22"/>
        </w:rPr>
        <w:t xml:space="preserve">Within </w:t>
      </w:r>
      <w:r>
        <w:rPr>
          <w:snapToGrid/>
          <w:kern w:val="0"/>
          <w:szCs w:val="22"/>
        </w:rPr>
        <w:t>60</w:t>
      </w:r>
      <w:r w:rsidRPr="00E157C7">
        <w:rPr>
          <w:snapToGrid/>
          <w:kern w:val="0"/>
          <w:szCs w:val="22"/>
        </w:rPr>
        <w:t xml:space="preserve"> days after the release of the </w:t>
      </w:r>
      <w:r>
        <w:rPr>
          <w:snapToGrid/>
          <w:kern w:val="0"/>
          <w:szCs w:val="22"/>
        </w:rPr>
        <w:t>winning applicants</w:t>
      </w:r>
      <w:r w:rsidRPr="00E157C7">
        <w:rPr>
          <w:snapToGrid/>
          <w:kern w:val="0"/>
          <w:szCs w:val="22"/>
        </w:rPr>
        <w:t xml:space="preserve"> public notice, </w:t>
      </w:r>
      <w:r>
        <w:rPr>
          <w:snapToGrid/>
          <w:kern w:val="0"/>
          <w:szCs w:val="22"/>
        </w:rPr>
        <w:t>a winning</w:t>
      </w:r>
      <w:r w:rsidRPr="00E157C7">
        <w:rPr>
          <w:snapToGrid/>
          <w:kern w:val="0"/>
          <w:szCs w:val="22"/>
        </w:rPr>
        <w:t xml:space="preserve"> applicant is required to submit appropriate documentation of its high-cost ETC designation in all the areas for which it will receive support.</w:t>
      </w:r>
      <w:r>
        <w:rPr>
          <w:rStyle w:val="FootnoteReference"/>
          <w:snapToGrid/>
          <w:kern w:val="0"/>
          <w:szCs w:val="22"/>
        </w:rPr>
        <w:footnoteReference w:id="202"/>
      </w:r>
      <w:r w:rsidRPr="00E157C7">
        <w:rPr>
          <w:snapToGrid/>
          <w:kern w:val="0"/>
          <w:szCs w:val="22"/>
        </w:rPr>
        <w:t xml:space="preserve">  Appropriate documentation should include the original designation order, any relevant modifications, e.g., expansion of service area or inclusion of wireless, along with any name-change orders.  </w:t>
      </w:r>
      <w:r>
        <w:rPr>
          <w:snapToGrid/>
          <w:kern w:val="0"/>
          <w:szCs w:val="22"/>
        </w:rPr>
        <w:t xml:space="preserve">An </w:t>
      </w:r>
      <w:r w:rsidRPr="00E157C7">
        <w:rPr>
          <w:snapToGrid/>
          <w:kern w:val="0"/>
          <w:szCs w:val="22"/>
        </w:rPr>
        <w:t xml:space="preserve">applicant is also required to provide documentation showing that the designated areas (e.g., census blocks, wire centers, etc.) cover the relevant winning </w:t>
      </w:r>
      <w:r w:rsidR="00D9542A">
        <w:rPr>
          <w:snapToGrid/>
          <w:kern w:val="0"/>
          <w:szCs w:val="22"/>
        </w:rPr>
        <w:t>application</w:t>
      </w:r>
      <w:r w:rsidRPr="00E157C7">
        <w:rPr>
          <w:snapToGrid/>
          <w:kern w:val="0"/>
          <w:szCs w:val="22"/>
        </w:rPr>
        <w:t xml:space="preserve"> areas so that it is clear that the </w:t>
      </w:r>
      <w:r>
        <w:rPr>
          <w:snapToGrid/>
          <w:kern w:val="0"/>
          <w:szCs w:val="22"/>
        </w:rPr>
        <w:t>winning</w:t>
      </w:r>
      <w:r w:rsidRPr="00E157C7">
        <w:rPr>
          <w:snapToGrid/>
          <w:kern w:val="0"/>
          <w:szCs w:val="22"/>
        </w:rPr>
        <w:t xml:space="preserve"> applicant has high-cost ETC status in each winning </w:t>
      </w:r>
      <w:r w:rsidR="00D9542A">
        <w:rPr>
          <w:snapToGrid/>
          <w:kern w:val="0"/>
          <w:szCs w:val="22"/>
        </w:rPr>
        <w:t>application</w:t>
      </w:r>
      <w:r w:rsidRPr="00E157C7">
        <w:rPr>
          <w:snapToGrid/>
          <w:kern w:val="0"/>
          <w:szCs w:val="22"/>
        </w:rPr>
        <w:t xml:space="preserve"> area.</w:t>
      </w:r>
      <w:r>
        <w:rPr>
          <w:rStyle w:val="FootnoteReference"/>
          <w:snapToGrid/>
          <w:kern w:val="0"/>
          <w:szCs w:val="22"/>
        </w:rPr>
        <w:footnoteReference w:id="203"/>
      </w:r>
      <w:r w:rsidRPr="00E157C7">
        <w:rPr>
          <w:snapToGrid/>
          <w:kern w:val="0"/>
          <w:szCs w:val="22"/>
        </w:rPr>
        <w:t xml:space="preserve">  Such documentation could include maps of the applicant’s ETC designation area, map overlays of the winning </w:t>
      </w:r>
      <w:r w:rsidR="00D9542A">
        <w:rPr>
          <w:snapToGrid/>
          <w:kern w:val="0"/>
          <w:szCs w:val="22"/>
        </w:rPr>
        <w:t>application</w:t>
      </w:r>
      <w:r w:rsidRPr="00E157C7">
        <w:rPr>
          <w:snapToGrid/>
          <w:kern w:val="0"/>
          <w:szCs w:val="22"/>
        </w:rPr>
        <w:t xml:space="preserve"> areas, and/or charts listing designated areas.  Additionally, </w:t>
      </w:r>
      <w:r>
        <w:rPr>
          <w:snapToGrid/>
          <w:kern w:val="0"/>
          <w:szCs w:val="22"/>
        </w:rPr>
        <w:t xml:space="preserve">an </w:t>
      </w:r>
      <w:r w:rsidRPr="00E157C7">
        <w:rPr>
          <w:snapToGrid/>
          <w:kern w:val="0"/>
          <w:szCs w:val="22"/>
        </w:rPr>
        <w:t>applicant is required to submit a letter with its documentation from an officer of the company certifying that the applicant’s ETC designation for each state covers the relevant areas where the applicant will receive support.</w:t>
      </w:r>
      <w:r>
        <w:rPr>
          <w:rStyle w:val="FootnoteReference"/>
          <w:snapToGrid/>
          <w:kern w:val="0"/>
          <w:szCs w:val="22"/>
        </w:rPr>
        <w:footnoteReference w:id="204"/>
      </w:r>
      <w:r w:rsidRPr="00E157C7">
        <w:rPr>
          <w:snapToGrid/>
          <w:kern w:val="0"/>
          <w:szCs w:val="22"/>
        </w:rPr>
        <w:t xml:space="preserve">  </w:t>
      </w:r>
    </w:p>
    <w:p w:rsidR="002B640D" w:rsidP="00701932" w14:paraId="01FEC438" w14:textId="693F6FDD">
      <w:pPr>
        <w:pStyle w:val="Heading2"/>
      </w:pPr>
      <w:bookmarkStart w:id="2115" w:name="_Toc22643904"/>
      <w:bookmarkStart w:id="2116" w:name="_Toc30099870"/>
      <w:bookmarkStart w:id="2117" w:name="_Toc31809586"/>
      <w:r>
        <w:t>Letter of Credit and Bankrup</w:t>
      </w:r>
      <w:r w:rsidR="00DB627C">
        <w:t>tc</w:t>
      </w:r>
      <w:r>
        <w:t>y Code Opinion Letter</w:t>
      </w:r>
      <w:bookmarkEnd w:id="2115"/>
      <w:bookmarkEnd w:id="2116"/>
      <w:bookmarkEnd w:id="2117"/>
    </w:p>
    <w:p w:rsidR="00DB627C" w:rsidRPr="0053605B" w:rsidP="005913B3" w14:paraId="25BA39C4" w14:textId="1E2EEF92">
      <w:pPr>
        <w:pStyle w:val="ParaNum"/>
        <w:widowControl/>
        <w:tabs>
          <w:tab w:val="clear" w:pos="1080"/>
        </w:tabs>
      </w:pPr>
      <w:r>
        <w:t>After a</w:t>
      </w:r>
      <w:r w:rsidR="00336627">
        <w:t xml:space="preserve">n </w:t>
      </w:r>
      <w:r>
        <w:t xml:space="preserve">application has been reviewed and is considered to be complete, the Commission will issue a public notice identifying each </w:t>
      </w:r>
      <w:r w:rsidR="00C86D43">
        <w:t>winning</w:t>
      </w:r>
      <w:r>
        <w:t xml:space="preserve"> applicant that may be authorized to receive </w:t>
      </w:r>
      <w:r w:rsidR="00C86D43">
        <w:t>Stage 2</w:t>
      </w:r>
      <w:r>
        <w:t xml:space="preserve"> support.  No later than 10 business days after the release of the public notice, a</w:t>
      </w:r>
      <w:r w:rsidR="00C86D43">
        <w:t xml:space="preserve">n </w:t>
      </w:r>
      <w:r>
        <w:t xml:space="preserve">applicant must obtain an </w:t>
      </w:r>
      <w:r w:rsidRPr="00300601">
        <w:rPr>
          <w:szCs w:val="22"/>
        </w:rPr>
        <w:t>irrevocable</w:t>
      </w:r>
      <w:r>
        <w:t xml:space="preserve"> standby letter of credit at the value specified in section 54.</w:t>
      </w:r>
      <w:r w:rsidR="0023609E">
        <w:t>1508(b)</w:t>
      </w:r>
      <w:r>
        <w:t xml:space="preserve"> from a bank acceptable to the Commission as set forth in section 54.</w:t>
      </w:r>
      <w:r w:rsidR="0023609E">
        <w:t>1508(c)</w:t>
      </w:r>
      <w:r>
        <w:t xml:space="preserve"> for</w:t>
      </w:r>
      <w:r w:rsidR="004825E0">
        <w:t xml:space="preserve"> </w:t>
      </w:r>
      <w:r w:rsidR="00C86D43">
        <w:t>each territory</w:t>
      </w:r>
      <w:r>
        <w:t xml:space="preserve"> where the applicant is seeking to be authorized</w:t>
      </w:r>
      <w:r w:rsidRPr="009D2C66">
        <w:rPr>
          <w:szCs w:val="22"/>
        </w:rPr>
        <w:t>.</w:t>
      </w:r>
      <w:r>
        <w:rPr>
          <w:rStyle w:val="FootnoteReference"/>
          <w:szCs w:val="22"/>
        </w:rPr>
        <w:footnoteReference w:id="205"/>
      </w:r>
      <w:r w:rsidRPr="00FF1C2D">
        <w:rPr>
          <w:szCs w:val="22"/>
        </w:rPr>
        <w:t xml:space="preserve">  The letter of credit must be issued in substantially the same form as set forth in the model letter of credit provided in </w:t>
      </w:r>
      <w:r w:rsidR="007418E8">
        <w:rPr>
          <w:szCs w:val="22"/>
        </w:rPr>
        <w:t xml:space="preserve">Appendix </w:t>
      </w:r>
      <w:r w:rsidR="00F84D43">
        <w:rPr>
          <w:szCs w:val="22"/>
        </w:rPr>
        <w:t xml:space="preserve">B </w:t>
      </w:r>
      <w:r w:rsidR="007418E8">
        <w:rPr>
          <w:szCs w:val="22"/>
        </w:rPr>
        <w:t>of this Public Notice.</w:t>
      </w:r>
      <w:r>
        <w:rPr>
          <w:rStyle w:val="FootnoteReference"/>
          <w:szCs w:val="22"/>
        </w:rPr>
        <w:footnoteReference w:id="206"/>
      </w:r>
      <w:r w:rsidRPr="00FF1C2D">
        <w:rPr>
          <w:szCs w:val="22"/>
        </w:rPr>
        <w:t xml:space="preserve">  </w:t>
      </w:r>
    </w:p>
    <w:p w:rsidR="00300601" w:rsidP="00300601" w14:paraId="6A76560F" w14:textId="77777777">
      <w:pPr>
        <w:pStyle w:val="ParaNum"/>
        <w:tabs>
          <w:tab w:val="clear" w:pos="1080"/>
        </w:tabs>
      </w:pPr>
      <w:r w:rsidRPr="00415CE5">
        <w:rPr>
          <w:szCs w:val="22"/>
        </w:rPr>
        <w:t xml:space="preserve">In addition, a </w:t>
      </w:r>
      <w:r w:rsidR="00D73C7B">
        <w:t>winning</w:t>
      </w:r>
      <w:r>
        <w:t xml:space="preserve"> applicant </w:t>
      </w:r>
      <w:r w:rsidRPr="00415CE5">
        <w:rPr>
          <w:szCs w:val="22"/>
        </w:rPr>
        <w:t>will be required to provide with the letter of credit an opinion letter from legal counsel clearly stating, subject only to customary assumptions, limitations, and qualifications, that, in a proceeding under the Bankruptcy Cod</w:t>
      </w:r>
      <w:r w:rsidRPr="00B22B59">
        <w:rPr>
          <w:szCs w:val="22"/>
        </w:rPr>
        <w:t xml:space="preserve">e, the bankruptcy court would not treat the letter of credit or proceeds of the letter of credit as property of </w:t>
      </w:r>
      <w:r>
        <w:rPr>
          <w:szCs w:val="22"/>
        </w:rPr>
        <w:t>the applicant’s</w:t>
      </w:r>
      <w:r w:rsidRPr="00B22B59">
        <w:rPr>
          <w:szCs w:val="22"/>
        </w:rPr>
        <w:t xml:space="preserve"> bankruptcy estate, or the bankruptcy estate of any other </w:t>
      </w:r>
      <w:r w:rsidR="00D9542A">
        <w:rPr>
          <w:szCs w:val="22"/>
        </w:rPr>
        <w:t>applicant</w:t>
      </w:r>
      <w:r w:rsidRPr="00B22B59">
        <w:rPr>
          <w:szCs w:val="22"/>
        </w:rPr>
        <w:t xml:space="preserve">-related entity requesting issuance of the </w:t>
      </w:r>
      <w:r w:rsidRPr="00A70AC0">
        <w:rPr>
          <w:szCs w:val="22"/>
        </w:rPr>
        <w:t xml:space="preserve">letter of credit, under </w:t>
      </w:r>
      <w:r>
        <w:rPr>
          <w:szCs w:val="22"/>
        </w:rPr>
        <w:t>section</w:t>
      </w:r>
      <w:r w:rsidRPr="00A70AC0">
        <w:rPr>
          <w:szCs w:val="22"/>
        </w:rPr>
        <w:t xml:space="preserve"> 541 of the Bankruptcy Code.</w:t>
      </w:r>
      <w:r>
        <w:rPr>
          <w:rStyle w:val="FootnoteReference"/>
          <w:szCs w:val="22"/>
        </w:rPr>
        <w:footnoteReference w:id="207"/>
      </w:r>
    </w:p>
    <w:p w:rsidR="002B640D" w:rsidP="002B640D" w14:paraId="5A78861C" w14:textId="77777777">
      <w:pPr>
        <w:pStyle w:val="Heading3"/>
      </w:pPr>
      <w:bookmarkStart w:id="2118" w:name="_Toc22643905"/>
      <w:bookmarkStart w:id="2119" w:name="_Toc30099871"/>
      <w:bookmarkStart w:id="2120" w:name="_Toc31809587"/>
      <w:r>
        <w:t>New and Renewed Letter of Credit</w:t>
      </w:r>
      <w:bookmarkEnd w:id="2118"/>
      <w:bookmarkEnd w:id="2119"/>
      <w:bookmarkEnd w:id="2120"/>
    </w:p>
    <w:p w:rsidR="00300601" w:rsidP="00024F03" w14:paraId="466551E0" w14:textId="5A102EB8">
      <w:pPr>
        <w:pStyle w:val="ParaNum"/>
        <w:tabs>
          <w:tab w:val="clear" w:pos="1080"/>
        </w:tabs>
      </w:pPr>
      <w:r>
        <w:t>A winning application receiving Sta</w:t>
      </w:r>
      <w:r w:rsidR="007418E8">
        <w:t>g</w:t>
      </w:r>
      <w:r>
        <w:t>e 2 support may obtain a new or renewed Letter of Credit after successfully achieving its deployment milestones.</w:t>
      </w:r>
      <w:r>
        <w:rPr>
          <w:rStyle w:val="FootnoteReference"/>
        </w:rPr>
        <w:footnoteReference w:id="208"/>
      </w:r>
      <w:r>
        <w:t xml:space="preserve"> </w:t>
      </w:r>
      <w:r w:rsidR="005F5724">
        <w:t xml:space="preserve"> </w:t>
      </w:r>
      <w:r w:rsidRPr="00D122B6">
        <w:t xml:space="preserve">When a winning </w:t>
      </w:r>
      <w:r>
        <w:t>applicant</w:t>
      </w:r>
      <w:r w:rsidRPr="00D122B6">
        <w:t xml:space="preserve"> first obtains a letter of credit, it must be at least equal to the </w:t>
      </w:r>
      <w:r>
        <w:t xml:space="preserve">amount of the </w:t>
      </w:r>
      <w:r w:rsidRPr="00D122B6">
        <w:t>first year of authorized support.</w:t>
      </w:r>
      <w:r>
        <w:rPr>
          <w:rStyle w:val="FootnoteReference"/>
        </w:rPr>
        <w:footnoteReference w:id="209"/>
      </w:r>
      <w:r w:rsidRPr="00D122B6">
        <w:t xml:space="preserve">  Before the winning </w:t>
      </w:r>
      <w:r>
        <w:t>applicant</w:t>
      </w:r>
      <w:r w:rsidRPr="00D122B6">
        <w:t xml:space="preserve"> can receive its next year’s support, it must modify, renew, or obtain a new letter of credit to ensure that it is valued at a minimum at the total amount of money that has already been disbursed plus the amount of money that is going to be provided in the next year.</w:t>
      </w:r>
      <w:r>
        <w:rPr>
          <w:rStyle w:val="FootnoteReference"/>
        </w:rPr>
        <w:footnoteReference w:id="210"/>
      </w:r>
      <w:r w:rsidRPr="00D122B6">
        <w:t xml:space="preserve">  </w:t>
      </w:r>
    </w:p>
    <w:p w:rsidR="007E187F" w:rsidRPr="007E187F" w:rsidP="00300601" w14:paraId="5CBDBE35" w14:textId="43AFD8EB">
      <w:pPr>
        <w:pStyle w:val="ParaNum"/>
      </w:pPr>
      <w:r>
        <w:t>The Commission found that, as</w:t>
      </w:r>
      <w:r w:rsidRPr="00D122B6" w:rsidR="00300601">
        <w:t xml:space="preserve"> a recipient makes progress towards building its network</w:t>
      </w:r>
      <w:r w:rsidR="00655375">
        <w:t>,</w:t>
      </w:r>
      <w:r w:rsidRPr="00D122B6" w:rsidR="00300601">
        <w:t xml:space="preserve"> it is appropriate to modestly reduce the value of the letter of credit in an effort to reduce the cost of maintaining a letter of credit as the recipient meets certain service milestones.</w:t>
      </w:r>
      <w:r>
        <w:rPr>
          <w:rStyle w:val="FootnoteReference"/>
        </w:rPr>
        <w:footnoteReference w:id="211"/>
      </w:r>
      <w:r w:rsidRPr="00D122B6" w:rsidR="00300601">
        <w:t xml:space="preserve">  Specifically, once an entity meets the 60 percent service milestone that entity may obtain a new letter of credit or renew its existing letter of credit so that it is valued at 90 percent of the total support amount already disbursed plus the amount that will be disbursed the next year.</w:t>
      </w:r>
      <w:r>
        <w:rPr>
          <w:rStyle w:val="FootnoteReference"/>
        </w:rPr>
        <w:footnoteReference w:id="212"/>
      </w:r>
      <w:r w:rsidRPr="00D122B6" w:rsidR="00300601">
        <w:t xml:space="preserve">  Once the entity meets the 80 percent service milestone that entity may obtain a new letter of credit valued at 80 percent of the total support amount already disbursed plus the amount that will be disbursed the next year</w:t>
      </w:r>
      <w:r w:rsidR="00300601">
        <w:t>.</w:t>
      </w:r>
      <w:r>
        <w:rPr>
          <w:rStyle w:val="FootnoteReference"/>
        </w:rPr>
        <w:footnoteReference w:id="213"/>
      </w:r>
      <w:r w:rsidR="00300601">
        <w:t xml:space="preserve">  The letter of credit must remain open until the recipient has certified it has deployed broadband and voice service meeting the Commission’s requirements to 100% of the required number of locations, and USAC has verified that the entity has fully deployed.</w:t>
      </w:r>
      <w:r>
        <w:rPr>
          <w:rStyle w:val="FootnoteReference"/>
        </w:rPr>
        <w:footnoteReference w:id="214"/>
      </w:r>
    </w:p>
    <w:p w:rsidR="002B640D" w:rsidP="00701932" w14:paraId="7B12E6E5" w14:textId="77777777">
      <w:pPr>
        <w:pStyle w:val="Heading2"/>
        <w:widowControl/>
      </w:pPr>
      <w:bookmarkStart w:id="2121" w:name="_Toc30099872"/>
      <w:bookmarkStart w:id="2122" w:name="_Toc30099873"/>
      <w:bookmarkStart w:id="2123" w:name="_Toc30099874"/>
      <w:bookmarkStart w:id="2124" w:name="_Toc30099875"/>
      <w:bookmarkStart w:id="2125" w:name="_Toc30099876"/>
      <w:bookmarkStart w:id="2126" w:name="_Toc30099877"/>
      <w:bookmarkStart w:id="2127" w:name="_Toc30099878"/>
      <w:bookmarkStart w:id="2128" w:name="_Toc30099879"/>
      <w:bookmarkStart w:id="2129" w:name="_Toc22643910"/>
      <w:bookmarkStart w:id="2130" w:name="_Toc30099880"/>
      <w:bookmarkStart w:id="2131" w:name="_Toc31809588"/>
      <w:bookmarkEnd w:id="2121"/>
      <w:bookmarkEnd w:id="2122"/>
      <w:bookmarkEnd w:id="2123"/>
      <w:bookmarkEnd w:id="2124"/>
      <w:bookmarkEnd w:id="2125"/>
      <w:bookmarkEnd w:id="2126"/>
      <w:bookmarkEnd w:id="2127"/>
      <w:bookmarkEnd w:id="2128"/>
      <w:r>
        <w:t>Location Adjustment Process</w:t>
      </w:r>
      <w:bookmarkEnd w:id="2129"/>
      <w:bookmarkEnd w:id="2130"/>
      <w:bookmarkEnd w:id="2131"/>
    </w:p>
    <w:p w:rsidR="00E7325D" w:rsidP="00701932" w14:paraId="318C70B7" w14:textId="77777777">
      <w:pPr>
        <w:pStyle w:val="Heading3"/>
        <w:widowControl/>
      </w:pPr>
      <w:bookmarkStart w:id="2132" w:name="_Toc30099881"/>
      <w:bookmarkStart w:id="2133" w:name="_Toc31809589"/>
      <w:r>
        <w:t xml:space="preserve">Submission Due Date and </w:t>
      </w:r>
      <w:r>
        <w:t>Format for Submission</w:t>
      </w:r>
      <w:bookmarkStart w:id="2134" w:name="_Toc22643911"/>
      <w:bookmarkEnd w:id="2132"/>
      <w:bookmarkEnd w:id="2133"/>
      <w:r w:rsidRPr="00E7325D">
        <w:t xml:space="preserve"> </w:t>
      </w:r>
      <w:bookmarkEnd w:id="2134"/>
    </w:p>
    <w:p w:rsidR="000C5A10" w:rsidP="00701932" w14:paraId="73CCE65B" w14:textId="4C219AAB">
      <w:pPr>
        <w:pStyle w:val="ParaNum"/>
        <w:keepNext/>
        <w:widowControl/>
      </w:pPr>
      <w:r>
        <w:t>We expect the</w:t>
      </w:r>
      <w:r w:rsidR="0016137C">
        <w:t xml:space="preserve"> adjustment</w:t>
      </w:r>
      <w:r>
        <w:t xml:space="preserve"> window to open on or about </w:t>
      </w:r>
      <w:r w:rsidR="00062529">
        <w:t>one year following the notice ann</w:t>
      </w:r>
      <w:r w:rsidR="009A5E98">
        <w:t xml:space="preserve">ouncing </w:t>
      </w:r>
      <w:r w:rsidR="00357F9B">
        <w:t xml:space="preserve">Stage 2 </w:t>
      </w:r>
      <w:r w:rsidR="00AB47A8">
        <w:t>winning applicants</w:t>
      </w:r>
      <w:r w:rsidR="00357F9B">
        <w:t xml:space="preserve">.  </w:t>
      </w:r>
      <w:r w:rsidR="00E00D41">
        <w:t xml:space="preserve">The Bureau will announce the </w:t>
      </w:r>
      <w:r>
        <w:t xml:space="preserve">specific dates of the </w:t>
      </w:r>
      <w:r w:rsidR="00E00D41">
        <w:t xml:space="preserve">location adjustment submission </w:t>
      </w:r>
      <w:r w:rsidR="001E1958">
        <w:t>filing window and stakeholder comment period</w:t>
      </w:r>
      <w:r w:rsidR="00E00D41">
        <w:t xml:space="preserve"> in the public notice announcing the winning Stage 2 applicants. </w:t>
      </w:r>
      <w:r>
        <w:t xml:space="preserve"> By </w:t>
      </w:r>
      <w:r w:rsidR="001E1958">
        <w:t>the closing</w:t>
      </w:r>
      <w:r w:rsidR="00E00D41">
        <w:t xml:space="preserve"> date, </w:t>
      </w:r>
      <w:r w:rsidR="00194708">
        <w:t xml:space="preserve">if </w:t>
      </w:r>
      <w:r w:rsidR="00E00D41">
        <w:t>a</w:t>
      </w:r>
      <w:r w:rsidR="00E7325D">
        <w:t xml:space="preserve"> winning applicant </w:t>
      </w:r>
      <w:r>
        <w:t xml:space="preserve">cannot identify actual locations </w:t>
      </w:r>
      <w:r w:rsidR="00BF13CC">
        <w:t xml:space="preserve">totaling </w:t>
      </w:r>
      <w:r w:rsidR="00EB7D9C">
        <w:t>the number announced in the Reserve Price Public Notice on December 19, 2019</w:t>
      </w:r>
      <w:r w:rsidR="00194708">
        <w:t xml:space="preserve">, it </w:t>
      </w:r>
      <w:r w:rsidR="00E7325D">
        <w:t xml:space="preserve">must file its proposed actual location number and all relevant </w:t>
      </w:r>
      <w:r w:rsidR="00E00D41">
        <w:t xml:space="preserve">supporting </w:t>
      </w:r>
      <w:r w:rsidR="00E7325D">
        <w:t xml:space="preserve">information, </w:t>
      </w:r>
      <w:r w:rsidR="00E00D41">
        <w:t xml:space="preserve">including </w:t>
      </w:r>
      <w:r w:rsidR="00E7325D">
        <w:t xml:space="preserve">maps, </w:t>
      </w:r>
      <w:r w:rsidR="00E00D41">
        <w:t xml:space="preserve">studies, certifications, </w:t>
      </w:r>
      <w:r w:rsidR="00E7325D">
        <w:t xml:space="preserve">documents, and </w:t>
      </w:r>
      <w:r w:rsidR="00E00D41">
        <w:t xml:space="preserve">any </w:t>
      </w:r>
      <w:r w:rsidR="00E7325D">
        <w:t xml:space="preserve">other evidence with the Bureau </w:t>
      </w:r>
      <w:r w:rsidR="00E00D41">
        <w:t>via</w:t>
      </w:r>
      <w:r w:rsidR="00E7325D">
        <w:t xml:space="preserve"> electronic mail at </w:t>
      </w:r>
      <w:r w:rsidR="009E5F35">
        <w:t>ConnectAmerica</w:t>
      </w:r>
      <w:r w:rsidRPr="009E5F35" w:rsidR="00E7325D">
        <w:t>@fcc.gov</w:t>
      </w:r>
      <w:r w:rsidR="00E7325D">
        <w:t>.</w:t>
      </w:r>
      <w:r w:rsidRPr="00B35260" w:rsidR="00B35260">
        <w:t xml:space="preserve"> </w:t>
      </w:r>
      <w:r w:rsidR="00B35260">
        <w:t xml:space="preserve"> The applicant must include geolocation data (indicating the latitude/longitude and address</w:t>
      </w:r>
      <w:r w:rsidR="001E1958">
        <w:t>) for each</w:t>
      </w:r>
      <w:r w:rsidR="00B35260">
        <w:t xml:space="preserve"> actual location it </w:t>
      </w:r>
      <w:r w:rsidR="001E1958">
        <w:t>can identify and for each winning area</w:t>
      </w:r>
      <w:r w:rsidR="00B35260">
        <w:t xml:space="preserve">.  </w:t>
      </w:r>
      <w:r w:rsidR="001E1958">
        <w:t>An applicant must also include a certification for its assertion.</w:t>
      </w:r>
      <w:r w:rsidRPr="001E1958" w:rsidR="001E1958">
        <w:t xml:space="preserve"> </w:t>
      </w:r>
      <w:r w:rsidR="001E1958">
        <w:t xml:space="preserve"> The information and evidence submitted will be subject to potential audit.</w:t>
      </w:r>
      <w:r>
        <w:rPr>
          <w:rStyle w:val="FootnoteReference"/>
        </w:rPr>
        <w:footnoteReference w:id="215"/>
      </w:r>
      <w:r w:rsidRPr="000C5A10">
        <w:t xml:space="preserve"> </w:t>
      </w:r>
    </w:p>
    <w:p w:rsidR="00E7325D" w:rsidP="000C5A10" w14:paraId="16AE3503" w14:textId="40377028">
      <w:pPr>
        <w:pStyle w:val="ParaNum"/>
        <w:tabs>
          <w:tab w:val="clear" w:pos="1080"/>
          <w:tab w:val="num" w:pos="1440"/>
        </w:tabs>
      </w:pPr>
      <w:r>
        <w:t xml:space="preserve">If a winning applicant does not need to adjust its deployment obligation, it must file a certification with the Bureau by the close of the window certifying to that effect and accepting the number of locations the Bureau announced </w:t>
      </w:r>
      <w:r w:rsidR="00AA7DD4">
        <w:t xml:space="preserve">in the Reserve Price Public Notice </w:t>
      </w:r>
      <w:r>
        <w:t xml:space="preserve">on </w:t>
      </w:r>
      <w:r w:rsidR="00724449">
        <w:t>December 19, 2019</w:t>
      </w:r>
      <w:r w:rsidR="0007687A">
        <w:t>,</w:t>
      </w:r>
      <w:r>
        <w:rPr>
          <w:rStyle w:val="FootnoteReference"/>
        </w:rPr>
        <w:footnoteReference w:id="216"/>
      </w:r>
      <w:r>
        <w:t xml:space="preserve"> as its location obligation.</w:t>
      </w:r>
      <w:r>
        <w:rPr>
          <w:rStyle w:val="FootnoteReference"/>
        </w:rPr>
        <w:footnoteReference w:id="217"/>
      </w:r>
    </w:p>
    <w:p w:rsidR="00E00D41" w:rsidP="00E00D41" w14:paraId="3434629F" w14:textId="77777777">
      <w:pPr>
        <w:pStyle w:val="Heading3"/>
      </w:pPr>
      <w:bookmarkStart w:id="2135" w:name="_Toc30099882"/>
      <w:bookmarkStart w:id="2136" w:name="_Toc31809590"/>
      <w:r>
        <w:t>Stakeholder Comment Period</w:t>
      </w:r>
      <w:bookmarkEnd w:id="2135"/>
      <w:bookmarkEnd w:id="2136"/>
    </w:p>
    <w:p w:rsidR="000C5A10" w:rsidP="00E00D41" w14:paraId="58B83FE2" w14:textId="00B58693">
      <w:pPr>
        <w:pStyle w:val="ParaNum"/>
      </w:pPr>
      <w:r>
        <w:t xml:space="preserve">Following the </w:t>
      </w:r>
      <w:r>
        <w:t xml:space="preserve">window </w:t>
      </w:r>
      <w:r>
        <w:t>closing date, r</w:t>
      </w:r>
      <w:r w:rsidR="00E00D41">
        <w:t>elevant stakeholders will have 30 days to review and comment on the information</w:t>
      </w:r>
      <w:r>
        <w:t xml:space="preserve"> submitted by the winning applicants.  There will be no reply comment period for the winning applicants.</w:t>
      </w:r>
      <w:r>
        <w:rPr>
          <w:rStyle w:val="FootnoteReference"/>
        </w:rPr>
        <w:footnoteReference w:id="218"/>
      </w:r>
      <w:r w:rsidR="00E00D41">
        <w:t xml:space="preserve"> </w:t>
      </w:r>
      <w:r>
        <w:t xml:space="preserve"> </w:t>
      </w:r>
    </w:p>
    <w:p w:rsidR="000C5A10" w:rsidP="000C5A10" w14:paraId="2F779DF0" w14:textId="77777777">
      <w:pPr>
        <w:pStyle w:val="Heading3"/>
      </w:pPr>
      <w:bookmarkStart w:id="2137" w:name="_Toc30099883"/>
      <w:bookmarkStart w:id="2138" w:name="_Toc31809591"/>
      <w:r>
        <w:t>Adjustment Order</w:t>
      </w:r>
      <w:bookmarkEnd w:id="2137"/>
      <w:bookmarkEnd w:id="2138"/>
    </w:p>
    <w:p w:rsidR="00E00D41" w:rsidRPr="00FB4F86" w:rsidP="000C5A10" w14:paraId="1AF2DC0D" w14:textId="3424ABAB">
      <w:pPr>
        <w:pStyle w:val="ParaNum"/>
      </w:pPr>
      <w:r>
        <w:t>After the comment period is closed,</w:t>
      </w:r>
      <w:r>
        <w:t xml:space="preserve"> </w:t>
      </w:r>
      <w:r>
        <w:t>Bureau staff</w:t>
      </w:r>
      <w:r>
        <w:t xml:space="preserve"> </w:t>
      </w:r>
      <w:r>
        <w:t>will review all evidence</w:t>
      </w:r>
      <w:r>
        <w:t xml:space="preserve"> </w:t>
      </w:r>
      <w:r>
        <w:t>submitted by</w:t>
      </w:r>
      <w:r w:rsidR="000C5A10">
        <w:t xml:space="preserve"> the</w:t>
      </w:r>
      <w:r>
        <w:t xml:space="preserve"> support recipient</w:t>
      </w:r>
      <w:r w:rsidR="000C5A10">
        <w:t>s and all</w:t>
      </w:r>
      <w:r>
        <w:t xml:space="preserve"> </w:t>
      </w:r>
      <w:r w:rsidR="000C5A10">
        <w:t>relevant comments.  The Bureau will then</w:t>
      </w:r>
      <w:r>
        <w:t xml:space="preserve"> </w:t>
      </w:r>
      <w:r>
        <w:t>issue an order addressing the recipients</w:t>
      </w:r>
      <w:r>
        <w:t>’</w:t>
      </w:r>
      <w:r>
        <w:t xml:space="preserve"> showing</w:t>
      </w:r>
      <w:r w:rsidR="000C5A10">
        <w:t>s, which will establish and announce the final location obligations for each recipient</w:t>
      </w:r>
      <w:r>
        <w:t>.</w:t>
      </w:r>
      <w:r>
        <w:rPr>
          <w:rStyle w:val="FootnoteReference"/>
        </w:rPr>
        <w:footnoteReference w:id="219"/>
      </w:r>
      <w:r w:rsidR="000C5A10">
        <w:t xml:space="preserve">  </w:t>
      </w:r>
      <w:r>
        <w:t xml:space="preserve">  </w:t>
      </w:r>
    </w:p>
    <w:p w:rsidR="002B640D" w:rsidP="00701932" w14:paraId="71F0ACB8" w14:textId="44D674AF">
      <w:pPr>
        <w:pStyle w:val="Heading2"/>
      </w:pPr>
      <w:bookmarkStart w:id="2139" w:name="_Toc22643912"/>
      <w:bookmarkStart w:id="2140" w:name="_Toc30099884"/>
      <w:bookmarkStart w:id="2141" w:name="_Toc31809592"/>
      <w:r>
        <w:t>Five-Year Review</w:t>
      </w:r>
      <w:bookmarkEnd w:id="2139"/>
      <w:bookmarkEnd w:id="2140"/>
      <w:bookmarkEnd w:id="2141"/>
    </w:p>
    <w:p w:rsidR="009A49F6" w:rsidRPr="009A49F6" w:rsidP="00AD16F8" w14:paraId="724735C3" w14:textId="29D686CC">
      <w:pPr>
        <w:pStyle w:val="ParaNum"/>
        <w:widowControl/>
        <w:tabs>
          <w:tab w:val="clear" w:pos="1080"/>
          <w:tab w:val="num" w:pos="1440"/>
        </w:tabs>
      </w:pPr>
      <w:r>
        <w:rPr>
          <w:iCs/>
        </w:rPr>
        <w:t>A support recipient</w:t>
      </w:r>
      <w:r w:rsidR="00F62DD6">
        <w:rPr>
          <w:iCs/>
        </w:rPr>
        <w:t xml:space="preserve"> may choose to participate in</w:t>
      </w:r>
      <w:r>
        <w:t xml:space="preserve"> </w:t>
      </w:r>
      <w:r w:rsidR="00024F03">
        <w:t>the</w:t>
      </w:r>
      <w:r>
        <w:t xml:space="preserve"> voluntary </w:t>
      </w:r>
      <w:r w:rsidR="00024F03">
        <w:t xml:space="preserve">five-year review </w:t>
      </w:r>
      <w:r>
        <w:t xml:space="preserve">process to reassess </w:t>
      </w:r>
      <w:r w:rsidR="00024F03">
        <w:t>its</w:t>
      </w:r>
      <w:r>
        <w:t xml:space="preserve"> deployment obligations</w:t>
      </w:r>
      <w:r w:rsidR="00024F03">
        <w:t>.</w:t>
      </w:r>
      <w:r>
        <w:rPr>
          <w:rStyle w:val="FootnoteReference"/>
        </w:rPr>
        <w:footnoteReference w:id="220"/>
      </w:r>
      <w:r>
        <w:t xml:space="preserve">  As directed, t</w:t>
      </w:r>
      <w:r w:rsidR="00F62DD6">
        <w:t xml:space="preserve">he Bureau will </w:t>
      </w:r>
      <w:r>
        <w:t xml:space="preserve">release a public notice detailing the five-year review </w:t>
      </w:r>
      <w:r>
        <w:t xml:space="preserve">process no later than the beginning of the fifth year </w:t>
      </w:r>
      <w:r>
        <w:t xml:space="preserve">of Stage 2 support </w:t>
      </w:r>
      <w:r>
        <w:t xml:space="preserve">to provide recipients an opportunity to request reassessment of their </w:t>
      </w:r>
      <w:r>
        <w:t xml:space="preserve">deployment </w:t>
      </w:r>
      <w:r>
        <w:t xml:space="preserve">obligations.  We expect any request for reassessment will be accompanied by specific information, documents, evidence and data upon which the </w:t>
      </w:r>
      <w:r>
        <w:t>Bureau</w:t>
      </w:r>
      <w:r>
        <w:t xml:space="preserve"> can make an informed decision.  This reassessment will allow the Bureau to determine whether to adjust any deployment requirements based on newly</w:t>
      </w:r>
      <w:r w:rsidR="00493D33">
        <w:t xml:space="preserve"> </w:t>
      </w:r>
      <w:r>
        <w:t>available data or change</w:t>
      </w:r>
      <w:r>
        <w:t>d</w:t>
      </w:r>
      <w:r>
        <w:t xml:space="preserve"> circumstances such as disruptive disasters</w:t>
      </w:r>
      <w:r>
        <w:t xml:space="preserve">, </w:t>
      </w:r>
      <w:r>
        <w:t xml:space="preserve">altered subscribership or </w:t>
      </w:r>
      <w:r>
        <w:t xml:space="preserve">significantly decreased </w:t>
      </w:r>
      <w:r>
        <w:t>revenue due to population shifts.</w:t>
      </w:r>
      <w:r>
        <w:rPr>
          <w:rStyle w:val="FootnoteReference"/>
        </w:rPr>
        <w:footnoteReference w:id="221"/>
      </w:r>
      <w:r>
        <w:t xml:space="preserve">  </w:t>
      </w:r>
      <w:r>
        <w:t>In the five-year review process public notice, t</w:t>
      </w:r>
      <w:r w:rsidR="00F62DD6">
        <w:t>he Bureau will</w:t>
      </w:r>
      <w:r>
        <w:t xml:space="preserve"> </w:t>
      </w:r>
      <w:r>
        <w:t>establish a</w:t>
      </w:r>
      <w:r>
        <w:t xml:space="preserve"> public comment </w:t>
      </w:r>
      <w:r>
        <w:t xml:space="preserve">period for </w:t>
      </w:r>
      <w:r>
        <w:t xml:space="preserve">any </w:t>
      </w:r>
      <w:r>
        <w:t xml:space="preserve">support recipient </w:t>
      </w:r>
      <w:r>
        <w:t>request</w:t>
      </w:r>
      <w:r>
        <w:t>ing</w:t>
      </w:r>
      <w:r>
        <w:t xml:space="preserve"> reassessment, </w:t>
      </w:r>
      <w:r>
        <w:t>which will allow public review of</w:t>
      </w:r>
      <w:r>
        <w:t xml:space="preserve"> the documentation, data, and evidence put forward to support the request</w:t>
      </w:r>
      <w:r>
        <w:t>.  Following the close of the public comment period, the Bureau will review</w:t>
      </w:r>
      <w:r>
        <w:t xml:space="preserve"> and evaluate the record</w:t>
      </w:r>
      <w:r>
        <w:t xml:space="preserve"> for each requesting support recipient</w:t>
      </w:r>
      <w:r>
        <w:t xml:space="preserve">.  If, based on the Bureau’s review, an adjustment of deployment obligations or locations is warranted for any winning applicant, the Bureau </w:t>
      </w:r>
      <w:r>
        <w:t>will</w:t>
      </w:r>
      <w:r>
        <w:t xml:space="preserve"> announce those changes in a public notice.</w:t>
      </w:r>
      <w:r>
        <w:rPr>
          <w:rStyle w:val="FootnoteReference"/>
        </w:rPr>
        <w:footnoteReference w:id="222"/>
      </w:r>
    </w:p>
    <w:p w:rsidR="002B640D" w:rsidP="00701932" w14:paraId="78126B35" w14:textId="77777777">
      <w:pPr>
        <w:pStyle w:val="Heading2"/>
      </w:pPr>
      <w:bookmarkStart w:id="2142" w:name="_Toc22643914"/>
      <w:bookmarkStart w:id="2143" w:name="_Toc30099885"/>
      <w:bookmarkStart w:id="2144" w:name="_Toc31809593"/>
      <w:r>
        <w:t>Updating the Disaster Preparation and Response Plan</w:t>
      </w:r>
      <w:bookmarkEnd w:id="2142"/>
      <w:bookmarkEnd w:id="2143"/>
      <w:bookmarkEnd w:id="2144"/>
    </w:p>
    <w:p w:rsidR="00A64C85" w:rsidRPr="00A64C85" w:rsidP="00A64C85" w14:paraId="75A7D65F" w14:textId="3B2AB610">
      <w:pPr>
        <w:pStyle w:val="ParaNum"/>
      </w:pPr>
      <w:r>
        <w:t xml:space="preserve">As indicated above, a winning applicant has the obligation to provide the Bureau with an updated DPRP </w:t>
      </w:r>
      <w:r w:rsidR="000D65DD">
        <w:t>within ten business days of making any</w:t>
      </w:r>
      <w:r>
        <w:t xml:space="preserve"> material change, and for as long as it receives Stage 2 support. The failure to </w:t>
      </w:r>
      <w:r w:rsidR="00430536">
        <w:t>update the</w:t>
      </w:r>
      <w:r>
        <w:t xml:space="preserve"> DPRP may result in withholding of support</w:t>
      </w:r>
      <w:r w:rsidR="000D65DD">
        <w:t xml:space="preserve"> or disqualification from future partic</w:t>
      </w:r>
      <w:r w:rsidR="0017015E">
        <w:t>i</w:t>
      </w:r>
      <w:r w:rsidR="000D65DD">
        <w:t>pation in</w:t>
      </w:r>
      <w:r w:rsidR="0071562B">
        <w:t xml:space="preserve"> </w:t>
      </w:r>
      <w:r w:rsidR="00735878">
        <w:t xml:space="preserve">the </w:t>
      </w:r>
      <w:r w:rsidR="0071562B">
        <w:t>Co</w:t>
      </w:r>
      <w:r w:rsidR="00FA3DD1">
        <w:t>mmission</w:t>
      </w:r>
      <w:r w:rsidR="00735878">
        <w:t>’s</w:t>
      </w:r>
      <w:r w:rsidR="00FA3DD1">
        <w:t xml:space="preserve"> competitive competitions</w:t>
      </w:r>
      <w:r>
        <w:t>.</w:t>
      </w:r>
      <w:r>
        <w:rPr>
          <w:rStyle w:val="FootnoteReference"/>
        </w:rPr>
        <w:footnoteReference w:id="223"/>
      </w:r>
    </w:p>
    <w:p w:rsidR="002B640D" w:rsidP="00701932" w14:paraId="42D8001C" w14:textId="77777777">
      <w:pPr>
        <w:pStyle w:val="Heading2"/>
      </w:pPr>
      <w:bookmarkStart w:id="2145" w:name="_Toc22643915"/>
      <w:bookmarkStart w:id="2146" w:name="_Toc30099886"/>
      <w:bookmarkStart w:id="2147" w:name="_Toc31809594"/>
      <w:r>
        <w:t xml:space="preserve">Mandatory </w:t>
      </w:r>
      <w:r>
        <w:t>Filing in Disaster Information Reporting System (DIRS)</w:t>
      </w:r>
      <w:bookmarkEnd w:id="2145"/>
      <w:bookmarkEnd w:id="2146"/>
      <w:bookmarkEnd w:id="2147"/>
      <w:r>
        <w:t xml:space="preserve"> </w:t>
      </w:r>
    </w:p>
    <w:p w:rsidR="00A2062D" w:rsidP="00A2062D" w14:paraId="0E4DEFC3" w14:textId="3AD57ED0">
      <w:pPr>
        <w:pStyle w:val="ParaNum"/>
        <w:tabs>
          <w:tab w:val="clear" w:pos="1080"/>
          <w:tab w:val="num" w:pos="1440"/>
        </w:tabs>
      </w:pPr>
      <w:r>
        <w:rPr>
          <w:szCs w:val="22"/>
        </w:rPr>
        <w:t>All</w:t>
      </w:r>
      <w:r w:rsidRPr="002B4DA4">
        <w:rPr>
          <w:szCs w:val="22"/>
        </w:rPr>
        <w:t xml:space="preserve"> Stage 2 </w:t>
      </w:r>
      <w:r w:rsidR="0051542E">
        <w:rPr>
          <w:szCs w:val="22"/>
        </w:rPr>
        <w:t>support</w:t>
      </w:r>
      <w:r w:rsidRPr="002B4DA4">
        <w:rPr>
          <w:szCs w:val="22"/>
        </w:rPr>
        <w:t xml:space="preserve"> recipients </w:t>
      </w:r>
      <w:r>
        <w:rPr>
          <w:szCs w:val="22"/>
        </w:rPr>
        <w:t>are required to</w:t>
      </w:r>
      <w:r w:rsidRPr="002B4DA4">
        <w:rPr>
          <w:szCs w:val="22"/>
        </w:rPr>
        <w:t xml:space="preserve"> perform DIRS reporting</w:t>
      </w:r>
      <w:r>
        <w:rPr>
          <w:szCs w:val="22"/>
        </w:rPr>
        <w:t xml:space="preserve"> when the system is activated</w:t>
      </w:r>
      <w:r w:rsidRPr="002B4DA4">
        <w:rPr>
          <w:szCs w:val="22"/>
        </w:rPr>
        <w:t>.</w:t>
      </w:r>
      <w:r>
        <w:rPr>
          <w:rStyle w:val="FootnoteReference"/>
          <w:szCs w:val="22"/>
        </w:rPr>
        <w:footnoteReference w:id="224"/>
      </w:r>
      <w:r>
        <w:t xml:space="preserve">  The Commission</w:t>
      </w:r>
      <w:r w:rsidRPr="00656025">
        <w:t xml:space="preserve"> </w:t>
      </w:r>
      <w:r>
        <w:t xml:space="preserve">will </w:t>
      </w:r>
      <w:r w:rsidRPr="00656025">
        <w:t xml:space="preserve">determine whether to activate DIRS in </w:t>
      </w:r>
      <w:r w:rsidR="007F3FB2">
        <w:t>coordination</w:t>
      </w:r>
      <w:r w:rsidRPr="00656025" w:rsidR="007F3FB2">
        <w:t xml:space="preserve"> </w:t>
      </w:r>
      <w:r w:rsidRPr="00656025">
        <w:t xml:space="preserve">with </w:t>
      </w:r>
      <w:r w:rsidR="007F3FB2">
        <w:t xml:space="preserve">DHS and </w:t>
      </w:r>
      <w:r w:rsidRPr="00656025">
        <w:t>FEMA</w:t>
      </w:r>
      <w:r w:rsidR="007F3FB2">
        <w:t>,</w:t>
      </w:r>
      <w:r w:rsidRPr="00656025">
        <w:t xml:space="preserve"> and </w:t>
      </w:r>
      <w:r w:rsidR="007F3FB2">
        <w:t xml:space="preserve">will </w:t>
      </w:r>
      <w:r w:rsidRPr="00656025">
        <w:t>announce the areas that will be covered via public notice and e</w:t>
      </w:r>
      <w:r>
        <w:t xml:space="preserve">lectronic </w:t>
      </w:r>
      <w:r w:rsidRPr="00656025">
        <w:t>mail.</w:t>
      </w:r>
      <w:r>
        <w:rPr>
          <w:rStyle w:val="FootnoteReference"/>
        </w:rPr>
        <w:footnoteReference w:id="225"/>
      </w:r>
      <w:r>
        <w:t xml:space="preserve">  </w:t>
      </w:r>
      <w:r w:rsidRPr="00026636">
        <w:t xml:space="preserve">Following normal Commission protocol, </w:t>
      </w:r>
      <w:r>
        <w:t>we</w:t>
      </w:r>
      <w:r w:rsidRPr="00026636">
        <w:t xml:space="preserve"> will </w:t>
      </w:r>
      <w:r>
        <w:t xml:space="preserve">continue to </w:t>
      </w:r>
      <w:r w:rsidRPr="00026636">
        <w:t xml:space="preserve">activate DIRS and notify providers of </w:t>
      </w:r>
      <w:r>
        <w:t>its</w:t>
      </w:r>
      <w:r w:rsidRPr="00026636">
        <w:t xml:space="preserve"> reporting schedule, typically in advance of an expected impending disaster event</w:t>
      </w:r>
      <w:r w:rsidR="007F3FB2">
        <w:t xml:space="preserve"> or immediat</w:t>
      </w:r>
      <w:r w:rsidR="00101153">
        <w:t>ely after such a disaster</w:t>
      </w:r>
      <w:r>
        <w:t>.  Also pursuant to</w:t>
      </w:r>
      <w:r w:rsidRPr="00026636">
        <w:t xml:space="preserve"> normal Commission protocol, DIRS reporting obligations </w:t>
      </w:r>
      <w:r w:rsidR="00101153">
        <w:t>begin at the time of DIRS activation, which may be immediately before, at the onset of, or immediately after a disaster event</w:t>
      </w:r>
      <w:r w:rsidR="00AE23AD">
        <w:t xml:space="preserve">, </w:t>
      </w:r>
      <w:r w:rsidRPr="00026636">
        <w:t>with reports due each time a provider’s restoration status changes</w:t>
      </w:r>
      <w:r>
        <w:t>.</w:t>
      </w:r>
      <w:r>
        <w:rPr>
          <w:rStyle w:val="FootnoteReference"/>
        </w:rPr>
        <w:footnoteReference w:id="226"/>
      </w:r>
      <w:r>
        <w:t xml:space="preserve">  We note that support recipients are not required to </w:t>
      </w:r>
      <w:r w:rsidR="00AE23AD">
        <w:t xml:space="preserve">report daily </w:t>
      </w:r>
      <w:r>
        <w:t xml:space="preserve">via </w:t>
      </w:r>
      <w:r w:rsidRPr="00026636">
        <w:t>DIRS</w:t>
      </w:r>
      <w:r w:rsidR="007165D5">
        <w:t xml:space="preserve"> when there is no change in restoration status</w:t>
      </w:r>
      <w:r w:rsidRPr="00026636">
        <w:t>,</w:t>
      </w:r>
      <w:r>
        <w:t xml:space="preserve"> and instead are only required to make updates on changes in restoration status when they occur</w:t>
      </w:r>
      <w:r w:rsidRPr="00026636">
        <w:t>.</w:t>
      </w:r>
      <w:r>
        <w:rPr>
          <w:rStyle w:val="FootnoteReference"/>
        </w:rPr>
        <w:footnoteReference w:id="227"/>
      </w:r>
      <w:r w:rsidRPr="00026636">
        <w:t xml:space="preserve">  </w:t>
      </w:r>
      <w:r>
        <w:t xml:space="preserve">The only difference from ordinary Commission protocol is that DIRS reporting is mandatory for Stage 2 support recipients for as long as a recipient is receiving Stage 2 support.  </w:t>
      </w:r>
    </w:p>
    <w:p w:rsidR="00903E6D" w:rsidRPr="00903E6D" w:rsidP="00DE5DED" w14:paraId="74D611D0" w14:textId="64723E06">
      <w:pPr>
        <w:pStyle w:val="ParaNum"/>
        <w:tabs>
          <w:tab w:val="clear" w:pos="1080"/>
          <w:tab w:val="num" w:pos="1440"/>
        </w:tabs>
      </w:pPr>
      <w:r>
        <w:t>Stage 2 funding recipients that fail to meet this mandatory DIRS reporting obligation may be subject to penalties and sanctions through the withholding of Stage 2 funds and/or disqualification from participating in future Stage 3 mobile support.</w:t>
      </w:r>
      <w:r>
        <w:rPr>
          <w:rStyle w:val="FootnoteReference"/>
        </w:rPr>
        <w:footnoteReference w:id="228"/>
      </w:r>
      <w:r>
        <w:t xml:space="preserve">  However, we </w:t>
      </w:r>
      <w:r w:rsidRPr="00026636">
        <w:t xml:space="preserve">will not impose </w:t>
      </w:r>
      <w:r>
        <w:t xml:space="preserve">a </w:t>
      </w:r>
      <w:r w:rsidRPr="00026636">
        <w:t>penalty or sanctions if reporting deadline(s) cannot be met for reasons reasonably beyond a participant’s control</w:t>
      </w:r>
      <w:r>
        <w:t xml:space="preserve"> (e.g. loss of communications that precludes access to DIRS)</w:t>
      </w:r>
      <w:r w:rsidRPr="00026636">
        <w:t>.</w:t>
      </w:r>
      <w:r>
        <w:rPr>
          <w:rStyle w:val="FootnoteReference"/>
        </w:rPr>
        <w:footnoteReference w:id="229"/>
      </w:r>
      <w:r>
        <w:t xml:space="preserve">  In that case, we require instead that providers begin and/or resume DIRS reporting according to the reporting schedule as soon as they are reasonably able to do so.  </w:t>
      </w:r>
    </w:p>
    <w:p w:rsidR="002B640D" w:rsidRPr="002B640D" w:rsidP="00A64C85" w14:paraId="537641B0" w14:textId="77777777">
      <w:pPr>
        <w:pStyle w:val="Heading1"/>
      </w:pPr>
      <w:bookmarkStart w:id="2148" w:name="_Toc22643916"/>
      <w:bookmarkStart w:id="2149" w:name="_Toc30099887"/>
      <w:bookmarkStart w:id="2150" w:name="_Toc31809595"/>
      <w:r>
        <w:t>P</w:t>
      </w:r>
      <w:r w:rsidR="000235D7">
        <w:t>R</w:t>
      </w:r>
      <w:r>
        <w:t>OCEDURAL MATTERS</w:t>
      </w:r>
      <w:bookmarkEnd w:id="2148"/>
      <w:bookmarkEnd w:id="2149"/>
      <w:bookmarkEnd w:id="2150"/>
    </w:p>
    <w:p w:rsidR="00F16A63" w:rsidP="00701932" w14:paraId="7AC2D0C7" w14:textId="77777777">
      <w:pPr>
        <w:pStyle w:val="Heading2"/>
      </w:pPr>
      <w:bookmarkStart w:id="2151" w:name="_Toc22643917"/>
      <w:bookmarkStart w:id="2152" w:name="_Toc30099888"/>
      <w:bookmarkStart w:id="2153" w:name="_Toc31809596"/>
      <w:r>
        <w:t>Legal Authority</w:t>
      </w:r>
      <w:bookmarkEnd w:id="2151"/>
      <w:bookmarkEnd w:id="2152"/>
      <w:bookmarkEnd w:id="2153"/>
    </w:p>
    <w:p w:rsidR="00AE729D" w:rsidRPr="00AE729D" w:rsidP="00A64C85" w14:paraId="1ED06C50" w14:textId="548A4539">
      <w:pPr>
        <w:pStyle w:val="ParaNum"/>
      </w:pPr>
      <w:bookmarkStart w:id="2154" w:name="_Hlk502827539"/>
      <w:r>
        <w:t xml:space="preserve">We establish procedures for the </w:t>
      </w:r>
      <w:r w:rsidR="00D9542A">
        <w:t>Stage 2</w:t>
      </w:r>
      <w:r w:rsidR="00630797">
        <w:t xml:space="preserve"> C</w:t>
      </w:r>
      <w:r w:rsidR="00D9542A">
        <w:t>ompetition</w:t>
      </w:r>
      <w:r>
        <w:t xml:space="preserve"> pursuant to the authority contained in sections </w:t>
      </w:r>
      <w:bookmarkEnd w:id="2154"/>
      <w:r w:rsidR="007B3CFF">
        <w:t xml:space="preserve">1, 2, 4(i), 214, 254, 303(r), 403, and 405 of the Communications Act of 1934, as amended, 47 U.S.C. §§ 151, 152, 154(i), 214, 254, 303(r), 403, and 405, </w:t>
      </w:r>
      <w:r w:rsidR="007D52D7">
        <w:t xml:space="preserve">and </w:t>
      </w:r>
      <w:r w:rsidR="007B3CFF">
        <w:t>sections 1.1, 1.3, 1.425 and 1.429 of the Commission’s rules, 47 CFR §§ 1.1, 1.3, 1.425 and 1.429.</w:t>
      </w:r>
    </w:p>
    <w:p w:rsidR="00341C81" w:rsidP="00701932" w14:paraId="3CD80304" w14:textId="77777777">
      <w:pPr>
        <w:pStyle w:val="Heading2"/>
      </w:pPr>
      <w:bookmarkStart w:id="2155" w:name="_Toc22643918"/>
      <w:bookmarkStart w:id="2156" w:name="_Toc30099889"/>
      <w:bookmarkStart w:id="2157" w:name="_Toc31809597"/>
      <w:r>
        <w:t>Paperwork Reduction Act Analysis</w:t>
      </w:r>
      <w:bookmarkEnd w:id="2155"/>
      <w:bookmarkEnd w:id="2156"/>
      <w:bookmarkEnd w:id="2157"/>
    </w:p>
    <w:p w:rsidR="007B3CFF" w:rsidRPr="00AE729D" w:rsidP="007B3CFF" w14:paraId="0ADD57B8" w14:textId="490FB70C">
      <w:pPr>
        <w:pStyle w:val="ParaNum"/>
      </w:pPr>
      <w:r w:rsidRPr="00976009">
        <w:t>This document implements the information collections adopted in the</w:t>
      </w:r>
      <w:r w:rsidR="00A64C85">
        <w:t xml:space="preserve"> </w:t>
      </w:r>
      <w:r w:rsidRPr="00A64C85" w:rsidR="00A64C85">
        <w:rPr>
          <w:i/>
        </w:rPr>
        <w:t>P</w:t>
      </w:r>
      <w:r w:rsidRPr="00A64C85" w:rsidR="00D9542A">
        <w:rPr>
          <w:i/>
        </w:rPr>
        <w:t>R</w:t>
      </w:r>
      <w:r w:rsidR="00D9542A">
        <w:rPr>
          <w:i/>
        </w:rPr>
        <w:t>-USVI Stage 2 Order</w:t>
      </w:r>
      <w:r w:rsidRPr="00976009">
        <w:t xml:space="preserve"> and does not contain any additional information collection(s) subject to the Paperwork Reduction Act of 1995 (PRA), Public Law 104-13. </w:t>
      </w:r>
      <w:r>
        <w:t xml:space="preserve"> </w:t>
      </w:r>
      <w:r w:rsidRPr="00976009">
        <w:t>The Commission is currently seeking PRA approval for information collections related to the</w:t>
      </w:r>
      <w:r w:rsidR="006337D8">
        <w:t xml:space="preserve"> PR-USVI</w:t>
      </w:r>
      <w:r w:rsidRPr="00976009">
        <w:t xml:space="preserve"> </w:t>
      </w:r>
      <w:r w:rsidR="006337D8">
        <w:t xml:space="preserve">Stage 2 Competition </w:t>
      </w:r>
      <w:r w:rsidRPr="00976009">
        <w:t xml:space="preserve">application process. </w:t>
      </w:r>
      <w:r>
        <w:t xml:space="preserve"> </w:t>
      </w:r>
      <w:r w:rsidR="006337D8">
        <w:t>T</w:t>
      </w:r>
      <w:r w:rsidRPr="00976009">
        <w:t>herefore, this document does not contain any new or modified information collection burden for small business concerns with fewer than 25 employees, pursuant to the Small Busine</w:t>
      </w:r>
      <w:r>
        <w:t>ss Paperwork Relief Act of 2002, Public Law 107-198.</w:t>
      </w:r>
      <w:r>
        <w:rPr>
          <w:rStyle w:val="FootnoteReference"/>
        </w:rPr>
        <w:footnoteReference w:id="230"/>
      </w:r>
    </w:p>
    <w:p w:rsidR="00341C81" w:rsidP="00701932" w14:paraId="6C793E6C" w14:textId="5DD78518">
      <w:pPr>
        <w:pStyle w:val="Heading2"/>
      </w:pPr>
      <w:bookmarkStart w:id="2158" w:name="_Toc22643919"/>
      <w:bookmarkStart w:id="2159" w:name="_Toc30099890"/>
      <w:bookmarkStart w:id="2160" w:name="_Toc31809598"/>
      <w:r>
        <w:t xml:space="preserve">Supplemental </w:t>
      </w:r>
      <w:r>
        <w:t>Regulatory Flexibility Analysis</w:t>
      </w:r>
      <w:bookmarkEnd w:id="2158"/>
      <w:bookmarkEnd w:id="2159"/>
      <w:bookmarkEnd w:id="2160"/>
    </w:p>
    <w:p w:rsidR="006337D8" w:rsidRPr="00DC75CD" w:rsidP="006337D8" w14:paraId="009805A6" w14:textId="56248D14">
      <w:pPr>
        <w:pStyle w:val="ParaNum"/>
        <w:tabs>
          <w:tab w:val="clear" w:pos="1080"/>
          <w:tab w:val="num" w:pos="1440"/>
        </w:tabs>
      </w:pPr>
      <w:r>
        <w:t xml:space="preserve">In the </w:t>
      </w:r>
      <w:r>
        <w:rPr>
          <w:i/>
        </w:rPr>
        <w:t>PR-USVI Stage 2 Order</w:t>
      </w:r>
      <w:r>
        <w:t>,</w:t>
      </w:r>
      <w:r w:rsidR="00897FD3">
        <w:t xml:space="preserve"> the Commission conducted a Final Regulatory Flexibility Analyses (FRFAs) as required by the Regulatory Flexibility Act of 1980, as amended (RFA).</w:t>
      </w:r>
      <w:r>
        <w:rPr>
          <w:rStyle w:val="FootnoteReference"/>
          <w:szCs w:val="22"/>
        </w:rPr>
        <w:footnoteReference w:id="231"/>
      </w:r>
      <w:r w:rsidRPr="009650C3">
        <w:t xml:space="preserve">  </w:t>
      </w:r>
      <w:r w:rsidR="00897FD3">
        <w:t>We anticipated that the Order will not affect a substantial number of carriers and</w:t>
      </w:r>
      <w:r w:rsidR="005C3571">
        <w:t>, t</w:t>
      </w:r>
      <w:r w:rsidR="00897FD3">
        <w:t xml:space="preserve">herefore, </w:t>
      </w:r>
      <w:r w:rsidR="005C3571">
        <w:t xml:space="preserve">certified the Order </w:t>
      </w:r>
      <w:r w:rsidR="00897FD3">
        <w:t>would not affect a substantial number of small entities.</w:t>
      </w:r>
      <w:r>
        <w:rPr>
          <w:rStyle w:val="FootnoteReference"/>
        </w:rPr>
        <w:footnoteReference w:id="232"/>
      </w:r>
      <w:r w:rsidR="00897FD3">
        <w:t xml:space="preserve">  </w:t>
      </w:r>
      <w:r w:rsidRPr="003F5093">
        <w:t xml:space="preserve"> </w:t>
      </w:r>
      <w:r w:rsidRPr="009A56D8">
        <w:t xml:space="preserve">     </w:t>
      </w:r>
    </w:p>
    <w:p w:rsidR="006337D8" w:rsidRPr="006337D8" w:rsidP="00151057" w14:paraId="1EA17A80" w14:textId="519AC1B7">
      <w:pPr>
        <w:pStyle w:val="ParaNum"/>
        <w:widowControl/>
        <w:tabs>
          <w:tab w:val="clear" w:pos="1080"/>
          <w:tab w:val="num" w:pos="1440"/>
        </w:tabs>
        <w:rPr>
          <w:szCs w:val="22"/>
        </w:rPr>
      </w:pPr>
      <w:r w:rsidRPr="006B60BB">
        <w:rPr>
          <w:szCs w:val="22"/>
        </w:rPr>
        <w:t xml:space="preserve">This Public Notice establishes procedures for the </w:t>
      </w:r>
      <w:r>
        <w:rPr>
          <w:szCs w:val="22"/>
        </w:rPr>
        <w:t>Connect America Uniendo a Puerto Rico Fund and Connect USVI Fund Stage 2 Competition</w:t>
      </w:r>
      <w:r w:rsidRPr="006B60BB">
        <w:rPr>
          <w:szCs w:val="22"/>
        </w:rPr>
        <w:t xml:space="preserve"> (</w:t>
      </w:r>
      <w:r>
        <w:rPr>
          <w:szCs w:val="22"/>
        </w:rPr>
        <w:t>PR-USVI Stage 2 Competition or Stage 2 Competition</w:t>
      </w:r>
      <w:r w:rsidRPr="006B60BB">
        <w:rPr>
          <w:szCs w:val="22"/>
        </w:rPr>
        <w:t>)</w:t>
      </w:r>
      <w:r w:rsidRPr="009650C3">
        <w:rPr>
          <w:szCs w:val="22"/>
        </w:rPr>
        <w:t xml:space="preserve">.  </w:t>
      </w:r>
      <w:r w:rsidR="005C3571">
        <w:rPr>
          <w:szCs w:val="22"/>
        </w:rPr>
        <w:t>T</w:t>
      </w:r>
      <w:r w:rsidRPr="00DC75CD">
        <w:rPr>
          <w:szCs w:val="22"/>
        </w:rPr>
        <w:t xml:space="preserve">he procedures established in this </w:t>
      </w:r>
      <w:r w:rsidRPr="00755197">
        <w:rPr>
          <w:szCs w:val="22"/>
        </w:rPr>
        <w:t>Public Notice</w:t>
      </w:r>
      <w:r w:rsidRPr="009A56D8">
        <w:rPr>
          <w:szCs w:val="22"/>
        </w:rPr>
        <w:t xml:space="preserve"> are consistent with the </w:t>
      </w:r>
      <w:r>
        <w:rPr>
          <w:i/>
          <w:szCs w:val="22"/>
        </w:rPr>
        <w:t>PR-USVI Stage 2 Order</w:t>
      </w:r>
      <w:r w:rsidRPr="00DC75CD">
        <w:rPr>
          <w:szCs w:val="22"/>
        </w:rPr>
        <w:t xml:space="preserve"> and </w:t>
      </w:r>
      <w:r w:rsidR="005C3571">
        <w:rPr>
          <w:szCs w:val="22"/>
        </w:rPr>
        <w:t>FRFA is not required for this Public Notice.</w:t>
      </w:r>
    </w:p>
    <w:p w:rsidR="002137C6" w:rsidP="00701932" w14:paraId="5120FD48" w14:textId="13228183">
      <w:pPr>
        <w:pStyle w:val="Heading2"/>
      </w:pPr>
      <w:bookmarkStart w:id="2161" w:name="_Toc22643920"/>
      <w:bookmarkStart w:id="2162" w:name="_Toc31809599"/>
      <w:r>
        <w:t>Congressional Review Act</w:t>
      </w:r>
      <w:bookmarkStart w:id="2163" w:name="_Toc30099891"/>
      <w:bookmarkEnd w:id="2162"/>
      <w:bookmarkEnd w:id="2163"/>
    </w:p>
    <w:p w:rsidR="002137C6" w:rsidRPr="002137C6" w:rsidP="00151057" w14:paraId="5DA8D430" w14:textId="581FF29E">
      <w:pPr>
        <w:pStyle w:val="ParaNum"/>
      </w:pPr>
      <w:r>
        <w:t xml:space="preserve">The Commission has determined, and the Administrator of the Office </w:t>
      </w:r>
      <w:r w:rsidRPr="002137C6">
        <w:t xml:space="preserve">of Information and Regulatory Affairs, Office of Management and Budget, concurs that these rules are “non-major” under the Congressional Review Act, 5 U.S.C. § 804(2).  The Commission will send a copy of this </w:t>
      </w:r>
      <w:r>
        <w:t>Public Notice</w:t>
      </w:r>
      <w:r w:rsidRPr="002137C6">
        <w:t xml:space="preserve"> to Congress and the Government Accountability Office pursuant to 5 U.S.C. § 801(a)(1)(A).</w:t>
      </w:r>
    </w:p>
    <w:p w:rsidR="00341C81" w:rsidP="008544F6" w14:paraId="025CA721" w14:textId="2D73DE39">
      <w:pPr>
        <w:pStyle w:val="Heading1"/>
      </w:pPr>
      <w:bookmarkStart w:id="2164" w:name="_Toc30099893"/>
      <w:bookmarkStart w:id="2165" w:name="_Toc31809600"/>
      <w:bookmarkStart w:id="2166" w:name="start_from_here"/>
      <w:r>
        <w:t>CONTACT INFORMATION</w:t>
      </w:r>
      <w:bookmarkEnd w:id="2161"/>
      <w:bookmarkEnd w:id="2164"/>
      <w:bookmarkEnd w:id="2165"/>
      <w:bookmarkEnd w:id="2166"/>
    </w:p>
    <w:p w:rsidR="00AE729D" w:rsidP="00AD16F8" w14:paraId="37845410" w14:textId="77777777">
      <w:pPr>
        <w:pStyle w:val="ParaNum"/>
        <w:keepNext/>
        <w:widowControl/>
      </w:pPr>
      <w:r>
        <w:t>Contact Information Table</w:t>
      </w:r>
      <w:r w:rsidRPr="009D446F">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860"/>
      </w:tblGrid>
      <w:tr w14:paraId="6CB228C0" w14:textId="77777777" w:rsidTr="00AE729D">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4968" w:type="dxa"/>
          </w:tcPr>
          <w:p w:rsidR="00AE729D" w:rsidP="00D9542A" w14:paraId="6A99B0B2" w14:textId="77777777">
            <w:pPr>
              <w:widowControl/>
              <w:rPr>
                <w:b/>
                <w:szCs w:val="22"/>
              </w:rPr>
            </w:pPr>
            <w:r>
              <w:rPr>
                <w:b/>
                <w:szCs w:val="22"/>
              </w:rPr>
              <w:t>FCC Email &amp; Webpages</w:t>
            </w:r>
          </w:p>
          <w:p w:rsidR="00AE729D" w:rsidP="00D9542A" w14:paraId="251C8710" w14:textId="77777777">
            <w:pPr>
              <w:widowControl/>
              <w:rPr>
                <w:b/>
                <w:szCs w:val="22"/>
              </w:rPr>
            </w:pPr>
          </w:p>
        </w:tc>
        <w:tc>
          <w:tcPr>
            <w:tcW w:w="4860" w:type="dxa"/>
          </w:tcPr>
          <w:p w:rsidR="00AE729D" w:rsidP="00D9542A" w14:paraId="527647F4" w14:textId="33C58219">
            <w:pPr>
              <w:widowControl/>
            </w:pPr>
            <w:hyperlink r:id="rId9" w:history="1">
              <w:r w:rsidRPr="003E256E" w:rsidR="00A66960">
                <w:rPr>
                  <w:rStyle w:val="Hyperlink"/>
                </w:rPr>
                <w:t>ConnectAmerica@fcc.gov</w:t>
              </w:r>
            </w:hyperlink>
          </w:p>
          <w:p w:rsidR="00AE729D" w:rsidP="00D9542A" w14:paraId="1EB33EFF" w14:textId="77777777">
            <w:pPr>
              <w:widowControl/>
              <w:rPr>
                <w:szCs w:val="22"/>
              </w:rPr>
            </w:pPr>
            <w:hyperlink r:id="rId10" w:history="1">
              <w:r>
                <w:rPr>
                  <w:rStyle w:val="Hyperlink"/>
                  <w:szCs w:val="22"/>
                </w:rPr>
                <w:t>http://www.fcc.gov</w:t>
              </w:r>
            </w:hyperlink>
          </w:p>
          <w:p w:rsidR="00AE729D" w:rsidP="00D9542A" w14:paraId="5D8490EE" w14:textId="77777777">
            <w:pPr>
              <w:widowControl/>
              <w:rPr>
                <w:szCs w:val="22"/>
              </w:rPr>
            </w:pPr>
          </w:p>
          <w:p w:rsidR="00AE729D" w:rsidP="00D9542A" w14:paraId="41B8E190" w14:textId="77777777">
            <w:pPr>
              <w:widowControl/>
              <w:rPr>
                <w:b/>
                <w:szCs w:val="22"/>
              </w:rPr>
            </w:pPr>
          </w:p>
        </w:tc>
      </w:tr>
      <w:tr w14:paraId="5B23AE3B" w14:textId="77777777" w:rsidTr="00AE729D">
        <w:tblPrEx>
          <w:tblW w:w="9828" w:type="dxa"/>
          <w:tblLayout w:type="fixed"/>
          <w:tblLook w:val="0000"/>
        </w:tblPrEx>
        <w:trPr>
          <w:cantSplit/>
          <w:trHeight w:val="1267"/>
        </w:trPr>
        <w:tc>
          <w:tcPr>
            <w:tcW w:w="4968" w:type="dxa"/>
          </w:tcPr>
          <w:p w:rsidR="00AE729D" w:rsidP="00D9542A" w14:paraId="09D24CFB" w14:textId="77777777">
            <w:pPr>
              <w:widowControl/>
              <w:rPr>
                <w:b/>
                <w:szCs w:val="22"/>
              </w:rPr>
            </w:pPr>
            <w:r>
              <w:rPr>
                <w:b/>
                <w:szCs w:val="22"/>
              </w:rPr>
              <w:t xml:space="preserve">General </w:t>
            </w:r>
            <w:r w:rsidR="00493766">
              <w:rPr>
                <w:b/>
                <w:szCs w:val="22"/>
              </w:rPr>
              <w:t xml:space="preserve">Uniendo a Puerto Rico Fund and Connect USVI Fund </w:t>
            </w:r>
            <w:r>
              <w:rPr>
                <w:b/>
                <w:szCs w:val="22"/>
              </w:rPr>
              <w:t>Questions</w:t>
            </w:r>
          </w:p>
          <w:p w:rsidR="00AE729D" w:rsidP="00D9542A" w14:paraId="63DFFD24" w14:textId="77777777">
            <w:pPr>
              <w:widowControl/>
              <w:rPr>
                <w:b/>
                <w:i/>
                <w:szCs w:val="22"/>
                <w:highlight w:val="yellow"/>
              </w:rPr>
            </w:pPr>
          </w:p>
        </w:tc>
        <w:tc>
          <w:tcPr>
            <w:tcW w:w="4860" w:type="dxa"/>
          </w:tcPr>
          <w:p w:rsidR="00AE729D" w:rsidP="00D9542A" w14:paraId="22FF449E" w14:textId="77777777">
            <w:pPr>
              <w:widowControl/>
              <w:rPr>
                <w:szCs w:val="22"/>
              </w:rPr>
            </w:pPr>
            <w:r>
              <w:rPr>
                <w:b/>
                <w:szCs w:val="22"/>
              </w:rPr>
              <w:t>Wireline Competition Bureau</w:t>
            </w:r>
          </w:p>
          <w:p w:rsidR="00AE729D" w:rsidP="00D9542A" w14:paraId="35F82283" w14:textId="77777777">
            <w:pPr>
              <w:widowControl/>
              <w:rPr>
                <w:b/>
                <w:szCs w:val="22"/>
              </w:rPr>
            </w:pPr>
            <w:r>
              <w:rPr>
                <w:b/>
                <w:szCs w:val="22"/>
              </w:rPr>
              <w:t>Telecommunications Access Policy Division</w:t>
            </w:r>
          </w:p>
          <w:p w:rsidR="00AE729D" w:rsidP="00D9542A" w14:paraId="0B50CF83" w14:textId="77777777">
            <w:pPr>
              <w:widowControl/>
              <w:rPr>
                <w:szCs w:val="22"/>
              </w:rPr>
            </w:pPr>
            <w:r>
              <w:rPr>
                <w:szCs w:val="22"/>
              </w:rPr>
              <w:t>Alex Minard</w:t>
            </w:r>
          </w:p>
          <w:p w:rsidR="00AE729D" w:rsidP="00D9542A" w14:paraId="363598DA" w14:textId="77777777">
            <w:pPr>
              <w:widowControl/>
              <w:rPr>
                <w:szCs w:val="22"/>
              </w:rPr>
            </w:pPr>
            <w:r>
              <w:rPr>
                <w:szCs w:val="22"/>
              </w:rPr>
              <w:t>Rebekah Douglas</w:t>
            </w:r>
          </w:p>
          <w:p w:rsidR="00AE729D" w:rsidP="00D9542A" w14:paraId="4135A8E1" w14:textId="77777777">
            <w:pPr>
              <w:widowControl/>
              <w:rPr>
                <w:szCs w:val="22"/>
              </w:rPr>
            </w:pPr>
            <w:r>
              <w:rPr>
                <w:szCs w:val="22"/>
              </w:rPr>
              <w:t>Dangkhoa Nguyen</w:t>
            </w:r>
          </w:p>
          <w:p w:rsidR="00AE729D" w:rsidP="00D9542A" w14:paraId="429C96BB" w14:textId="77777777">
            <w:pPr>
              <w:widowControl/>
              <w:rPr>
                <w:szCs w:val="22"/>
              </w:rPr>
            </w:pPr>
            <w:r>
              <w:rPr>
                <w:szCs w:val="22"/>
              </w:rPr>
              <w:t>(202) 418-0660</w:t>
            </w:r>
          </w:p>
          <w:p w:rsidR="00AE729D" w:rsidP="00D9542A" w14:paraId="0C4F595B" w14:textId="77777777">
            <w:pPr>
              <w:widowControl/>
              <w:rPr>
                <w:szCs w:val="22"/>
                <w:highlight w:val="yellow"/>
              </w:rPr>
            </w:pPr>
          </w:p>
        </w:tc>
      </w:tr>
      <w:tr w14:paraId="7D7DB6BA" w14:textId="77777777" w:rsidTr="00AE729D">
        <w:tblPrEx>
          <w:tblW w:w="9828" w:type="dxa"/>
          <w:tblLayout w:type="fixed"/>
          <w:tblLook w:val="0000"/>
        </w:tblPrEx>
        <w:trPr>
          <w:cantSplit/>
          <w:trHeight w:val="350"/>
        </w:trPr>
        <w:tc>
          <w:tcPr>
            <w:tcW w:w="4968" w:type="dxa"/>
          </w:tcPr>
          <w:p w:rsidR="00AE729D" w:rsidP="00D9542A" w14:paraId="0E050621" w14:textId="77777777">
            <w:pPr>
              <w:widowControl/>
              <w:rPr>
                <w:b/>
                <w:szCs w:val="22"/>
              </w:rPr>
            </w:pPr>
            <w:r>
              <w:rPr>
                <w:b/>
                <w:szCs w:val="22"/>
              </w:rPr>
              <w:t>Press Information</w:t>
            </w:r>
          </w:p>
        </w:tc>
        <w:tc>
          <w:tcPr>
            <w:tcW w:w="4860" w:type="dxa"/>
          </w:tcPr>
          <w:p w:rsidR="00AE729D" w:rsidP="00D9542A" w14:paraId="4248382D" w14:textId="284BFA47">
            <w:pPr>
              <w:widowControl/>
              <w:rPr>
                <w:szCs w:val="22"/>
              </w:rPr>
            </w:pPr>
            <w:r>
              <w:rPr>
                <w:szCs w:val="22"/>
              </w:rPr>
              <w:t>Office of Media Relations, (202) 418-</w:t>
            </w:r>
            <w:r w:rsidR="0065421C">
              <w:rPr>
                <w:szCs w:val="22"/>
              </w:rPr>
              <w:t>0500</w:t>
            </w:r>
          </w:p>
          <w:p w:rsidR="00AE729D" w:rsidP="00D9542A" w14:paraId="679FEE16" w14:textId="77777777">
            <w:pPr>
              <w:widowControl/>
              <w:rPr>
                <w:szCs w:val="22"/>
              </w:rPr>
            </w:pPr>
          </w:p>
        </w:tc>
      </w:tr>
      <w:tr w14:paraId="538FC8E3" w14:textId="77777777" w:rsidTr="00AE729D">
        <w:tblPrEx>
          <w:tblW w:w="9828" w:type="dxa"/>
          <w:tblLayout w:type="fixed"/>
          <w:tblLook w:val="0000"/>
        </w:tblPrEx>
        <w:trPr>
          <w:cantSplit/>
          <w:trHeight w:val="980"/>
        </w:trPr>
        <w:tc>
          <w:tcPr>
            <w:tcW w:w="4968" w:type="dxa"/>
          </w:tcPr>
          <w:p w:rsidR="00AE729D" w:rsidP="00D9542A" w14:paraId="5AD7FD9F" w14:textId="77777777">
            <w:pPr>
              <w:widowControl/>
              <w:rPr>
                <w:b/>
                <w:szCs w:val="22"/>
              </w:rPr>
            </w:pPr>
            <w:r>
              <w:rPr>
                <w:b/>
                <w:szCs w:val="22"/>
              </w:rPr>
              <w:t>FCC Forms</w:t>
            </w:r>
          </w:p>
        </w:tc>
        <w:tc>
          <w:tcPr>
            <w:tcW w:w="4860" w:type="dxa"/>
          </w:tcPr>
          <w:p w:rsidR="00AE729D" w:rsidP="00D9542A" w14:paraId="2B29A6F0" w14:textId="77777777">
            <w:pPr>
              <w:widowControl/>
              <w:rPr>
                <w:szCs w:val="22"/>
              </w:rPr>
            </w:pPr>
            <w:r>
              <w:rPr>
                <w:szCs w:val="22"/>
              </w:rPr>
              <w:t xml:space="preserve">(800) 418-3676 (outside Washington, DC) </w:t>
            </w:r>
          </w:p>
          <w:p w:rsidR="00AE729D" w:rsidP="00D9542A" w14:paraId="77F6076C" w14:textId="77777777">
            <w:pPr>
              <w:widowControl/>
              <w:rPr>
                <w:szCs w:val="22"/>
              </w:rPr>
            </w:pPr>
            <w:r>
              <w:rPr>
                <w:szCs w:val="22"/>
              </w:rPr>
              <w:t>(202) 418-3676 (in the Washington area)</w:t>
            </w:r>
          </w:p>
          <w:p w:rsidR="00AE729D" w:rsidP="00D9542A" w14:paraId="3487A9F4" w14:textId="77777777">
            <w:pPr>
              <w:widowControl/>
              <w:rPr>
                <w:szCs w:val="22"/>
              </w:rPr>
            </w:pPr>
            <w:hyperlink r:id="rId11" w:history="1">
              <w:r>
                <w:rPr>
                  <w:rStyle w:val="Hyperlink"/>
                  <w:szCs w:val="22"/>
                </w:rPr>
                <w:t>http://www.fcc.gov/formpage.html</w:t>
              </w:r>
            </w:hyperlink>
          </w:p>
        </w:tc>
      </w:tr>
      <w:tr w14:paraId="7B233944" w14:textId="77777777" w:rsidTr="00AE729D">
        <w:tblPrEx>
          <w:tblW w:w="9828" w:type="dxa"/>
          <w:tblLayout w:type="fixed"/>
          <w:tblLook w:val="0000"/>
        </w:tblPrEx>
        <w:trPr>
          <w:cantSplit/>
          <w:trHeight w:val="1106"/>
        </w:trPr>
        <w:tc>
          <w:tcPr>
            <w:tcW w:w="4968" w:type="dxa"/>
          </w:tcPr>
          <w:p w:rsidR="00AE729D" w:rsidP="00D9542A" w14:paraId="4E1A7EBC" w14:textId="77777777">
            <w:pPr>
              <w:widowControl/>
              <w:rPr>
                <w:b/>
                <w:szCs w:val="22"/>
              </w:rPr>
            </w:pPr>
            <w:r>
              <w:rPr>
                <w:b/>
                <w:szCs w:val="22"/>
              </w:rPr>
              <w:t>Accessible Formats</w:t>
            </w:r>
          </w:p>
          <w:p w:rsidR="00AE729D" w:rsidP="00D9542A" w14:paraId="697CDD11" w14:textId="77777777">
            <w:pPr>
              <w:widowControl/>
              <w:ind w:left="360"/>
              <w:rPr>
                <w:szCs w:val="22"/>
              </w:rPr>
            </w:pPr>
            <w:r>
              <w:rPr>
                <w:szCs w:val="22"/>
              </w:rPr>
              <w:t xml:space="preserve">Braille, large print, electronic files, or </w:t>
            </w:r>
          </w:p>
          <w:p w:rsidR="00AE729D" w:rsidP="00D9542A" w14:paraId="7639CF28" w14:textId="77777777">
            <w:pPr>
              <w:widowControl/>
              <w:ind w:left="360"/>
              <w:rPr>
                <w:b/>
                <w:szCs w:val="22"/>
              </w:rPr>
            </w:pPr>
            <w:r>
              <w:rPr>
                <w:szCs w:val="22"/>
              </w:rPr>
              <w:t>audio format for people with disabilities</w:t>
            </w:r>
          </w:p>
        </w:tc>
        <w:tc>
          <w:tcPr>
            <w:tcW w:w="4860" w:type="dxa"/>
          </w:tcPr>
          <w:p w:rsidR="00AE729D" w:rsidP="00D9542A" w14:paraId="22CD26A5" w14:textId="77777777">
            <w:pPr>
              <w:widowControl/>
              <w:rPr>
                <w:b/>
                <w:szCs w:val="22"/>
              </w:rPr>
            </w:pPr>
            <w:r>
              <w:rPr>
                <w:b/>
                <w:szCs w:val="22"/>
              </w:rPr>
              <w:t>Consumer and Governmental Affairs Bureau</w:t>
            </w:r>
          </w:p>
          <w:p w:rsidR="00AE729D" w:rsidP="00D9542A" w14:paraId="33505E2F" w14:textId="77777777">
            <w:pPr>
              <w:widowControl/>
              <w:rPr>
                <w:szCs w:val="22"/>
              </w:rPr>
            </w:pPr>
            <w:r>
              <w:rPr>
                <w:szCs w:val="22"/>
              </w:rPr>
              <w:t>(202) 418-0530 or (202) 418-0432 (TTY)</w:t>
            </w:r>
          </w:p>
          <w:p w:rsidR="00AE729D" w:rsidP="00D9542A" w14:paraId="2D3A0D8A" w14:textId="77777777">
            <w:pPr>
              <w:widowControl/>
              <w:rPr>
                <w:szCs w:val="22"/>
              </w:rPr>
            </w:pPr>
            <w:hyperlink r:id="rId12" w:history="1">
              <w:r>
                <w:rPr>
                  <w:rStyle w:val="Hyperlink"/>
                  <w:szCs w:val="22"/>
                </w:rPr>
                <w:t>fcc504@fcc.gov</w:t>
              </w:r>
            </w:hyperlink>
          </w:p>
          <w:p w:rsidR="00AE729D" w:rsidP="00D9542A" w14:paraId="27262028" w14:textId="77777777">
            <w:pPr>
              <w:widowControl/>
              <w:rPr>
                <w:szCs w:val="22"/>
              </w:rPr>
            </w:pPr>
          </w:p>
          <w:p w:rsidR="00AE729D" w:rsidP="00D9542A" w14:paraId="7CAC5AC5" w14:textId="77777777">
            <w:pPr>
              <w:widowControl/>
              <w:rPr>
                <w:b/>
                <w:szCs w:val="22"/>
              </w:rPr>
            </w:pPr>
          </w:p>
        </w:tc>
      </w:tr>
      <w:tr w14:paraId="0222705B" w14:textId="77777777" w:rsidTr="00AE729D">
        <w:tblPrEx>
          <w:tblW w:w="9828" w:type="dxa"/>
          <w:tblLayout w:type="fixed"/>
          <w:tblLook w:val="0000"/>
        </w:tblPrEx>
        <w:trPr>
          <w:cantSplit/>
          <w:trHeight w:val="1106"/>
        </w:trPr>
        <w:tc>
          <w:tcPr>
            <w:tcW w:w="4968" w:type="dxa"/>
          </w:tcPr>
          <w:p w:rsidR="00AE729D" w:rsidP="00D9542A" w14:paraId="1158CFBB" w14:textId="77777777">
            <w:pPr>
              <w:widowControl/>
              <w:autoSpaceDE w:val="0"/>
              <w:autoSpaceDN w:val="0"/>
              <w:adjustRightInd w:val="0"/>
              <w:rPr>
                <w:b/>
                <w:bCs/>
                <w:snapToGrid/>
                <w:szCs w:val="22"/>
              </w:rPr>
            </w:pPr>
            <w:r>
              <w:rPr>
                <w:b/>
                <w:bCs/>
                <w:snapToGrid/>
                <w:szCs w:val="22"/>
              </w:rPr>
              <w:t>Small Businesses</w:t>
            </w:r>
          </w:p>
          <w:p w:rsidR="00AE729D" w:rsidP="00D9542A" w14:paraId="1725ED50" w14:textId="77777777">
            <w:pPr>
              <w:widowControl/>
              <w:autoSpaceDE w:val="0"/>
              <w:autoSpaceDN w:val="0"/>
              <w:adjustRightInd w:val="0"/>
              <w:ind w:left="360"/>
              <w:rPr>
                <w:snapToGrid/>
                <w:szCs w:val="22"/>
              </w:rPr>
            </w:pPr>
            <w:r>
              <w:rPr>
                <w:snapToGrid/>
                <w:szCs w:val="22"/>
              </w:rPr>
              <w:t>Additional information for small and disadvantaged businesses</w:t>
            </w:r>
          </w:p>
          <w:p w:rsidR="00AE729D" w:rsidP="00D9542A" w14:paraId="250DC844" w14:textId="77777777">
            <w:pPr>
              <w:widowControl/>
              <w:rPr>
                <w:b/>
                <w:szCs w:val="22"/>
              </w:rPr>
            </w:pPr>
          </w:p>
        </w:tc>
        <w:tc>
          <w:tcPr>
            <w:tcW w:w="4860" w:type="dxa"/>
          </w:tcPr>
          <w:p w:rsidR="00AE729D" w:rsidP="00D9542A" w14:paraId="1CC8A701" w14:textId="77777777">
            <w:pPr>
              <w:widowControl/>
              <w:autoSpaceDE w:val="0"/>
              <w:autoSpaceDN w:val="0"/>
              <w:adjustRightInd w:val="0"/>
              <w:rPr>
                <w:snapToGrid/>
                <w:szCs w:val="22"/>
              </w:rPr>
            </w:pPr>
            <w:r>
              <w:rPr>
                <w:b/>
                <w:bCs/>
                <w:snapToGrid/>
                <w:szCs w:val="22"/>
              </w:rPr>
              <w:t>Office of Communications Business Opportunities</w:t>
            </w:r>
          </w:p>
          <w:p w:rsidR="00AE729D" w:rsidP="00D9542A" w14:paraId="58BBA415" w14:textId="77777777">
            <w:pPr>
              <w:widowControl/>
              <w:autoSpaceDE w:val="0"/>
              <w:autoSpaceDN w:val="0"/>
              <w:adjustRightInd w:val="0"/>
              <w:rPr>
                <w:snapToGrid/>
                <w:szCs w:val="22"/>
              </w:rPr>
            </w:pPr>
            <w:r>
              <w:rPr>
                <w:snapToGrid/>
                <w:szCs w:val="22"/>
              </w:rPr>
              <w:t>(202) 418-0990</w:t>
            </w:r>
          </w:p>
          <w:p w:rsidR="00AE729D" w:rsidP="00D9542A" w14:paraId="3192A7DA" w14:textId="77777777">
            <w:pPr>
              <w:widowControl/>
              <w:autoSpaceDE w:val="0"/>
              <w:autoSpaceDN w:val="0"/>
              <w:adjustRightInd w:val="0"/>
              <w:rPr>
                <w:snapToGrid/>
                <w:szCs w:val="22"/>
              </w:rPr>
            </w:pPr>
            <w:hyperlink r:id="rId13" w:history="1">
              <w:r>
                <w:rPr>
                  <w:snapToGrid/>
                  <w:color w:val="0000FF"/>
                  <w:szCs w:val="22"/>
                  <w:u w:val="single"/>
                </w:rPr>
                <w:t>http://www.fcc.gov/ocbo/</w:t>
              </w:r>
            </w:hyperlink>
          </w:p>
          <w:p w:rsidR="00AE729D" w:rsidP="00D9542A" w14:paraId="623E1116" w14:textId="77777777">
            <w:pPr>
              <w:widowControl/>
              <w:rPr>
                <w:b/>
                <w:szCs w:val="22"/>
              </w:rPr>
            </w:pPr>
          </w:p>
        </w:tc>
      </w:tr>
    </w:tbl>
    <w:p w:rsidR="00AE729D" w:rsidRPr="00AE729D" w:rsidP="000C1EB4" w14:paraId="7E3D1418" w14:textId="77777777">
      <w:pPr>
        <w:pStyle w:val="ParaNum"/>
        <w:numPr>
          <w:ilvl w:val="0"/>
          <w:numId w:val="0"/>
        </w:numPr>
        <w:ind w:left="720"/>
      </w:pPr>
    </w:p>
    <w:p w:rsidR="00F455B4" w:rsidRPr="00E84239" w:rsidP="00F455B4" w14:paraId="22F8F5E3" w14:textId="77777777">
      <w:pPr>
        <w:pStyle w:val="ParaNum"/>
        <w:numPr>
          <w:ilvl w:val="0"/>
          <w:numId w:val="0"/>
        </w:numPr>
        <w:ind w:left="2880" w:firstLine="720"/>
      </w:pPr>
      <w:r w:rsidRPr="00E84239">
        <w:t>FEDERAL COMMUNICATIONS COMMISSION</w:t>
      </w:r>
    </w:p>
    <w:p w:rsidR="00F455B4" w:rsidRPr="00E84239" w:rsidP="00F455B4" w14:paraId="43FDC1A2" w14:textId="77777777">
      <w:pPr>
        <w:pStyle w:val="ParaNum"/>
        <w:numPr>
          <w:ilvl w:val="0"/>
          <w:numId w:val="0"/>
        </w:numPr>
      </w:pPr>
    </w:p>
    <w:p w:rsidR="00F455B4" w:rsidRPr="00E84239" w:rsidP="00F455B4" w14:paraId="78FA3838" w14:textId="77777777">
      <w:pPr>
        <w:pStyle w:val="ParaNum"/>
        <w:numPr>
          <w:ilvl w:val="0"/>
          <w:numId w:val="0"/>
        </w:numPr>
      </w:pPr>
    </w:p>
    <w:p w:rsidR="00F455B4" w:rsidRPr="00E84239" w:rsidP="00F455B4" w14:paraId="324BAA6A" w14:textId="4A0AD48A">
      <w:pPr>
        <w:pStyle w:val="ParaNum"/>
        <w:numPr>
          <w:ilvl w:val="0"/>
          <w:numId w:val="0"/>
        </w:numPr>
        <w:spacing w:after="0"/>
        <w:ind w:left="2880" w:firstLine="720"/>
      </w:pPr>
      <w:r w:rsidRPr="00E84239">
        <w:t>Kris</w:t>
      </w:r>
      <w:r w:rsidR="00C34203">
        <w:t xml:space="preserve"> Anne</w:t>
      </w:r>
      <w:r w:rsidRPr="00E84239">
        <w:t xml:space="preserve"> Monteith</w:t>
      </w:r>
    </w:p>
    <w:p w:rsidR="00F455B4" w:rsidRPr="00E84239" w:rsidP="00F455B4" w14:paraId="1BD577E8" w14:textId="0730E3D9">
      <w:pPr>
        <w:pStyle w:val="ParaNum"/>
        <w:numPr>
          <w:ilvl w:val="0"/>
          <w:numId w:val="0"/>
        </w:numPr>
        <w:spacing w:after="0"/>
        <w:ind w:left="2880" w:firstLine="720"/>
      </w:pPr>
      <w:r w:rsidRPr="00E84239">
        <w:t>Chief</w:t>
      </w:r>
    </w:p>
    <w:p w:rsidR="004555AD" w:rsidP="00F455B4" w14:paraId="5A5E3E8A" w14:textId="77777777">
      <w:pPr>
        <w:pStyle w:val="ParaNum"/>
        <w:numPr>
          <w:ilvl w:val="0"/>
          <w:numId w:val="0"/>
        </w:numPr>
        <w:spacing w:after="0"/>
        <w:ind w:left="2880" w:firstLine="720"/>
        <w:sectPr w:rsidSect="00F45E47">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docGrid w:linePitch="299"/>
        </w:sectPr>
      </w:pPr>
      <w:r w:rsidRPr="00E84239">
        <w:t>Wireline Competition Bureau</w:t>
      </w:r>
    </w:p>
    <w:p w:rsidR="00110D8B" w:rsidP="00110D8B" w14:paraId="59EC7604" w14:textId="77777777">
      <w:pPr>
        <w:pStyle w:val="ParaNum"/>
        <w:numPr>
          <w:ilvl w:val="0"/>
          <w:numId w:val="0"/>
        </w:numPr>
        <w:jc w:val="center"/>
        <w:rPr>
          <w:b/>
        </w:rPr>
      </w:pPr>
      <w:r w:rsidRPr="00341C81">
        <w:rPr>
          <w:b/>
        </w:rPr>
        <w:t>APPENDIX A</w:t>
      </w:r>
    </w:p>
    <w:p w:rsidR="00110D8B" w:rsidP="00110D8B" w14:paraId="2F67AC5B" w14:textId="5F7869DE">
      <w:pPr>
        <w:pStyle w:val="ParaNum"/>
        <w:numPr>
          <w:ilvl w:val="0"/>
          <w:numId w:val="0"/>
        </w:numPr>
        <w:jc w:val="center"/>
        <w:rPr>
          <w:b/>
          <w:szCs w:val="22"/>
        </w:rPr>
      </w:pPr>
      <w:r>
        <w:rPr>
          <w:b/>
          <w:szCs w:val="22"/>
        </w:rPr>
        <w:t>Spectrum Chart</w:t>
      </w:r>
    </w:p>
    <w:tbl>
      <w:tblPr>
        <w:tblpPr w:leftFromText="180" w:rightFromText="180" w:vertAnchor="page" w:horzAnchor="margin" w:tblpXSpec="center" w:tblpY="2491"/>
        <w:tblW w:w="11214" w:type="dxa"/>
        <w:tblLook w:val="04A0"/>
      </w:tblPr>
      <w:tblGrid>
        <w:gridCol w:w="2448"/>
        <w:gridCol w:w="1980"/>
        <w:gridCol w:w="2222"/>
        <w:gridCol w:w="2250"/>
        <w:gridCol w:w="2314"/>
      </w:tblGrid>
      <w:tr w14:paraId="6ACD3BD8" w14:textId="77777777" w:rsidTr="00110D8B">
        <w:tblPrEx>
          <w:tblW w:w="11214" w:type="dxa"/>
          <w:tblLook w:val="04A0"/>
        </w:tblPrEx>
        <w:trPr>
          <w:trHeight w:val="60"/>
        </w:trPr>
        <w:tc>
          <w:tcPr>
            <w:tcW w:w="2448" w:type="dxa"/>
            <w:tcBorders>
              <w:top w:val="nil"/>
              <w:left w:val="single" w:sz="8" w:space="0" w:color="auto"/>
              <w:bottom w:val="single" w:sz="8" w:space="0" w:color="auto"/>
              <w:right w:val="nil"/>
            </w:tcBorders>
            <w:shd w:val="clear" w:color="000000" w:fill="BFBFBF"/>
            <w:noWrap/>
            <w:vAlign w:val="bottom"/>
            <w:hideMark/>
          </w:tcPr>
          <w:p w:rsidR="00F84D43" w:rsidRPr="00FD7376" w:rsidP="00110D8B" w14:paraId="28E32196" w14:textId="77777777">
            <w:pPr>
              <w:widowControl/>
              <w:rPr>
                <w:rFonts w:ascii="Calibri" w:hAnsi="Calibri"/>
                <w:snapToGrid/>
                <w:color w:val="000000"/>
                <w:kern w:val="0"/>
                <w:szCs w:val="22"/>
              </w:rPr>
            </w:pPr>
            <w:bookmarkStart w:id="2168" w:name="_Hlk31628728"/>
            <w:r w:rsidRPr="00FD7376">
              <w:rPr>
                <w:rFonts w:ascii="Calibri" w:hAnsi="Calibri"/>
                <w:snapToGrid/>
                <w:color w:val="000000"/>
                <w:kern w:val="0"/>
                <w:szCs w:val="22"/>
              </w:rPr>
              <w:t> </w:t>
            </w:r>
          </w:p>
        </w:tc>
        <w:tc>
          <w:tcPr>
            <w:tcW w:w="420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84D43" w:rsidRPr="00FD7376" w:rsidP="00110D8B" w14:paraId="2C8C4618"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Paired Licensed</w:t>
            </w:r>
          </w:p>
        </w:tc>
        <w:tc>
          <w:tcPr>
            <w:tcW w:w="2250" w:type="dxa"/>
            <w:tcBorders>
              <w:top w:val="single" w:sz="8" w:space="0" w:color="auto"/>
              <w:left w:val="nil"/>
              <w:bottom w:val="single" w:sz="8" w:space="0" w:color="auto"/>
              <w:right w:val="single" w:sz="8" w:space="0" w:color="auto"/>
            </w:tcBorders>
            <w:shd w:val="clear" w:color="auto" w:fill="auto"/>
            <w:vAlign w:val="bottom"/>
            <w:hideMark/>
          </w:tcPr>
          <w:p w:rsidR="00F84D43" w:rsidRPr="00FD7376" w:rsidP="00110D8B" w14:paraId="1C69CEF4"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Unpaired Licensed</w:t>
            </w:r>
          </w:p>
        </w:tc>
        <w:tc>
          <w:tcPr>
            <w:tcW w:w="2314" w:type="dxa"/>
            <w:tcBorders>
              <w:top w:val="single" w:sz="8" w:space="0" w:color="auto"/>
              <w:left w:val="nil"/>
              <w:bottom w:val="single" w:sz="8" w:space="0" w:color="auto"/>
              <w:right w:val="single" w:sz="8" w:space="0" w:color="auto"/>
            </w:tcBorders>
            <w:shd w:val="clear" w:color="auto" w:fill="auto"/>
            <w:noWrap/>
            <w:vAlign w:val="bottom"/>
            <w:hideMark/>
          </w:tcPr>
          <w:p w:rsidR="00F84D43" w:rsidRPr="00FD7376" w:rsidP="00110D8B" w14:paraId="22351E04"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Unlicensed</w:t>
            </w:r>
          </w:p>
        </w:tc>
      </w:tr>
      <w:tr w14:paraId="2E2A8B3D" w14:textId="77777777" w:rsidTr="00110D8B">
        <w:tblPrEx>
          <w:tblW w:w="11214" w:type="dxa"/>
          <w:tblLook w:val="04A0"/>
        </w:tblPrEx>
        <w:trPr>
          <w:trHeight w:val="630"/>
        </w:trPr>
        <w:tc>
          <w:tcPr>
            <w:tcW w:w="2448" w:type="dxa"/>
            <w:tcBorders>
              <w:top w:val="nil"/>
              <w:left w:val="single" w:sz="8" w:space="0" w:color="auto"/>
              <w:bottom w:val="single" w:sz="8" w:space="0" w:color="auto"/>
              <w:right w:val="nil"/>
            </w:tcBorders>
            <w:shd w:val="clear" w:color="auto" w:fill="auto"/>
            <w:noWrap/>
            <w:vAlign w:val="bottom"/>
            <w:hideMark/>
          </w:tcPr>
          <w:p w:rsidR="00F84D43" w:rsidRPr="00FD7376" w:rsidP="00110D8B" w14:paraId="5E7DB6BE"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Spectrum Band/Service</w:t>
            </w:r>
          </w:p>
        </w:tc>
        <w:tc>
          <w:tcPr>
            <w:tcW w:w="1980" w:type="dxa"/>
            <w:tcBorders>
              <w:top w:val="nil"/>
              <w:left w:val="single" w:sz="8" w:space="0" w:color="auto"/>
              <w:bottom w:val="single" w:sz="8" w:space="0" w:color="auto"/>
              <w:right w:val="single" w:sz="4" w:space="0" w:color="auto"/>
            </w:tcBorders>
            <w:shd w:val="clear" w:color="000000" w:fill="DDD9C4"/>
            <w:vAlign w:val="bottom"/>
            <w:hideMark/>
          </w:tcPr>
          <w:p w:rsidR="00F84D43" w:rsidRPr="00FD7376" w:rsidP="00110D8B" w14:paraId="17D878CF"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Uplink Freq. (MHz)</w:t>
            </w:r>
          </w:p>
        </w:tc>
        <w:tc>
          <w:tcPr>
            <w:tcW w:w="2222" w:type="dxa"/>
            <w:tcBorders>
              <w:top w:val="nil"/>
              <w:left w:val="nil"/>
              <w:bottom w:val="single" w:sz="8" w:space="0" w:color="auto"/>
              <w:right w:val="single" w:sz="4" w:space="0" w:color="auto"/>
            </w:tcBorders>
            <w:shd w:val="clear" w:color="000000" w:fill="DDD9C4"/>
            <w:vAlign w:val="bottom"/>
            <w:hideMark/>
          </w:tcPr>
          <w:p w:rsidR="00F84D43" w:rsidRPr="00FD7376" w:rsidP="00110D8B" w14:paraId="669F523F"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Downlink Freq. (MHz)</w:t>
            </w:r>
          </w:p>
        </w:tc>
        <w:tc>
          <w:tcPr>
            <w:tcW w:w="2250" w:type="dxa"/>
            <w:tcBorders>
              <w:top w:val="nil"/>
              <w:left w:val="nil"/>
              <w:bottom w:val="single" w:sz="8" w:space="0" w:color="auto"/>
              <w:right w:val="single" w:sz="4" w:space="0" w:color="auto"/>
            </w:tcBorders>
            <w:shd w:val="clear" w:color="000000" w:fill="C4D79B"/>
            <w:vAlign w:val="center"/>
            <w:hideMark/>
          </w:tcPr>
          <w:p w:rsidR="00F84D43" w:rsidRPr="00FD7376" w:rsidP="00110D8B" w14:paraId="09232BCF"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Uplink &amp; Downlink Freq. (MHz)</w:t>
            </w:r>
          </w:p>
        </w:tc>
        <w:tc>
          <w:tcPr>
            <w:tcW w:w="2314" w:type="dxa"/>
            <w:tcBorders>
              <w:top w:val="nil"/>
              <w:left w:val="nil"/>
              <w:bottom w:val="single" w:sz="8" w:space="0" w:color="auto"/>
              <w:right w:val="single" w:sz="8" w:space="0" w:color="auto"/>
            </w:tcBorders>
            <w:shd w:val="clear" w:color="000000" w:fill="C4D79B"/>
            <w:vAlign w:val="bottom"/>
            <w:hideMark/>
          </w:tcPr>
          <w:p w:rsidR="00F84D43" w:rsidRPr="00FD7376" w:rsidP="00110D8B" w14:paraId="25544D69" w14:textId="77777777">
            <w:pPr>
              <w:widowControl/>
              <w:jc w:val="center"/>
              <w:rPr>
                <w:rFonts w:ascii="Calibri" w:hAnsi="Calibri"/>
                <w:b/>
                <w:bCs/>
                <w:snapToGrid/>
                <w:color w:val="000000"/>
                <w:kern w:val="0"/>
                <w:szCs w:val="22"/>
              </w:rPr>
            </w:pPr>
            <w:r w:rsidRPr="00FD7376">
              <w:rPr>
                <w:rFonts w:ascii="Calibri" w:hAnsi="Calibri"/>
                <w:b/>
                <w:bCs/>
                <w:snapToGrid/>
                <w:color w:val="000000"/>
                <w:kern w:val="0"/>
                <w:szCs w:val="22"/>
              </w:rPr>
              <w:t>Unlicensed (MHz)</w:t>
            </w:r>
          </w:p>
        </w:tc>
      </w:tr>
      <w:tr w14:paraId="510642A2"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312C71B0" w14:textId="77777777">
            <w:pPr>
              <w:widowControl/>
              <w:rPr>
                <w:rFonts w:ascii="Calibri" w:hAnsi="Calibri"/>
                <w:snapToGrid/>
                <w:color w:val="000000"/>
                <w:kern w:val="0"/>
                <w:szCs w:val="22"/>
              </w:rPr>
            </w:pPr>
            <w:r w:rsidRPr="00FD7376">
              <w:rPr>
                <w:rFonts w:ascii="Calibri" w:hAnsi="Calibri"/>
                <w:snapToGrid/>
                <w:color w:val="000000"/>
                <w:kern w:val="0"/>
                <w:szCs w:val="22"/>
              </w:rPr>
              <w:t>600 MHz</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11122E34"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663-698</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01833C63"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617-652</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22B05DFC"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631252FB"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26692092" w14:textId="77777777" w:rsidTr="00110D8B">
        <w:tblPrEx>
          <w:tblW w:w="11214" w:type="dxa"/>
          <w:tblLook w:val="04A0"/>
        </w:tblPrEx>
        <w:trPr>
          <w:trHeight w:val="63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7837221B" w14:textId="77777777">
            <w:pPr>
              <w:widowControl/>
              <w:rPr>
                <w:rFonts w:ascii="Calibri" w:hAnsi="Calibri"/>
                <w:snapToGrid/>
                <w:color w:val="000000"/>
                <w:kern w:val="0"/>
                <w:szCs w:val="22"/>
              </w:rPr>
            </w:pPr>
            <w:r w:rsidRPr="00FD7376">
              <w:rPr>
                <w:rFonts w:ascii="Calibri" w:hAnsi="Calibri"/>
                <w:snapToGrid/>
                <w:color w:val="000000"/>
                <w:kern w:val="0"/>
                <w:szCs w:val="22"/>
              </w:rPr>
              <w:t>Lower 700 MHz</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76245D2B"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698-716</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6C17221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728-746</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4E83ED13"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716-728                            (Downlink only)</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362AE392"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0ACB538B"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2A135449" w14:textId="77777777">
            <w:pPr>
              <w:widowControl/>
              <w:rPr>
                <w:rFonts w:ascii="Calibri" w:hAnsi="Calibri"/>
                <w:snapToGrid/>
                <w:color w:val="000000"/>
                <w:kern w:val="0"/>
                <w:szCs w:val="22"/>
              </w:rPr>
            </w:pPr>
            <w:r w:rsidRPr="00FD7376">
              <w:rPr>
                <w:rFonts w:ascii="Calibri" w:hAnsi="Calibri"/>
                <w:snapToGrid/>
                <w:color w:val="000000"/>
                <w:kern w:val="0"/>
                <w:szCs w:val="22"/>
              </w:rPr>
              <w:t>Upper 700 MHz</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429546C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776-787</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73C99E2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746-757</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18C5382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6107FEE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26E60ED8"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3550AAA1" w14:textId="77777777">
            <w:pPr>
              <w:widowControl/>
              <w:rPr>
                <w:rFonts w:ascii="Calibri" w:hAnsi="Calibri"/>
                <w:snapToGrid/>
                <w:color w:val="000000"/>
                <w:kern w:val="0"/>
                <w:szCs w:val="22"/>
              </w:rPr>
            </w:pPr>
            <w:r w:rsidRPr="00FD7376">
              <w:rPr>
                <w:rFonts w:ascii="Calibri" w:hAnsi="Calibri"/>
                <w:snapToGrid/>
                <w:color w:val="000000"/>
                <w:kern w:val="0"/>
                <w:szCs w:val="22"/>
              </w:rPr>
              <w:t>800 MHz SMR</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72AE9FA1"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813.5/817-824</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302EC5B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858.5/862-869</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0D6402C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50CB6B74"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16EF7A09"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62D435CE" w14:textId="77777777">
            <w:pPr>
              <w:widowControl/>
              <w:rPr>
                <w:rFonts w:ascii="Calibri" w:hAnsi="Calibri"/>
                <w:snapToGrid/>
                <w:color w:val="000000"/>
                <w:kern w:val="0"/>
                <w:szCs w:val="22"/>
              </w:rPr>
            </w:pPr>
            <w:r w:rsidRPr="00FD7376">
              <w:rPr>
                <w:rFonts w:ascii="Calibri" w:hAnsi="Calibri"/>
                <w:snapToGrid/>
                <w:color w:val="000000"/>
                <w:kern w:val="0"/>
                <w:szCs w:val="22"/>
              </w:rPr>
              <w:t>Cellular</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022108A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824-849</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485619A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869-894</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2A2308D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1D17038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16CAD26B"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7C2967E2" w14:textId="77777777">
            <w:pPr>
              <w:widowControl/>
              <w:rPr>
                <w:rFonts w:ascii="Calibri" w:hAnsi="Calibri"/>
                <w:snapToGrid/>
                <w:color w:val="000000"/>
                <w:kern w:val="0"/>
                <w:szCs w:val="22"/>
              </w:rPr>
            </w:pPr>
            <w:r w:rsidRPr="00FD7376">
              <w:rPr>
                <w:rFonts w:ascii="Calibri" w:hAnsi="Calibri"/>
                <w:snapToGrid/>
                <w:color w:val="000000"/>
                <w:kern w:val="0"/>
                <w:szCs w:val="22"/>
              </w:rPr>
              <w:t>Broadband PCS</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5B83474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1850-1915</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56526A80"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1930-1995</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32CC8612"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6B4024A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308FA312"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7DF70BBD" w14:textId="77777777">
            <w:pPr>
              <w:widowControl/>
              <w:rPr>
                <w:rFonts w:ascii="Calibri" w:hAnsi="Calibri"/>
                <w:snapToGrid/>
                <w:color w:val="000000"/>
                <w:kern w:val="0"/>
                <w:szCs w:val="22"/>
              </w:rPr>
            </w:pPr>
            <w:r w:rsidRPr="00FD7376">
              <w:rPr>
                <w:rFonts w:ascii="Calibri" w:hAnsi="Calibri"/>
                <w:snapToGrid/>
                <w:color w:val="000000"/>
                <w:kern w:val="0"/>
                <w:szCs w:val="22"/>
              </w:rPr>
              <w:t>AWS-1</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098A4CB2"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1710-1755</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19AD060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2110-2155</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1DCD31AE"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63F7B2B5"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5F2C4102"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116FB0CD" w14:textId="77777777">
            <w:pPr>
              <w:widowControl/>
              <w:rPr>
                <w:rFonts w:ascii="Calibri" w:hAnsi="Calibri"/>
                <w:snapToGrid/>
                <w:color w:val="000000"/>
                <w:kern w:val="0"/>
                <w:szCs w:val="22"/>
              </w:rPr>
            </w:pPr>
            <w:r w:rsidRPr="00FD7376">
              <w:rPr>
                <w:rFonts w:ascii="Calibri" w:hAnsi="Calibri"/>
                <w:snapToGrid/>
                <w:color w:val="000000"/>
                <w:kern w:val="0"/>
                <w:szCs w:val="22"/>
              </w:rPr>
              <w:t>AWS (H Block)</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04DE51FD"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1915-1920</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5FFBFC2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1995-2000</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61052235"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1CFE3461"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5CB96CB0" w14:textId="77777777" w:rsidTr="00110D8B">
        <w:tblPrEx>
          <w:tblW w:w="11214" w:type="dxa"/>
          <w:tblLook w:val="04A0"/>
        </w:tblPrEx>
        <w:trPr>
          <w:trHeight w:val="6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3FC6C66A" w14:textId="77777777">
            <w:pPr>
              <w:widowControl/>
              <w:rPr>
                <w:rFonts w:ascii="Calibri" w:hAnsi="Calibri"/>
                <w:snapToGrid/>
                <w:color w:val="000000"/>
                <w:kern w:val="0"/>
                <w:szCs w:val="22"/>
              </w:rPr>
            </w:pPr>
            <w:r w:rsidRPr="00FD7376">
              <w:rPr>
                <w:rFonts w:ascii="Calibri" w:hAnsi="Calibri"/>
                <w:snapToGrid/>
                <w:color w:val="000000"/>
                <w:kern w:val="0"/>
                <w:szCs w:val="22"/>
              </w:rPr>
              <w:t>AWS-3</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47B69E6F"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1755-1780</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43E8DE91"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2155-2180</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57AF3D23"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1695-1710                        (Uplink only)</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78C9471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1E72C232"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508B7746" w14:textId="77777777">
            <w:pPr>
              <w:widowControl/>
              <w:rPr>
                <w:rFonts w:ascii="Calibri" w:hAnsi="Calibri"/>
                <w:snapToGrid/>
                <w:color w:val="000000"/>
                <w:kern w:val="0"/>
                <w:szCs w:val="22"/>
              </w:rPr>
            </w:pPr>
            <w:r w:rsidRPr="00FD7376">
              <w:rPr>
                <w:rFonts w:ascii="Calibri" w:hAnsi="Calibri"/>
                <w:snapToGrid/>
                <w:color w:val="000000"/>
                <w:kern w:val="0"/>
                <w:szCs w:val="22"/>
              </w:rPr>
              <w:t>AWS-4</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116BA262" w14:textId="77777777">
            <w:pPr>
              <w:widowControl/>
              <w:jc w:val="center"/>
              <w:rPr>
                <w:rFonts w:ascii="Calibri" w:hAnsi="Calibri"/>
                <w:snapToGrid/>
                <w:color w:val="000000"/>
                <w:kern w:val="0"/>
                <w:szCs w:val="22"/>
              </w:rPr>
            </w:pP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694136EE" w14:textId="77777777">
            <w:pPr>
              <w:widowControl/>
              <w:jc w:val="center"/>
              <w:rPr>
                <w:rFonts w:ascii="Calibri" w:hAnsi="Calibri"/>
                <w:snapToGrid/>
                <w:color w:val="000000"/>
                <w:kern w:val="0"/>
                <w:szCs w:val="22"/>
              </w:rPr>
            </w:pP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05E5448C"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2000-2020 </w:t>
            </w:r>
          </w:p>
          <w:p w:rsidR="00F84D43" w:rsidRPr="00FD7376" w:rsidP="00110D8B" w14:paraId="47835A8B"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2180-2200</w:t>
            </w:r>
          </w:p>
          <w:p w:rsidR="00F84D43" w:rsidRPr="00FD7376" w:rsidP="00110D8B" w14:paraId="15355C5E"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(Downlink only</w:t>
            </w:r>
            <w:r>
              <w:rPr>
                <w:rFonts w:ascii="Calibri" w:hAnsi="Calibri"/>
                <w:snapToGrid/>
                <w:color w:val="000000"/>
                <w:kern w:val="0"/>
                <w:szCs w:val="22"/>
                <w:vertAlign w:val="superscript"/>
              </w:rPr>
              <w:footnoteReference w:id="233"/>
            </w:r>
            <w:r w:rsidRPr="00FD7376">
              <w:rPr>
                <w:rFonts w:ascii="Calibri" w:hAnsi="Calibri"/>
                <w:snapToGrid/>
                <w:color w:val="000000"/>
                <w:kern w:val="0"/>
                <w:szCs w:val="22"/>
              </w:rPr>
              <w:t>)</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3B253BC5"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2A8F573A" w14:textId="77777777" w:rsidTr="00110D8B">
        <w:tblPrEx>
          <w:tblW w:w="11214" w:type="dxa"/>
          <w:tblLook w:val="04A0"/>
        </w:tblPrEx>
        <w:trPr>
          <w:trHeight w:val="3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3390B289" w14:textId="77777777">
            <w:pPr>
              <w:widowControl/>
              <w:rPr>
                <w:rFonts w:ascii="Calibri" w:hAnsi="Calibri"/>
                <w:snapToGrid/>
                <w:color w:val="000000"/>
                <w:kern w:val="0"/>
                <w:szCs w:val="22"/>
              </w:rPr>
            </w:pPr>
            <w:r w:rsidRPr="00FD7376">
              <w:rPr>
                <w:rFonts w:ascii="Calibri" w:hAnsi="Calibri"/>
                <w:snapToGrid/>
                <w:color w:val="000000"/>
                <w:kern w:val="0"/>
                <w:szCs w:val="22"/>
              </w:rPr>
              <w:t>BRS/EBS</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511DF85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05CD729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35B18875"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2496-2690</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76CCD18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0927F2AC" w14:textId="77777777" w:rsidTr="00110D8B">
        <w:tblPrEx>
          <w:tblW w:w="11214" w:type="dxa"/>
          <w:tblLook w:val="04A0"/>
        </w:tblPrEx>
        <w:trPr>
          <w:trHeight w:val="600"/>
        </w:trPr>
        <w:tc>
          <w:tcPr>
            <w:tcW w:w="2448" w:type="dxa"/>
            <w:tcBorders>
              <w:top w:val="nil"/>
              <w:left w:val="single" w:sz="8" w:space="0" w:color="auto"/>
              <w:bottom w:val="single" w:sz="4" w:space="0" w:color="auto"/>
              <w:right w:val="nil"/>
            </w:tcBorders>
            <w:shd w:val="clear" w:color="auto" w:fill="auto"/>
            <w:noWrap/>
            <w:vAlign w:val="bottom"/>
            <w:hideMark/>
          </w:tcPr>
          <w:p w:rsidR="00F84D43" w:rsidRPr="00FD7376" w:rsidP="00110D8B" w14:paraId="5812199F" w14:textId="77777777">
            <w:pPr>
              <w:widowControl/>
              <w:rPr>
                <w:rFonts w:ascii="Calibri" w:hAnsi="Calibri"/>
                <w:snapToGrid/>
                <w:color w:val="000000"/>
                <w:kern w:val="0"/>
                <w:szCs w:val="22"/>
              </w:rPr>
            </w:pPr>
            <w:r w:rsidRPr="00FD7376">
              <w:rPr>
                <w:rFonts w:ascii="Calibri" w:hAnsi="Calibri"/>
                <w:snapToGrid/>
                <w:color w:val="000000"/>
                <w:kern w:val="0"/>
                <w:szCs w:val="22"/>
              </w:rPr>
              <w:t>WCS</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110D8B" w14:paraId="496DC28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2305-2315</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110D8B" w14:paraId="12CC7FC0"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2350-2360</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110D8B" w14:paraId="4A4D9FE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2315-2320</w:t>
            </w:r>
          </w:p>
          <w:p w:rsidR="00F84D43" w:rsidRPr="00FD7376" w:rsidP="00110D8B" w14:paraId="1EFC086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2345-2350</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110D8B" w14:paraId="45DB4D0E"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1065E3F2" w14:textId="77777777" w:rsidTr="00110D8B">
        <w:tblPrEx>
          <w:tblW w:w="11214" w:type="dxa"/>
          <w:tblLook w:val="04A0"/>
        </w:tblPrEx>
        <w:trPr>
          <w:trHeight w:val="330"/>
        </w:trPr>
        <w:tc>
          <w:tcPr>
            <w:tcW w:w="2448" w:type="dxa"/>
            <w:tcBorders>
              <w:top w:val="nil"/>
              <w:left w:val="single" w:sz="8" w:space="0" w:color="auto"/>
              <w:bottom w:val="nil"/>
              <w:right w:val="nil"/>
            </w:tcBorders>
            <w:shd w:val="clear" w:color="auto" w:fill="auto"/>
            <w:noWrap/>
            <w:vAlign w:val="bottom"/>
            <w:hideMark/>
          </w:tcPr>
          <w:p w:rsidR="00F84D43" w:rsidRPr="00FD7376" w:rsidP="00110D8B" w14:paraId="5C956921" w14:textId="77777777">
            <w:pPr>
              <w:widowControl/>
              <w:rPr>
                <w:rFonts w:ascii="Calibri" w:hAnsi="Calibri"/>
                <w:snapToGrid/>
                <w:color w:val="000000"/>
                <w:kern w:val="0"/>
                <w:szCs w:val="22"/>
              </w:rPr>
            </w:pPr>
            <w:r w:rsidRPr="00FD7376">
              <w:rPr>
                <w:rFonts w:ascii="Calibri" w:hAnsi="Calibri"/>
                <w:snapToGrid/>
                <w:color w:val="000000"/>
                <w:kern w:val="0"/>
                <w:szCs w:val="22"/>
              </w:rPr>
              <w:t>CBRS (3.5 GHz)</w:t>
            </w:r>
          </w:p>
        </w:tc>
        <w:tc>
          <w:tcPr>
            <w:tcW w:w="1980" w:type="dxa"/>
            <w:tcBorders>
              <w:top w:val="nil"/>
              <w:left w:val="single" w:sz="8" w:space="0" w:color="auto"/>
              <w:bottom w:val="nil"/>
              <w:right w:val="single" w:sz="4" w:space="0" w:color="auto"/>
            </w:tcBorders>
            <w:shd w:val="clear" w:color="000000" w:fill="DDD9C4"/>
            <w:vAlign w:val="bottom"/>
            <w:hideMark/>
          </w:tcPr>
          <w:p w:rsidR="00F84D43" w:rsidRPr="00FD7376" w:rsidP="00110D8B" w14:paraId="6AEEFD1D"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22" w:type="dxa"/>
            <w:tcBorders>
              <w:top w:val="nil"/>
              <w:left w:val="nil"/>
              <w:bottom w:val="nil"/>
              <w:right w:val="single" w:sz="4" w:space="0" w:color="auto"/>
            </w:tcBorders>
            <w:shd w:val="clear" w:color="000000" w:fill="DDD9C4"/>
            <w:vAlign w:val="bottom"/>
            <w:hideMark/>
          </w:tcPr>
          <w:p w:rsidR="00F84D43" w:rsidRPr="00FD7376" w:rsidP="00110D8B" w14:paraId="6D71317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50" w:type="dxa"/>
            <w:tcBorders>
              <w:top w:val="nil"/>
              <w:left w:val="nil"/>
              <w:bottom w:val="nil"/>
              <w:right w:val="single" w:sz="4" w:space="0" w:color="auto"/>
            </w:tcBorders>
            <w:shd w:val="clear" w:color="000000" w:fill="C4D79B"/>
            <w:vAlign w:val="bottom"/>
            <w:hideMark/>
          </w:tcPr>
          <w:p w:rsidR="00F84D43" w:rsidRPr="00FD7376" w:rsidP="00110D8B" w14:paraId="2A83FD8C"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3550-3700</w:t>
            </w:r>
          </w:p>
        </w:tc>
        <w:tc>
          <w:tcPr>
            <w:tcW w:w="2314" w:type="dxa"/>
            <w:tcBorders>
              <w:top w:val="nil"/>
              <w:left w:val="nil"/>
              <w:bottom w:val="nil"/>
              <w:right w:val="single" w:sz="4" w:space="0" w:color="auto"/>
            </w:tcBorders>
            <w:shd w:val="clear" w:color="000000" w:fill="C4D79B"/>
            <w:vAlign w:val="bottom"/>
            <w:hideMark/>
          </w:tcPr>
          <w:p w:rsidR="00F84D43" w:rsidRPr="00FD7376" w:rsidP="00110D8B" w14:paraId="24A2B0D0"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360C3D51" w14:textId="77777777" w:rsidTr="00110D8B">
        <w:tblPrEx>
          <w:tblW w:w="11214" w:type="dxa"/>
          <w:tblLook w:val="04A0"/>
        </w:tblPrEx>
        <w:trPr>
          <w:trHeight w:val="330"/>
        </w:trPr>
        <w:tc>
          <w:tcPr>
            <w:tcW w:w="2448" w:type="dxa"/>
            <w:tcBorders>
              <w:top w:val="single" w:sz="8" w:space="0" w:color="auto"/>
              <w:left w:val="single" w:sz="8" w:space="0" w:color="auto"/>
              <w:bottom w:val="single" w:sz="8" w:space="0" w:color="auto"/>
              <w:right w:val="nil"/>
            </w:tcBorders>
            <w:shd w:val="clear" w:color="auto" w:fill="auto"/>
            <w:noWrap/>
            <w:vAlign w:val="bottom"/>
          </w:tcPr>
          <w:p w:rsidR="00F84D43" w:rsidRPr="00FD7376" w:rsidP="00110D8B" w14:paraId="2FE68039" w14:textId="77777777">
            <w:pPr>
              <w:widowControl/>
              <w:rPr>
                <w:rFonts w:ascii="Calibri" w:hAnsi="Calibri"/>
                <w:snapToGrid/>
                <w:color w:val="000000"/>
                <w:kern w:val="0"/>
                <w:szCs w:val="22"/>
              </w:rPr>
            </w:pPr>
            <w:r w:rsidRPr="00FD7376">
              <w:rPr>
                <w:rFonts w:ascii="Calibri" w:hAnsi="Calibri"/>
                <w:snapToGrid/>
                <w:color w:val="000000"/>
                <w:kern w:val="0"/>
                <w:szCs w:val="22"/>
              </w:rPr>
              <w:t>UMFUS (terrestrial)</w:t>
            </w:r>
          </w:p>
        </w:tc>
        <w:tc>
          <w:tcPr>
            <w:tcW w:w="1980" w:type="dxa"/>
            <w:tcBorders>
              <w:top w:val="single" w:sz="8" w:space="0" w:color="auto"/>
              <w:left w:val="single" w:sz="8" w:space="0" w:color="auto"/>
              <w:bottom w:val="single" w:sz="4" w:space="0" w:color="auto"/>
              <w:right w:val="single" w:sz="4" w:space="0" w:color="auto"/>
            </w:tcBorders>
            <w:shd w:val="clear" w:color="000000" w:fill="DDD9C4"/>
            <w:vAlign w:val="bottom"/>
          </w:tcPr>
          <w:p w:rsidR="00F84D43" w:rsidRPr="00FD7376" w:rsidP="00110D8B" w14:paraId="38D1E539" w14:textId="77777777">
            <w:pPr>
              <w:widowControl/>
              <w:jc w:val="center"/>
              <w:rPr>
                <w:rFonts w:ascii="Calibri" w:hAnsi="Calibri"/>
                <w:snapToGrid/>
                <w:color w:val="000000"/>
                <w:kern w:val="0"/>
                <w:szCs w:val="22"/>
              </w:rPr>
            </w:pPr>
          </w:p>
        </w:tc>
        <w:tc>
          <w:tcPr>
            <w:tcW w:w="2222" w:type="dxa"/>
            <w:tcBorders>
              <w:top w:val="single" w:sz="8" w:space="0" w:color="auto"/>
              <w:left w:val="nil"/>
              <w:bottom w:val="single" w:sz="4" w:space="0" w:color="auto"/>
              <w:right w:val="single" w:sz="4" w:space="0" w:color="auto"/>
            </w:tcBorders>
            <w:shd w:val="clear" w:color="000000" w:fill="DDD9C4"/>
            <w:vAlign w:val="bottom"/>
          </w:tcPr>
          <w:p w:rsidR="00F84D43" w:rsidRPr="00FD7376" w:rsidP="00110D8B" w14:paraId="67537F5D" w14:textId="77777777">
            <w:pPr>
              <w:widowControl/>
              <w:jc w:val="center"/>
              <w:rPr>
                <w:rFonts w:ascii="Calibri" w:hAnsi="Calibri"/>
                <w:snapToGrid/>
                <w:color w:val="000000"/>
                <w:kern w:val="0"/>
                <w:szCs w:val="22"/>
              </w:rPr>
            </w:pPr>
          </w:p>
        </w:tc>
        <w:tc>
          <w:tcPr>
            <w:tcW w:w="2250" w:type="dxa"/>
            <w:tcBorders>
              <w:top w:val="single" w:sz="8" w:space="0" w:color="auto"/>
              <w:left w:val="nil"/>
              <w:bottom w:val="single" w:sz="4" w:space="0" w:color="auto"/>
              <w:right w:val="single" w:sz="4" w:space="0" w:color="auto"/>
            </w:tcBorders>
            <w:shd w:val="clear" w:color="000000" w:fill="C4D79B"/>
            <w:vAlign w:val="bottom"/>
          </w:tcPr>
          <w:p w:rsidR="00F84D43" w:rsidRPr="00FD7376" w:rsidP="00110D8B" w14:paraId="094A13D1"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24,250-24,450</w:t>
            </w:r>
          </w:p>
          <w:p w:rsidR="00F84D43" w:rsidRPr="00FD7376" w:rsidP="00110D8B" w14:paraId="79E6E428"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24,750-25,250</w:t>
            </w:r>
          </w:p>
          <w:p w:rsidR="00F84D43" w:rsidRPr="00FD7376" w:rsidP="00110D8B" w14:paraId="29CBCB51"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27,500-28,350</w:t>
            </w:r>
          </w:p>
          <w:p w:rsidR="00F84D43" w:rsidRPr="00FD7376" w:rsidP="00110D8B" w14:paraId="0A43B4C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37,600-38,600</w:t>
            </w:r>
          </w:p>
          <w:p w:rsidR="00F84D43" w:rsidRPr="00FD7376" w:rsidP="00110D8B" w14:paraId="627ADB4E"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38,600-40,000</w:t>
            </w:r>
          </w:p>
          <w:p w:rsidR="00F84D43" w:rsidRPr="00FD7376" w:rsidP="00110D8B" w14:paraId="1E3C3533"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47,200-48,200</w:t>
            </w:r>
          </w:p>
        </w:tc>
        <w:tc>
          <w:tcPr>
            <w:tcW w:w="2314" w:type="dxa"/>
            <w:tcBorders>
              <w:top w:val="single" w:sz="8" w:space="0" w:color="auto"/>
              <w:left w:val="nil"/>
              <w:bottom w:val="single" w:sz="4" w:space="0" w:color="auto"/>
              <w:right w:val="single" w:sz="4" w:space="0" w:color="auto"/>
            </w:tcBorders>
            <w:shd w:val="clear" w:color="000000" w:fill="C4D79B"/>
            <w:vAlign w:val="bottom"/>
          </w:tcPr>
          <w:p w:rsidR="00F84D43" w:rsidRPr="00FD7376" w:rsidP="00110D8B" w14:paraId="06D1B4A8" w14:textId="77777777">
            <w:pPr>
              <w:widowControl/>
              <w:jc w:val="center"/>
              <w:rPr>
                <w:rFonts w:ascii="Calibri" w:hAnsi="Calibri"/>
                <w:snapToGrid/>
                <w:color w:val="FF0000"/>
                <w:kern w:val="0"/>
                <w:szCs w:val="22"/>
              </w:rPr>
            </w:pPr>
          </w:p>
        </w:tc>
      </w:tr>
      <w:tr w14:paraId="7DA22B92" w14:textId="77777777" w:rsidTr="00110D8B">
        <w:tblPrEx>
          <w:tblW w:w="11214" w:type="dxa"/>
          <w:tblLook w:val="04A0"/>
        </w:tblPrEx>
        <w:trPr>
          <w:trHeight w:val="1132"/>
        </w:trPr>
        <w:tc>
          <w:tcPr>
            <w:tcW w:w="2448" w:type="dxa"/>
            <w:tcBorders>
              <w:top w:val="single" w:sz="8" w:space="0" w:color="auto"/>
              <w:left w:val="single" w:sz="8" w:space="0" w:color="auto"/>
              <w:bottom w:val="single" w:sz="4" w:space="0" w:color="auto"/>
              <w:right w:val="nil"/>
            </w:tcBorders>
            <w:shd w:val="clear" w:color="auto" w:fill="auto"/>
            <w:noWrap/>
          </w:tcPr>
          <w:p w:rsidR="00F84D43" w:rsidRPr="00FD7376" w:rsidP="00110D8B" w14:paraId="0E990D51" w14:textId="77777777">
            <w:pPr>
              <w:widowControl/>
              <w:rPr>
                <w:rFonts w:ascii="Calibri" w:hAnsi="Calibri"/>
                <w:snapToGrid/>
                <w:kern w:val="0"/>
                <w:szCs w:val="22"/>
              </w:rPr>
            </w:pPr>
            <w:r w:rsidRPr="00FD7376">
              <w:rPr>
                <w:rFonts w:ascii="Calibri" w:hAnsi="Calibri"/>
                <w:snapToGrid/>
                <w:kern w:val="0"/>
                <w:szCs w:val="22"/>
              </w:rPr>
              <w:t>70-80-90 GHz unpaired &amp; 70-80 GHz paired</w:t>
            </w:r>
          </w:p>
          <w:p w:rsidR="00F84D43" w:rsidRPr="00FD7376" w:rsidP="00110D8B" w14:paraId="20A09B71" w14:textId="77777777">
            <w:pPr>
              <w:widowControl/>
              <w:rPr>
                <w:rFonts w:ascii="Calibri" w:hAnsi="Calibri"/>
                <w:snapToGrid/>
                <w:color w:val="FF0000"/>
                <w:kern w:val="0"/>
                <w:szCs w:val="22"/>
              </w:rPr>
            </w:pPr>
            <w:r w:rsidRPr="00FD7376">
              <w:rPr>
                <w:rFonts w:ascii="Calibri" w:hAnsi="Calibri"/>
                <w:snapToGrid/>
                <w:kern w:val="0"/>
                <w:szCs w:val="22"/>
              </w:rPr>
              <w:t>(point–to–point terrestrial)</w:t>
            </w:r>
          </w:p>
        </w:tc>
        <w:tc>
          <w:tcPr>
            <w:tcW w:w="4202" w:type="dxa"/>
            <w:gridSpan w:val="2"/>
            <w:tcBorders>
              <w:top w:val="single" w:sz="8" w:space="0" w:color="auto"/>
              <w:left w:val="single" w:sz="8" w:space="0" w:color="auto"/>
              <w:bottom w:val="single" w:sz="4" w:space="0" w:color="auto"/>
              <w:right w:val="single" w:sz="4" w:space="0" w:color="auto"/>
            </w:tcBorders>
            <w:shd w:val="clear" w:color="000000" w:fill="DDD9C4"/>
          </w:tcPr>
          <w:p w:rsidR="00F84D43" w:rsidRPr="00FD7376" w:rsidP="00110D8B" w14:paraId="4C780EAC" w14:textId="77777777">
            <w:pPr>
              <w:widowControl/>
              <w:jc w:val="center"/>
              <w:rPr>
                <w:rFonts w:ascii="Calibri" w:hAnsi="Calibri"/>
                <w:snapToGrid/>
                <w:kern w:val="0"/>
                <w:szCs w:val="22"/>
              </w:rPr>
            </w:pPr>
            <w:r w:rsidRPr="00FD7376">
              <w:rPr>
                <w:rFonts w:ascii="Calibri" w:hAnsi="Calibri"/>
                <w:snapToGrid/>
                <w:kern w:val="0"/>
                <w:szCs w:val="22"/>
              </w:rPr>
              <w:t>Point-to-Point Pairs for 70-80 GHz</w:t>
            </w:r>
          </w:p>
          <w:p w:rsidR="00F84D43" w:rsidRPr="00FD7376" w:rsidP="00110D8B" w14:paraId="34D7C768" w14:textId="77777777">
            <w:pPr>
              <w:widowControl/>
              <w:jc w:val="center"/>
              <w:rPr>
                <w:rFonts w:ascii="Calibri" w:hAnsi="Calibri"/>
                <w:snapToGrid/>
                <w:color w:val="FF0000"/>
                <w:kern w:val="0"/>
                <w:szCs w:val="22"/>
              </w:rPr>
            </w:pPr>
            <w:r w:rsidRPr="00FD7376">
              <w:rPr>
                <w:rFonts w:ascii="Calibri" w:hAnsi="Calibri"/>
                <w:snapToGrid/>
                <w:kern w:val="0"/>
                <w:szCs w:val="22"/>
              </w:rPr>
              <w:t>71,000-76,000 with 81,000-86,000</w:t>
            </w:r>
          </w:p>
        </w:tc>
        <w:tc>
          <w:tcPr>
            <w:tcW w:w="2250" w:type="dxa"/>
            <w:tcBorders>
              <w:top w:val="single" w:sz="8" w:space="0" w:color="auto"/>
              <w:left w:val="nil"/>
              <w:bottom w:val="single" w:sz="4" w:space="0" w:color="auto"/>
              <w:right w:val="single" w:sz="4" w:space="0" w:color="auto"/>
            </w:tcBorders>
            <w:shd w:val="clear" w:color="000000" w:fill="C4D79B"/>
          </w:tcPr>
          <w:p w:rsidR="00F84D43" w:rsidRPr="00FD7376" w:rsidP="00110D8B" w14:paraId="5509C256" w14:textId="77777777">
            <w:pPr>
              <w:widowControl/>
              <w:jc w:val="center"/>
              <w:rPr>
                <w:rFonts w:ascii="Calibri" w:hAnsi="Calibri"/>
                <w:snapToGrid/>
                <w:kern w:val="0"/>
                <w:szCs w:val="22"/>
              </w:rPr>
            </w:pPr>
            <w:r w:rsidRPr="00FD7376">
              <w:rPr>
                <w:rFonts w:ascii="Calibri" w:hAnsi="Calibri"/>
                <w:snapToGrid/>
                <w:kern w:val="0"/>
                <w:szCs w:val="22"/>
              </w:rPr>
              <w:t>71,000-76,000</w:t>
            </w:r>
          </w:p>
          <w:p w:rsidR="00F84D43" w:rsidRPr="00FD7376" w:rsidP="00110D8B" w14:paraId="72714A1C" w14:textId="77777777">
            <w:pPr>
              <w:widowControl/>
              <w:jc w:val="center"/>
              <w:rPr>
                <w:rFonts w:ascii="Calibri" w:hAnsi="Calibri"/>
                <w:snapToGrid/>
                <w:kern w:val="0"/>
                <w:szCs w:val="22"/>
              </w:rPr>
            </w:pPr>
            <w:r w:rsidRPr="00FD7376">
              <w:rPr>
                <w:rFonts w:ascii="Calibri" w:hAnsi="Calibri"/>
                <w:snapToGrid/>
                <w:kern w:val="0"/>
                <w:szCs w:val="22"/>
              </w:rPr>
              <w:t>81,000-86,000</w:t>
            </w:r>
          </w:p>
          <w:p w:rsidR="00F84D43" w:rsidRPr="00FD7376" w:rsidP="00110D8B" w14:paraId="7F351173" w14:textId="77777777">
            <w:pPr>
              <w:widowControl/>
              <w:jc w:val="center"/>
              <w:rPr>
                <w:rFonts w:ascii="Calibri" w:hAnsi="Calibri"/>
                <w:snapToGrid/>
                <w:kern w:val="0"/>
                <w:szCs w:val="22"/>
              </w:rPr>
            </w:pPr>
            <w:r w:rsidRPr="00FD7376">
              <w:rPr>
                <w:rFonts w:ascii="Calibri" w:hAnsi="Calibri"/>
                <w:snapToGrid/>
                <w:kern w:val="0"/>
                <w:szCs w:val="22"/>
              </w:rPr>
              <w:t>92,000-94,000</w:t>
            </w:r>
          </w:p>
          <w:p w:rsidR="00F84D43" w:rsidRPr="00FD7376" w:rsidP="00110D8B" w14:paraId="31EB5D97" w14:textId="77777777">
            <w:pPr>
              <w:widowControl/>
              <w:jc w:val="center"/>
              <w:rPr>
                <w:rFonts w:ascii="Calibri" w:hAnsi="Calibri"/>
                <w:snapToGrid/>
                <w:kern w:val="0"/>
                <w:szCs w:val="22"/>
              </w:rPr>
            </w:pPr>
            <w:r w:rsidRPr="00FD7376">
              <w:rPr>
                <w:rFonts w:ascii="Calibri" w:hAnsi="Calibri"/>
                <w:snapToGrid/>
                <w:kern w:val="0"/>
                <w:szCs w:val="22"/>
              </w:rPr>
              <w:t>94,100-95,000</w:t>
            </w:r>
          </w:p>
          <w:p w:rsidR="00F84D43" w:rsidRPr="00FD7376" w:rsidP="00110D8B" w14:paraId="2D724A97" w14:textId="77777777">
            <w:pPr>
              <w:widowControl/>
              <w:jc w:val="center"/>
              <w:rPr>
                <w:rFonts w:ascii="Calibri" w:hAnsi="Calibri"/>
                <w:snapToGrid/>
                <w:color w:val="FF0000"/>
                <w:kern w:val="0"/>
                <w:szCs w:val="22"/>
              </w:rPr>
            </w:pPr>
          </w:p>
        </w:tc>
        <w:tc>
          <w:tcPr>
            <w:tcW w:w="2314" w:type="dxa"/>
            <w:tcBorders>
              <w:top w:val="single" w:sz="8" w:space="0" w:color="auto"/>
              <w:left w:val="nil"/>
              <w:bottom w:val="single" w:sz="4" w:space="0" w:color="auto"/>
              <w:right w:val="single" w:sz="4" w:space="0" w:color="auto"/>
            </w:tcBorders>
            <w:shd w:val="clear" w:color="000000" w:fill="C4D79B"/>
            <w:vAlign w:val="bottom"/>
          </w:tcPr>
          <w:p w:rsidR="00F84D43" w:rsidRPr="00FD7376" w:rsidP="00110D8B" w14:paraId="14A44971" w14:textId="77777777">
            <w:pPr>
              <w:widowControl/>
              <w:jc w:val="center"/>
              <w:rPr>
                <w:rFonts w:ascii="Calibri" w:hAnsi="Calibri"/>
                <w:snapToGrid/>
                <w:color w:val="FF0000"/>
                <w:kern w:val="0"/>
                <w:szCs w:val="22"/>
              </w:rPr>
            </w:pPr>
          </w:p>
        </w:tc>
      </w:tr>
    </w:tbl>
    <w:p w:rsidR="004555AD" w:rsidP="00110D8B" w14:paraId="2E4EF845" w14:textId="77777777">
      <w:pPr>
        <w:jc w:val="right"/>
      </w:pPr>
    </w:p>
    <w:p w:rsidR="00110D8B" w:rsidP="00110D8B" w14:paraId="764022CA" w14:textId="0A245148">
      <w:pPr>
        <w:jc w:val="right"/>
      </w:pPr>
      <w:r>
        <w:t>(chart continued on next page)</w:t>
      </w:r>
      <w:r>
        <w:br w:type="page"/>
      </w:r>
    </w:p>
    <w:tbl>
      <w:tblPr>
        <w:tblpPr w:leftFromText="180" w:rightFromText="180" w:vertAnchor="page" w:horzAnchor="margin" w:tblpXSpec="center" w:tblpY="1081"/>
        <w:tblW w:w="11214" w:type="dxa"/>
        <w:tblLook w:val="04A0"/>
      </w:tblPr>
      <w:tblGrid>
        <w:gridCol w:w="2448"/>
        <w:gridCol w:w="1980"/>
        <w:gridCol w:w="2222"/>
        <w:gridCol w:w="2250"/>
        <w:gridCol w:w="2314"/>
      </w:tblGrid>
      <w:tr w14:paraId="452DEB44" w14:textId="77777777" w:rsidTr="00F84D43">
        <w:tblPrEx>
          <w:tblW w:w="11214" w:type="dxa"/>
          <w:tblLook w:val="04A0"/>
        </w:tblPrEx>
        <w:trPr>
          <w:trHeight w:val="330"/>
        </w:trPr>
        <w:tc>
          <w:tcPr>
            <w:tcW w:w="2448" w:type="dxa"/>
            <w:tcBorders>
              <w:top w:val="single" w:sz="8" w:space="0" w:color="auto"/>
              <w:left w:val="single" w:sz="8" w:space="0" w:color="auto"/>
              <w:bottom w:val="nil"/>
              <w:right w:val="nil"/>
            </w:tcBorders>
            <w:shd w:val="clear" w:color="auto" w:fill="auto"/>
            <w:noWrap/>
            <w:vAlign w:val="bottom"/>
          </w:tcPr>
          <w:p w:rsidR="00F84D43" w:rsidRPr="00FD7376" w:rsidP="00F84D43" w14:paraId="516E70BB" w14:textId="2B3A4A46">
            <w:pPr>
              <w:widowControl/>
              <w:rPr>
                <w:rFonts w:ascii="Calibri" w:hAnsi="Calibri"/>
                <w:snapToGrid/>
                <w:kern w:val="0"/>
                <w:szCs w:val="22"/>
              </w:rPr>
            </w:pPr>
            <w:r w:rsidRPr="00FD7376">
              <w:rPr>
                <w:rFonts w:ascii="Calibri" w:hAnsi="Calibri"/>
                <w:snapToGrid/>
                <w:kern w:val="0"/>
                <w:szCs w:val="22"/>
              </w:rPr>
              <w:t>TV White Spaces</w:t>
            </w:r>
          </w:p>
        </w:tc>
        <w:tc>
          <w:tcPr>
            <w:tcW w:w="1980" w:type="dxa"/>
            <w:tcBorders>
              <w:top w:val="single" w:sz="8" w:space="0" w:color="auto"/>
              <w:left w:val="single" w:sz="8" w:space="0" w:color="auto"/>
              <w:bottom w:val="single" w:sz="4" w:space="0" w:color="auto"/>
              <w:right w:val="single" w:sz="4" w:space="0" w:color="auto"/>
            </w:tcBorders>
            <w:shd w:val="clear" w:color="000000" w:fill="DDD9C4"/>
            <w:vAlign w:val="bottom"/>
          </w:tcPr>
          <w:p w:rsidR="00F84D43" w:rsidRPr="00FD7376" w:rsidP="00F84D43" w14:paraId="14E796F8" w14:textId="77777777">
            <w:pPr>
              <w:widowControl/>
              <w:jc w:val="center"/>
              <w:rPr>
                <w:rFonts w:ascii="Calibri" w:hAnsi="Calibri"/>
                <w:snapToGrid/>
                <w:kern w:val="0"/>
                <w:szCs w:val="22"/>
              </w:rPr>
            </w:pPr>
          </w:p>
        </w:tc>
        <w:tc>
          <w:tcPr>
            <w:tcW w:w="2222" w:type="dxa"/>
            <w:tcBorders>
              <w:top w:val="single" w:sz="8" w:space="0" w:color="auto"/>
              <w:left w:val="nil"/>
              <w:bottom w:val="single" w:sz="4" w:space="0" w:color="auto"/>
              <w:right w:val="single" w:sz="4" w:space="0" w:color="auto"/>
            </w:tcBorders>
            <w:shd w:val="clear" w:color="000000" w:fill="DDD9C4"/>
            <w:vAlign w:val="bottom"/>
          </w:tcPr>
          <w:p w:rsidR="00F84D43" w:rsidRPr="00FD7376" w:rsidP="00F84D43" w14:paraId="13976430" w14:textId="77777777">
            <w:pPr>
              <w:widowControl/>
              <w:jc w:val="center"/>
              <w:rPr>
                <w:rFonts w:ascii="Calibri" w:hAnsi="Calibri"/>
                <w:snapToGrid/>
                <w:kern w:val="0"/>
                <w:szCs w:val="22"/>
              </w:rPr>
            </w:pPr>
          </w:p>
        </w:tc>
        <w:tc>
          <w:tcPr>
            <w:tcW w:w="2250" w:type="dxa"/>
            <w:tcBorders>
              <w:top w:val="single" w:sz="8" w:space="0" w:color="auto"/>
              <w:left w:val="nil"/>
              <w:bottom w:val="single" w:sz="4" w:space="0" w:color="auto"/>
              <w:right w:val="single" w:sz="4" w:space="0" w:color="auto"/>
            </w:tcBorders>
            <w:shd w:val="clear" w:color="000000" w:fill="C4D79B"/>
            <w:vAlign w:val="bottom"/>
          </w:tcPr>
          <w:p w:rsidR="00F84D43" w:rsidRPr="00FD7376" w:rsidP="00F84D43" w14:paraId="31EB52D7" w14:textId="77777777">
            <w:pPr>
              <w:widowControl/>
              <w:jc w:val="center"/>
              <w:rPr>
                <w:rFonts w:ascii="Calibri" w:hAnsi="Calibri"/>
                <w:snapToGrid/>
                <w:kern w:val="0"/>
                <w:szCs w:val="22"/>
              </w:rPr>
            </w:pPr>
          </w:p>
        </w:tc>
        <w:tc>
          <w:tcPr>
            <w:tcW w:w="2314" w:type="dxa"/>
            <w:tcBorders>
              <w:top w:val="single" w:sz="8" w:space="0" w:color="auto"/>
              <w:left w:val="nil"/>
              <w:bottom w:val="single" w:sz="4" w:space="0" w:color="auto"/>
              <w:right w:val="single" w:sz="4" w:space="0" w:color="auto"/>
            </w:tcBorders>
            <w:shd w:val="clear" w:color="000000" w:fill="C4D79B"/>
            <w:vAlign w:val="bottom"/>
          </w:tcPr>
          <w:p w:rsidR="00F84D43" w:rsidRPr="00FD7376" w:rsidP="00F84D43" w14:paraId="2BD5CDEF" w14:textId="77777777">
            <w:pPr>
              <w:widowControl/>
              <w:jc w:val="center"/>
              <w:rPr>
                <w:rFonts w:ascii="Calibri" w:hAnsi="Calibri"/>
                <w:snapToGrid/>
                <w:kern w:val="0"/>
                <w:szCs w:val="22"/>
              </w:rPr>
            </w:pPr>
            <w:r w:rsidRPr="00FD7376">
              <w:rPr>
                <w:rFonts w:ascii="Calibri" w:hAnsi="Calibri"/>
                <w:snapToGrid/>
                <w:kern w:val="0"/>
                <w:szCs w:val="22"/>
              </w:rPr>
              <w:t>54-72</w:t>
            </w:r>
          </w:p>
          <w:p w:rsidR="00F84D43" w:rsidRPr="00FD7376" w:rsidP="00F84D43" w14:paraId="444A1CC5" w14:textId="77777777">
            <w:pPr>
              <w:widowControl/>
              <w:jc w:val="center"/>
              <w:rPr>
                <w:rFonts w:ascii="Calibri" w:hAnsi="Calibri"/>
                <w:snapToGrid/>
                <w:kern w:val="0"/>
                <w:szCs w:val="22"/>
              </w:rPr>
            </w:pPr>
            <w:r w:rsidRPr="00FD7376">
              <w:rPr>
                <w:rFonts w:ascii="Calibri" w:hAnsi="Calibri"/>
                <w:snapToGrid/>
                <w:kern w:val="0"/>
                <w:szCs w:val="22"/>
              </w:rPr>
              <w:t>76-88</w:t>
            </w:r>
          </w:p>
          <w:p w:rsidR="00F84D43" w:rsidRPr="00FD7376" w:rsidP="00F84D43" w14:paraId="6A3E8E53" w14:textId="77777777">
            <w:pPr>
              <w:widowControl/>
              <w:jc w:val="center"/>
              <w:rPr>
                <w:rFonts w:ascii="Calibri" w:eastAsia="Calibri" w:hAnsi="Calibri"/>
                <w:snapToGrid/>
                <w:kern w:val="0"/>
                <w:szCs w:val="22"/>
              </w:rPr>
            </w:pPr>
            <w:r w:rsidRPr="00FD7376">
              <w:rPr>
                <w:rFonts w:ascii="Calibri" w:eastAsia="Calibri" w:hAnsi="Calibri"/>
                <w:snapToGrid/>
                <w:kern w:val="0"/>
                <w:szCs w:val="22"/>
              </w:rPr>
              <w:t>174-216</w:t>
            </w:r>
          </w:p>
          <w:p w:rsidR="00F84D43" w:rsidRPr="00FD7376" w:rsidP="00F84D43" w14:paraId="7CE70168" w14:textId="77777777">
            <w:pPr>
              <w:widowControl/>
              <w:jc w:val="center"/>
              <w:rPr>
                <w:rFonts w:ascii="Calibri" w:hAnsi="Calibri"/>
                <w:snapToGrid/>
                <w:kern w:val="0"/>
                <w:szCs w:val="22"/>
              </w:rPr>
            </w:pPr>
            <w:r w:rsidRPr="00FD7376">
              <w:rPr>
                <w:rFonts w:ascii="Calibri" w:hAnsi="Calibri"/>
                <w:snapToGrid/>
                <w:kern w:val="0"/>
                <w:szCs w:val="22"/>
              </w:rPr>
              <w:t>470-698</w:t>
            </w:r>
          </w:p>
        </w:tc>
      </w:tr>
      <w:tr w14:paraId="38959CD6" w14:textId="77777777" w:rsidTr="00F84D43">
        <w:tblPrEx>
          <w:tblW w:w="11214" w:type="dxa"/>
          <w:tblLook w:val="04A0"/>
        </w:tblPrEx>
        <w:trPr>
          <w:trHeight w:val="330"/>
        </w:trPr>
        <w:tc>
          <w:tcPr>
            <w:tcW w:w="2448" w:type="dxa"/>
            <w:tcBorders>
              <w:top w:val="single" w:sz="8" w:space="0" w:color="auto"/>
              <w:left w:val="single" w:sz="8" w:space="0" w:color="auto"/>
              <w:bottom w:val="nil"/>
              <w:right w:val="nil"/>
            </w:tcBorders>
            <w:shd w:val="clear" w:color="auto" w:fill="auto"/>
            <w:noWrap/>
            <w:vAlign w:val="bottom"/>
          </w:tcPr>
          <w:p w:rsidR="00F84D43" w:rsidRPr="00FD7376" w:rsidP="00F84D43" w14:paraId="0DA76C8B" w14:textId="77777777">
            <w:pPr>
              <w:widowControl/>
              <w:rPr>
                <w:rFonts w:ascii="Calibri" w:hAnsi="Calibri"/>
                <w:snapToGrid/>
                <w:kern w:val="0"/>
                <w:szCs w:val="22"/>
              </w:rPr>
            </w:pPr>
            <w:r w:rsidRPr="00FD7376">
              <w:rPr>
                <w:rFonts w:ascii="Calibri" w:hAnsi="Calibri"/>
                <w:snapToGrid/>
                <w:kern w:val="0"/>
                <w:szCs w:val="22"/>
              </w:rPr>
              <w:t>900 MHz</w:t>
            </w:r>
          </w:p>
        </w:tc>
        <w:tc>
          <w:tcPr>
            <w:tcW w:w="1980" w:type="dxa"/>
            <w:tcBorders>
              <w:top w:val="single" w:sz="8" w:space="0" w:color="auto"/>
              <w:left w:val="single" w:sz="8" w:space="0" w:color="auto"/>
              <w:bottom w:val="single" w:sz="4" w:space="0" w:color="auto"/>
              <w:right w:val="single" w:sz="4" w:space="0" w:color="auto"/>
            </w:tcBorders>
            <w:shd w:val="clear" w:color="000000" w:fill="DDD9C4"/>
            <w:vAlign w:val="bottom"/>
          </w:tcPr>
          <w:p w:rsidR="00F84D43" w:rsidRPr="00FD7376" w:rsidP="00F84D43" w14:paraId="6AFBC5FE" w14:textId="77777777">
            <w:pPr>
              <w:widowControl/>
              <w:jc w:val="center"/>
              <w:rPr>
                <w:rFonts w:ascii="Calibri" w:hAnsi="Calibri"/>
                <w:snapToGrid/>
                <w:kern w:val="0"/>
                <w:szCs w:val="22"/>
              </w:rPr>
            </w:pPr>
          </w:p>
        </w:tc>
        <w:tc>
          <w:tcPr>
            <w:tcW w:w="2222" w:type="dxa"/>
            <w:tcBorders>
              <w:top w:val="single" w:sz="8" w:space="0" w:color="auto"/>
              <w:left w:val="nil"/>
              <w:bottom w:val="single" w:sz="4" w:space="0" w:color="auto"/>
              <w:right w:val="single" w:sz="4" w:space="0" w:color="auto"/>
            </w:tcBorders>
            <w:shd w:val="clear" w:color="000000" w:fill="DDD9C4"/>
            <w:vAlign w:val="bottom"/>
          </w:tcPr>
          <w:p w:rsidR="00F84D43" w:rsidRPr="00FD7376" w:rsidP="00F84D43" w14:paraId="57E795A3" w14:textId="77777777">
            <w:pPr>
              <w:widowControl/>
              <w:jc w:val="center"/>
              <w:rPr>
                <w:rFonts w:ascii="Calibri" w:hAnsi="Calibri"/>
                <w:snapToGrid/>
                <w:kern w:val="0"/>
                <w:szCs w:val="22"/>
              </w:rPr>
            </w:pPr>
          </w:p>
        </w:tc>
        <w:tc>
          <w:tcPr>
            <w:tcW w:w="2250" w:type="dxa"/>
            <w:tcBorders>
              <w:top w:val="single" w:sz="8" w:space="0" w:color="auto"/>
              <w:left w:val="nil"/>
              <w:bottom w:val="single" w:sz="4" w:space="0" w:color="auto"/>
              <w:right w:val="single" w:sz="4" w:space="0" w:color="auto"/>
            </w:tcBorders>
            <w:shd w:val="clear" w:color="000000" w:fill="C4D79B"/>
            <w:vAlign w:val="bottom"/>
          </w:tcPr>
          <w:p w:rsidR="00F84D43" w:rsidRPr="00FD7376" w:rsidP="00F84D43" w14:paraId="6A646B80" w14:textId="77777777">
            <w:pPr>
              <w:widowControl/>
              <w:jc w:val="center"/>
              <w:rPr>
                <w:rFonts w:ascii="Calibri" w:hAnsi="Calibri"/>
                <w:snapToGrid/>
                <w:kern w:val="0"/>
                <w:szCs w:val="22"/>
              </w:rPr>
            </w:pPr>
          </w:p>
        </w:tc>
        <w:tc>
          <w:tcPr>
            <w:tcW w:w="2314" w:type="dxa"/>
            <w:tcBorders>
              <w:top w:val="single" w:sz="8" w:space="0" w:color="auto"/>
              <w:left w:val="nil"/>
              <w:bottom w:val="single" w:sz="4" w:space="0" w:color="auto"/>
              <w:right w:val="single" w:sz="4" w:space="0" w:color="auto"/>
            </w:tcBorders>
            <w:shd w:val="clear" w:color="000000" w:fill="C4D79B"/>
            <w:vAlign w:val="bottom"/>
          </w:tcPr>
          <w:p w:rsidR="00F84D43" w:rsidRPr="00FD7376" w:rsidP="00F84D43" w14:paraId="297CECCF" w14:textId="77777777">
            <w:pPr>
              <w:widowControl/>
              <w:jc w:val="center"/>
              <w:rPr>
                <w:rFonts w:ascii="Calibri" w:hAnsi="Calibri"/>
                <w:snapToGrid/>
                <w:kern w:val="0"/>
                <w:szCs w:val="22"/>
              </w:rPr>
            </w:pPr>
            <w:r w:rsidRPr="00FD7376">
              <w:rPr>
                <w:rFonts w:ascii="Calibri" w:hAnsi="Calibri"/>
                <w:snapToGrid/>
                <w:kern w:val="0"/>
                <w:szCs w:val="22"/>
              </w:rPr>
              <w:t>902-928</w:t>
            </w:r>
          </w:p>
        </w:tc>
      </w:tr>
      <w:tr w14:paraId="4E8B5014" w14:textId="77777777" w:rsidTr="00F84D43">
        <w:tblPrEx>
          <w:tblW w:w="11214" w:type="dxa"/>
          <w:tblLook w:val="04A0"/>
        </w:tblPrEx>
        <w:trPr>
          <w:trHeight w:val="330"/>
        </w:trPr>
        <w:tc>
          <w:tcPr>
            <w:tcW w:w="2448" w:type="dxa"/>
            <w:tcBorders>
              <w:top w:val="single" w:sz="8" w:space="0" w:color="auto"/>
              <w:left w:val="single" w:sz="8" w:space="0" w:color="auto"/>
              <w:bottom w:val="nil"/>
              <w:right w:val="nil"/>
            </w:tcBorders>
            <w:shd w:val="clear" w:color="auto" w:fill="auto"/>
            <w:noWrap/>
            <w:vAlign w:val="bottom"/>
            <w:hideMark/>
          </w:tcPr>
          <w:p w:rsidR="00F84D43" w:rsidRPr="00FD7376" w:rsidP="00F84D43" w14:paraId="5EAE9D33" w14:textId="77777777">
            <w:pPr>
              <w:widowControl/>
              <w:rPr>
                <w:rFonts w:ascii="Calibri" w:hAnsi="Calibri"/>
                <w:snapToGrid/>
                <w:color w:val="000000"/>
                <w:kern w:val="0"/>
                <w:szCs w:val="22"/>
              </w:rPr>
            </w:pPr>
            <w:r w:rsidRPr="00FD7376">
              <w:rPr>
                <w:rFonts w:ascii="Calibri" w:hAnsi="Calibri"/>
                <w:snapToGrid/>
                <w:color w:val="000000"/>
                <w:kern w:val="0"/>
                <w:szCs w:val="22"/>
              </w:rPr>
              <w:t xml:space="preserve">2.4 GHz </w:t>
            </w:r>
          </w:p>
        </w:tc>
        <w:tc>
          <w:tcPr>
            <w:tcW w:w="1980" w:type="dxa"/>
            <w:tcBorders>
              <w:top w:val="single" w:sz="8" w:space="0" w:color="auto"/>
              <w:left w:val="single" w:sz="8" w:space="0" w:color="auto"/>
              <w:bottom w:val="single" w:sz="4" w:space="0" w:color="auto"/>
              <w:right w:val="single" w:sz="4" w:space="0" w:color="auto"/>
            </w:tcBorders>
            <w:shd w:val="clear" w:color="000000" w:fill="DDD9C4"/>
            <w:vAlign w:val="bottom"/>
            <w:hideMark/>
          </w:tcPr>
          <w:p w:rsidR="00F84D43" w:rsidRPr="00FD7376" w:rsidP="00F84D43" w14:paraId="6BD19719"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22" w:type="dxa"/>
            <w:tcBorders>
              <w:top w:val="single" w:sz="8" w:space="0" w:color="auto"/>
              <w:left w:val="nil"/>
              <w:bottom w:val="single" w:sz="4" w:space="0" w:color="auto"/>
              <w:right w:val="single" w:sz="4" w:space="0" w:color="auto"/>
            </w:tcBorders>
            <w:shd w:val="clear" w:color="000000" w:fill="DDD9C4"/>
            <w:vAlign w:val="bottom"/>
            <w:hideMark/>
          </w:tcPr>
          <w:p w:rsidR="00F84D43" w:rsidRPr="00FD7376" w:rsidP="00F84D43" w14:paraId="629E97A9"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50" w:type="dxa"/>
            <w:tcBorders>
              <w:top w:val="single" w:sz="8" w:space="0" w:color="auto"/>
              <w:left w:val="nil"/>
              <w:bottom w:val="single" w:sz="4" w:space="0" w:color="auto"/>
              <w:right w:val="single" w:sz="4" w:space="0" w:color="auto"/>
            </w:tcBorders>
            <w:shd w:val="clear" w:color="000000" w:fill="C4D79B"/>
            <w:vAlign w:val="bottom"/>
            <w:hideMark/>
          </w:tcPr>
          <w:p w:rsidR="00F84D43" w:rsidRPr="00FD7376" w:rsidP="00F84D43" w14:paraId="792D18B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single" w:sz="8" w:space="0" w:color="auto"/>
              <w:left w:val="nil"/>
              <w:bottom w:val="single" w:sz="4" w:space="0" w:color="auto"/>
              <w:right w:val="single" w:sz="4" w:space="0" w:color="auto"/>
            </w:tcBorders>
            <w:shd w:val="clear" w:color="000000" w:fill="C4D79B"/>
            <w:vAlign w:val="bottom"/>
            <w:hideMark/>
          </w:tcPr>
          <w:p w:rsidR="00F84D43" w:rsidRPr="00FD7376" w:rsidP="00F84D43" w14:paraId="521A1B04"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2400-2483.5</w:t>
            </w:r>
          </w:p>
        </w:tc>
      </w:tr>
      <w:tr w14:paraId="30F3874B" w14:textId="77777777" w:rsidTr="00F84D43">
        <w:tblPrEx>
          <w:tblW w:w="11214" w:type="dxa"/>
          <w:tblLook w:val="04A0"/>
        </w:tblPrEx>
        <w:trPr>
          <w:trHeight w:val="300"/>
        </w:trPr>
        <w:tc>
          <w:tcPr>
            <w:tcW w:w="2448" w:type="dxa"/>
            <w:tcBorders>
              <w:top w:val="single" w:sz="4" w:space="0" w:color="auto"/>
              <w:left w:val="single" w:sz="8" w:space="0" w:color="auto"/>
              <w:bottom w:val="single" w:sz="4" w:space="0" w:color="auto"/>
              <w:right w:val="nil"/>
            </w:tcBorders>
            <w:shd w:val="clear" w:color="auto" w:fill="auto"/>
            <w:noWrap/>
            <w:vAlign w:val="bottom"/>
            <w:hideMark/>
          </w:tcPr>
          <w:p w:rsidR="00F84D43" w:rsidRPr="00FD7376" w:rsidP="00F84D43" w14:paraId="518BF11F" w14:textId="77777777">
            <w:pPr>
              <w:widowControl/>
              <w:rPr>
                <w:rFonts w:ascii="Calibri" w:hAnsi="Calibri"/>
                <w:snapToGrid/>
                <w:color w:val="000000"/>
                <w:kern w:val="0"/>
                <w:szCs w:val="22"/>
              </w:rPr>
            </w:pPr>
            <w:r w:rsidRPr="00FD7376">
              <w:rPr>
                <w:rFonts w:ascii="Calibri" w:hAnsi="Calibri"/>
                <w:snapToGrid/>
                <w:color w:val="000000"/>
                <w:kern w:val="0"/>
                <w:szCs w:val="22"/>
              </w:rPr>
              <w:t>5 GHz</w:t>
            </w:r>
          </w:p>
        </w:tc>
        <w:tc>
          <w:tcPr>
            <w:tcW w:w="1980" w:type="dxa"/>
            <w:tcBorders>
              <w:top w:val="nil"/>
              <w:left w:val="single" w:sz="8" w:space="0" w:color="auto"/>
              <w:bottom w:val="single" w:sz="4" w:space="0" w:color="auto"/>
              <w:right w:val="single" w:sz="4" w:space="0" w:color="auto"/>
            </w:tcBorders>
            <w:shd w:val="clear" w:color="000000" w:fill="DDD9C4"/>
            <w:vAlign w:val="bottom"/>
            <w:hideMark/>
          </w:tcPr>
          <w:p w:rsidR="00F84D43" w:rsidRPr="00FD7376" w:rsidP="00F84D43" w14:paraId="00AE14A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22" w:type="dxa"/>
            <w:tcBorders>
              <w:top w:val="nil"/>
              <w:left w:val="nil"/>
              <w:bottom w:val="single" w:sz="4" w:space="0" w:color="auto"/>
              <w:right w:val="single" w:sz="4" w:space="0" w:color="auto"/>
            </w:tcBorders>
            <w:shd w:val="clear" w:color="000000" w:fill="DDD9C4"/>
            <w:vAlign w:val="bottom"/>
            <w:hideMark/>
          </w:tcPr>
          <w:p w:rsidR="00F84D43" w:rsidRPr="00FD7376" w:rsidP="00F84D43" w14:paraId="315AC460"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50" w:type="dxa"/>
            <w:tcBorders>
              <w:top w:val="nil"/>
              <w:left w:val="nil"/>
              <w:bottom w:val="single" w:sz="4" w:space="0" w:color="auto"/>
              <w:right w:val="single" w:sz="4" w:space="0" w:color="auto"/>
            </w:tcBorders>
            <w:shd w:val="clear" w:color="000000" w:fill="C4D79B"/>
            <w:vAlign w:val="bottom"/>
            <w:hideMark/>
          </w:tcPr>
          <w:p w:rsidR="00F84D43" w:rsidRPr="00FD7376" w:rsidP="00F84D43" w14:paraId="022C66D4"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4" w:space="0" w:color="auto"/>
              <w:right w:val="single" w:sz="4" w:space="0" w:color="auto"/>
            </w:tcBorders>
            <w:shd w:val="clear" w:color="000000" w:fill="C4D79B"/>
            <w:vAlign w:val="bottom"/>
            <w:hideMark/>
          </w:tcPr>
          <w:p w:rsidR="00F84D43" w:rsidRPr="00FD7376" w:rsidP="00F84D43" w14:paraId="7C718AB9"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5150-5250</w:t>
            </w:r>
          </w:p>
          <w:p w:rsidR="00F84D43" w:rsidRPr="00FD7376" w:rsidP="00F84D43" w14:paraId="2AE3CA24" w14:textId="77777777">
            <w:pPr>
              <w:widowControl/>
              <w:jc w:val="center"/>
              <w:rPr>
                <w:rFonts w:ascii="Calibri" w:hAnsi="Calibri"/>
                <w:snapToGrid/>
                <w:kern w:val="0"/>
                <w:szCs w:val="22"/>
              </w:rPr>
            </w:pPr>
            <w:r w:rsidRPr="00FD7376">
              <w:rPr>
                <w:rFonts w:ascii="Calibri" w:hAnsi="Calibri"/>
                <w:snapToGrid/>
                <w:kern w:val="0"/>
                <w:szCs w:val="22"/>
              </w:rPr>
              <w:t>5250-5350</w:t>
            </w:r>
          </w:p>
          <w:p w:rsidR="00F84D43" w:rsidRPr="00FD7376" w:rsidP="00F84D43" w14:paraId="7FCEA1AA" w14:textId="77777777">
            <w:pPr>
              <w:widowControl/>
              <w:jc w:val="center"/>
              <w:rPr>
                <w:rFonts w:ascii="Calibri" w:hAnsi="Calibri"/>
                <w:snapToGrid/>
                <w:kern w:val="0"/>
                <w:szCs w:val="22"/>
              </w:rPr>
            </w:pPr>
            <w:r w:rsidRPr="00FD7376">
              <w:rPr>
                <w:rFonts w:ascii="Calibri" w:hAnsi="Calibri"/>
                <w:snapToGrid/>
                <w:kern w:val="0"/>
                <w:szCs w:val="22"/>
              </w:rPr>
              <w:t>5470-5725</w:t>
            </w:r>
          </w:p>
          <w:p w:rsidR="00F84D43" w:rsidRPr="00FD7376" w:rsidP="00F84D43" w14:paraId="351CE7C0"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5725-5850</w:t>
            </w:r>
          </w:p>
        </w:tc>
      </w:tr>
      <w:tr w14:paraId="01183A33" w14:textId="77777777" w:rsidTr="00F84D43">
        <w:tblPrEx>
          <w:tblW w:w="11214" w:type="dxa"/>
          <w:tblLook w:val="04A0"/>
        </w:tblPrEx>
        <w:trPr>
          <w:trHeight w:val="330"/>
        </w:trPr>
        <w:tc>
          <w:tcPr>
            <w:tcW w:w="2448" w:type="dxa"/>
            <w:tcBorders>
              <w:top w:val="nil"/>
              <w:left w:val="single" w:sz="8" w:space="0" w:color="auto"/>
              <w:bottom w:val="single" w:sz="8" w:space="0" w:color="auto"/>
              <w:right w:val="nil"/>
            </w:tcBorders>
            <w:shd w:val="clear" w:color="auto" w:fill="auto"/>
            <w:noWrap/>
            <w:vAlign w:val="bottom"/>
            <w:hideMark/>
          </w:tcPr>
          <w:p w:rsidR="00F84D43" w:rsidRPr="00FD7376" w:rsidP="00F84D43" w14:paraId="099A1A39" w14:textId="77777777">
            <w:pPr>
              <w:widowControl/>
              <w:rPr>
                <w:rFonts w:ascii="Calibri" w:hAnsi="Calibri"/>
                <w:snapToGrid/>
                <w:color w:val="000000"/>
                <w:kern w:val="0"/>
                <w:szCs w:val="22"/>
              </w:rPr>
            </w:pPr>
            <w:r w:rsidRPr="00FD7376">
              <w:rPr>
                <w:rFonts w:ascii="Calibri" w:hAnsi="Calibri"/>
                <w:snapToGrid/>
                <w:color w:val="000000"/>
                <w:kern w:val="0"/>
                <w:szCs w:val="22"/>
              </w:rPr>
              <w:t>24 GHz</w:t>
            </w:r>
          </w:p>
        </w:tc>
        <w:tc>
          <w:tcPr>
            <w:tcW w:w="1980" w:type="dxa"/>
            <w:tcBorders>
              <w:top w:val="nil"/>
              <w:left w:val="single" w:sz="8" w:space="0" w:color="auto"/>
              <w:bottom w:val="single" w:sz="8" w:space="0" w:color="auto"/>
              <w:right w:val="single" w:sz="4" w:space="0" w:color="auto"/>
            </w:tcBorders>
            <w:shd w:val="clear" w:color="000000" w:fill="DDD9C4"/>
            <w:vAlign w:val="bottom"/>
            <w:hideMark/>
          </w:tcPr>
          <w:p w:rsidR="00F84D43" w:rsidRPr="00FD7376" w:rsidP="00F84D43" w14:paraId="77ECA53D"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22" w:type="dxa"/>
            <w:tcBorders>
              <w:top w:val="nil"/>
              <w:left w:val="nil"/>
              <w:bottom w:val="single" w:sz="8" w:space="0" w:color="auto"/>
              <w:right w:val="single" w:sz="4" w:space="0" w:color="auto"/>
            </w:tcBorders>
            <w:shd w:val="clear" w:color="000000" w:fill="DDD9C4"/>
            <w:vAlign w:val="bottom"/>
            <w:hideMark/>
          </w:tcPr>
          <w:p w:rsidR="00F84D43" w:rsidRPr="00FD7376" w:rsidP="00F84D43" w14:paraId="4C8C1FA1"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250" w:type="dxa"/>
            <w:tcBorders>
              <w:top w:val="nil"/>
              <w:left w:val="nil"/>
              <w:bottom w:val="single" w:sz="8" w:space="0" w:color="auto"/>
              <w:right w:val="single" w:sz="4" w:space="0" w:color="auto"/>
            </w:tcBorders>
            <w:shd w:val="clear" w:color="000000" w:fill="C4D79B"/>
            <w:vAlign w:val="bottom"/>
            <w:hideMark/>
          </w:tcPr>
          <w:p w:rsidR="00F84D43" w:rsidRPr="00FD7376" w:rsidP="00F84D43" w14:paraId="36A630BE"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8" w:space="0" w:color="auto"/>
              <w:right w:val="single" w:sz="4" w:space="0" w:color="auto"/>
            </w:tcBorders>
            <w:shd w:val="clear" w:color="000000" w:fill="C4D79B"/>
            <w:vAlign w:val="bottom"/>
            <w:hideMark/>
          </w:tcPr>
          <w:p w:rsidR="00F84D43" w:rsidRPr="00FD7376" w:rsidP="00F84D43" w14:paraId="20A8A6EB"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24,000-24,250</w:t>
            </w:r>
          </w:p>
        </w:tc>
      </w:tr>
      <w:tr w14:paraId="02F8B44B" w14:textId="77777777" w:rsidTr="00F84D43">
        <w:tblPrEx>
          <w:tblW w:w="11214" w:type="dxa"/>
          <w:tblLook w:val="04A0"/>
        </w:tblPrEx>
        <w:trPr>
          <w:trHeight w:val="330"/>
        </w:trPr>
        <w:tc>
          <w:tcPr>
            <w:tcW w:w="2448" w:type="dxa"/>
            <w:tcBorders>
              <w:top w:val="nil"/>
              <w:left w:val="single" w:sz="8" w:space="0" w:color="auto"/>
              <w:bottom w:val="single" w:sz="4" w:space="0" w:color="auto"/>
              <w:right w:val="nil"/>
            </w:tcBorders>
            <w:shd w:val="clear" w:color="auto" w:fill="auto"/>
            <w:noWrap/>
            <w:vAlign w:val="bottom"/>
          </w:tcPr>
          <w:p w:rsidR="00F84D43" w:rsidRPr="00FD7376" w:rsidP="00F84D43" w14:paraId="197D6C2E" w14:textId="77777777">
            <w:pPr>
              <w:widowControl/>
              <w:rPr>
                <w:rFonts w:ascii="Calibri" w:hAnsi="Calibri"/>
                <w:snapToGrid/>
                <w:kern w:val="0"/>
                <w:szCs w:val="22"/>
              </w:rPr>
            </w:pPr>
            <w:r w:rsidRPr="00FD7376">
              <w:rPr>
                <w:rFonts w:ascii="Calibri" w:hAnsi="Calibri"/>
                <w:snapToGrid/>
                <w:kern w:val="0"/>
                <w:szCs w:val="22"/>
              </w:rPr>
              <w:t>57-71 GHz</w:t>
            </w:r>
          </w:p>
        </w:tc>
        <w:tc>
          <w:tcPr>
            <w:tcW w:w="1980" w:type="dxa"/>
            <w:tcBorders>
              <w:top w:val="nil"/>
              <w:left w:val="single" w:sz="8" w:space="0" w:color="auto"/>
              <w:bottom w:val="single" w:sz="4" w:space="0" w:color="auto"/>
              <w:right w:val="single" w:sz="4" w:space="0" w:color="auto"/>
            </w:tcBorders>
            <w:shd w:val="clear" w:color="000000" w:fill="DDD9C4"/>
            <w:vAlign w:val="bottom"/>
          </w:tcPr>
          <w:p w:rsidR="00F84D43" w:rsidRPr="00FD7376" w:rsidP="00F84D43" w14:paraId="7BABD648" w14:textId="77777777">
            <w:pPr>
              <w:widowControl/>
              <w:jc w:val="center"/>
              <w:rPr>
                <w:rFonts w:ascii="Calibri" w:hAnsi="Calibri"/>
                <w:snapToGrid/>
                <w:kern w:val="0"/>
                <w:szCs w:val="22"/>
              </w:rPr>
            </w:pPr>
          </w:p>
        </w:tc>
        <w:tc>
          <w:tcPr>
            <w:tcW w:w="2222" w:type="dxa"/>
            <w:tcBorders>
              <w:top w:val="nil"/>
              <w:left w:val="nil"/>
              <w:bottom w:val="single" w:sz="4" w:space="0" w:color="auto"/>
              <w:right w:val="single" w:sz="4" w:space="0" w:color="auto"/>
            </w:tcBorders>
            <w:shd w:val="clear" w:color="000000" w:fill="DDD9C4"/>
            <w:vAlign w:val="bottom"/>
          </w:tcPr>
          <w:p w:rsidR="00F84D43" w:rsidRPr="00FD7376" w:rsidP="00F84D43" w14:paraId="0A488EFE" w14:textId="77777777">
            <w:pPr>
              <w:widowControl/>
              <w:jc w:val="center"/>
              <w:rPr>
                <w:rFonts w:ascii="Calibri" w:hAnsi="Calibri"/>
                <w:snapToGrid/>
                <w:kern w:val="0"/>
                <w:szCs w:val="22"/>
              </w:rPr>
            </w:pPr>
          </w:p>
        </w:tc>
        <w:tc>
          <w:tcPr>
            <w:tcW w:w="2250" w:type="dxa"/>
            <w:tcBorders>
              <w:top w:val="nil"/>
              <w:left w:val="nil"/>
              <w:bottom w:val="single" w:sz="4" w:space="0" w:color="auto"/>
              <w:right w:val="single" w:sz="4" w:space="0" w:color="auto"/>
            </w:tcBorders>
            <w:shd w:val="clear" w:color="000000" w:fill="C4D79B"/>
            <w:vAlign w:val="bottom"/>
          </w:tcPr>
          <w:p w:rsidR="00F84D43" w:rsidRPr="00FD7376" w:rsidP="00F84D43" w14:paraId="1CA267B0" w14:textId="77777777">
            <w:pPr>
              <w:widowControl/>
              <w:jc w:val="center"/>
              <w:rPr>
                <w:rFonts w:ascii="Calibri" w:hAnsi="Calibri"/>
                <w:snapToGrid/>
                <w:kern w:val="0"/>
                <w:szCs w:val="22"/>
              </w:rPr>
            </w:pPr>
          </w:p>
        </w:tc>
        <w:tc>
          <w:tcPr>
            <w:tcW w:w="2314" w:type="dxa"/>
            <w:tcBorders>
              <w:top w:val="nil"/>
              <w:left w:val="nil"/>
              <w:bottom w:val="single" w:sz="4" w:space="0" w:color="auto"/>
              <w:right w:val="single" w:sz="4" w:space="0" w:color="auto"/>
            </w:tcBorders>
            <w:shd w:val="clear" w:color="000000" w:fill="C4D79B"/>
            <w:vAlign w:val="bottom"/>
          </w:tcPr>
          <w:p w:rsidR="00F84D43" w:rsidRPr="00FD7376" w:rsidP="00F84D43" w14:paraId="1D70945F" w14:textId="77777777">
            <w:pPr>
              <w:widowControl/>
              <w:jc w:val="center"/>
              <w:rPr>
                <w:rFonts w:ascii="Calibri" w:hAnsi="Calibri"/>
                <w:snapToGrid/>
                <w:kern w:val="0"/>
                <w:szCs w:val="22"/>
              </w:rPr>
            </w:pPr>
            <w:r w:rsidRPr="00FD7376">
              <w:rPr>
                <w:rFonts w:ascii="Calibri" w:hAnsi="Calibri"/>
                <w:snapToGrid/>
                <w:kern w:val="0"/>
                <w:szCs w:val="22"/>
              </w:rPr>
              <w:t>57,000 – 71,000</w:t>
            </w:r>
          </w:p>
        </w:tc>
      </w:tr>
      <w:tr w14:paraId="5712B1C9" w14:textId="77777777" w:rsidTr="00F84D43">
        <w:tblPrEx>
          <w:tblW w:w="11214" w:type="dxa"/>
          <w:tblLook w:val="04A0"/>
        </w:tblPrEx>
        <w:trPr>
          <w:trHeight w:val="330"/>
        </w:trPr>
        <w:tc>
          <w:tcPr>
            <w:tcW w:w="2448" w:type="dxa"/>
            <w:tcBorders>
              <w:top w:val="nil"/>
              <w:left w:val="single" w:sz="8" w:space="0" w:color="auto"/>
              <w:bottom w:val="single" w:sz="8" w:space="0" w:color="auto"/>
              <w:right w:val="nil"/>
            </w:tcBorders>
            <w:shd w:val="clear" w:color="auto" w:fill="auto"/>
            <w:noWrap/>
            <w:vAlign w:val="bottom"/>
          </w:tcPr>
          <w:p w:rsidR="00F84D43" w:rsidRPr="00FD7376" w:rsidP="00F84D43" w14:paraId="1A294211" w14:textId="77777777">
            <w:pPr>
              <w:widowControl/>
              <w:rPr>
                <w:rFonts w:ascii="Calibri" w:hAnsi="Calibri"/>
                <w:snapToGrid/>
                <w:color w:val="000000"/>
                <w:kern w:val="0"/>
                <w:szCs w:val="22"/>
              </w:rPr>
            </w:pPr>
            <w:r w:rsidRPr="00FD7376">
              <w:rPr>
                <w:rFonts w:ascii="Calibri" w:hAnsi="Calibri"/>
                <w:snapToGrid/>
                <w:color w:val="000000"/>
                <w:kern w:val="0"/>
                <w:szCs w:val="22"/>
              </w:rPr>
              <w:t>Ku Band (satellite)</w:t>
            </w:r>
          </w:p>
        </w:tc>
        <w:tc>
          <w:tcPr>
            <w:tcW w:w="1980" w:type="dxa"/>
            <w:tcBorders>
              <w:top w:val="nil"/>
              <w:left w:val="single" w:sz="8" w:space="0" w:color="auto"/>
              <w:bottom w:val="single" w:sz="8" w:space="0" w:color="auto"/>
              <w:right w:val="single" w:sz="4" w:space="0" w:color="auto"/>
            </w:tcBorders>
            <w:shd w:val="clear" w:color="000000" w:fill="DDD9C4"/>
            <w:vAlign w:val="bottom"/>
          </w:tcPr>
          <w:p w:rsidR="00F84D43" w:rsidRPr="00FD7376" w:rsidP="00F84D43" w14:paraId="3BD84F15"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12,750-13,250</w:t>
            </w:r>
          </w:p>
          <w:p w:rsidR="00F84D43" w:rsidRPr="00FD7376" w:rsidP="00F84D43" w14:paraId="745EBF5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14,000-14,500</w:t>
            </w:r>
          </w:p>
        </w:tc>
        <w:tc>
          <w:tcPr>
            <w:tcW w:w="2222" w:type="dxa"/>
            <w:tcBorders>
              <w:top w:val="nil"/>
              <w:left w:val="nil"/>
              <w:bottom w:val="single" w:sz="8" w:space="0" w:color="auto"/>
              <w:right w:val="single" w:sz="4" w:space="0" w:color="auto"/>
            </w:tcBorders>
            <w:shd w:val="clear" w:color="000000" w:fill="DDD9C4"/>
            <w:vAlign w:val="bottom"/>
          </w:tcPr>
          <w:p w:rsidR="00F84D43" w:rsidRPr="00FD7376" w:rsidP="00F84D43" w14:paraId="71DFE105"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10,700-12,700</w:t>
            </w:r>
          </w:p>
        </w:tc>
        <w:tc>
          <w:tcPr>
            <w:tcW w:w="2250" w:type="dxa"/>
            <w:tcBorders>
              <w:top w:val="nil"/>
              <w:left w:val="nil"/>
              <w:bottom w:val="single" w:sz="8" w:space="0" w:color="auto"/>
              <w:right w:val="single" w:sz="4" w:space="0" w:color="auto"/>
            </w:tcBorders>
            <w:shd w:val="clear" w:color="000000" w:fill="C4D79B"/>
            <w:vAlign w:val="bottom"/>
          </w:tcPr>
          <w:p w:rsidR="00F84D43" w:rsidRPr="00FD7376" w:rsidP="00F84D43" w14:paraId="34C86A70"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8" w:space="0" w:color="auto"/>
              <w:right w:val="single" w:sz="4" w:space="0" w:color="auto"/>
            </w:tcBorders>
            <w:shd w:val="clear" w:color="000000" w:fill="C4D79B"/>
            <w:vAlign w:val="bottom"/>
          </w:tcPr>
          <w:p w:rsidR="00F84D43" w:rsidRPr="00FD7376" w:rsidP="00F84D43" w14:paraId="07A81AA4"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4ADCA810" w14:textId="77777777" w:rsidTr="00F84D43">
        <w:tblPrEx>
          <w:tblW w:w="11214" w:type="dxa"/>
          <w:tblLook w:val="04A0"/>
        </w:tblPrEx>
        <w:trPr>
          <w:trHeight w:val="70"/>
        </w:trPr>
        <w:tc>
          <w:tcPr>
            <w:tcW w:w="2448" w:type="dxa"/>
            <w:tcBorders>
              <w:top w:val="nil"/>
              <w:left w:val="single" w:sz="8" w:space="0" w:color="auto"/>
              <w:bottom w:val="single" w:sz="8" w:space="0" w:color="auto"/>
              <w:right w:val="nil"/>
            </w:tcBorders>
            <w:shd w:val="clear" w:color="auto" w:fill="auto"/>
            <w:noWrap/>
            <w:vAlign w:val="bottom"/>
          </w:tcPr>
          <w:p w:rsidR="00F84D43" w:rsidRPr="00FD7376" w:rsidP="00F84D43" w14:paraId="033B4C4E" w14:textId="77777777">
            <w:pPr>
              <w:widowControl/>
              <w:rPr>
                <w:rFonts w:ascii="Calibri" w:hAnsi="Calibri"/>
                <w:snapToGrid/>
                <w:color w:val="000000"/>
                <w:kern w:val="0"/>
                <w:szCs w:val="22"/>
              </w:rPr>
            </w:pPr>
            <w:r w:rsidRPr="00FD7376">
              <w:rPr>
                <w:rFonts w:ascii="Calibri" w:hAnsi="Calibri"/>
                <w:snapToGrid/>
                <w:color w:val="000000"/>
                <w:kern w:val="0"/>
                <w:szCs w:val="22"/>
              </w:rPr>
              <w:t>Ka Band (satellite)</w:t>
            </w:r>
          </w:p>
        </w:tc>
        <w:tc>
          <w:tcPr>
            <w:tcW w:w="1980" w:type="dxa"/>
            <w:tcBorders>
              <w:top w:val="nil"/>
              <w:left w:val="single" w:sz="8" w:space="0" w:color="auto"/>
              <w:bottom w:val="single" w:sz="8" w:space="0" w:color="auto"/>
              <w:right w:val="single" w:sz="4" w:space="0" w:color="auto"/>
            </w:tcBorders>
            <w:shd w:val="clear" w:color="000000" w:fill="DDD9C4"/>
            <w:vAlign w:val="bottom"/>
          </w:tcPr>
          <w:p w:rsidR="00F84D43" w:rsidRPr="00FD7376" w:rsidP="00F84D43" w14:paraId="14EB0F7A"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27,500-30,000</w:t>
            </w:r>
          </w:p>
        </w:tc>
        <w:tc>
          <w:tcPr>
            <w:tcW w:w="2222" w:type="dxa"/>
            <w:tcBorders>
              <w:top w:val="nil"/>
              <w:left w:val="nil"/>
              <w:bottom w:val="single" w:sz="8" w:space="0" w:color="auto"/>
              <w:right w:val="single" w:sz="4" w:space="0" w:color="auto"/>
            </w:tcBorders>
            <w:shd w:val="clear" w:color="000000" w:fill="DDD9C4"/>
            <w:vAlign w:val="bottom"/>
          </w:tcPr>
          <w:p w:rsidR="00F84D43" w:rsidRPr="00FD7376" w:rsidP="00F84D43" w14:paraId="18BD653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17,700-20,200</w:t>
            </w:r>
          </w:p>
        </w:tc>
        <w:tc>
          <w:tcPr>
            <w:tcW w:w="2250" w:type="dxa"/>
            <w:tcBorders>
              <w:top w:val="nil"/>
              <w:left w:val="nil"/>
              <w:bottom w:val="single" w:sz="8" w:space="0" w:color="auto"/>
              <w:right w:val="single" w:sz="4" w:space="0" w:color="auto"/>
            </w:tcBorders>
            <w:shd w:val="clear" w:color="000000" w:fill="C4D79B"/>
            <w:vAlign w:val="bottom"/>
          </w:tcPr>
          <w:p w:rsidR="00F84D43" w:rsidRPr="00FD7376" w:rsidP="00F84D43" w14:paraId="34E0815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c>
          <w:tcPr>
            <w:tcW w:w="2314" w:type="dxa"/>
            <w:tcBorders>
              <w:top w:val="nil"/>
              <w:left w:val="nil"/>
              <w:bottom w:val="single" w:sz="8" w:space="0" w:color="auto"/>
              <w:right w:val="single" w:sz="4" w:space="0" w:color="auto"/>
            </w:tcBorders>
            <w:shd w:val="clear" w:color="000000" w:fill="C4D79B"/>
            <w:vAlign w:val="bottom"/>
          </w:tcPr>
          <w:p w:rsidR="00F84D43" w:rsidRPr="00FD7376" w:rsidP="00F84D43" w14:paraId="23CEAD57"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 </w:t>
            </w:r>
          </w:p>
        </w:tc>
      </w:tr>
      <w:tr w14:paraId="5690D56A" w14:textId="77777777" w:rsidTr="00F84D43">
        <w:tblPrEx>
          <w:tblW w:w="11214" w:type="dxa"/>
          <w:tblLook w:val="04A0"/>
        </w:tblPrEx>
        <w:trPr>
          <w:trHeight w:val="70"/>
        </w:trPr>
        <w:tc>
          <w:tcPr>
            <w:tcW w:w="2448" w:type="dxa"/>
            <w:tcBorders>
              <w:top w:val="nil"/>
              <w:left w:val="single" w:sz="8" w:space="0" w:color="auto"/>
              <w:bottom w:val="single" w:sz="8" w:space="0" w:color="auto"/>
              <w:right w:val="nil"/>
            </w:tcBorders>
            <w:shd w:val="clear" w:color="auto" w:fill="auto"/>
            <w:noWrap/>
            <w:vAlign w:val="bottom"/>
          </w:tcPr>
          <w:p w:rsidR="00F84D43" w:rsidRPr="00FD7376" w:rsidP="00F84D43" w14:paraId="0E285644" w14:textId="77777777">
            <w:pPr>
              <w:widowControl/>
              <w:rPr>
                <w:rFonts w:ascii="Calibri" w:hAnsi="Calibri"/>
                <w:snapToGrid/>
                <w:color w:val="000000"/>
                <w:kern w:val="0"/>
                <w:szCs w:val="22"/>
              </w:rPr>
            </w:pPr>
            <w:r w:rsidRPr="00FD7376">
              <w:rPr>
                <w:rFonts w:ascii="Calibri" w:hAnsi="Calibri"/>
                <w:snapToGrid/>
                <w:color w:val="000000"/>
                <w:kern w:val="0"/>
                <w:szCs w:val="22"/>
              </w:rPr>
              <w:t>V Band (satellite)</w:t>
            </w:r>
          </w:p>
        </w:tc>
        <w:tc>
          <w:tcPr>
            <w:tcW w:w="1980" w:type="dxa"/>
            <w:tcBorders>
              <w:top w:val="nil"/>
              <w:left w:val="single" w:sz="8" w:space="0" w:color="auto"/>
              <w:bottom w:val="single" w:sz="8" w:space="0" w:color="auto"/>
              <w:right w:val="single" w:sz="4" w:space="0" w:color="auto"/>
            </w:tcBorders>
            <w:shd w:val="clear" w:color="000000" w:fill="DDD9C4"/>
            <w:vAlign w:val="bottom"/>
          </w:tcPr>
          <w:p w:rsidR="00F84D43" w:rsidRPr="00FD7376" w:rsidP="00F84D43" w14:paraId="3C822A1F"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47,200-50,200</w:t>
            </w:r>
          </w:p>
          <w:p w:rsidR="00F84D43" w:rsidRPr="00FD7376" w:rsidP="00F84D43" w14:paraId="6896C2AC"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50,400-52,400</w:t>
            </w:r>
          </w:p>
        </w:tc>
        <w:tc>
          <w:tcPr>
            <w:tcW w:w="2222" w:type="dxa"/>
            <w:tcBorders>
              <w:top w:val="nil"/>
              <w:left w:val="nil"/>
              <w:bottom w:val="single" w:sz="8" w:space="0" w:color="auto"/>
              <w:right w:val="single" w:sz="4" w:space="0" w:color="auto"/>
            </w:tcBorders>
            <w:shd w:val="clear" w:color="000000" w:fill="DDD9C4"/>
            <w:vAlign w:val="bottom"/>
          </w:tcPr>
          <w:p w:rsidR="00F84D43" w:rsidRPr="00FD7376" w:rsidP="00F84D43" w14:paraId="7AB73166" w14:textId="77777777">
            <w:pPr>
              <w:widowControl/>
              <w:jc w:val="center"/>
              <w:rPr>
                <w:rFonts w:ascii="Calibri" w:hAnsi="Calibri"/>
                <w:snapToGrid/>
                <w:color w:val="000000"/>
                <w:kern w:val="0"/>
                <w:szCs w:val="22"/>
              </w:rPr>
            </w:pPr>
            <w:r w:rsidRPr="00FD7376">
              <w:rPr>
                <w:rFonts w:ascii="Calibri" w:hAnsi="Calibri"/>
                <w:snapToGrid/>
                <w:color w:val="000000"/>
                <w:kern w:val="0"/>
                <w:szCs w:val="22"/>
              </w:rPr>
              <w:t>37,500-42,000</w:t>
            </w:r>
          </w:p>
        </w:tc>
        <w:tc>
          <w:tcPr>
            <w:tcW w:w="2250" w:type="dxa"/>
            <w:tcBorders>
              <w:top w:val="nil"/>
              <w:left w:val="nil"/>
              <w:bottom w:val="single" w:sz="8" w:space="0" w:color="auto"/>
              <w:right w:val="single" w:sz="4" w:space="0" w:color="auto"/>
            </w:tcBorders>
            <w:shd w:val="clear" w:color="000000" w:fill="C4D79B"/>
            <w:vAlign w:val="bottom"/>
          </w:tcPr>
          <w:p w:rsidR="00F84D43" w:rsidRPr="00FD7376" w:rsidP="00F84D43" w14:paraId="60EF0BFD" w14:textId="77777777">
            <w:pPr>
              <w:widowControl/>
              <w:jc w:val="center"/>
              <w:rPr>
                <w:rFonts w:ascii="Calibri" w:hAnsi="Calibri"/>
                <w:snapToGrid/>
                <w:color w:val="000000"/>
                <w:kern w:val="0"/>
                <w:szCs w:val="22"/>
              </w:rPr>
            </w:pPr>
          </w:p>
        </w:tc>
        <w:tc>
          <w:tcPr>
            <w:tcW w:w="2314" w:type="dxa"/>
            <w:tcBorders>
              <w:top w:val="nil"/>
              <w:left w:val="nil"/>
              <w:bottom w:val="single" w:sz="8" w:space="0" w:color="auto"/>
              <w:right w:val="single" w:sz="4" w:space="0" w:color="auto"/>
            </w:tcBorders>
            <w:shd w:val="clear" w:color="000000" w:fill="C4D79B"/>
            <w:vAlign w:val="bottom"/>
          </w:tcPr>
          <w:p w:rsidR="00F84D43" w:rsidRPr="00FD7376" w:rsidP="00F84D43" w14:paraId="4DABE584" w14:textId="77777777">
            <w:pPr>
              <w:widowControl/>
              <w:jc w:val="center"/>
              <w:rPr>
                <w:rFonts w:ascii="Calibri" w:hAnsi="Calibri"/>
                <w:snapToGrid/>
                <w:color w:val="000000"/>
                <w:kern w:val="0"/>
                <w:szCs w:val="22"/>
              </w:rPr>
            </w:pPr>
          </w:p>
        </w:tc>
      </w:tr>
      <w:tr w14:paraId="79EBCD0E"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vAlign w:val="bottom"/>
            <w:hideMark/>
          </w:tcPr>
          <w:p w:rsidR="00F84D43" w:rsidRPr="00FD7376" w:rsidP="00F84D43" w14:paraId="0D5822E5" w14:textId="77777777">
            <w:pPr>
              <w:widowControl/>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093F6770" w14:textId="77777777">
            <w:pPr>
              <w:widowControl/>
              <w:rPr>
                <w:rFonts w:ascii="Calibri" w:hAnsi="Calibri"/>
                <w:snapToGrid/>
                <w:color w:val="000000"/>
                <w:kern w:val="0"/>
                <w:szCs w:val="22"/>
              </w:rPr>
            </w:pPr>
          </w:p>
          <w:p w:rsidR="00F84D43" w:rsidRPr="00FD7376" w:rsidP="00F84D43" w14:paraId="606FE8A9" w14:textId="77777777">
            <w:pPr>
              <w:widowControl/>
              <w:rPr>
                <w:rFonts w:ascii="Calibri" w:hAnsi="Calibri"/>
                <w:snapToGrid/>
                <w:color w:val="000000"/>
                <w:kern w:val="0"/>
                <w:szCs w:val="22"/>
              </w:rPr>
            </w:pPr>
          </w:p>
          <w:p w:rsidR="00F84D43" w:rsidRPr="00FD7376" w:rsidP="00F84D43" w14:paraId="403D8558" w14:textId="77777777">
            <w:pPr>
              <w:widowControl/>
              <w:rPr>
                <w:rFonts w:ascii="Calibri" w:hAnsi="Calibri"/>
                <w:snapToGrid/>
                <w:color w:val="000000"/>
                <w:kern w:val="0"/>
                <w:szCs w:val="22"/>
              </w:rPr>
            </w:pPr>
          </w:p>
          <w:p w:rsidR="00F84D43" w:rsidRPr="00FD7376" w:rsidP="00F84D43" w14:paraId="133154AB" w14:textId="77777777">
            <w:pPr>
              <w:widowControl/>
              <w:rPr>
                <w:rFonts w:ascii="Calibri" w:hAnsi="Calibri"/>
                <w:b/>
                <w:snapToGrid/>
                <w:color w:val="000000"/>
                <w:kern w:val="0"/>
                <w:szCs w:val="22"/>
              </w:rPr>
            </w:pPr>
            <w:r w:rsidRPr="00FD7376">
              <w:rPr>
                <w:rFonts w:ascii="Calibri" w:hAnsi="Calibri"/>
                <w:b/>
                <w:snapToGrid/>
                <w:color w:val="000000"/>
                <w:kern w:val="0"/>
                <w:szCs w:val="22"/>
              </w:rPr>
              <w:t>Abbreviations</w:t>
            </w:r>
          </w:p>
          <w:p w:rsidR="00F84D43" w:rsidRPr="00FD7376" w:rsidP="00F84D43" w14:paraId="6689D379" w14:textId="77777777">
            <w:pPr>
              <w:widowControl/>
              <w:rPr>
                <w:rFonts w:ascii="Calibri" w:hAnsi="Calibri"/>
                <w:snapToGrid/>
                <w:color w:val="000000"/>
                <w:kern w:val="0"/>
                <w:szCs w:val="22"/>
              </w:rPr>
            </w:pPr>
            <w:r w:rsidRPr="00FD7376">
              <w:rPr>
                <w:rFonts w:ascii="Calibri" w:hAnsi="Calibri"/>
                <w:snapToGrid/>
                <w:color w:val="000000"/>
                <w:kern w:val="0"/>
                <w:szCs w:val="22"/>
              </w:rPr>
              <w:t>AWS</w:t>
            </w:r>
          </w:p>
        </w:tc>
        <w:tc>
          <w:tcPr>
            <w:tcW w:w="4472" w:type="dxa"/>
            <w:gridSpan w:val="2"/>
            <w:tcBorders>
              <w:top w:val="nil"/>
              <w:left w:val="nil"/>
              <w:bottom w:val="nil"/>
              <w:right w:val="nil"/>
            </w:tcBorders>
            <w:shd w:val="clear" w:color="auto" w:fill="auto"/>
            <w:noWrap/>
            <w:hideMark/>
          </w:tcPr>
          <w:p w:rsidR="00F84D43" w:rsidRPr="00FD7376" w:rsidP="00F84D43" w14:paraId="5082C15E" w14:textId="77777777">
            <w:pPr>
              <w:widowControl/>
              <w:rPr>
                <w:rFonts w:ascii="Calibri" w:hAnsi="Calibri"/>
                <w:snapToGrid/>
                <w:color w:val="000000"/>
                <w:kern w:val="0"/>
                <w:szCs w:val="22"/>
              </w:rPr>
            </w:pPr>
          </w:p>
          <w:p w:rsidR="00F84D43" w:rsidRPr="00FD7376" w:rsidP="00F84D43" w14:paraId="43410904" w14:textId="77777777">
            <w:pPr>
              <w:widowControl/>
              <w:rPr>
                <w:rFonts w:ascii="Calibri" w:hAnsi="Calibri"/>
                <w:snapToGrid/>
                <w:color w:val="000000"/>
                <w:kern w:val="0"/>
                <w:szCs w:val="22"/>
              </w:rPr>
            </w:pPr>
          </w:p>
          <w:p w:rsidR="00F84D43" w:rsidRPr="00FD7376" w:rsidP="00F84D43" w14:paraId="3103BE70" w14:textId="77777777">
            <w:pPr>
              <w:widowControl/>
              <w:rPr>
                <w:rFonts w:ascii="Calibri" w:hAnsi="Calibri"/>
                <w:snapToGrid/>
                <w:color w:val="000000"/>
                <w:kern w:val="0"/>
                <w:szCs w:val="22"/>
              </w:rPr>
            </w:pPr>
          </w:p>
          <w:p w:rsidR="00F84D43" w:rsidRPr="00FD7376" w:rsidP="00F84D43" w14:paraId="77AD9C4F" w14:textId="77777777">
            <w:pPr>
              <w:widowControl/>
              <w:rPr>
                <w:rFonts w:ascii="Calibri" w:hAnsi="Calibri"/>
                <w:snapToGrid/>
                <w:color w:val="000000"/>
                <w:kern w:val="0"/>
                <w:szCs w:val="22"/>
              </w:rPr>
            </w:pPr>
          </w:p>
          <w:p w:rsidR="00F84D43" w:rsidRPr="00FD7376" w:rsidP="00F84D43" w14:paraId="5A5289CB" w14:textId="77777777">
            <w:pPr>
              <w:widowControl/>
              <w:rPr>
                <w:rFonts w:ascii="Calibri" w:hAnsi="Calibri"/>
                <w:snapToGrid/>
                <w:color w:val="000000"/>
                <w:kern w:val="0"/>
                <w:szCs w:val="22"/>
              </w:rPr>
            </w:pPr>
            <w:r w:rsidRPr="00FD7376">
              <w:rPr>
                <w:rFonts w:ascii="Calibri" w:hAnsi="Calibri"/>
                <w:snapToGrid/>
                <w:color w:val="000000"/>
                <w:kern w:val="0"/>
                <w:szCs w:val="22"/>
              </w:rPr>
              <w:t>Advanced Wireless Services</w:t>
            </w:r>
          </w:p>
        </w:tc>
        <w:tc>
          <w:tcPr>
            <w:tcW w:w="2314" w:type="dxa"/>
            <w:tcBorders>
              <w:top w:val="nil"/>
              <w:left w:val="nil"/>
              <w:bottom w:val="nil"/>
              <w:right w:val="nil"/>
            </w:tcBorders>
            <w:shd w:val="clear" w:color="auto" w:fill="auto"/>
            <w:vAlign w:val="bottom"/>
            <w:hideMark/>
          </w:tcPr>
          <w:p w:rsidR="00F84D43" w:rsidRPr="00FD7376" w:rsidP="00F84D43" w14:paraId="2B7D1DC5" w14:textId="77777777">
            <w:pPr>
              <w:widowControl/>
              <w:rPr>
                <w:rFonts w:ascii="Calibri" w:hAnsi="Calibri"/>
                <w:snapToGrid/>
                <w:color w:val="000000"/>
                <w:kern w:val="0"/>
                <w:szCs w:val="22"/>
              </w:rPr>
            </w:pPr>
          </w:p>
        </w:tc>
      </w:tr>
      <w:tr w14:paraId="10623BD1"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vAlign w:val="bottom"/>
            <w:hideMark/>
          </w:tcPr>
          <w:p w:rsidR="00F84D43" w:rsidRPr="00FD7376" w:rsidP="00F84D43" w14:paraId="66267EA8" w14:textId="77777777">
            <w:pPr>
              <w:widowControl/>
              <w:jc w:val="center"/>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6DD5D483" w14:textId="77777777">
            <w:pPr>
              <w:widowControl/>
              <w:rPr>
                <w:rFonts w:ascii="Calibri" w:hAnsi="Calibri"/>
                <w:snapToGrid/>
                <w:color w:val="000000"/>
                <w:kern w:val="0"/>
                <w:szCs w:val="22"/>
              </w:rPr>
            </w:pPr>
            <w:r w:rsidRPr="00FD7376">
              <w:rPr>
                <w:rFonts w:ascii="Calibri" w:hAnsi="Calibri"/>
                <w:snapToGrid/>
                <w:color w:val="000000"/>
                <w:kern w:val="0"/>
                <w:szCs w:val="22"/>
              </w:rPr>
              <w:t>BRS/EBS</w:t>
            </w:r>
          </w:p>
        </w:tc>
        <w:tc>
          <w:tcPr>
            <w:tcW w:w="6786" w:type="dxa"/>
            <w:gridSpan w:val="3"/>
            <w:tcBorders>
              <w:top w:val="nil"/>
              <w:left w:val="nil"/>
              <w:bottom w:val="nil"/>
              <w:right w:val="nil"/>
            </w:tcBorders>
            <w:shd w:val="clear" w:color="auto" w:fill="auto"/>
            <w:noWrap/>
            <w:hideMark/>
          </w:tcPr>
          <w:p w:rsidR="00F84D43" w:rsidRPr="00FD7376" w:rsidP="00F84D43" w14:paraId="3F468B7E" w14:textId="77777777">
            <w:pPr>
              <w:widowControl/>
              <w:rPr>
                <w:rFonts w:ascii="Calibri" w:hAnsi="Calibri"/>
                <w:snapToGrid/>
                <w:color w:val="000000"/>
                <w:kern w:val="0"/>
                <w:szCs w:val="22"/>
              </w:rPr>
            </w:pPr>
            <w:r w:rsidRPr="00FD7376">
              <w:rPr>
                <w:rFonts w:ascii="Calibri" w:hAnsi="Calibri"/>
                <w:snapToGrid/>
                <w:color w:val="000000"/>
                <w:kern w:val="0"/>
                <w:szCs w:val="22"/>
              </w:rPr>
              <w:t>Broadband Radio Service / Education Broadband Service</w:t>
            </w:r>
          </w:p>
        </w:tc>
      </w:tr>
      <w:tr w14:paraId="6571B2DA"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vAlign w:val="bottom"/>
            <w:hideMark/>
          </w:tcPr>
          <w:p w:rsidR="00F84D43" w:rsidRPr="00FD7376" w:rsidP="00F84D43" w14:paraId="239D68A4" w14:textId="77777777">
            <w:pPr>
              <w:widowControl/>
              <w:rPr>
                <w:rFonts w:ascii="Calibri" w:hAnsi="Calibri"/>
                <w:snapToGrid/>
                <w:color w:val="000000"/>
                <w:kern w:val="0"/>
                <w:szCs w:val="22"/>
              </w:rPr>
            </w:pPr>
          </w:p>
        </w:tc>
        <w:tc>
          <w:tcPr>
            <w:tcW w:w="1980" w:type="dxa"/>
            <w:tcBorders>
              <w:top w:val="nil"/>
              <w:left w:val="nil"/>
              <w:bottom w:val="nil"/>
              <w:right w:val="nil"/>
            </w:tcBorders>
            <w:shd w:val="clear" w:color="auto" w:fill="auto"/>
            <w:noWrap/>
            <w:hideMark/>
          </w:tcPr>
          <w:p w:rsidR="00F84D43" w:rsidRPr="00FD7376" w:rsidP="00F84D43" w14:paraId="68C41964" w14:textId="77777777">
            <w:pPr>
              <w:widowControl/>
              <w:rPr>
                <w:rFonts w:ascii="Calibri" w:hAnsi="Calibri"/>
                <w:snapToGrid/>
                <w:color w:val="000000"/>
                <w:kern w:val="0"/>
                <w:szCs w:val="22"/>
              </w:rPr>
            </w:pPr>
            <w:r w:rsidRPr="00FD7376">
              <w:rPr>
                <w:rFonts w:ascii="Calibri" w:hAnsi="Calibri"/>
                <w:snapToGrid/>
                <w:color w:val="000000"/>
                <w:kern w:val="0"/>
                <w:szCs w:val="22"/>
              </w:rPr>
              <w:t>CBRS</w:t>
            </w:r>
          </w:p>
        </w:tc>
        <w:tc>
          <w:tcPr>
            <w:tcW w:w="4472" w:type="dxa"/>
            <w:gridSpan w:val="2"/>
            <w:tcBorders>
              <w:top w:val="nil"/>
              <w:left w:val="nil"/>
              <w:bottom w:val="nil"/>
              <w:right w:val="nil"/>
            </w:tcBorders>
            <w:shd w:val="clear" w:color="auto" w:fill="auto"/>
            <w:noWrap/>
            <w:hideMark/>
          </w:tcPr>
          <w:p w:rsidR="00F84D43" w:rsidRPr="00FD7376" w:rsidP="00F84D43" w14:paraId="460F0BE9" w14:textId="77777777">
            <w:pPr>
              <w:widowControl/>
              <w:rPr>
                <w:rFonts w:ascii="Calibri" w:hAnsi="Calibri"/>
                <w:snapToGrid/>
                <w:color w:val="000000"/>
                <w:kern w:val="0"/>
                <w:szCs w:val="22"/>
              </w:rPr>
            </w:pPr>
            <w:r w:rsidRPr="00FD7376">
              <w:rPr>
                <w:rFonts w:ascii="Calibri" w:hAnsi="Calibri"/>
                <w:snapToGrid/>
                <w:color w:val="000000"/>
                <w:kern w:val="0"/>
                <w:szCs w:val="22"/>
              </w:rPr>
              <w:t>Citizens Broadband Radio Service</w:t>
            </w:r>
          </w:p>
        </w:tc>
        <w:tc>
          <w:tcPr>
            <w:tcW w:w="2314" w:type="dxa"/>
            <w:tcBorders>
              <w:top w:val="nil"/>
              <w:left w:val="nil"/>
              <w:bottom w:val="nil"/>
              <w:right w:val="nil"/>
            </w:tcBorders>
            <w:shd w:val="clear" w:color="auto" w:fill="auto"/>
            <w:vAlign w:val="bottom"/>
            <w:hideMark/>
          </w:tcPr>
          <w:p w:rsidR="00F84D43" w:rsidRPr="00FD7376" w:rsidP="00F84D43" w14:paraId="4A48C9C7" w14:textId="77777777">
            <w:pPr>
              <w:widowControl/>
              <w:rPr>
                <w:rFonts w:ascii="Calibri" w:hAnsi="Calibri"/>
                <w:snapToGrid/>
                <w:color w:val="000000"/>
                <w:kern w:val="0"/>
                <w:szCs w:val="22"/>
              </w:rPr>
            </w:pPr>
          </w:p>
        </w:tc>
      </w:tr>
      <w:tr w14:paraId="4DFDEC54"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vAlign w:val="bottom"/>
            <w:hideMark/>
          </w:tcPr>
          <w:p w:rsidR="00F84D43" w:rsidRPr="00FD7376" w:rsidP="00F84D43" w14:paraId="55E7540C" w14:textId="77777777">
            <w:pPr>
              <w:widowControl/>
              <w:jc w:val="center"/>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26903E0E" w14:textId="77777777">
            <w:pPr>
              <w:widowControl/>
              <w:rPr>
                <w:rFonts w:ascii="Calibri" w:hAnsi="Calibri"/>
                <w:snapToGrid/>
                <w:color w:val="000000"/>
                <w:kern w:val="0"/>
                <w:szCs w:val="22"/>
              </w:rPr>
            </w:pPr>
            <w:r w:rsidRPr="00FD7376">
              <w:rPr>
                <w:rFonts w:ascii="Calibri" w:hAnsi="Calibri"/>
                <w:snapToGrid/>
                <w:color w:val="000000"/>
                <w:kern w:val="0"/>
                <w:szCs w:val="22"/>
              </w:rPr>
              <w:t>PCS</w:t>
            </w:r>
          </w:p>
        </w:tc>
        <w:tc>
          <w:tcPr>
            <w:tcW w:w="4472" w:type="dxa"/>
            <w:gridSpan w:val="2"/>
            <w:tcBorders>
              <w:top w:val="nil"/>
              <w:left w:val="nil"/>
              <w:bottom w:val="nil"/>
              <w:right w:val="nil"/>
            </w:tcBorders>
            <w:shd w:val="clear" w:color="auto" w:fill="auto"/>
            <w:noWrap/>
            <w:hideMark/>
          </w:tcPr>
          <w:p w:rsidR="00F84D43" w:rsidRPr="00FD7376" w:rsidP="00F84D43" w14:paraId="06A975EF" w14:textId="77777777">
            <w:pPr>
              <w:widowControl/>
              <w:rPr>
                <w:rFonts w:ascii="Calibri" w:hAnsi="Calibri"/>
                <w:snapToGrid/>
                <w:color w:val="000000"/>
                <w:kern w:val="0"/>
                <w:szCs w:val="22"/>
              </w:rPr>
            </w:pPr>
            <w:r w:rsidRPr="00FD7376">
              <w:rPr>
                <w:rFonts w:ascii="Calibri" w:hAnsi="Calibri"/>
                <w:snapToGrid/>
                <w:color w:val="000000"/>
                <w:kern w:val="0"/>
                <w:szCs w:val="22"/>
              </w:rPr>
              <w:t>Personal Communications Service</w:t>
            </w:r>
          </w:p>
        </w:tc>
        <w:tc>
          <w:tcPr>
            <w:tcW w:w="2314" w:type="dxa"/>
            <w:tcBorders>
              <w:top w:val="nil"/>
              <w:left w:val="nil"/>
              <w:bottom w:val="nil"/>
              <w:right w:val="nil"/>
            </w:tcBorders>
            <w:shd w:val="clear" w:color="auto" w:fill="auto"/>
            <w:vAlign w:val="bottom"/>
            <w:hideMark/>
          </w:tcPr>
          <w:p w:rsidR="00F84D43" w:rsidRPr="00FD7376" w:rsidP="00F84D43" w14:paraId="2E1DF2F2" w14:textId="77777777">
            <w:pPr>
              <w:widowControl/>
              <w:rPr>
                <w:rFonts w:ascii="Calibri" w:hAnsi="Calibri"/>
                <w:snapToGrid/>
                <w:color w:val="000000"/>
                <w:kern w:val="0"/>
                <w:szCs w:val="22"/>
              </w:rPr>
            </w:pPr>
          </w:p>
        </w:tc>
      </w:tr>
      <w:tr w14:paraId="1D422562"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vAlign w:val="bottom"/>
            <w:hideMark/>
          </w:tcPr>
          <w:p w:rsidR="00F84D43" w:rsidRPr="00FD7376" w:rsidP="00F84D43" w14:paraId="2160381F" w14:textId="77777777">
            <w:pPr>
              <w:widowControl/>
              <w:jc w:val="center"/>
              <w:rPr>
                <w:snapToGrid/>
                <w:kern w:val="0"/>
                <w:sz w:val="20"/>
              </w:rPr>
            </w:pPr>
          </w:p>
        </w:tc>
        <w:tc>
          <w:tcPr>
            <w:tcW w:w="1980" w:type="dxa"/>
            <w:tcBorders>
              <w:top w:val="nil"/>
              <w:left w:val="nil"/>
              <w:bottom w:val="nil"/>
              <w:right w:val="nil"/>
            </w:tcBorders>
            <w:shd w:val="clear" w:color="auto" w:fill="auto"/>
            <w:noWrap/>
            <w:vAlign w:val="bottom"/>
            <w:hideMark/>
          </w:tcPr>
          <w:p w:rsidR="00F84D43" w:rsidRPr="00FD7376" w:rsidP="00F84D43" w14:paraId="0355BC6E" w14:textId="77777777">
            <w:pPr>
              <w:widowControl/>
              <w:rPr>
                <w:rFonts w:ascii="Calibri" w:hAnsi="Calibri"/>
                <w:snapToGrid/>
                <w:color w:val="000000"/>
                <w:kern w:val="0"/>
                <w:szCs w:val="22"/>
              </w:rPr>
            </w:pPr>
            <w:r w:rsidRPr="00FD7376">
              <w:rPr>
                <w:rFonts w:ascii="Calibri" w:hAnsi="Calibri"/>
                <w:snapToGrid/>
                <w:color w:val="000000"/>
                <w:kern w:val="0"/>
                <w:szCs w:val="22"/>
              </w:rPr>
              <w:t>SMR</w:t>
            </w:r>
          </w:p>
          <w:p w:rsidR="00F84D43" w:rsidRPr="00FD7376" w:rsidP="00F84D43" w14:paraId="0B2A8029" w14:textId="77777777">
            <w:pPr>
              <w:widowControl/>
              <w:rPr>
                <w:rFonts w:ascii="Calibri" w:hAnsi="Calibri"/>
                <w:snapToGrid/>
                <w:color w:val="000000"/>
                <w:kern w:val="0"/>
                <w:szCs w:val="22"/>
              </w:rPr>
            </w:pPr>
            <w:r w:rsidRPr="00FD7376">
              <w:rPr>
                <w:rFonts w:ascii="Calibri" w:hAnsi="Calibri"/>
                <w:snapToGrid/>
                <w:color w:val="000000"/>
                <w:kern w:val="0"/>
                <w:szCs w:val="22"/>
              </w:rPr>
              <w:t>UMFUS</w:t>
            </w:r>
          </w:p>
        </w:tc>
        <w:tc>
          <w:tcPr>
            <w:tcW w:w="4472" w:type="dxa"/>
            <w:gridSpan w:val="2"/>
            <w:tcBorders>
              <w:top w:val="nil"/>
              <w:left w:val="nil"/>
              <w:bottom w:val="nil"/>
              <w:right w:val="nil"/>
            </w:tcBorders>
            <w:shd w:val="clear" w:color="auto" w:fill="auto"/>
            <w:noWrap/>
            <w:hideMark/>
          </w:tcPr>
          <w:p w:rsidR="00F84D43" w:rsidRPr="00FD7376" w:rsidP="00F84D43" w14:paraId="78836135" w14:textId="77777777">
            <w:pPr>
              <w:widowControl/>
              <w:rPr>
                <w:rFonts w:ascii="Calibri" w:hAnsi="Calibri"/>
                <w:snapToGrid/>
                <w:color w:val="000000"/>
                <w:kern w:val="0"/>
                <w:szCs w:val="22"/>
              </w:rPr>
            </w:pPr>
            <w:r w:rsidRPr="00FD7376">
              <w:rPr>
                <w:rFonts w:ascii="Calibri" w:hAnsi="Calibri"/>
                <w:snapToGrid/>
                <w:color w:val="000000"/>
                <w:kern w:val="0"/>
                <w:szCs w:val="22"/>
              </w:rPr>
              <w:t>Specialized Mobile Radio</w:t>
            </w:r>
          </w:p>
          <w:p w:rsidR="00F84D43" w:rsidRPr="00FD7376" w:rsidP="00F84D43" w14:paraId="633536EC" w14:textId="77777777">
            <w:pPr>
              <w:widowControl/>
              <w:rPr>
                <w:rFonts w:ascii="Calibri" w:hAnsi="Calibri"/>
                <w:snapToGrid/>
                <w:color w:val="000000"/>
                <w:kern w:val="0"/>
                <w:szCs w:val="22"/>
              </w:rPr>
            </w:pPr>
            <w:r w:rsidRPr="00FD7376">
              <w:rPr>
                <w:rFonts w:ascii="Calibri" w:hAnsi="Calibri"/>
                <w:snapToGrid/>
                <w:color w:val="000000"/>
                <w:kern w:val="0"/>
                <w:szCs w:val="22"/>
              </w:rPr>
              <w:t>Upper Microwave Flexible Use Service</w:t>
            </w:r>
          </w:p>
        </w:tc>
        <w:tc>
          <w:tcPr>
            <w:tcW w:w="2314" w:type="dxa"/>
            <w:tcBorders>
              <w:top w:val="nil"/>
              <w:left w:val="nil"/>
              <w:bottom w:val="nil"/>
              <w:right w:val="nil"/>
            </w:tcBorders>
            <w:shd w:val="clear" w:color="auto" w:fill="auto"/>
            <w:vAlign w:val="bottom"/>
            <w:hideMark/>
          </w:tcPr>
          <w:p w:rsidR="00F84D43" w:rsidRPr="00FD7376" w:rsidP="00F84D43" w14:paraId="0B88E191" w14:textId="77777777">
            <w:pPr>
              <w:widowControl/>
              <w:rPr>
                <w:rFonts w:ascii="Calibri" w:hAnsi="Calibri"/>
                <w:snapToGrid/>
                <w:color w:val="000000"/>
                <w:kern w:val="0"/>
                <w:szCs w:val="22"/>
              </w:rPr>
            </w:pPr>
          </w:p>
        </w:tc>
      </w:tr>
      <w:tr w14:paraId="00114C31"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hideMark/>
          </w:tcPr>
          <w:p w:rsidR="00F84D43" w:rsidRPr="00FD7376" w:rsidP="00F84D43" w14:paraId="0DA0F2CD" w14:textId="77777777">
            <w:pPr>
              <w:widowControl/>
              <w:jc w:val="center"/>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728F5FE9" w14:textId="77777777">
            <w:pPr>
              <w:widowControl/>
              <w:rPr>
                <w:rFonts w:ascii="Calibri" w:hAnsi="Calibri"/>
                <w:snapToGrid/>
                <w:color w:val="000000"/>
                <w:kern w:val="0"/>
                <w:szCs w:val="22"/>
              </w:rPr>
            </w:pPr>
            <w:r w:rsidRPr="00FD7376">
              <w:rPr>
                <w:rFonts w:ascii="Calibri" w:hAnsi="Calibri"/>
                <w:snapToGrid/>
                <w:color w:val="000000"/>
                <w:kern w:val="0"/>
                <w:szCs w:val="22"/>
              </w:rPr>
              <w:t>WCS</w:t>
            </w:r>
          </w:p>
        </w:tc>
        <w:tc>
          <w:tcPr>
            <w:tcW w:w="4472" w:type="dxa"/>
            <w:gridSpan w:val="2"/>
            <w:tcBorders>
              <w:top w:val="nil"/>
              <w:left w:val="nil"/>
              <w:bottom w:val="nil"/>
              <w:right w:val="nil"/>
            </w:tcBorders>
            <w:shd w:val="clear" w:color="auto" w:fill="auto"/>
            <w:noWrap/>
            <w:hideMark/>
          </w:tcPr>
          <w:p w:rsidR="00F84D43" w:rsidRPr="00FD7376" w:rsidP="00F84D43" w14:paraId="015F6BC1" w14:textId="77777777">
            <w:pPr>
              <w:widowControl/>
              <w:rPr>
                <w:rFonts w:ascii="Calibri" w:hAnsi="Calibri"/>
                <w:snapToGrid/>
                <w:color w:val="000000"/>
                <w:kern w:val="0"/>
                <w:szCs w:val="22"/>
              </w:rPr>
            </w:pPr>
            <w:r w:rsidRPr="00FD7376">
              <w:rPr>
                <w:rFonts w:ascii="Calibri" w:hAnsi="Calibri"/>
                <w:snapToGrid/>
                <w:color w:val="000000"/>
                <w:kern w:val="0"/>
                <w:szCs w:val="22"/>
              </w:rPr>
              <w:t>Wireless Communications Service</w:t>
            </w:r>
          </w:p>
        </w:tc>
        <w:tc>
          <w:tcPr>
            <w:tcW w:w="2314" w:type="dxa"/>
            <w:tcBorders>
              <w:top w:val="nil"/>
              <w:left w:val="nil"/>
              <w:bottom w:val="nil"/>
              <w:right w:val="nil"/>
            </w:tcBorders>
            <w:shd w:val="clear" w:color="auto" w:fill="auto"/>
            <w:vAlign w:val="bottom"/>
            <w:hideMark/>
          </w:tcPr>
          <w:p w:rsidR="00F84D43" w:rsidRPr="00FD7376" w:rsidP="00F84D43" w14:paraId="44B57333" w14:textId="77777777">
            <w:pPr>
              <w:widowControl/>
              <w:rPr>
                <w:rFonts w:ascii="Calibri" w:hAnsi="Calibri"/>
                <w:snapToGrid/>
                <w:color w:val="000000"/>
                <w:kern w:val="0"/>
                <w:szCs w:val="22"/>
              </w:rPr>
            </w:pPr>
          </w:p>
        </w:tc>
      </w:tr>
      <w:tr w14:paraId="620431B8"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hideMark/>
          </w:tcPr>
          <w:p w:rsidR="00F84D43" w:rsidRPr="00FD7376" w:rsidP="00F84D43" w14:paraId="32A49884" w14:textId="77777777">
            <w:pPr>
              <w:widowControl/>
              <w:jc w:val="center"/>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6F7BD9F1" w14:textId="77777777">
            <w:pPr>
              <w:widowControl/>
              <w:rPr>
                <w:snapToGrid/>
                <w:kern w:val="0"/>
                <w:sz w:val="20"/>
              </w:rPr>
            </w:pPr>
          </w:p>
        </w:tc>
        <w:tc>
          <w:tcPr>
            <w:tcW w:w="2222" w:type="dxa"/>
            <w:tcBorders>
              <w:top w:val="nil"/>
              <w:left w:val="nil"/>
              <w:bottom w:val="nil"/>
              <w:right w:val="nil"/>
            </w:tcBorders>
            <w:shd w:val="clear" w:color="auto" w:fill="auto"/>
            <w:noWrap/>
            <w:hideMark/>
          </w:tcPr>
          <w:p w:rsidR="00F84D43" w:rsidRPr="00FD7376" w:rsidP="00F84D43" w14:paraId="7D64DFCB" w14:textId="77777777">
            <w:pPr>
              <w:widowControl/>
              <w:rPr>
                <w:snapToGrid/>
                <w:kern w:val="0"/>
                <w:sz w:val="20"/>
              </w:rPr>
            </w:pPr>
          </w:p>
        </w:tc>
        <w:tc>
          <w:tcPr>
            <w:tcW w:w="2250" w:type="dxa"/>
            <w:tcBorders>
              <w:top w:val="nil"/>
              <w:left w:val="nil"/>
              <w:bottom w:val="nil"/>
              <w:right w:val="nil"/>
            </w:tcBorders>
            <w:shd w:val="clear" w:color="auto" w:fill="auto"/>
            <w:vAlign w:val="bottom"/>
            <w:hideMark/>
          </w:tcPr>
          <w:p w:rsidR="00F84D43" w:rsidRPr="00FD7376" w:rsidP="00F84D43" w14:paraId="21EA68A8" w14:textId="77777777">
            <w:pPr>
              <w:widowControl/>
              <w:rPr>
                <w:snapToGrid/>
                <w:kern w:val="0"/>
                <w:sz w:val="20"/>
              </w:rPr>
            </w:pPr>
          </w:p>
        </w:tc>
        <w:tc>
          <w:tcPr>
            <w:tcW w:w="2314" w:type="dxa"/>
            <w:tcBorders>
              <w:top w:val="nil"/>
              <w:left w:val="nil"/>
              <w:bottom w:val="nil"/>
              <w:right w:val="nil"/>
            </w:tcBorders>
            <w:shd w:val="clear" w:color="auto" w:fill="auto"/>
            <w:vAlign w:val="bottom"/>
            <w:hideMark/>
          </w:tcPr>
          <w:p w:rsidR="00F84D43" w:rsidRPr="00FD7376" w:rsidP="00F84D43" w14:paraId="38BDBCE3" w14:textId="77777777">
            <w:pPr>
              <w:widowControl/>
              <w:jc w:val="center"/>
              <w:rPr>
                <w:snapToGrid/>
                <w:kern w:val="0"/>
                <w:sz w:val="20"/>
              </w:rPr>
            </w:pPr>
          </w:p>
        </w:tc>
      </w:tr>
      <w:tr w14:paraId="5C26D927"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hideMark/>
          </w:tcPr>
          <w:p w:rsidR="00F84D43" w:rsidRPr="00FD7376" w:rsidP="00F84D43" w14:paraId="55F45734" w14:textId="77777777">
            <w:pPr>
              <w:widowControl/>
              <w:jc w:val="center"/>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19C24D4B" w14:textId="77777777">
            <w:pPr>
              <w:widowControl/>
              <w:rPr>
                <w:snapToGrid/>
                <w:kern w:val="0"/>
                <w:sz w:val="20"/>
              </w:rPr>
            </w:pPr>
          </w:p>
        </w:tc>
        <w:tc>
          <w:tcPr>
            <w:tcW w:w="2222" w:type="dxa"/>
            <w:tcBorders>
              <w:top w:val="nil"/>
              <w:left w:val="nil"/>
              <w:bottom w:val="nil"/>
              <w:right w:val="nil"/>
            </w:tcBorders>
            <w:shd w:val="clear" w:color="auto" w:fill="auto"/>
            <w:hideMark/>
          </w:tcPr>
          <w:p w:rsidR="00F84D43" w:rsidRPr="00FD7376" w:rsidP="00F84D43" w14:paraId="4E1C0332" w14:textId="77777777">
            <w:pPr>
              <w:widowControl/>
              <w:rPr>
                <w:snapToGrid/>
                <w:kern w:val="0"/>
                <w:sz w:val="20"/>
              </w:rPr>
            </w:pPr>
          </w:p>
        </w:tc>
        <w:tc>
          <w:tcPr>
            <w:tcW w:w="2250" w:type="dxa"/>
            <w:tcBorders>
              <w:top w:val="nil"/>
              <w:left w:val="nil"/>
              <w:bottom w:val="nil"/>
              <w:right w:val="nil"/>
            </w:tcBorders>
            <w:shd w:val="clear" w:color="auto" w:fill="auto"/>
            <w:vAlign w:val="bottom"/>
            <w:hideMark/>
          </w:tcPr>
          <w:p w:rsidR="00F84D43" w:rsidRPr="00FD7376" w:rsidP="00F84D43" w14:paraId="23B383E9" w14:textId="77777777">
            <w:pPr>
              <w:widowControl/>
              <w:rPr>
                <w:snapToGrid/>
                <w:kern w:val="0"/>
                <w:sz w:val="20"/>
              </w:rPr>
            </w:pPr>
          </w:p>
        </w:tc>
        <w:tc>
          <w:tcPr>
            <w:tcW w:w="2314" w:type="dxa"/>
            <w:tcBorders>
              <w:top w:val="nil"/>
              <w:left w:val="nil"/>
              <w:bottom w:val="nil"/>
              <w:right w:val="nil"/>
            </w:tcBorders>
            <w:shd w:val="clear" w:color="auto" w:fill="auto"/>
            <w:vAlign w:val="bottom"/>
            <w:hideMark/>
          </w:tcPr>
          <w:p w:rsidR="00F84D43" w:rsidRPr="00FD7376" w:rsidP="00F84D43" w14:paraId="38D846F4" w14:textId="77777777">
            <w:pPr>
              <w:widowControl/>
              <w:jc w:val="center"/>
              <w:rPr>
                <w:snapToGrid/>
                <w:kern w:val="0"/>
                <w:sz w:val="20"/>
              </w:rPr>
            </w:pPr>
          </w:p>
        </w:tc>
      </w:tr>
      <w:tr w14:paraId="0B23DDA7" w14:textId="77777777" w:rsidTr="00F84D43">
        <w:tblPrEx>
          <w:tblW w:w="11214" w:type="dxa"/>
          <w:tblLook w:val="04A0"/>
        </w:tblPrEx>
        <w:trPr>
          <w:trHeight w:val="300"/>
        </w:trPr>
        <w:tc>
          <w:tcPr>
            <w:tcW w:w="2448" w:type="dxa"/>
            <w:tcBorders>
              <w:top w:val="nil"/>
              <w:left w:val="nil"/>
              <w:bottom w:val="nil"/>
              <w:right w:val="nil"/>
            </w:tcBorders>
            <w:shd w:val="clear" w:color="auto" w:fill="auto"/>
            <w:noWrap/>
            <w:hideMark/>
          </w:tcPr>
          <w:p w:rsidR="00F84D43" w:rsidRPr="00FD7376" w:rsidP="00F84D43" w14:paraId="59659731" w14:textId="77777777">
            <w:pPr>
              <w:widowControl/>
              <w:jc w:val="center"/>
              <w:rPr>
                <w:snapToGrid/>
                <w:kern w:val="0"/>
                <w:sz w:val="20"/>
              </w:rPr>
            </w:pPr>
          </w:p>
        </w:tc>
        <w:tc>
          <w:tcPr>
            <w:tcW w:w="1980" w:type="dxa"/>
            <w:tcBorders>
              <w:top w:val="nil"/>
              <w:left w:val="nil"/>
              <w:bottom w:val="nil"/>
              <w:right w:val="nil"/>
            </w:tcBorders>
            <w:shd w:val="clear" w:color="auto" w:fill="auto"/>
            <w:noWrap/>
            <w:hideMark/>
          </w:tcPr>
          <w:p w:rsidR="00F84D43" w:rsidRPr="00FD7376" w:rsidP="00F84D43" w14:paraId="29660D77" w14:textId="77777777">
            <w:pPr>
              <w:widowControl/>
              <w:rPr>
                <w:snapToGrid/>
                <w:kern w:val="0"/>
                <w:sz w:val="20"/>
              </w:rPr>
            </w:pPr>
          </w:p>
        </w:tc>
        <w:tc>
          <w:tcPr>
            <w:tcW w:w="2222" w:type="dxa"/>
            <w:tcBorders>
              <w:top w:val="nil"/>
              <w:left w:val="nil"/>
              <w:bottom w:val="nil"/>
              <w:right w:val="nil"/>
            </w:tcBorders>
            <w:shd w:val="clear" w:color="auto" w:fill="auto"/>
            <w:hideMark/>
          </w:tcPr>
          <w:p w:rsidR="00F84D43" w:rsidRPr="00FD7376" w:rsidP="00F84D43" w14:paraId="4B1F5FD4" w14:textId="77777777">
            <w:pPr>
              <w:widowControl/>
              <w:rPr>
                <w:snapToGrid/>
                <w:kern w:val="0"/>
                <w:sz w:val="20"/>
              </w:rPr>
            </w:pPr>
          </w:p>
        </w:tc>
        <w:tc>
          <w:tcPr>
            <w:tcW w:w="2250" w:type="dxa"/>
            <w:tcBorders>
              <w:top w:val="nil"/>
              <w:left w:val="nil"/>
              <w:bottom w:val="nil"/>
              <w:right w:val="nil"/>
            </w:tcBorders>
            <w:shd w:val="clear" w:color="auto" w:fill="auto"/>
            <w:vAlign w:val="bottom"/>
            <w:hideMark/>
          </w:tcPr>
          <w:p w:rsidR="00F84D43" w:rsidRPr="00FD7376" w:rsidP="00F84D43" w14:paraId="0DAC1A71" w14:textId="77777777">
            <w:pPr>
              <w:widowControl/>
              <w:rPr>
                <w:snapToGrid/>
                <w:kern w:val="0"/>
                <w:sz w:val="20"/>
              </w:rPr>
            </w:pPr>
          </w:p>
        </w:tc>
        <w:tc>
          <w:tcPr>
            <w:tcW w:w="2314" w:type="dxa"/>
            <w:tcBorders>
              <w:top w:val="nil"/>
              <w:left w:val="nil"/>
              <w:bottom w:val="nil"/>
              <w:right w:val="nil"/>
            </w:tcBorders>
            <w:shd w:val="clear" w:color="auto" w:fill="auto"/>
            <w:vAlign w:val="bottom"/>
            <w:hideMark/>
          </w:tcPr>
          <w:p w:rsidR="00F84D43" w:rsidRPr="00FD7376" w:rsidP="00F84D43" w14:paraId="1E7F0D09" w14:textId="77777777">
            <w:pPr>
              <w:widowControl/>
              <w:jc w:val="center"/>
              <w:rPr>
                <w:snapToGrid/>
                <w:kern w:val="0"/>
                <w:sz w:val="20"/>
              </w:rPr>
            </w:pPr>
          </w:p>
        </w:tc>
      </w:tr>
      <w:bookmarkEnd w:id="2168"/>
    </w:tbl>
    <w:p w:rsidR="004D23C1" w:rsidP="00691C2B" w14:paraId="07381B4E" w14:textId="290647DF">
      <w:pPr>
        <w:pStyle w:val="ParaNum"/>
        <w:numPr>
          <w:ilvl w:val="0"/>
          <w:numId w:val="0"/>
        </w:numPr>
        <w:jc w:val="center"/>
        <w:rPr>
          <w:b/>
          <w:szCs w:val="22"/>
        </w:rPr>
      </w:pPr>
    </w:p>
    <w:p w:rsidR="00FD7376" w:rsidRPr="00FD7376" w:rsidP="00FD7376" w14:paraId="06C54F1A" w14:textId="77777777">
      <w:pPr>
        <w:widowControl/>
        <w:spacing w:after="200" w:line="276" w:lineRule="auto"/>
        <w:rPr>
          <w:rFonts w:ascii="Calibri" w:eastAsia="Calibri" w:hAnsi="Calibri"/>
          <w:snapToGrid/>
          <w:kern w:val="0"/>
          <w:szCs w:val="22"/>
        </w:rPr>
      </w:pPr>
    </w:p>
    <w:p w:rsidR="00FD7376" w:rsidRPr="00691C2B" w:rsidP="00691C2B" w14:paraId="7FD49B78" w14:textId="77777777">
      <w:pPr>
        <w:pStyle w:val="ParaNum"/>
        <w:numPr>
          <w:ilvl w:val="0"/>
          <w:numId w:val="0"/>
        </w:numPr>
        <w:jc w:val="center"/>
        <w:rPr>
          <w:b/>
          <w:szCs w:val="22"/>
        </w:rPr>
      </w:pPr>
    </w:p>
    <w:p w:rsidR="00691C2B" w:rsidRPr="00691C2B" w:rsidP="00341C81" w14:paraId="20F2C1C1" w14:textId="77777777">
      <w:pPr>
        <w:pStyle w:val="ParaNum"/>
        <w:numPr>
          <w:ilvl w:val="0"/>
          <w:numId w:val="0"/>
        </w:numPr>
        <w:rPr>
          <w:b/>
          <w:szCs w:val="22"/>
        </w:rPr>
      </w:pPr>
    </w:p>
    <w:p w:rsidR="00D85C31" w:rsidP="00571492" w14:paraId="14621B00" w14:textId="4933F13D">
      <w:pPr>
        <w:pStyle w:val="ParaNum"/>
        <w:numPr>
          <w:ilvl w:val="0"/>
          <w:numId w:val="0"/>
        </w:numPr>
        <w:jc w:val="center"/>
        <w:rPr>
          <w:b/>
        </w:rPr>
      </w:pPr>
      <w:r w:rsidRPr="00691C2B">
        <w:rPr>
          <w:b/>
          <w:szCs w:val="22"/>
        </w:rPr>
        <w:br w:type="page"/>
      </w:r>
      <w:r>
        <w:rPr>
          <w:b/>
        </w:rPr>
        <w:t xml:space="preserve">APPENDIX </w:t>
      </w:r>
      <w:r w:rsidR="00F84D43">
        <w:rPr>
          <w:b/>
        </w:rPr>
        <w:t>B</w:t>
      </w:r>
    </w:p>
    <w:p w:rsidR="00571492" w:rsidRPr="00D122B6" w:rsidP="00571492" w14:paraId="2B35F56B" w14:textId="77777777">
      <w:pPr>
        <w:widowControl/>
        <w:jc w:val="center"/>
      </w:pPr>
      <w:bookmarkStart w:id="2169" w:name="_Toc309379803"/>
      <w:bookmarkStart w:id="2170" w:name="_Toc309380014"/>
      <w:bookmarkStart w:id="2171" w:name="_Toc309380422"/>
      <w:bookmarkStart w:id="2172" w:name="_Toc309397350"/>
      <w:bookmarkStart w:id="2173" w:name="_Toc390434347"/>
      <w:bookmarkStart w:id="2174" w:name="_Hlk10213260"/>
      <w:r w:rsidRPr="00D122B6">
        <w:rPr>
          <w:b/>
        </w:rPr>
        <w:t>Illustrative Form of Letter Of Credit</w:t>
      </w:r>
      <w:bookmarkEnd w:id="2169"/>
      <w:bookmarkEnd w:id="2170"/>
      <w:bookmarkEnd w:id="2171"/>
      <w:bookmarkEnd w:id="2172"/>
      <w:bookmarkEnd w:id="2173"/>
    </w:p>
    <w:bookmarkEnd w:id="2174"/>
    <w:p w:rsidR="00571492" w:rsidRPr="006A11DB" w:rsidP="00571492" w14:paraId="5014D22E" w14:textId="77777777">
      <w:pPr>
        <w:widowControl/>
        <w:jc w:val="center"/>
        <w:rPr>
          <w:b/>
          <w:szCs w:val="22"/>
        </w:rPr>
      </w:pPr>
    </w:p>
    <w:p w:rsidR="00571492" w:rsidRPr="00DA4B1C" w:rsidP="00571492" w14:paraId="49D0040E" w14:textId="77777777">
      <w:pPr>
        <w:widowControl/>
        <w:jc w:val="center"/>
        <w:rPr>
          <w:b/>
          <w:szCs w:val="22"/>
        </w:rPr>
      </w:pPr>
      <w:r w:rsidRPr="00DA4B1C">
        <w:rPr>
          <w:b/>
          <w:szCs w:val="22"/>
        </w:rPr>
        <w:t>[Subject to Issuing Bank Requirements]</w:t>
      </w:r>
    </w:p>
    <w:p w:rsidR="00571492" w:rsidRPr="00DA4B1C" w:rsidP="00571492" w14:paraId="4C3862A7" w14:textId="77777777">
      <w:pPr>
        <w:widowControl/>
        <w:spacing w:after="240"/>
        <w:jc w:val="center"/>
        <w:rPr>
          <w:b/>
          <w:szCs w:val="22"/>
        </w:rPr>
      </w:pPr>
      <w:r w:rsidRPr="00DA4B1C">
        <w:rPr>
          <w:b/>
          <w:szCs w:val="22"/>
        </w:rPr>
        <w:t>No. __________</w:t>
      </w:r>
    </w:p>
    <w:p w:rsidR="00571492" w:rsidRPr="00DA4B1C" w:rsidP="00571492" w14:paraId="2A2D8B25" w14:textId="77777777">
      <w:pPr>
        <w:widowControl/>
        <w:jc w:val="center"/>
        <w:rPr>
          <w:b/>
          <w:szCs w:val="22"/>
        </w:rPr>
      </w:pPr>
    </w:p>
    <w:p w:rsidR="00571492" w:rsidRPr="00DA4B1C" w:rsidP="00571492" w14:paraId="303FC230" w14:textId="77777777">
      <w:pPr>
        <w:widowControl/>
        <w:suppressAutoHyphens/>
        <w:spacing w:after="240" w:line="240" w:lineRule="atLeast"/>
        <w:rPr>
          <w:szCs w:val="22"/>
        </w:rPr>
      </w:pPr>
      <w:r w:rsidRPr="00DA4B1C">
        <w:rPr>
          <w:szCs w:val="22"/>
        </w:rPr>
        <w:t>[Name and Address of Issuing Bank]</w:t>
      </w:r>
    </w:p>
    <w:p w:rsidR="00571492" w:rsidRPr="00DA4B1C" w:rsidP="00571492" w14:paraId="19098AAD" w14:textId="77777777">
      <w:pPr>
        <w:widowControl/>
        <w:suppressAutoHyphens/>
        <w:spacing w:after="240" w:line="240" w:lineRule="atLeast"/>
        <w:ind w:left="5760"/>
        <w:rPr>
          <w:szCs w:val="22"/>
        </w:rPr>
      </w:pPr>
      <w:r w:rsidRPr="00DA4B1C">
        <w:rPr>
          <w:szCs w:val="22"/>
        </w:rPr>
        <w:t>[Date of Issuance]</w:t>
      </w:r>
    </w:p>
    <w:p w:rsidR="00571492" w:rsidRPr="00DA4B1C" w:rsidP="00571492" w14:paraId="1E19BD28" w14:textId="77777777">
      <w:pPr>
        <w:widowControl/>
        <w:suppressAutoHyphens/>
        <w:spacing w:after="240" w:line="240" w:lineRule="atLeast"/>
        <w:ind w:left="5760"/>
        <w:rPr>
          <w:szCs w:val="22"/>
        </w:rPr>
      </w:pPr>
      <w:r w:rsidRPr="00DA4B1C">
        <w:rPr>
          <w:szCs w:val="22"/>
        </w:rPr>
        <w:t>[AMOUNT]</w:t>
      </w:r>
    </w:p>
    <w:p w:rsidR="00571492" w:rsidRPr="00DA4B1C" w:rsidP="00571492" w14:paraId="5C7A64BF" w14:textId="77777777">
      <w:pPr>
        <w:widowControl/>
        <w:suppressAutoHyphens/>
        <w:spacing w:after="240" w:line="240" w:lineRule="atLeast"/>
        <w:ind w:left="5760"/>
        <w:rPr>
          <w:szCs w:val="22"/>
        </w:rPr>
      </w:pPr>
      <w:r w:rsidRPr="00DA4B1C">
        <w:rPr>
          <w:szCs w:val="22"/>
        </w:rPr>
        <w:t>[EXPIRATION DATE]</w:t>
      </w:r>
    </w:p>
    <w:p w:rsidR="00571492" w:rsidRPr="00D122B6" w:rsidP="00571492" w14:paraId="5E77DC96" w14:textId="77777777">
      <w:pPr>
        <w:widowControl/>
      </w:pPr>
      <w:r w:rsidRPr="00D122B6">
        <w:t>BENEFICIARY</w:t>
      </w:r>
    </w:p>
    <w:p w:rsidR="00571492" w:rsidRPr="00DA4B1C" w:rsidP="00571492" w14:paraId="3756413B" w14:textId="77777777">
      <w:pPr>
        <w:pStyle w:val="BlockText"/>
        <w:widowControl/>
        <w:ind w:left="0"/>
        <w:rPr>
          <w:szCs w:val="22"/>
        </w:rPr>
      </w:pPr>
      <w:r w:rsidRPr="00DA4B1C">
        <w:rPr>
          <w:szCs w:val="22"/>
        </w:rPr>
        <w:t>[USAC]</w:t>
      </w:r>
    </w:p>
    <w:p w:rsidR="00571492" w:rsidRPr="00DA4B1C" w:rsidP="00571492" w14:paraId="03114D01" w14:textId="77777777">
      <w:pPr>
        <w:pStyle w:val="BlockText"/>
        <w:widowControl/>
        <w:ind w:left="0"/>
        <w:rPr>
          <w:szCs w:val="22"/>
        </w:rPr>
      </w:pPr>
      <w:r w:rsidRPr="00DA4B1C">
        <w:rPr>
          <w:szCs w:val="22"/>
        </w:rPr>
        <w:t>[Address]</w:t>
      </w:r>
    </w:p>
    <w:p w:rsidR="00571492" w:rsidRPr="00D122B6" w:rsidP="00571492" w14:paraId="49C3C74D" w14:textId="77777777">
      <w:pPr>
        <w:widowControl/>
      </w:pPr>
    </w:p>
    <w:p w:rsidR="00571492" w:rsidRPr="00C54716" w:rsidP="00571492" w14:paraId="76C1A7B1" w14:textId="77777777">
      <w:pPr>
        <w:widowControl/>
        <w:rPr>
          <w:szCs w:val="22"/>
        </w:rPr>
      </w:pPr>
      <w:r w:rsidRPr="006A11DB">
        <w:rPr>
          <w:szCs w:val="22"/>
        </w:rPr>
        <w:t>LETTER OF CREDIT PROVIDER</w:t>
      </w:r>
    </w:p>
    <w:p w:rsidR="00571492" w:rsidRPr="00DA4B1C" w:rsidP="00571492" w14:paraId="7E4B3685" w14:textId="77777777">
      <w:pPr>
        <w:pStyle w:val="BlockText"/>
        <w:widowControl/>
        <w:ind w:left="0"/>
        <w:rPr>
          <w:szCs w:val="22"/>
        </w:rPr>
      </w:pPr>
      <w:r w:rsidRPr="00DA4B1C">
        <w:rPr>
          <w:szCs w:val="22"/>
        </w:rPr>
        <w:t>[Winning Bidder Name]</w:t>
      </w:r>
    </w:p>
    <w:p w:rsidR="00571492" w:rsidRPr="00DA4B1C" w:rsidP="00571492" w14:paraId="26778B06" w14:textId="77777777">
      <w:pPr>
        <w:pStyle w:val="BlockText"/>
        <w:widowControl/>
        <w:ind w:left="0"/>
        <w:rPr>
          <w:szCs w:val="22"/>
        </w:rPr>
      </w:pPr>
      <w:r w:rsidRPr="00DA4B1C">
        <w:rPr>
          <w:szCs w:val="22"/>
        </w:rPr>
        <w:t>[Address]</w:t>
      </w:r>
    </w:p>
    <w:p w:rsidR="00571492" w:rsidRPr="00D122B6" w:rsidP="00571492" w14:paraId="531D1EA6" w14:textId="77777777">
      <w:pPr>
        <w:widowControl/>
      </w:pPr>
    </w:p>
    <w:p w:rsidR="00571492" w:rsidRPr="00D122B6" w:rsidP="00571492" w14:paraId="1F2DAC5C" w14:textId="77777777">
      <w:pPr>
        <w:pStyle w:val="BlockText"/>
        <w:widowControl/>
        <w:ind w:hanging="1440"/>
      </w:pPr>
      <w:r w:rsidRPr="00DA4B1C">
        <w:rPr>
          <w:szCs w:val="22"/>
        </w:rPr>
        <w:t>Ladies and Gentlemen:</w:t>
      </w:r>
    </w:p>
    <w:p w:rsidR="00571492" w:rsidRPr="00F224BB" w:rsidP="00571492" w14:paraId="363A0809" w14:textId="77777777">
      <w:pPr>
        <w:pStyle w:val="BodyText"/>
        <w:widowControl/>
        <w:rPr>
          <w:szCs w:val="22"/>
        </w:rPr>
      </w:pPr>
      <w:r w:rsidRPr="006A11DB">
        <w:rPr>
          <w:szCs w:val="22"/>
        </w:rPr>
        <w:t xml:space="preserve">We hereby establish, at the request and for the account of [Winning </w:t>
      </w:r>
      <w:r w:rsidRPr="00C54716">
        <w:rPr>
          <w:szCs w:val="22"/>
        </w:rPr>
        <w:t>Applicant], in your favor, as required under the Report and Order, adopted on</w:t>
      </w:r>
      <w:r w:rsidRPr="000B2B69">
        <w:rPr>
          <w:szCs w:val="22"/>
        </w:rPr>
        <w:t xml:space="preserve"> </w:t>
      </w:r>
      <w:r w:rsidRPr="002A46A9">
        <w:rPr>
          <w:szCs w:val="22"/>
        </w:rPr>
        <w:t>[</w:t>
      </w:r>
      <w:r w:rsidRPr="001D698B">
        <w:rPr>
          <w:szCs w:val="22"/>
        </w:rPr>
        <w:t>June XX, 2019]</w:t>
      </w:r>
      <w:r w:rsidRPr="003819A1">
        <w:rPr>
          <w:szCs w:val="22"/>
        </w:rPr>
        <w:t>,</w:t>
      </w:r>
      <w:r w:rsidRPr="00136B94">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The Uniendo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4E42BA">
        <w:rPr>
          <w:szCs w:val="22"/>
        </w:rPr>
        <w:t>] (the “Order”), our Irrevocable Standby Letter of Credit No. _________, in the amount of [State amount of Letter of Credit in words and figures</w:t>
      </w:r>
      <w:r w:rsidRPr="008D0A3A">
        <w:rPr>
          <w:szCs w:val="22"/>
        </w:rPr>
        <w:t>.  NOTE: The amount of the Letter of Credit shall increase/additional letter(s) of credit shall be issued as additional funds are disbursed pursuant to the terms of the Order], expiring at the close of banking business at our office described in the follow</w:t>
      </w:r>
      <w:r w:rsidRPr="00AF0FDC">
        <w:rPr>
          <w:szCs w:val="22"/>
        </w:rPr>
        <w:t>ing paragraph, on [the date which is ___ years from the date of issuance/</w:t>
      </w:r>
      <w:r w:rsidRPr="00ED7961">
        <w:rPr>
          <w:szCs w:val="22"/>
        </w:rPr>
        <w:t xml:space="preserve"> or the date which is one year from the date of issuance, provided the Issuing Bank includes an evergreen clause that provides for automatic renewal unless the Issuing Bank gives noti</w:t>
      </w:r>
      <w:r w:rsidRPr="005A030F">
        <w:rPr>
          <w:szCs w:val="22"/>
        </w:rPr>
        <w:t>ce of non-renewal to USAC by a nationally recognized overnight delivery service, with a copy to the FCC, at least sixty days but not more than 90 days prior to the expiry thereof], or such earlier date as the Letter of Credit is terminated by [USAC] (the “</w:t>
      </w:r>
      <w:r w:rsidRPr="00E322FA">
        <w:rPr>
          <w:szCs w:val="22"/>
          <w:u w:val="single"/>
        </w:rPr>
        <w:t>Expiration Date</w:t>
      </w:r>
      <w:r w:rsidRPr="00124D1E">
        <w:rPr>
          <w:szCs w:val="22"/>
        </w:rPr>
        <w:t xml:space="preserve">”).  Capitalized terms used herein but not defined herein </w:t>
      </w:r>
      <w:r w:rsidRPr="00E80AE0">
        <w:rPr>
          <w:szCs w:val="22"/>
        </w:rPr>
        <w:t>shall have the meanings accorded such terms in the Order.</w:t>
      </w:r>
    </w:p>
    <w:p w:rsidR="00571492" w:rsidRPr="00270D27" w:rsidP="00571492" w14:paraId="6B53071A" w14:textId="77777777">
      <w:pPr>
        <w:pStyle w:val="BodyText"/>
        <w:widowControl/>
        <w:rPr>
          <w:szCs w:val="22"/>
        </w:rPr>
      </w:pPr>
      <w:r w:rsidRPr="00647845">
        <w:rPr>
          <w:szCs w:val="22"/>
        </w:rPr>
        <w:t>Funds under this Letter of Credit are available to you against your draft in the form attached hereto as Annex A, drawn on our office described below, and referring thereon to the number of this Let</w:t>
      </w:r>
      <w:r w:rsidRPr="00DC53CD">
        <w:rPr>
          <w:szCs w:val="22"/>
        </w:rPr>
        <w:t>ter of Credit, accompanied by your written and completed certificate signed by you substantially in the form of Annex B attached hereto.  Such draft and certificates shall be dated th</w:t>
      </w:r>
      <w:r w:rsidRPr="00626F62">
        <w:rPr>
          <w:szCs w:val="22"/>
        </w:rPr>
        <w:t>e date of presentation or an earlier date, which presentation shall be made at our office located at [BANK ADDRESS] and shall be effected either by personal delivery or delivery by a nationally recognized overnight delivery service.  We hereby commit and a</w:t>
      </w:r>
      <w:r w:rsidRPr="00056175">
        <w:rPr>
          <w:szCs w:val="22"/>
        </w:rPr>
        <w:t>gree to accept such presentation at such office, and if such presentation</w:t>
      </w:r>
      <w:r w:rsidRPr="002F6C13">
        <w:rPr>
          <w:szCs w:val="22"/>
        </w:rPr>
        <w:t xml:space="preserve"> of documents appears on its face to comply with the terms and conditions of this Letter of Credit, on or prior to the Expiration Date, we will honor the same not later than the first</w:t>
      </w:r>
      <w:r w:rsidRPr="00FD263E">
        <w:rPr>
          <w:szCs w:val="22"/>
        </w:rPr>
        <w:t xml:space="preserve">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571492" w:rsidRPr="0046356B" w:rsidP="00571492" w14:paraId="6B44555F" w14:textId="77777777">
      <w:pPr>
        <w:pStyle w:val="BodyText"/>
        <w:widowControl/>
        <w:rPr>
          <w:szCs w:val="22"/>
        </w:rPr>
      </w:pPr>
      <w:r w:rsidRPr="00270D27">
        <w:rPr>
          <w:szCs w:val="22"/>
        </w:rPr>
        <w:t>Partial drawings are not permitted under this Letter of Credit. This Letter of Credit is not transferable or assignable in whole or in par</w:t>
      </w:r>
      <w:r w:rsidRPr="0046356B">
        <w:rPr>
          <w:szCs w:val="22"/>
        </w:rPr>
        <w:t>t.</w:t>
      </w:r>
    </w:p>
    <w:p w:rsidR="00571492" w:rsidRPr="0054268F" w:rsidP="00571492" w14:paraId="378C1120" w14:textId="77777777">
      <w:pPr>
        <w:pStyle w:val="BodyText"/>
        <w:widowControl/>
        <w:rPr>
          <w:szCs w:val="22"/>
        </w:rPr>
      </w:pPr>
      <w:r w:rsidRPr="00FC6062">
        <w:rPr>
          <w:szCs w:val="22"/>
        </w:rPr>
        <w:t>This Letter of Credit shall be canceled and terminated upon receipt by us of the [USAC’s] certificate purportedly signed by two authorized representatives of [USAC] in the form attached as Annex C.</w:t>
      </w:r>
    </w:p>
    <w:p w:rsidR="00571492" w:rsidRPr="00F35FFC" w:rsidP="00571492" w14:paraId="1379DCF5" w14:textId="77777777">
      <w:pPr>
        <w:pStyle w:val="BodyText"/>
        <w:widowControl/>
        <w:rPr>
          <w:szCs w:val="22"/>
        </w:rPr>
      </w:pPr>
      <w:r w:rsidRPr="0054268F">
        <w:rPr>
          <w:szCs w:val="22"/>
        </w:rPr>
        <w:t>This Letter of Credit sets forth in full the undertakin</w:t>
      </w:r>
      <w:r w:rsidRPr="00774E8E">
        <w:rPr>
          <w:szCs w:val="22"/>
        </w:rPr>
        <w:t>g of the Issuer, and such undertaking shall not in any way be modified, amended, amplified or limited by reference to any document, instrument or agreement referred to herein, except only the certificates and the drafts referred to herein and the ISP (as d</w:t>
      </w:r>
      <w:r w:rsidRPr="00F35FFC">
        <w:rPr>
          <w:szCs w:val="22"/>
        </w:rPr>
        <w:t>efined below); and any such reference shall not be deemed to incorporate herein by reference any document, instrument or agreement except for such certificates and such drafts and the ISP.</w:t>
      </w:r>
    </w:p>
    <w:p w:rsidR="00571492" w:rsidRPr="00E33E11" w:rsidP="00571492" w14:paraId="451E5ECC" w14:textId="77777777">
      <w:pPr>
        <w:pStyle w:val="BodyText"/>
        <w:widowControl/>
        <w:rPr>
          <w:szCs w:val="22"/>
        </w:rPr>
      </w:pPr>
      <w:r w:rsidRPr="00B35990">
        <w:rPr>
          <w:szCs w:val="22"/>
        </w:rPr>
        <w:t>This Letter of Credit shall be subject to, governed by, and constru</w:t>
      </w:r>
      <w:r w:rsidRPr="00CD5104">
        <w:rPr>
          <w:szCs w:val="22"/>
        </w:rPr>
        <w:t>ed in accordance with, the International Standby Practices 1998, International Chamber of Commerce Publication No. 590 (the “</w:t>
      </w:r>
      <w:r w:rsidRPr="00946B27">
        <w:rPr>
          <w:szCs w:val="22"/>
          <w:u w:val="single"/>
        </w:rPr>
        <w:t>ISP</w:t>
      </w:r>
      <w:r w:rsidRPr="00946B27">
        <w:rPr>
          <w:szCs w:val="22"/>
        </w:rPr>
        <w:t xml:space="preserve">”),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w:t>
      </w:r>
      <w:r w:rsidRPr="00E33E11">
        <w:rPr>
          <w:szCs w:val="22"/>
        </w:rPr>
        <w:t>number of this Letter of Credit.</w:t>
      </w:r>
    </w:p>
    <w:p w:rsidR="00571492" w:rsidRPr="00314128" w:rsidP="00571492" w14:paraId="39279000" w14:textId="77777777">
      <w:pPr>
        <w:pStyle w:val="BodyText"/>
        <w:widowControl/>
        <w:rPr>
          <w:szCs w:val="22"/>
        </w:rPr>
      </w:pPr>
    </w:p>
    <w:p w:rsidR="00571492" w:rsidRPr="00300B1C" w:rsidP="00571492" w14:paraId="3DCC2C50" w14:textId="77777777">
      <w:pPr>
        <w:pStyle w:val="BodyText"/>
        <w:widowControl/>
        <w:jc w:val="center"/>
        <w:rPr>
          <w:szCs w:val="22"/>
        </w:rPr>
      </w:pPr>
      <w:r w:rsidRPr="00300B1C">
        <w:rPr>
          <w:szCs w:val="22"/>
        </w:rPr>
        <w:t>[NAME OF BANK]</w:t>
      </w:r>
    </w:p>
    <w:p w:rsidR="00571492" w:rsidRPr="00DD3D2E" w:rsidP="00571492" w14:paraId="5CCCCA82" w14:textId="77777777">
      <w:pPr>
        <w:jc w:val="center"/>
        <w:rPr>
          <w:szCs w:val="22"/>
        </w:rPr>
      </w:pPr>
      <w:r w:rsidRPr="00DD3D2E">
        <w:rPr>
          <w:szCs w:val="22"/>
        </w:rPr>
        <w:t>[BANK SIGNATURE]</w:t>
      </w:r>
    </w:p>
    <w:p w:rsidR="00571492" w:rsidRPr="00D122B6" w:rsidP="00571492" w14:paraId="3781C813" w14:textId="77777777">
      <w:pPr>
        <w:widowControl/>
        <w:jc w:val="center"/>
        <w:rPr>
          <w:szCs w:val="22"/>
          <w:u w:val="single"/>
        </w:rPr>
      </w:pPr>
      <w:r>
        <w:br w:type="page"/>
      </w:r>
      <w:r w:rsidRPr="00D122B6">
        <w:rPr>
          <w:szCs w:val="22"/>
          <w:u w:val="single"/>
        </w:rPr>
        <w:t>ANNEX A</w:t>
      </w:r>
    </w:p>
    <w:p w:rsidR="00571492" w:rsidRPr="00D122B6" w:rsidP="00571492" w14:paraId="08E55B7F" w14:textId="77777777">
      <w:pPr>
        <w:widowControl/>
        <w:jc w:val="center"/>
        <w:rPr>
          <w:szCs w:val="22"/>
          <w:u w:val="single"/>
        </w:rPr>
      </w:pPr>
    </w:p>
    <w:p w:rsidR="00571492" w:rsidRPr="00D122B6" w:rsidP="00571492" w14:paraId="61F3BB66" w14:textId="77777777">
      <w:pPr>
        <w:widowControl/>
        <w:spacing w:after="240"/>
        <w:jc w:val="center"/>
        <w:rPr>
          <w:szCs w:val="22"/>
          <w:u w:val="single"/>
        </w:rPr>
      </w:pPr>
      <w:r w:rsidRPr="00D122B6">
        <w:rPr>
          <w:szCs w:val="22"/>
          <w:u w:val="single"/>
        </w:rPr>
        <w:t>Form of Draft</w:t>
      </w:r>
    </w:p>
    <w:p w:rsidR="00571492" w:rsidRPr="00D122B6" w:rsidP="00571492" w14:paraId="5E6934F5" w14:textId="77777777">
      <w:pPr>
        <w:widowControl/>
        <w:spacing w:after="240"/>
        <w:ind w:left="720"/>
        <w:rPr>
          <w:szCs w:val="22"/>
        </w:rPr>
      </w:pPr>
      <w:r w:rsidRPr="00D122B6">
        <w:rPr>
          <w:szCs w:val="22"/>
        </w:rPr>
        <w:t>To:  [Issuing Bank]</w:t>
      </w:r>
    </w:p>
    <w:p w:rsidR="00571492" w:rsidRPr="00D122B6" w:rsidP="00571492" w14:paraId="05219358" w14:textId="77777777">
      <w:pPr>
        <w:widowControl/>
        <w:spacing w:after="240"/>
        <w:ind w:left="720"/>
        <w:rPr>
          <w:szCs w:val="22"/>
        </w:rPr>
      </w:pPr>
      <w:r w:rsidRPr="00D122B6">
        <w:rPr>
          <w:szCs w:val="22"/>
        </w:rPr>
        <w:t>DRAWN ON LETTER OF CREDIT No: ______________</w:t>
      </w:r>
    </w:p>
    <w:p w:rsidR="00571492" w:rsidRPr="00D122B6" w:rsidP="00571492" w14:paraId="741E3F81" w14:textId="77777777">
      <w:pPr>
        <w:widowControl/>
        <w:spacing w:after="240"/>
        <w:ind w:left="720"/>
        <w:rPr>
          <w:szCs w:val="22"/>
        </w:rPr>
      </w:pPr>
      <w:r w:rsidRPr="00D122B6">
        <w:rPr>
          <w:szCs w:val="22"/>
        </w:rPr>
        <w:t>AT SIGHT</w:t>
      </w:r>
    </w:p>
    <w:p w:rsidR="00571492" w:rsidRPr="00D122B6" w:rsidP="00571492" w14:paraId="47771BF8" w14:textId="77777777">
      <w:pPr>
        <w:widowControl/>
        <w:spacing w:after="120" w:line="480" w:lineRule="auto"/>
        <w:ind w:left="1440"/>
        <w:rPr>
          <w:szCs w:val="22"/>
        </w:rPr>
      </w:pPr>
      <w:r w:rsidRPr="00D122B6">
        <w:rPr>
          <w:szCs w:val="22"/>
        </w:rPr>
        <w:t>PAY TO THE ORDER OF [USAC] BY [CHECK/WIRE TRANSFER OF FEDERAL RESERVE BANK OF NEW YORK]</w:t>
      </w:r>
    </w:p>
    <w:p w:rsidR="00571492" w:rsidRPr="00D122B6" w:rsidP="00571492" w14:paraId="3F78C658" w14:textId="77777777">
      <w:pPr>
        <w:widowControl/>
        <w:spacing w:after="240"/>
        <w:ind w:left="1440"/>
        <w:rPr>
          <w:szCs w:val="22"/>
        </w:rPr>
      </w:pPr>
      <w:r w:rsidRPr="00D122B6">
        <w:rPr>
          <w:szCs w:val="22"/>
        </w:rPr>
        <w:t>FUNDS TO:</w:t>
      </w:r>
      <w:r w:rsidRPr="00D122B6">
        <w:rPr>
          <w:szCs w:val="22"/>
        </w:rPr>
        <w:tab/>
        <w:t>_____________</w:t>
      </w:r>
    </w:p>
    <w:p w:rsidR="00571492" w:rsidRPr="00D122B6" w:rsidP="00571492" w14:paraId="175E023A" w14:textId="77777777">
      <w:pPr>
        <w:widowControl/>
        <w:spacing w:after="240"/>
        <w:ind w:left="1440"/>
        <w:rPr>
          <w:szCs w:val="22"/>
        </w:rPr>
      </w:pPr>
      <w:r w:rsidRPr="00D122B6">
        <w:rPr>
          <w:szCs w:val="22"/>
        </w:rPr>
        <w:tab/>
      </w:r>
      <w:r w:rsidRPr="00D122B6">
        <w:rPr>
          <w:szCs w:val="22"/>
        </w:rPr>
        <w:tab/>
        <w:t>_______________</w:t>
      </w:r>
    </w:p>
    <w:p w:rsidR="00571492" w:rsidRPr="00D122B6" w:rsidP="00571492" w14:paraId="0C881FE6" w14:textId="77777777">
      <w:pPr>
        <w:widowControl/>
        <w:spacing w:after="240"/>
        <w:ind w:left="1440"/>
        <w:rPr>
          <w:szCs w:val="22"/>
        </w:rPr>
      </w:pPr>
      <w:r w:rsidRPr="00D122B6">
        <w:rPr>
          <w:szCs w:val="22"/>
        </w:rPr>
        <w:tab/>
      </w:r>
      <w:r w:rsidRPr="00D122B6">
        <w:rPr>
          <w:szCs w:val="22"/>
        </w:rPr>
        <w:tab/>
        <w:t>_______________</w:t>
      </w:r>
    </w:p>
    <w:p w:rsidR="00571492" w:rsidRPr="00D122B6" w:rsidP="00571492" w14:paraId="5D3C7034" w14:textId="77777777">
      <w:pPr>
        <w:widowControl/>
        <w:spacing w:after="240"/>
        <w:ind w:left="1440"/>
        <w:rPr>
          <w:szCs w:val="22"/>
        </w:rPr>
      </w:pPr>
      <w:r w:rsidRPr="00D122B6">
        <w:rPr>
          <w:szCs w:val="22"/>
        </w:rPr>
        <w:tab/>
        <w:t xml:space="preserve">            Account (__________________________)</w:t>
      </w:r>
    </w:p>
    <w:p w:rsidR="00571492" w:rsidRPr="00D122B6" w:rsidP="00571492" w14:paraId="72A956D3" w14:textId="77777777">
      <w:pPr>
        <w:widowControl/>
        <w:spacing w:after="240"/>
        <w:ind w:left="1440"/>
        <w:rPr>
          <w:szCs w:val="22"/>
        </w:rPr>
      </w:pPr>
      <w:r w:rsidRPr="00D122B6">
        <w:rPr>
          <w:szCs w:val="22"/>
        </w:rPr>
        <w:tab/>
      </w:r>
      <w:r w:rsidRPr="00D122B6">
        <w:rPr>
          <w:szCs w:val="22"/>
        </w:rPr>
        <w:tab/>
        <w:t>AS [</w:t>
      </w:r>
      <w:r>
        <w:rPr>
          <w:szCs w:val="22"/>
        </w:rPr>
        <w:t>UNIENDO A PUERTO RICO FUND OR CONNECT USVI FUND</w:t>
      </w:r>
      <w:r w:rsidRPr="00D122B6">
        <w:rPr>
          <w:szCs w:val="22"/>
        </w:rPr>
        <w:t xml:space="preserve"> REPAYMENT] </w:t>
      </w:r>
    </w:p>
    <w:p w:rsidR="00571492" w:rsidRPr="00D122B6" w:rsidP="00571492" w14:paraId="6574D7FB" w14:textId="77777777">
      <w:pPr>
        <w:widowControl/>
        <w:spacing w:after="240"/>
        <w:ind w:left="1440"/>
        <w:rPr>
          <w:szCs w:val="22"/>
        </w:rPr>
      </w:pPr>
      <w:r w:rsidRPr="00D122B6">
        <w:rPr>
          <w:szCs w:val="22"/>
        </w:rPr>
        <w:t>[AMOUNT IN WORDS] DOLLARS AND NO/CENTS</w:t>
      </w:r>
    </w:p>
    <w:p w:rsidR="00571492" w:rsidRPr="00D122B6" w:rsidP="00571492" w14:paraId="4E8EB7C9" w14:textId="77777777">
      <w:pPr>
        <w:widowControl/>
        <w:spacing w:after="240"/>
        <w:ind w:left="1440"/>
        <w:rPr>
          <w:szCs w:val="22"/>
        </w:rPr>
      </w:pPr>
      <w:r w:rsidRPr="00D122B6">
        <w:rPr>
          <w:szCs w:val="22"/>
        </w:rPr>
        <w:t>$[AMOUNT IN NUMBERS]</w:t>
      </w:r>
    </w:p>
    <w:p w:rsidR="00571492" w:rsidRPr="00D122B6" w:rsidP="00571492" w14:paraId="542D80AC" w14:textId="77777777">
      <w:pPr>
        <w:widowControl/>
        <w:spacing w:after="480"/>
        <w:ind w:left="4320"/>
        <w:rPr>
          <w:szCs w:val="22"/>
        </w:rPr>
      </w:pPr>
      <w:r w:rsidRPr="00D122B6">
        <w:rPr>
          <w:szCs w:val="22"/>
        </w:rPr>
        <w:t>Universal Service Administrative Company</w:t>
      </w:r>
    </w:p>
    <w:p w:rsidR="00571492" w:rsidP="00571492" w14:paraId="70AE1A7A" w14:textId="77777777">
      <w:pPr>
        <w:jc w:val="center"/>
        <w:rPr>
          <w:szCs w:val="22"/>
        </w:rPr>
      </w:pPr>
      <w:r w:rsidRPr="00D122B6">
        <w:rPr>
          <w:szCs w:val="22"/>
        </w:rPr>
        <w:t>By:________________________________</w:t>
      </w:r>
    </w:p>
    <w:p w:rsidR="00571492" w:rsidP="00571492" w14:paraId="623AABE9" w14:textId="77777777">
      <w:pPr>
        <w:ind w:left="3600" w:firstLine="720"/>
        <w:rPr>
          <w:szCs w:val="22"/>
        </w:rPr>
      </w:pPr>
      <w:r w:rsidRPr="00D122B6">
        <w:rPr>
          <w:szCs w:val="22"/>
        </w:rPr>
        <w:t>Name:</w:t>
      </w:r>
    </w:p>
    <w:p w:rsidR="00571492" w:rsidP="00571492" w14:paraId="7FE1F191" w14:textId="77777777">
      <w:pPr>
        <w:ind w:left="4320"/>
        <w:rPr>
          <w:szCs w:val="22"/>
        </w:rPr>
      </w:pPr>
      <w:r w:rsidRPr="00D122B6">
        <w:rPr>
          <w:szCs w:val="22"/>
        </w:rPr>
        <w:t>Title:</w:t>
      </w:r>
    </w:p>
    <w:p w:rsidR="00571492" w:rsidRPr="00D122B6" w:rsidP="00571492" w14:paraId="19FD4568" w14:textId="77777777">
      <w:pPr>
        <w:widowControl/>
        <w:jc w:val="center"/>
        <w:rPr>
          <w:szCs w:val="22"/>
          <w:u w:val="single"/>
        </w:rPr>
      </w:pPr>
      <w:r>
        <w:br w:type="page"/>
      </w:r>
      <w:r w:rsidRPr="00D122B6">
        <w:rPr>
          <w:szCs w:val="22"/>
          <w:u w:val="single"/>
        </w:rPr>
        <w:t>ANNEX B</w:t>
      </w:r>
    </w:p>
    <w:p w:rsidR="00571492" w:rsidRPr="00D122B6" w:rsidP="00571492" w14:paraId="245C78D4" w14:textId="77777777">
      <w:pPr>
        <w:widowControl/>
        <w:jc w:val="center"/>
        <w:rPr>
          <w:szCs w:val="22"/>
          <w:u w:val="single"/>
        </w:rPr>
      </w:pPr>
    </w:p>
    <w:p w:rsidR="00571492" w:rsidRPr="00D122B6" w:rsidP="00571492" w14:paraId="0A9432E3" w14:textId="77777777">
      <w:pPr>
        <w:widowControl/>
        <w:spacing w:after="240"/>
        <w:jc w:val="center"/>
        <w:rPr>
          <w:szCs w:val="22"/>
          <w:u w:val="single"/>
        </w:rPr>
      </w:pPr>
      <w:r w:rsidRPr="00D122B6">
        <w:rPr>
          <w:szCs w:val="22"/>
          <w:u w:val="single"/>
        </w:rPr>
        <w:t>Draw Certificate</w:t>
      </w:r>
    </w:p>
    <w:p w:rsidR="00571492" w:rsidRPr="00D122B6" w:rsidP="00571492" w14:paraId="7270E815" w14:textId="77777777">
      <w:pPr>
        <w:widowControl/>
        <w:ind w:left="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Report and Order, adopted on </w:t>
      </w:r>
      <w:r>
        <w:rPr>
          <w:szCs w:val="22"/>
        </w:rPr>
        <w:t>[June XX, 2019],</w:t>
      </w:r>
      <w:r w:rsidRPr="00D122B6">
        <w:rPr>
          <w:szCs w:val="22"/>
        </w:rPr>
        <w:t xml:space="preserve"> issued by the Federal Communications Commission in the matter of [</w:t>
      </w:r>
      <w:r w:rsidRPr="00975ABE">
        <w:rPr>
          <w:szCs w:val="22"/>
        </w:rPr>
        <w:t>Connect America Fund, WC Docket 10-90</w:t>
      </w:r>
      <w:r>
        <w:rPr>
          <w:szCs w:val="22"/>
        </w:rPr>
        <w:t>,</w:t>
      </w:r>
      <w:r w:rsidRPr="002927D5">
        <w:rPr>
          <w:szCs w:val="22"/>
        </w:rPr>
        <w:t xml:space="preserve"> </w:t>
      </w:r>
      <w:r w:rsidRPr="00992868">
        <w:rPr>
          <w:szCs w:val="22"/>
        </w:rPr>
        <w:t>The Uniendo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pursuant to which [Name of Winning Bidder]  (the “LC Provider”) has provided the Letter of Credit (all capitalized terms used herein but not defined herein having the meaning stated in the Order), that: </w:t>
      </w:r>
    </w:p>
    <w:p w:rsidR="00571492" w:rsidRPr="00D122B6" w:rsidP="00571492" w14:paraId="7084619E" w14:textId="77777777">
      <w:pPr>
        <w:pStyle w:val="BodyTextIndent2"/>
        <w:widowControl/>
        <w:spacing w:line="240" w:lineRule="auto"/>
        <w:rPr>
          <w:szCs w:val="22"/>
        </w:rPr>
      </w:pPr>
    </w:p>
    <w:p w:rsidR="00571492" w:rsidRPr="00D122B6" w:rsidP="00571492" w14:paraId="21A1CB22" w14:textId="77777777">
      <w:pPr>
        <w:widowControl/>
        <w:ind w:left="720"/>
        <w:rPr>
          <w:szCs w:val="22"/>
        </w:rPr>
      </w:pPr>
      <w:bookmarkStart w:id="2175" w:name="_Toc78177628"/>
      <w:bookmarkStart w:id="2176" w:name="_Toc78195404"/>
      <w:bookmarkStart w:id="2177" w:name="_Toc78718116"/>
      <w:bookmarkStart w:id="2178" w:name="_Toc78796459"/>
      <w:bookmarkStart w:id="2179" w:name="_Toc78939155"/>
      <w:bookmarkStart w:id="2180" w:name="_Toc78970097"/>
      <w:bookmarkStart w:id="2181" w:name="_Toc79499248"/>
      <w:bookmarkStart w:id="2182" w:name="_Toc79910968"/>
      <w:bookmarkStart w:id="2183" w:name="_Toc91421801"/>
      <w:bookmarkStart w:id="2184" w:name="_Toc91490322"/>
      <w:bookmarkStart w:id="2185" w:name="_Toc91491238"/>
      <w:r w:rsidRPr="00D122B6">
        <w:t xml:space="preserve">[The [Name of Winning </w:t>
      </w:r>
      <w:r>
        <w:t>Applicant</w:t>
      </w:r>
      <w:r w:rsidRPr="00D122B6">
        <w:t>] has [describe the event that triggers the draw],</w:t>
      </w:r>
      <w:r>
        <w:t xml:space="preserve"> </w:t>
      </w:r>
      <w:r w:rsidRPr="00D122B6">
        <w:t xml:space="preserve">and is </w:t>
      </w:r>
      <w:r w:rsidRPr="00B936AD">
        <w:rPr>
          <w:szCs w:val="22"/>
        </w:rPr>
        <w:t>evidenced</w:t>
      </w:r>
      <w:r w:rsidRPr="00D122B6">
        <w:t xml:space="preserve"> by a letter signed by the Chief of the [Wireline Competition Bureau] or [his/her] designee, dated _       , 20__ , a true copy of which is attached hereto.]  Accordingly, a draw of the entire amount of the Letter of Credit No. _______ is authorized.]  </w:t>
      </w:r>
      <w:bookmarkEnd w:id="2175"/>
      <w:bookmarkEnd w:id="2176"/>
      <w:bookmarkEnd w:id="2177"/>
      <w:bookmarkEnd w:id="2178"/>
      <w:bookmarkEnd w:id="2179"/>
      <w:bookmarkEnd w:id="2180"/>
      <w:bookmarkEnd w:id="2181"/>
      <w:bookmarkEnd w:id="2182"/>
      <w:bookmarkEnd w:id="2183"/>
      <w:bookmarkEnd w:id="2184"/>
      <w:bookmarkEnd w:id="2185"/>
    </w:p>
    <w:p w:rsidR="00571492" w:rsidRPr="00D122B6" w:rsidP="00571492" w14:paraId="56FA9E02" w14:textId="77777777">
      <w:pPr>
        <w:widowControl/>
        <w:rPr>
          <w:b/>
          <w:szCs w:val="22"/>
        </w:rPr>
      </w:pPr>
      <w:r w:rsidRPr="00D122B6">
        <w:rPr>
          <w:szCs w:val="22"/>
        </w:rPr>
        <w:tab/>
      </w:r>
    </w:p>
    <w:p w:rsidR="00571492" w:rsidRPr="00D122B6" w:rsidP="00571492" w14:paraId="678C9794" w14:textId="77777777">
      <w:pPr>
        <w:widowControl/>
        <w:rPr>
          <w:szCs w:val="22"/>
        </w:rPr>
      </w:pPr>
    </w:p>
    <w:p w:rsidR="00571492" w:rsidRPr="00D122B6" w:rsidP="00571492" w14:paraId="179FF557" w14:textId="77777777">
      <w:pPr>
        <w:widowControl/>
        <w:rPr>
          <w:szCs w:val="22"/>
        </w:rPr>
      </w:pPr>
    </w:p>
    <w:p w:rsidR="00571492" w:rsidRPr="00D122B6" w:rsidP="00571492" w14:paraId="6E93C5A5" w14:textId="77777777">
      <w:pPr>
        <w:widowControl/>
        <w:rPr>
          <w:szCs w:val="22"/>
        </w:rPr>
      </w:pPr>
      <w:r w:rsidRPr="00D122B6">
        <w:rPr>
          <w:szCs w:val="22"/>
        </w:rPr>
        <w:tab/>
        <w:t>OR</w:t>
      </w:r>
    </w:p>
    <w:p w:rsidR="00571492" w:rsidRPr="00D122B6" w:rsidP="00571492" w14:paraId="3612503D" w14:textId="77777777">
      <w:pPr>
        <w:widowControl/>
        <w:rPr>
          <w:szCs w:val="22"/>
        </w:rPr>
      </w:pPr>
    </w:p>
    <w:p w:rsidR="00571492" w:rsidRPr="00D122B6" w:rsidP="00571492" w14:paraId="779D1364" w14:textId="77777777">
      <w:pPr>
        <w:widowControl/>
        <w:ind w:left="720"/>
        <w:rPr>
          <w:szCs w:val="22"/>
        </w:rPr>
      </w:pPr>
      <w:r w:rsidRPr="00D122B6">
        <w:rPr>
          <w:szCs w:val="22"/>
        </w:rPr>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D122B6">
        <w:rPr>
          <w:szCs w:val="22"/>
        </w:rPr>
        <w:br/>
      </w:r>
    </w:p>
    <w:p w:rsidR="00571492" w:rsidRPr="00D122B6" w:rsidP="00571492" w14:paraId="5FFDDE5C" w14:textId="77777777">
      <w:pPr>
        <w:widowControl/>
        <w:rPr>
          <w:szCs w:val="22"/>
        </w:rPr>
      </w:pPr>
      <w:r w:rsidRPr="00D122B6">
        <w:rPr>
          <w:b/>
          <w:szCs w:val="22"/>
        </w:rPr>
        <w:tab/>
      </w:r>
    </w:p>
    <w:p w:rsidR="00571492" w:rsidRPr="00D122B6" w:rsidP="00571492" w14:paraId="29485327" w14:textId="77777777">
      <w:pPr>
        <w:widowControl/>
        <w:ind w:left="720"/>
        <w:rPr>
          <w:szCs w:val="22"/>
        </w:rPr>
      </w:pPr>
      <w:r w:rsidRPr="00D122B6">
        <w:rPr>
          <w:szCs w:val="22"/>
        </w:rPr>
        <w:t>IN WITNESS WHEREOF, the undersigned has executed this certificate as of [specify time of day] on the ____ day of _____________, 20__.</w:t>
      </w:r>
    </w:p>
    <w:p w:rsidR="00571492" w:rsidP="00571492" w14:paraId="56AACFF1" w14:textId="77777777">
      <w:pPr>
        <w:widowControl/>
        <w:ind w:firstLine="4320"/>
        <w:rPr>
          <w:szCs w:val="22"/>
        </w:rPr>
      </w:pPr>
    </w:p>
    <w:p w:rsidR="00571492" w:rsidRPr="00D122B6" w:rsidP="00571492" w14:paraId="71F8230B" w14:textId="77777777">
      <w:pPr>
        <w:widowControl/>
        <w:ind w:firstLine="4320"/>
        <w:rPr>
          <w:szCs w:val="22"/>
        </w:rPr>
      </w:pPr>
      <w:r w:rsidRPr="00D122B6">
        <w:rPr>
          <w:szCs w:val="22"/>
        </w:rPr>
        <w:t>Universal Service Administrative Company</w:t>
      </w:r>
    </w:p>
    <w:p w:rsidR="00571492" w:rsidRPr="00D122B6" w:rsidP="00571492" w14:paraId="57655CAC" w14:textId="77777777">
      <w:pPr>
        <w:widowControl/>
        <w:rPr>
          <w:szCs w:val="22"/>
        </w:rPr>
      </w:pPr>
    </w:p>
    <w:p w:rsidR="00571492" w:rsidRPr="00D122B6" w:rsidP="00571492" w14:paraId="66A1201A" w14:textId="77777777">
      <w:pPr>
        <w:widowControl/>
        <w:ind w:left="4320"/>
        <w:rPr>
          <w:szCs w:val="22"/>
        </w:rPr>
      </w:pPr>
      <w:r w:rsidRPr="00D122B6">
        <w:rPr>
          <w:szCs w:val="22"/>
        </w:rPr>
        <w:t>By: _____________________________________</w:t>
      </w:r>
    </w:p>
    <w:p w:rsidR="00571492" w:rsidP="00571492" w14:paraId="4E597BAE" w14:textId="77777777">
      <w:pPr>
        <w:widowControl/>
        <w:ind w:left="3600" w:firstLine="720"/>
        <w:rPr>
          <w:szCs w:val="22"/>
        </w:rPr>
      </w:pPr>
      <w:r w:rsidRPr="00D122B6">
        <w:rPr>
          <w:szCs w:val="22"/>
        </w:rPr>
        <w:t>Name:</w:t>
      </w:r>
    </w:p>
    <w:p w:rsidR="00571492" w:rsidP="00571492" w14:paraId="59EAB42D" w14:textId="77777777">
      <w:pPr>
        <w:widowControl/>
        <w:ind w:left="3600" w:firstLine="720"/>
        <w:rPr>
          <w:szCs w:val="22"/>
        </w:rPr>
      </w:pPr>
      <w:r w:rsidRPr="00D122B6">
        <w:rPr>
          <w:szCs w:val="22"/>
        </w:rPr>
        <w:t>Title:</w:t>
      </w:r>
    </w:p>
    <w:p w:rsidR="00571492" w:rsidP="00571492" w14:paraId="1C0F06C1" w14:textId="77777777">
      <w:pPr>
        <w:widowControl/>
      </w:pPr>
    </w:p>
    <w:p w:rsidR="00571492" w:rsidRPr="00D122B6" w:rsidP="00571492" w14:paraId="0782DCE1" w14:textId="77777777">
      <w:pPr>
        <w:widowControl/>
        <w:jc w:val="center"/>
        <w:rPr>
          <w:szCs w:val="22"/>
          <w:u w:val="single"/>
        </w:rPr>
      </w:pPr>
      <w:r>
        <w:rPr>
          <w:szCs w:val="22"/>
          <w:u w:val="single"/>
        </w:rPr>
        <w:br w:type="page"/>
      </w:r>
      <w:r w:rsidRPr="00D122B6">
        <w:rPr>
          <w:szCs w:val="22"/>
          <w:u w:val="single"/>
        </w:rPr>
        <w:t>ANNEX C</w:t>
      </w:r>
    </w:p>
    <w:p w:rsidR="00571492" w:rsidRPr="00D122B6" w:rsidP="00571492" w14:paraId="42605125" w14:textId="77777777">
      <w:pPr>
        <w:widowControl/>
        <w:jc w:val="center"/>
        <w:rPr>
          <w:szCs w:val="22"/>
          <w:u w:val="single"/>
        </w:rPr>
      </w:pPr>
    </w:p>
    <w:p w:rsidR="00571492" w:rsidRPr="00D122B6" w:rsidP="00571492" w14:paraId="0415D522" w14:textId="77777777">
      <w:pPr>
        <w:widowControl/>
        <w:spacing w:after="240"/>
        <w:jc w:val="center"/>
        <w:rPr>
          <w:szCs w:val="22"/>
        </w:rPr>
      </w:pPr>
      <w:r w:rsidRPr="00D122B6">
        <w:rPr>
          <w:szCs w:val="22"/>
          <w:u w:val="single"/>
        </w:rPr>
        <w:t>Certificate Regarding Termination of Letter of Credit</w:t>
      </w:r>
    </w:p>
    <w:p w:rsidR="00571492" w:rsidRPr="00D122B6" w:rsidP="00571492" w14:paraId="549E20EA" w14:textId="77777777">
      <w:pPr>
        <w:widowControl/>
        <w:spacing w:after="240"/>
        <w:ind w:firstLine="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[____] of the Report and Order adopted </w:t>
      </w:r>
      <w:r>
        <w:rPr>
          <w:szCs w:val="22"/>
        </w:rPr>
        <w:t>on [June XX, 2019],</w:t>
      </w:r>
      <w:r w:rsidRPr="00D122B6">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The Uniendo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(all capitalized terms used herein but not defined herein having the meaning stated or described in the Order), that:  </w:t>
      </w:r>
    </w:p>
    <w:p w:rsidR="00571492" w:rsidRPr="00D122B6" w:rsidP="00571492" w14:paraId="51618740" w14:textId="77777777">
      <w:pPr>
        <w:widowControl/>
        <w:spacing w:after="240"/>
        <w:ind w:left="720" w:right="810"/>
        <w:rPr>
          <w:szCs w:val="22"/>
        </w:rPr>
      </w:pPr>
      <w:r w:rsidRPr="00D122B6">
        <w:rPr>
          <w:szCs w:val="22"/>
        </w:rPr>
        <w:t xml:space="preserve">(1) </w:t>
      </w:r>
      <w:r w:rsidRPr="00D122B6">
        <w:rPr>
          <w:szCs w:val="22"/>
        </w:rPr>
        <w:tab/>
        <w:t>[include one of the following clauses, as applicable]</w:t>
      </w:r>
    </w:p>
    <w:p w:rsidR="00571492" w:rsidRPr="00D122B6" w:rsidP="00571492" w14:paraId="258E7EB7" w14:textId="77777777">
      <w:pPr>
        <w:widowControl/>
        <w:ind w:left="720" w:firstLine="720"/>
        <w:rPr>
          <w:szCs w:val="22"/>
        </w:rPr>
      </w:pPr>
      <w:bookmarkStart w:id="2186" w:name="_Toc78939160"/>
      <w:bookmarkStart w:id="2187" w:name="_Toc78970102"/>
      <w:bookmarkStart w:id="2188" w:name="_Toc79499253"/>
      <w:bookmarkStart w:id="2189" w:name="_Toc79910973"/>
      <w:bookmarkStart w:id="2190" w:name="_Toc91421806"/>
      <w:bookmarkStart w:id="2191" w:name="_Toc91490327"/>
      <w:bookmarkStart w:id="2192" w:name="_Toc91491243"/>
      <w:r w:rsidRPr="00D122B6">
        <w:t>(a)</w:t>
      </w:r>
      <w:r w:rsidRPr="00D122B6">
        <w:tab/>
        <w:t>The Order has been fulfilled in accordance with the provisions thereof</w:t>
      </w:r>
      <w:r w:rsidRPr="00D122B6">
        <w:rPr>
          <w:szCs w:val="22"/>
        </w:rPr>
        <w:t>;</w:t>
      </w:r>
      <w:bookmarkStart w:id="2193" w:name="_Toc78939161"/>
      <w:bookmarkStart w:id="2194" w:name="_Toc78970103"/>
      <w:bookmarkStart w:id="2195" w:name="_Toc79499254"/>
      <w:bookmarkStart w:id="2196" w:name="_Toc79910974"/>
      <w:bookmarkStart w:id="2197" w:name="_Toc91421807"/>
      <w:bookmarkStart w:id="2198" w:name="_Toc91490328"/>
      <w:bookmarkStart w:id="2199" w:name="_Toc91491244"/>
      <w:bookmarkEnd w:id="2186"/>
      <w:bookmarkEnd w:id="2187"/>
      <w:bookmarkEnd w:id="2188"/>
      <w:bookmarkEnd w:id="2189"/>
      <w:bookmarkEnd w:id="2190"/>
      <w:bookmarkEnd w:id="2191"/>
      <w:bookmarkEnd w:id="2192"/>
      <w:r w:rsidRPr="00D122B6">
        <w:rPr>
          <w:szCs w:val="22"/>
        </w:rPr>
        <w:t xml:space="preserve"> or</w:t>
      </w:r>
      <w:bookmarkEnd w:id="2193"/>
      <w:bookmarkEnd w:id="2194"/>
      <w:bookmarkEnd w:id="2195"/>
      <w:bookmarkEnd w:id="2196"/>
      <w:bookmarkEnd w:id="2197"/>
      <w:bookmarkEnd w:id="2198"/>
      <w:bookmarkEnd w:id="2199"/>
    </w:p>
    <w:p w:rsidR="00571492" w:rsidRPr="00D122B6" w:rsidP="00571492" w14:paraId="669FEB80" w14:textId="77777777">
      <w:pPr>
        <w:widowControl/>
        <w:ind w:left="720" w:firstLine="720"/>
        <w:rPr>
          <w:b/>
          <w:szCs w:val="22"/>
        </w:rPr>
      </w:pPr>
    </w:p>
    <w:p w:rsidR="00571492" w:rsidRPr="00D122B6" w:rsidP="00571492" w14:paraId="201A701C" w14:textId="77777777">
      <w:pPr>
        <w:widowControl/>
        <w:ind w:left="2160" w:hanging="720"/>
        <w:rPr>
          <w:szCs w:val="22"/>
        </w:rPr>
      </w:pPr>
      <w:r w:rsidRPr="00D122B6">
        <w:rPr>
          <w:szCs w:val="22"/>
        </w:rPr>
        <w:t>(b)</w:t>
      </w:r>
      <w:r w:rsidRPr="00D122B6">
        <w:rPr>
          <w:szCs w:val="22"/>
        </w:rPr>
        <w:tab/>
        <w:t>[LC Provider/Winning Bidder] has provided a replacement letter of credit satisfactory to the FCC.</w:t>
      </w:r>
    </w:p>
    <w:p w:rsidR="00571492" w:rsidRPr="00D122B6" w:rsidP="00571492" w14:paraId="314B9726" w14:textId="77777777">
      <w:pPr>
        <w:widowControl/>
        <w:rPr>
          <w:szCs w:val="22"/>
        </w:rPr>
      </w:pPr>
    </w:p>
    <w:p w:rsidR="00571492" w:rsidRPr="00D122B6" w:rsidP="00571492" w14:paraId="3BF25064" w14:textId="77777777">
      <w:pPr>
        <w:pStyle w:val="BodyTextIndent3"/>
        <w:widowControl/>
        <w:ind w:left="1440" w:hanging="720"/>
        <w:rPr>
          <w:sz w:val="22"/>
          <w:szCs w:val="22"/>
        </w:rPr>
      </w:pPr>
      <w:r w:rsidRPr="00D122B6">
        <w:rPr>
          <w:sz w:val="22"/>
          <w:szCs w:val="22"/>
        </w:rPr>
        <w:t xml:space="preserve">(2) </w:t>
      </w:r>
      <w:r w:rsidRPr="00D122B6">
        <w:rPr>
          <w:sz w:val="22"/>
          <w:szCs w:val="22"/>
        </w:rPr>
        <w:tab/>
        <w:t>By reason of the event or circumstance described in paragraph (1) of this certificate and effective upon the receipt by the Bank of this certificate (countersigned as set forth below), the Letter of Credit is terminated.</w:t>
      </w:r>
    </w:p>
    <w:p w:rsidR="00571492" w:rsidP="00571492" w14:paraId="5A02E006" w14:textId="77777777">
      <w:pPr>
        <w:widowControl/>
        <w:rPr>
          <w:szCs w:val="22"/>
        </w:rPr>
      </w:pPr>
    </w:p>
    <w:p w:rsidR="00571492" w:rsidRPr="00D122B6" w:rsidP="00571492" w14:paraId="3B591BE6" w14:textId="77777777">
      <w:pPr>
        <w:widowControl/>
        <w:rPr>
          <w:szCs w:val="22"/>
        </w:rPr>
      </w:pPr>
      <w:r w:rsidRPr="00D122B6">
        <w:rPr>
          <w:szCs w:val="22"/>
        </w:rPr>
        <w:t>IN WITNESS WHEREOF, the undersigned has executed this certificate as of the ____ day of _____________, 20__.</w:t>
      </w:r>
    </w:p>
    <w:p w:rsidR="00571492" w:rsidRPr="00D122B6" w:rsidP="00571492" w14:paraId="64901899" w14:textId="77777777">
      <w:pPr>
        <w:widowControl/>
        <w:ind w:firstLine="4320"/>
        <w:rPr>
          <w:szCs w:val="22"/>
        </w:rPr>
      </w:pPr>
      <w:r w:rsidRPr="00D122B6">
        <w:rPr>
          <w:szCs w:val="22"/>
        </w:rPr>
        <w:t>Universal Service Administrative Company</w:t>
      </w:r>
    </w:p>
    <w:p w:rsidR="00571492" w:rsidRPr="00D122B6" w:rsidP="00571492" w14:paraId="070CA1D1" w14:textId="77777777">
      <w:pPr>
        <w:widowControl/>
        <w:rPr>
          <w:szCs w:val="22"/>
        </w:rPr>
      </w:pPr>
    </w:p>
    <w:p w:rsidR="00571492" w:rsidRPr="00D122B6" w:rsidP="00571492" w14:paraId="0AA8888D" w14:textId="77777777">
      <w:pPr>
        <w:widowControl/>
        <w:ind w:left="4320"/>
        <w:rPr>
          <w:szCs w:val="22"/>
        </w:rPr>
      </w:pPr>
      <w:r w:rsidRPr="00D122B6">
        <w:rPr>
          <w:szCs w:val="22"/>
        </w:rPr>
        <w:t>By:____________________________________</w:t>
      </w:r>
    </w:p>
    <w:p w:rsidR="00571492" w:rsidRPr="00D122B6" w:rsidP="00571492" w14:paraId="7E8B307B" w14:textId="77777777">
      <w:pPr>
        <w:widowControl/>
        <w:ind w:left="4320"/>
        <w:rPr>
          <w:szCs w:val="22"/>
        </w:rPr>
      </w:pPr>
      <w:r w:rsidRPr="00D122B6">
        <w:rPr>
          <w:szCs w:val="22"/>
        </w:rPr>
        <w:t xml:space="preserve">Name:  </w:t>
      </w:r>
      <w:r w:rsidRPr="00D122B6">
        <w:rPr>
          <w:szCs w:val="22"/>
        </w:rPr>
        <w:br/>
        <w:t>Title:</w:t>
      </w:r>
    </w:p>
    <w:p w:rsidR="00571492" w:rsidRPr="00D122B6" w:rsidP="00571492" w14:paraId="3CCFE5C8" w14:textId="77777777">
      <w:pPr>
        <w:widowControl/>
        <w:jc w:val="center"/>
        <w:rPr>
          <w:szCs w:val="22"/>
        </w:rPr>
      </w:pPr>
    </w:p>
    <w:p w:rsidR="00571492" w:rsidRPr="00D122B6" w:rsidP="00571492" w14:paraId="0EAEF051" w14:textId="77777777">
      <w:pPr>
        <w:widowControl/>
        <w:ind w:left="4320"/>
        <w:rPr>
          <w:szCs w:val="22"/>
        </w:rPr>
      </w:pPr>
      <w:r w:rsidRPr="00D122B6">
        <w:rPr>
          <w:szCs w:val="22"/>
        </w:rPr>
        <w:t>By:____________________________________</w:t>
      </w:r>
    </w:p>
    <w:p w:rsidR="00571492" w:rsidRPr="00D122B6" w:rsidP="00571492" w14:paraId="684611EA" w14:textId="77777777">
      <w:pPr>
        <w:widowControl/>
        <w:ind w:left="4320"/>
        <w:rPr>
          <w:szCs w:val="22"/>
        </w:rPr>
      </w:pPr>
      <w:r w:rsidRPr="00D122B6">
        <w:rPr>
          <w:szCs w:val="22"/>
        </w:rPr>
        <w:t>Name:</w:t>
      </w:r>
    </w:p>
    <w:p w:rsidR="00571492" w:rsidRPr="00D122B6" w:rsidP="00571492" w14:paraId="632A2A94" w14:textId="77777777">
      <w:pPr>
        <w:widowControl/>
        <w:ind w:left="720" w:firstLine="3600"/>
        <w:rPr>
          <w:szCs w:val="22"/>
        </w:rPr>
      </w:pPr>
      <w:r w:rsidRPr="00D122B6">
        <w:rPr>
          <w:szCs w:val="22"/>
        </w:rPr>
        <w:t>Title:</w:t>
      </w:r>
    </w:p>
    <w:p w:rsidR="00571492" w:rsidP="00571492" w14:paraId="63B0512C" w14:textId="77777777">
      <w:pPr>
        <w:widowControl/>
        <w:spacing w:after="180"/>
        <w:rPr>
          <w:szCs w:val="22"/>
        </w:rPr>
      </w:pPr>
    </w:p>
    <w:p w:rsidR="00571492" w:rsidRPr="00D122B6" w:rsidP="00571492" w14:paraId="7E26E3EA" w14:textId="77777777">
      <w:pPr>
        <w:widowControl/>
        <w:spacing w:after="180"/>
        <w:rPr>
          <w:szCs w:val="22"/>
        </w:rPr>
      </w:pPr>
      <w:r w:rsidRPr="00D122B6">
        <w:rPr>
          <w:szCs w:val="22"/>
        </w:rPr>
        <w:t>COUNTERSIGNED:</w:t>
      </w:r>
    </w:p>
    <w:p w:rsidR="00571492" w:rsidRPr="00D122B6" w:rsidP="00571492" w14:paraId="35028D88" w14:textId="77777777">
      <w:pPr>
        <w:widowControl/>
        <w:rPr>
          <w:szCs w:val="22"/>
        </w:rPr>
      </w:pPr>
      <w:r w:rsidRPr="00D122B6">
        <w:rPr>
          <w:szCs w:val="22"/>
        </w:rPr>
        <w:t>Federal Communications Commission</w:t>
      </w:r>
    </w:p>
    <w:p w:rsidR="00571492" w:rsidRPr="00D122B6" w:rsidP="00571492" w14:paraId="3DFC6842" w14:textId="77777777">
      <w:pPr>
        <w:widowControl/>
        <w:rPr>
          <w:szCs w:val="22"/>
        </w:rPr>
      </w:pPr>
    </w:p>
    <w:p w:rsidR="00571492" w:rsidRPr="00D122B6" w:rsidP="00571492" w14:paraId="17387B41" w14:textId="77777777">
      <w:pPr>
        <w:widowControl/>
        <w:rPr>
          <w:szCs w:val="22"/>
        </w:rPr>
      </w:pPr>
      <w:r w:rsidRPr="00D122B6">
        <w:rPr>
          <w:szCs w:val="22"/>
        </w:rPr>
        <w:t>By:  __________________________________</w:t>
      </w:r>
    </w:p>
    <w:p w:rsidR="00571492" w:rsidRPr="00D122B6" w:rsidP="00571492" w14:paraId="6CDD26D5" w14:textId="77777777">
      <w:pPr>
        <w:widowControl/>
        <w:rPr>
          <w:szCs w:val="22"/>
        </w:rPr>
      </w:pPr>
      <w:r w:rsidRPr="00D122B6">
        <w:rPr>
          <w:szCs w:val="22"/>
        </w:rPr>
        <w:t>Name:</w:t>
      </w:r>
    </w:p>
    <w:p w:rsidR="006762BB" w:rsidP="00571492" w14:paraId="7FA5F238" w14:textId="32C516E5">
      <w:pPr>
        <w:widowControl/>
        <w:rPr>
          <w:szCs w:val="22"/>
        </w:rPr>
        <w:sectPr w:rsidSect="004555AD">
          <w:head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rsidRPr="00D122B6">
        <w:rPr>
          <w:szCs w:val="22"/>
        </w:rPr>
        <w:t>Its Authorized Signator</w:t>
      </w:r>
    </w:p>
    <w:p w:rsidR="00AC78BB" w:rsidP="00523327" w14:paraId="024FCAE2" w14:textId="68BA97F6">
      <w:pPr>
        <w:pStyle w:val="ParaNum"/>
        <w:numPr>
          <w:ilvl w:val="0"/>
          <w:numId w:val="0"/>
        </w:numPr>
        <w:jc w:val="center"/>
        <w:rPr>
          <w:b/>
          <w:szCs w:val="22"/>
        </w:rPr>
      </w:pPr>
      <w:r>
        <w:rPr>
          <w:b/>
          <w:szCs w:val="22"/>
        </w:rPr>
        <w:t xml:space="preserve">APPENDIX </w:t>
      </w:r>
      <w:r w:rsidR="00F84D43">
        <w:rPr>
          <w:b/>
          <w:szCs w:val="22"/>
        </w:rPr>
        <w:t>C</w:t>
      </w:r>
    </w:p>
    <w:p w:rsidR="00523327" w:rsidRPr="00691C2B" w:rsidP="00C34203" w14:paraId="75C8FE1F" w14:textId="7830C704">
      <w:pPr>
        <w:pStyle w:val="ParaNum"/>
        <w:numPr>
          <w:ilvl w:val="0"/>
          <w:numId w:val="0"/>
        </w:numPr>
        <w:jc w:val="center"/>
        <w:rPr>
          <w:b/>
          <w:szCs w:val="22"/>
        </w:rPr>
      </w:pPr>
      <w:r w:rsidRPr="00691C2B">
        <w:rPr>
          <w:b/>
          <w:szCs w:val="22"/>
        </w:rPr>
        <w:t>Disaster Preparation and Response Plan (DPRP)</w:t>
      </w:r>
    </w:p>
    <w:p w:rsidR="00523327" w:rsidRPr="00691C2B" w:rsidP="00C34203" w14:paraId="705DBA56" w14:textId="77777777">
      <w:pPr>
        <w:spacing w:after="120"/>
        <w:ind w:firstLine="720"/>
        <w:rPr>
          <w:snapToGrid/>
          <w:kern w:val="0"/>
          <w:szCs w:val="22"/>
        </w:rPr>
      </w:pPr>
      <w:r w:rsidRPr="00691C2B">
        <w:rPr>
          <w:szCs w:val="22"/>
        </w:rPr>
        <w:t>Each recipient of Stage 2 support is responsible for a detailed Disaster Preparation and Response Plan describing and committing to the methods it will use, during the period in which it receives Stage 2 support, to prepare for and respond to disasters in Puerto Rico and/or the U.S. Virgin Islands according to five criteria: (1) Strengthening Infrastructure; (2) Ensuring Network Diversity; (3) Ensuring Backup Power; (4) Network Monitoring; and (5) Emergency Preparedness.  These criteria are further defined below.  Your detailed Disaster Preparation and Response Plan must include, for each criterion:</w:t>
      </w:r>
    </w:p>
    <w:p w:rsidR="00523327" w:rsidRPr="00691C2B" w:rsidP="00523327" w14:paraId="56C26256" w14:textId="77777777">
      <w:pPr>
        <w:pStyle w:val="ListParagraph"/>
        <w:numPr>
          <w:ilvl w:val="0"/>
          <w:numId w:val="16"/>
        </w:numPr>
        <w:spacing w:after="160" w:line="256" w:lineRule="auto"/>
        <w:ind w:left="720"/>
        <w:contextualSpacing/>
        <w:rPr>
          <w:rFonts w:ascii="Times New Roman" w:hAnsi="Times New Roman" w:cs="Times New Roman"/>
        </w:rPr>
      </w:pPr>
      <w:r w:rsidRPr="00691C2B">
        <w:rPr>
          <w:rFonts w:ascii="Times New Roman" w:hAnsi="Times New Roman" w:cs="Times New Roman"/>
        </w:rPr>
        <w:t>a description of your commitments to maintain, improve or modify your facilities based on reasonably-selected best practices, checklists and industry standards;</w:t>
      </w:r>
    </w:p>
    <w:p w:rsidR="00523327" w:rsidRPr="00691C2B" w:rsidP="00523327" w14:paraId="7A436910" w14:textId="77777777">
      <w:pPr>
        <w:pStyle w:val="ListParagraph"/>
        <w:numPr>
          <w:ilvl w:val="0"/>
          <w:numId w:val="16"/>
        </w:numPr>
        <w:spacing w:after="160" w:line="256" w:lineRule="auto"/>
        <w:ind w:left="720"/>
        <w:contextualSpacing/>
        <w:rPr>
          <w:rFonts w:ascii="Times New Roman" w:hAnsi="Times New Roman" w:cs="Times New Roman"/>
        </w:rPr>
      </w:pPr>
      <w:r w:rsidRPr="00691C2B">
        <w:rPr>
          <w:rFonts w:ascii="Times New Roman" w:hAnsi="Times New Roman" w:cs="Times New Roman"/>
        </w:rPr>
        <w:t>commitments that are auditable and your agreement to be subject to reasonable audit procedures; and</w:t>
      </w:r>
    </w:p>
    <w:p w:rsidR="00523327" w:rsidRPr="00691C2B" w:rsidP="00C34203" w14:paraId="07227344" w14:textId="77777777">
      <w:pPr>
        <w:pStyle w:val="ListParagraph"/>
        <w:numPr>
          <w:ilvl w:val="0"/>
          <w:numId w:val="16"/>
        </w:numPr>
        <w:spacing w:after="120" w:line="256" w:lineRule="auto"/>
        <w:ind w:left="720"/>
        <w:contextualSpacing/>
        <w:rPr>
          <w:rFonts w:ascii="Times New Roman" w:hAnsi="Times New Roman" w:cs="Times New Roman"/>
        </w:rPr>
      </w:pPr>
      <w:r w:rsidRPr="00691C2B">
        <w:rPr>
          <w:rFonts w:ascii="Times New Roman" w:hAnsi="Times New Roman" w:cs="Times New Roman"/>
        </w:rPr>
        <w:t>identification of your employee official(s) responsible for management and compliance.</w:t>
      </w:r>
    </w:p>
    <w:p w:rsidR="00523327" w:rsidRPr="00691C2B" w:rsidP="00C34203" w14:paraId="4FACB345" w14:textId="77777777">
      <w:pPr>
        <w:spacing w:after="120"/>
        <w:ind w:firstLine="360"/>
        <w:rPr>
          <w:szCs w:val="22"/>
        </w:rPr>
      </w:pPr>
      <w:r w:rsidRPr="00691C2B">
        <w:rPr>
          <w:szCs w:val="22"/>
        </w:rPr>
        <w:t xml:space="preserve">For each criterion, we have provided example best practices, checklists, and/or standards below.  You may find it useful to consider and/or incorporate some or all of these materials in preparing your response.  We do not endorse any of the specific examples below, but rather we simply provide them as examples that may prove useful.  The support recipient should explain why it believes compliance with any specific standard it identifies will prove adequate to meet the criteria we set forth.  </w:t>
      </w:r>
    </w:p>
    <w:p w:rsidR="00523327" w:rsidRPr="00571492" w:rsidP="00C34203" w14:paraId="01CE9630" w14:textId="77777777">
      <w:pPr>
        <w:pStyle w:val="Heading1"/>
        <w:keepLines/>
        <w:widowControl/>
        <w:numPr>
          <w:ilvl w:val="0"/>
          <w:numId w:val="0"/>
        </w:numPr>
        <w:suppressAutoHyphens w:val="0"/>
        <w:ind w:left="720" w:hanging="720"/>
        <w:rPr>
          <w:rFonts w:ascii="Times New Roman" w:hAnsi="Times New Roman"/>
          <w:szCs w:val="22"/>
        </w:rPr>
      </w:pPr>
      <w:bookmarkStart w:id="2200" w:name="_Toc31809601"/>
      <w:r w:rsidRPr="00691C2B">
        <w:rPr>
          <w:rFonts w:ascii="Times New Roman" w:hAnsi="Times New Roman"/>
          <w:szCs w:val="22"/>
        </w:rPr>
        <w:t>1. STRENGTHENING INFRASTRUCTURE</w:t>
      </w:r>
      <w:bookmarkEnd w:id="2200"/>
    </w:p>
    <w:p w:rsidR="00523327" w:rsidRPr="00691C2B" w:rsidP="00C34203" w14:paraId="6D645965" w14:textId="77777777">
      <w:pPr>
        <w:pStyle w:val="ListParagraph"/>
        <w:spacing w:after="120"/>
        <w:ind w:left="0" w:firstLine="720"/>
        <w:rPr>
          <w:rFonts w:ascii="Times New Roman" w:hAnsi="Times New Roman" w:cs="Times New Roman"/>
          <w:b/>
        </w:rPr>
      </w:pPr>
      <w:r w:rsidRPr="00691C2B">
        <w:rPr>
          <w:rFonts w:ascii="Times New Roman" w:hAnsi="Times New Roman" w:cs="Times New Roman"/>
          <w:b/>
        </w:rPr>
        <w:t xml:space="preserve">Please </w:t>
      </w:r>
      <w:r w:rsidRPr="00691C2B">
        <w:rPr>
          <w:rFonts w:ascii="Times New Roman" w:hAnsi="Times New Roman" w:cs="Times New Roman"/>
          <w:b/>
          <w:bCs/>
        </w:rPr>
        <w:t>provide in your Disaster Preparation and Response Plan a description of</w:t>
      </w:r>
      <w:r w:rsidRPr="00691C2B">
        <w:rPr>
          <w:rFonts w:ascii="Times New Roman" w:hAnsi="Times New Roman" w:cs="Times New Roman"/>
          <w:b/>
        </w:rPr>
        <w:t xml:space="preserve"> methods and procedures that you have in place, or will soon have in place, to </w:t>
      </w:r>
      <w:r w:rsidRPr="00691C2B">
        <w:rPr>
          <w:rFonts w:ascii="Times New Roman" w:hAnsi="Times New Roman" w:cs="Times New Roman"/>
          <w:b/>
          <w:bCs/>
        </w:rPr>
        <w:t>strengthen (</w:t>
      </w:r>
      <w:r w:rsidRPr="00691C2B">
        <w:rPr>
          <w:rFonts w:ascii="Times New Roman" w:hAnsi="Times New Roman" w:cs="Times New Roman"/>
          <w:b/>
        </w:rPr>
        <w:t>storm harden</w:t>
      </w:r>
      <w:r w:rsidRPr="00691C2B">
        <w:rPr>
          <w:rFonts w:ascii="Times New Roman" w:hAnsi="Times New Roman" w:cs="Times New Roman"/>
          <w:b/>
          <w:bCs/>
        </w:rPr>
        <w:t>)</w:t>
      </w:r>
      <w:r w:rsidRPr="00691C2B">
        <w:rPr>
          <w:rFonts w:ascii="Times New Roman" w:hAnsi="Times New Roman" w:cs="Times New Roman"/>
          <w:b/>
        </w:rPr>
        <w:t xml:space="preserve"> your infrastructure</w:t>
      </w:r>
      <w:r w:rsidRPr="00691C2B">
        <w:rPr>
          <w:rFonts w:ascii="Times New Roman" w:hAnsi="Times New Roman" w:cs="Times New Roman"/>
          <w:b/>
          <w:bCs/>
        </w:rPr>
        <w:t xml:space="preserve">, </w:t>
      </w:r>
      <w:r w:rsidRPr="00691C2B">
        <w:rPr>
          <w:rFonts w:ascii="Times New Roman" w:hAnsi="Times New Roman" w:cs="Times New Roman"/>
          <w:b/>
        </w:rPr>
        <w:t xml:space="preserve">including to be more likely to withstand Category 5 wind speeds and </w:t>
      </w:r>
      <w:r w:rsidRPr="00691C2B">
        <w:rPr>
          <w:rFonts w:ascii="Times New Roman" w:hAnsi="Times New Roman" w:cs="Times New Roman"/>
          <w:b/>
          <w:bCs/>
        </w:rPr>
        <w:t>severe</w:t>
      </w:r>
      <w:r w:rsidRPr="00691C2B">
        <w:rPr>
          <w:rFonts w:ascii="Times New Roman" w:hAnsi="Times New Roman" w:cs="Times New Roman"/>
          <w:b/>
        </w:rPr>
        <w:t xml:space="preserve"> floods</w:t>
      </w:r>
      <w:r w:rsidRPr="00691C2B">
        <w:rPr>
          <w:rFonts w:ascii="Times New Roman" w:hAnsi="Times New Roman" w:cs="Times New Roman"/>
          <w:b/>
          <w:bCs/>
        </w:rPr>
        <w:t xml:space="preserve">.  </w:t>
      </w:r>
    </w:p>
    <w:p w:rsidR="00523327" w:rsidRPr="00691C2B" w:rsidP="00523327" w14:paraId="0054877E" w14:textId="77777777">
      <w:pPr>
        <w:pStyle w:val="ListParagraph"/>
        <w:ind w:left="360" w:firstLine="360"/>
        <w:rPr>
          <w:rFonts w:ascii="Times New Roman" w:hAnsi="Times New Roman" w:cs="Times New Roman"/>
          <w:b/>
          <w:u w:val="single"/>
        </w:rPr>
      </w:pPr>
      <w:r w:rsidRPr="00691C2B">
        <w:rPr>
          <w:rFonts w:ascii="Times New Roman" w:hAnsi="Times New Roman" w:cs="Times New Roman"/>
          <w:b/>
          <w:u w:val="single"/>
        </w:rPr>
        <w:t>Description</w:t>
      </w:r>
    </w:p>
    <w:p w:rsidR="00523327" w:rsidRPr="00691C2B" w:rsidP="00C34203" w14:paraId="45DEA8B7" w14:textId="77777777">
      <w:pPr>
        <w:spacing w:after="120"/>
        <w:ind w:firstLine="720"/>
        <w:rPr>
          <w:szCs w:val="22"/>
        </w:rPr>
      </w:pPr>
      <w:r w:rsidRPr="00691C2B">
        <w:rPr>
          <w:szCs w:val="22"/>
        </w:rPr>
        <w:t>Strengthening infrastructure refers to physically maintaining or changing your infrastructure to make it less susceptible to damage from extreme wind, flooding, flying debris and related disaster phenomena.  This improves the durability and stability of infrastructure, making it better able to withstand the impacts of hurricanes and other weather events without sustaining major damage.</w:t>
      </w:r>
    </w:p>
    <w:p w:rsidR="00523327" w:rsidRPr="00691C2B" w:rsidP="00523327" w14:paraId="0AC46B29" w14:textId="77777777">
      <w:pPr>
        <w:ind w:firstLine="720"/>
        <w:rPr>
          <w:b/>
          <w:bCs/>
          <w:szCs w:val="22"/>
          <w:u w:val="single"/>
        </w:rPr>
      </w:pPr>
      <w:r w:rsidRPr="00691C2B">
        <w:rPr>
          <w:b/>
          <w:szCs w:val="22"/>
          <w:u w:val="single"/>
        </w:rPr>
        <w:t>Example Best Practices, Checklists and/or Standards</w:t>
      </w:r>
    </w:p>
    <w:p w:rsidR="00523327" w:rsidRPr="00691C2B" w:rsidP="00C34203" w14:paraId="2C4FAAEF"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 xml:space="preserve">The Alliance for Telecommunications Industry Solutions (ATIS) Network Reliability Steering Committee’s (NRSC’s) </w:t>
      </w:r>
      <w:r w:rsidRPr="00691C2B">
        <w:rPr>
          <w:rFonts w:ascii="Times New Roman" w:hAnsi="Times New Roman" w:cs="Times New Roman"/>
          <w:i/>
        </w:rPr>
        <w:t>Emergency Preparedness Checklist</w:t>
      </w:r>
      <w:r w:rsidRPr="00691C2B">
        <w:rPr>
          <w:rFonts w:ascii="Times New Roman" w:hAnsi="Times New Roman" w:cs="Times New Roman"/>
        </w:rPr>
        <w:t xml:space="preserve"> (ATIS checklist) provides example techniques to strengthen infrastructure equipment.  These relate to:</w:t>
      </w:r>
    </w:p>
    <w:p w:rsidR="00523327" w:rsidRPr="00691C2B" w:rsidP="00523327" w14:paraId="075D5EA8"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assessing whether critical facilities, network equipment, and power connections are located in areas that are likely to flood;</w:t>
      </w:r>
      <w:r>
        <w:rPr>
          <w:rStyle w:val="FootnoteReference"/>
          <w:rFonts w:cs="Times New Roman"/>
          <w:sz w:val="22"/>
        </w:rPr>
        <w:footnoteReference w:id="234"/>
      </w:r>
    </w:p>
    <w:p w:rsidR="00523327" w:rsidRPr="00691C2B" w:rsidP="00523327" w14:paraId="2404FF9E"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assessing whether there are mitigation plans implemented in sites located in flood prone areas (</w:t>
      </w:r>
      <w:r w:rsidRPr="00691C2B">
        <w:rPr>
          <w:rFonts w:ascii="Times New Roman" w:hAnsi="Times New Roman" w:cs="Times New Roman"/>
          <w:i/>
        </w:rPr>
        <w:t>e.g.</w:t>
      </w:r>
      <w:r w:rsidRPr="00691C2B">
        <w:rPr>
          <w:rFonts w:ascii="Times New Roman" w:hAnsi="Times New Roman" w:cs="Times New Roman"/>
        </w:rPr>
        <w:t>, including the elevation of equipment platforms);</w:t>
      </w:r>
      <w:r>
        <w:rPr>
          <w:rStyle w:val="FootnoteReference"/>
          <w:rFonts w:cs="Times New Roman"/>
          <w:sz w:val="22"/>
        </w:rPr>
        <w:footnoteReference w:id="235"/>
      </w:r>
    </w:p>
    <w:p w:rsidR="00523327" w:rsidRPr="00691C2B" w:rsidP="00523327" w14:paraId="6ECF06CB"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deploying high tensile strength aerial service wire;</w:t>
      </w:r>
      <w:r>
        <w:rPr>
          <w:rStyle w:val="FootnoteReference"/>
          <w:rFonts w:cs="Times New Roman"/>
          <w:sz w:val="22"/>
        </w:rPr>
        <w:footnoteReference w:id="236"/>
      </w:r>
    </w:p>
    <w:p w:rsidR="00523327" w:rsidRPr="00691C2B" w:rsidP="00523327" w14:paraId="17449502"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negotiating a wider right-of-way to prevent trees from obstructing aerial cable;</w:t>
      </w:r>
      <w:r>
        <w:rPr>
          <w:rStyle w:val="FootnoteReference"/>
          <w:rFonts w:cs="Times New Roman"/>
          <w:sz w:val="22"/>
        </w:rPr>
        <w:footnoteReference w:id="237"/>
      </w:r>
    </w:p>
    <w:p w:rsidR="00523327" w:rsidRPr="00691C2B" w:rsidP="00523327" w14:paraId="3D15198F"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designing the outside portion of a network to better withstand flooding and severe weather, and make restoration easier;</w:t>
      </w:r>
      <w:r>
        <w:rPr>
          <w:rStyle w:val="FootnoteReference"/>
          <w:rFonts w:cs="Times New Roman"/>
          <w:sz w:val="22"/>
        </w:rPr>
        <w:footnoteReference w:id="238"/>
      </w:r>
      <w:r w:rsidRPr="00691C2B">
        <w:rPr>
          <w:rFonts w:ascii="Times New Roman" w:hAnsi="Times New Roman" w:cs="Times New Roman"/>
        </w:rPr>
        <w:t xml:space="preserve"> and</w:t>
      </w:r>
    </w:p>
    <w:p w:rsidR="00523327" w:rsidRPr="00691C2B" w:rsidP="00523327" w14:paraId="6D8266C0"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utilizing Closed Circuit Television (CCTV), water intrusion hardware, or aerial photography/video to allow remote viewing of critical facilities that may flood.</w:t>
      </w:r>
      <w:r>
        <w:rPr>
          <w:rStyle w:val="FootnoteReference"/>
          <w:rFonts w:cs="Times New Roman"/>
          <w:sz w:val="22"/>
        </w:rPr>
        <w:footnoteReference w:id="239"/>
      </w:r>
    </w:p>
    <w:p w:rsidR="00523327" w:rsidRPr="00571492" w:rsidP="00C34203" w14:paraId="3EACD1DB" w14:textId="77777777">
      <w:pPr>
        <w:pStyle w:val="Heading1"/>
        <w:keepLines/>
        <w:widowControl/>
        <w:numPr>
          <w:ilvl w:val="0"/>
          <w:numId w:val="0"/>
        </w:numPr>
        <w:suppressAutoHyphens w:val="0"/>
        <w:ind w:left="720" w:hanging="720"/>
        <w:rPr>
          <w:rFonts w:ascii="Times New Roman" w:hAnsi="Times New Roman"/>
          <w:szCs w:val="22"/>
        </w:rPr>
      </w:pPr>
      <w:bookmarkStart w:id="2201" w:name="_Toc31809602"/>
      <w:r w:rsidRPr="00691C2B">
        <w:rPr>
          <w:rFonts w:ascii="Times New Roman" w:hAnsi="Times New Roman"/>
          <w:szCs w:val="22"/>
        </w:rPr>
        <w:t>2. NETWORK RESILIENCE</w:t>
      </w:r>
      <w:bookmarkEnd w:id="2201"/>
    </w:p>
    <w:p w:rsidR="00523327" w:rsidRPr="00691C2B" w:rsidP="00C34203" w14:paraId="06FB8D03" w14:textId="77777777">
      <w:pPr>
        <w:pStyle w:val="ListParagraph"/>
        <w:spacing w:after="120"/>
        <w:ind w:left="90" w:firstLine="630"/>
        <w:rPr>
          <w:rFonts w:ascii="Times New Roman" w:hAnsi="Times New Roman" w:cs="Times New Roman"/>
          <w:b/>
        </w:rPr>
      </w:pPr>
      <w:r w:rsidRPr="00691C2B">
        <w:rPr>
          <w:rFonts w:ascii="Times New Roman" w:hAnsi="Times New Roman" w:cs="Times New Roman"/>
          <w:b/>
        </w:rPr>
        <w:t xml:space="preserve">Please </w:t>
      </w:r>
      <w:r w:rsidRPr="00691C2B">
        <w:rPr>
          <w:rFonts w:ascii="Times New Roman" w:hAnsi="Times New Roman" w:cs="Times New Roman"/>
          <w:b/>
          <w:bCs/>
        </w:rPr>
        <w:t>provide in your Disaster Preparation and Response Plan a description of</w:t>
      </w:r>
      <w:r w:rsidRPr="00691C2B">
        <w:rPr>
          <w:rFonts w:ascii="Times New Roman" w:hAnsi="Times New Roman" w:cs="Times New Roman"/>
          <w:b/>
        </w:rPr>
        <w:t xml:space="preserve"> methods and procedures that you have in place, or will soon have in place, to implement network resilience.  </w:t>
      </w:r>
    </w:p>
    <w:p w:rsidR="00523327" w:rsidRPr="00691C2B" w:rsidP="00523327" w14:paraId="492DA394" w14:textId="77777777">
      <w:pPr>
        <w:pStyle w:val="ListParagraph"/>
        <w:ind w:left="0" w:firstLine="720"/>
        <w:rPr>
          <w:rFonts w:ascii="Times New Roman" w:hAnsi="Times New Roman" w:cs="Times New Roman"/>
        </w:rPr>
      </w:pPr>
      <w:r w:rsidRPr="00691C2B">
        <w:rPr>
          <w:rFonts w:ascii="Times New Roman" w:hAnsi="Times New Roman" w:cs="Times New Roman"/>
          <w:b/>
          <w:u w:val="single"/>
        </w:rPr>
        <w:t>Description</w:t>
      </w:r>
      <w:r w:rsidRPr="00691C2B">
        <w:rPr>
          <w:rFonts w:ascii="Times New Roman" w:hAnsi="Times New Roman" w:cs="Times New Roman"/>
        </w:rPr>
        <w:t xml:space="preserve"> </w:t>
      </w:r>
    </w:p>
    <w:p w:rsidR="00523327" w:rsidRPr="00691C2B" w:rsidP="00C34203" w14:paraId="76E946D8"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 xml:space="preserve">Network resilience refers to the ability of your network facility to recover quickly from damage to its components or to any of the external systems on which it depends.  Resilience-improving measures do not absolutely prevent damage; rather they enable your network facility to continue operating despite damage and/or promote a rapid return to normal operations when damage does occur.  A technique for achieving resilience is to add diversity at critical places, </w:t>
      </w:r>
      <w:r w:rsidRPr="00691C2B">
        <w:rPr>
          <w:rFonts w:ascii="Times New Roman" w:hAnsi="Times New Roman" w:cs="Times New Roman"/>
          <w:i/>
        </w:rPr>
        <w:t>e</w:t>
      </w:r>
      <w:r w:rsidRPr="00691C2B">
        <w:rPr>
          <w:rFonts w:ascii="Times New Roman" w:hAnsi="Times New Roman" w:cs="Times New Roman"/>
          <w:i/>
          <w:iCs/>
        </w:rPr>
        <w:t>.g</w:t>
      </w:r>
      <w:r w:rsidRPr="00691C2B">
        <w:rPr>
          <w:rFonts w:ascii="Times New Roman" w:hAnsi="Times New Roman" w:cs="Times New Roman"/>
          <w:i/>
        </w:rPr>
        <w:t>.</w:t>
      </w:r>
      <w:r w:rsidRPr="00691C2B">
        <w:rPr>
          <w:rFonts w:ascii="Times New Roman" w:hAnsi="Times New Roman" w:cs="Times New Roman"/>
        </w:rPr>
        <w:t>, by providing redundant facilities and redundant routes.</w:t>
      </w:r>
      <w:r>
        <w:rPr>
          <w:rStyle w:val="FootnoteReference"/>
          <w:rFonts w:cs="Times New Roman"/>
          <w:sz w:val="22"/>
        </w:rPr>
        <w:footnoteReference w:id="240"/>
      </w:r>
      <w:r w:rsidRPr="00691C2B">
        <w:rPr>
          <w:rFonts w:ascii="Times New Roman" w:hAnsi="Times New Roman" w:cs="Times New Roman"/>
        </w:rPr>
        <w:t xml:space="preserve">  </w:t>
      </w:r>
    </w:p>
    <w:p w:rsidR="00523327" w:rsidRPr="00691C2B" w:rsidP="00523327" w14:paraId="0515A38D" w14:textId="77777777">
      <w:pPr>
        <w:ind w:firstLine="720"/>
        <w:rPr>
          <w:b/>
          <w:bCs/>
          <w:szCs w:val="22"/>
          <w:u w:val="single"/>
        </w:rPr>
      </w:pPr>
      <w:r w:rsidRPr="00691C2B">
        <w:rPr>
          <w:b/>
          <w:szCs w:val="22"/>
          <w:u w:val="single"/>
        </w:rPr>
        <w:t>Example Best Practices, Checklists and/or Standards</w:t>
      </w:r>
    </w:p>
    <w:p w:rsidR="00523327" w:rsidRPr="00691C2B" w:rsidP="00C34203" w14:paraId="2A300302"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The Federal Communications Commission’s (FCC’s) Security, Reliability and Interoperability Council (CSRIC) has issued a number of best practices that describe example techniques for ensuring network resilience.  These include CSRIC Best Practice Nos. 11-9-0580 (applying redundancy and diversity to network elements), 11-9-0510 (managing critical Network Elements), 11-9-5113 (providing multiple cable entry points at critical facilities), 11-9-0566 (placing and maintaining networks over diverse interoffice transport facilities) and 11-9-0568 (establishing a routing plan for Public Safety Answering Points (PSAPs)).</w:t>
      </w:r>
      <w:r>
        <w:rPr>
          <w:rStyle w:val="FootnoteReference"/>
          <w:rFonts w:cs="Times New Roman"/>
          <w:sz w:val="22"/>
        </w:rPr>
        <w:footnoteReference w:id="241"/>
      </w:r>
    </w:p>
    <w:p w:rsidR="00523327" w:rsidRPr="00691C2B" w:rsidP="00C34203" w14:paraId="2FD5E81A" w14:textId="77777777">
      <w:pPr>
        <w:pStyle w:val="Heading1"/>
        <w:keepLines/>
        <w:widowControl/>
        <w:numPr>
          <w:ilvl w:val="0"/>
          <w:numId w:val="0"/>
        </w:numPr>
        <w:suppressAutoHyphens w:val="0"/>
        <w:ind w:left="720" w:hanging="720"/>
        <w:rPr>
          <w:rFonts w:ascii="Times New Roman" w:hAnsi="Times New Roman"/>
          <w:szCs w:val="22"/>
        </w:rPr>
      </w:pPr>
      <w:bookmarkStart w:id="2202" w:name="_Toc31809603"/>
      <w:r w:rsidRPr="00691C2B">
        <w:rPr>
          <w:rFonts w:ascii="Times New Roman" w:hAnsi="Times New Roman"/>
          <w:szCs w:val="22"/>
        </w:rPr>
        <w:t>3. BACKUP POWER</w:t>
      </w:r>
      <w:bookmarkEnd w:id="2202"/>
    </w:p>
    <w:p w:rsidR="00523327" w:rsidRPr="00691C2B" w:rsidP="00C34203" w14:paraId="3C35F693" w14:textId="77777777">
      <w:pPr>
        <w:pStyle w:val="ListParagraph"/>
        <w:spacing w:after="120"/>
        <w:ind w:left="0" w:firstLine="720"/>
        <w:rPr>
          <w:rFonts w:ascii="Times New Roman" w:hAnsi="Times New Roman" w:cs="Times New Roman"/>
          <w:b/>
        </w:rPr>
      </w:pPr>
      <w:r w:rsidRPr="00691C2B">
        <w:rPr>
          <w:rFonts w:ascii="Times New Roman" w:hAnsi="Times New Roman" w:cs="Times New Roman"/>
          <w:b/>
        </w:rPr>
        <w:t xml:space="preserve">Please </w:t>
      </w:r>
      <w:r w:rsidRPr="00691C2B">
        <w:rPr>
          <w:rFonts w:ascii="Times New Roman" w:hAnsi="Times New Roman" w:cs="Times New Roman"/>
          <w:b/>
          <w:bCs/>
        </w:rPr>
        <w:t>provide in your Disaster Preparation and Response Plan a description of</w:t>
      </w:r>
      <w:r w:rsidRPr="00691C2B">
        <w:rPr>
          <w:rFonts w:ascii="Times New Roman" w:hAnsi="Times New Roman" w:cs="Times New Roman"/>
          <w:b/>
        </w:rPr>
        <w:t xml:space="preserve"> methods and procedures that you have in place, or will soon have in place, to implement backup power solutions.  </w:t>
      </w:r>
    </w:p>
    <w:p w:rsidR="00523327" w:rsidRPr="00691C2B" w:rsidP="00523327" w14:paraId="7D414A07" w14:textId="77777777">
      <w:pPr>
        <w:ind w:firstLine="360"/>
        <w:rPr>
          <w:b/>
          <w:szCs w:val="22"/>
          <w:u w:val="single"/>
        </w:rPr>
      </w:pPr>
      <w:r w:rsidRPr="00691C2B">
        <w:rPr>
          <w:b/>
          <w:szCs w:val="22"/>
        </w:rPr>
        <w:tab/>
      </w:r>
      <w:r w:rsidRPr="00691C2B">
        <w:rPr>
          <w:b/>
          <w:szCs w:val="22"/>
          <w:u w:val="single"/>
        </w:rPr>
        <w:t>Description</w:t>
      </w:r>
    </w:p>
    <w:p w:rsidR="00523327" w:rsidRPr="00691C2B" w:rsidP="006762BB" w14:paraId="4CC1EC92"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 xml:space="preserve">Network elements, particularly those located outdoors, are often powered by the electric grid.  Hurricanes and other natural disasters can cause the temporary loss of commercial power.  Backup power refers to your plans to provide backup power to keep your communications facilities running until commercial power is restored.  </w:t>
      </w:r>
    </w:p>
    <w:p w:rsidR="00523327" w:rsidRPr="00691C2B" w:rsidP="006762BB" w14:paraId="24E8C4C1" w14:textId="77777777">
      <w:pPr>
        <w:keepNext/>
        <w:widowControl/>
        <w:ind w:firstLine="720"/>
        <w:rPr>
          <w:b/>
          <w:bCs/>
          <w:szCs w:val="22"/>
          <w:u w:val="single"/>
        </w:rPr>
      </w:pPr>
      <w:r w:rsidRPr="00691C2B">
        <w:rPr>
          <w:b/>
          <w:szCs w:val="22"/>
          <w:u w:val="single"/>
        </w:rPr>
        <w:t>Example Best Practices, Checklists and/or Standards</w:t>
      </w:r>
    </w:p>
    <w:p w:rsidR="00523327" w:rsidRPr="00691C2B" w:rsidP="006762BB" w14:paraId="10D0DB3C" w14:textId="77777777">
      <w:pPr>
        <w:keepNext/>
        <w:widowControl/>
        <w:spacing w:after="120"/>
        <w:ind w:firstLine="720"/>
        <w:rPr>
          <w:szCs w:val="22"/>
        </w:rPr>
      </w:pPr>
      <w:r w:rsidRPr="00691C2B">
        <w:rPr>
          <w:szCs w:val="22"/>
        </w:rPr>
        <w:t>The FCC’s CSRIC has issued a number of best practices that describe example techniques for implementing backup power solutions.  These include CSRIC Best Practice Nos. 11-9-5204 (ensuring the availability of emergency/backup power), 11-9-0657 (designing standby generator systems for fully automatic operation and for ease of manual operation) and 11-9-1028 (engaging in preventative maintenance programs for network site support systems).</w:t>
      </w:r>
      <w:r>
        <w:rPr>
          <w:rStyle w:val="FootnoteReference"/>
          <w:sz w:val="22"/>
          <w:szCs w:val="22"/>
        </w:rPr>
        <w:footnoteReference w:id="242"/>
      </w:r>
    </w:p>
    <w:p w:rsidR="00523327" w:rsidRPr="00691C2B" w:rsidP="006762BB" w14:paraId="76B85A47" w14:textId="77777777">
      <w:pPr>
        <w:pStyle w:val="Heading1"/>
        <w:keepLines/>
        <w:widowControl/>
        <w:numPr>
          <w:ilvl w:val="0"/>
          <w:numId w:val="0"/>
        </w:numPr>
        <w:suppressAutoHyphens w:val="0"/>
        <w:ind w:left="720" w:hanging="720"/>
        <w:rPr>
          <w:rFonts w:ascii="Times New Roman" w:hAnsi="Times New Roman"/>
          <w:szCs w:val="22"/>
        </w:rPr>
      </w:pPr>
      <w:bookmarkStart w:id="2203" w:name="_Toc31809604"/>
      <w:r w:rsidRPr="00691C2B">
        <w:rPr>
          <w:rFonts w:ascii="Times New Roman" w:hAnsi="Times New Roman"/>
          <w:szCs w:val="22"/>
        </w:rPr>
        <w:t>4. NETWORK MONITORING</w:t>
      </w:r>
      <w:bookmarkEnd w:id="2203"/>
    </w:p>
    <w:p w:rsidR="00523327" w:rsidRPr="00691C2B" w:rsidP="006762BB" w14:paraId="196C4A3C" w14:textId="77777777">
      <w:pPr>
        <w:pStyle w:val="ListParagraph"/>
        <w:spacing w:after="120"/>
        <w:ind w:left="0" w:firstLine="720"/>
        <w:rPr>
          <w:rFonts w:ascii="Times New Roman" w:hAnsi="Times New Roman" w:cs="Times New Roman"/>
          <w:b/>
        </w:rPr>
      </w:pPr>
      <w:r w:rsidRPr="00691C2B">
        <w:rPr>
          <w:rFonts w:ascii="Times New Roman" w:hAnsi="Times New Roman" w:cs="Times New Roman"/>
          <w:b/>
        </w:rPr>
        <w:t xml:space="preserve">Please </w:t>
      </w:r>
      <w:r w:rsidRPr="00691C2B">
        <w:rPr>
          <w:rFonts w:ascii="Times New Roman" w:hAnsi="Times New Roman" w:cs="Times New Roman"/>
          <w:b/>
          <w:bCs/>
        </w:rPr>
        <w:t>provide in your Disaster Preparation and Response Plan a description of</w:t>
      </w:r>
      <w:r w:rsidRPr="00691C2B">
        <w:rPr>
          <w:rFonts w:ascii="Times New Roman" w:hAnsi="Times New Roman" w:cs="Times New Roman"/>
          <w:b/>
        </w:rPr>
        <w:t xml:space="preserve"> methods and procedures that you have in place, or will soon have in place, to implement network monitoring.  </w:t>
      </w:r>
    </w:p>
    <w:p w:rsidR="00523327" w:rsidRPr="00691C2B" w:rsidP="00523327" w14:paraId="4A7923FF" w14:textId="77777777">
      <w:pPr>
        <w:pStyle w:val="ListParagraph"/>
        <w:ind w:left="360" w:firstLine="360"/>
        <w:rPr>
          <w:rFonts w:ascii="Times New Roman" w:hAnsi="Times New Roman" w:cs="Times New Roman"/>
          <w:b/>
          <w:u w:val="single"/>
        </w:rPr>
      </w:pPr>
      <w:r w:rsidRPr="00691C2B">
        <w:rPr>
          <w:rFonts w:ascii="Times New Roman" w:hAnsi="Times New Roman" w:cs="Times New Roman"/>
          <w:b/>
          <w:u w:val="single"/>
        </w:rPr>
        <w:t>Description</w:t>
      </w:r>
    </w:p>
    <w:p w:rsidR="00523327" w:rsidRPr="00691C2B" w:rsidP="006762BB" w14:paraId="2466C588"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 xml:space="preserve">Network monitoring refers to your diagnostics, alarms, collection, analysis, and visualization techniques and systems to detect, correlate and address potential network faults.  </w:t>
      </w:r>
    </w:p>
    <w:p w:rsidR="00523327" w:rsidRPr="00691C2B" w:rsidP="00523327" w14:paraId="4EAB7C81" w14:textId="77777777">
      <w:pPr>
        <w:ind w:firstLine="720"/>
        <w:rPr>
          <w:b/>
          <w:szCs w:val="22"/>
          <w:u w:val="single"/>
        </w:rPr>
      </w:pPr>
      <w:r w:rsidRPr="00691C2B">
        <w:rPr>
          <w:b/>
          <w:szCs w:val="22"/>
          <w:u w:val="single"/>
        </w:rPr>
        <w:t>Example Best Practices, Checklists and/or Standards</w:t>
      </w:r>
    </w:p>
    <w:p w:rsidR="00523327" w:rsidRPr="00691C2B" w:rsidP="006762BB" w14:paraId="23D44BB7"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The FCC’s CSRIC has issued a number of best practices that describe example techniques for implementing backup power solutions.  These include CSRIC Best Practice Nos. 11-9-0401 (monitoring networks to enable quick response) and 11-9-0417 (designing and implementing procedures to evaluate failure and emergency conditions affecting network capacity).</w:t>
      </w:r>
    </w:p>
    <w:p w:rsidR="00523327" w:rsidRPr="00691C2B" w:rsidP="006762BB" w14:paraId="3F896D62" w14:textId="77777777">
      <w:pPr>
        <w:pStyle w:val="Heading1"/>
        <w:keepLines/>
        <w:widowControl/>
        <w:numPr>
          <w:ilvl w:val="0"/>
          <w:numId w:val="0"/>
        </w:numPr>
        <w:suppressAutoHyphens w:val="0"/>
        <w:ind w:left="720" w:hanging="720"/>
        <w:rPr>
          <w:rFonts w:ascii="Times New Roman" w:hAnsi="Times New Roman"/>
          <w:szCs w:val="22"/>
        </w:rPr>
      </w:pPr>
      <w:bookmarkStart w:id="2204" w:name="_Toc31809605"/>
      <w:r w:rsidRPr="00691C2B">
        <w:rPr>
          <w:rFonts w:ascii="Times New Roman" w:hAnsi="Times New Roman"/>
          <w:szCs w:val="22"/>
        </w:rPr>
        <w:t>5. EMERGENCY PREPAREDNESS</w:t>
      </w:r>
      <w:bookmarkEnd w:id="2204"/>
      <w:r w:rsidRPr="00691C2B">
        <w:rPr>
          <w:rFonts w:ascii="Times New Roman" w:hAnsi="Times New Roman"/>
          <w:szCs w:val="22"/>
        </w:rPr>
        <w:t xml:space="preserve"> </w:t>
      </w:r>
    </w:p>
    <w:p w:rsidR="00523327" w:rsidRPr="00691C2B" w:rsidP="006762BB" w14:paraId="16361F26" w14:textId="77777777">
      <w:pPr>
        <w:pStyle w:val="ListParagraph"/>
        <w:spacing w:after="120"/>
        <w:ind w:left="0" w:firstLine="720"/>
        <w:rPr>
          <w:rFonts w:ascii="Times New Roman" w:hAnsi="Times New Roman" w:cs="Times New Roman"/>
          <w:b/>
        </w:rPr>
      </w:pPr>
      <w:r w:rsidRPr="00691C2B">
        <w:rPr>
          <w:rFonts w:ascii="Times New Roman" w:hAnsi="Times New Roman" w:cs="Times New Roman"/>
          <w:b/>
        </w:rPr>
        <w:t xml:space="preserve">Please </w:t>
      </w:r>
      <w:r w:rsidRPr="00691C2B">
        <w:rPr>
          <w:rFonts w:ascii="Times New Roman" w:hAnsi="Times New Roman" w:cs="Times New Roman"/>
          <w:b/>
          <w:bCs/>
        </w:rPr>
        <w:t>provide in your Disaster Preparation and Response Plan a description of</w:t>
      </w:r>
      <w:r w:rsidRPr="00691C2B">
        <w:rPr>
          <w:rFonts w:ascii="Times New Roman" w:hAnsi="Times New Roman" w:cs="Times New Roman"/>
          <w:b/>
        </w:rPr>
        <w:t xml:space="preserve"> methods and procedures that you have in place, or will soon have in place, related to emergency preparedness.  </w:t>
      </w:r>
    </w:p>
    <w:p w:rsidR="00523327" w:rsidRPr="00691C2B" w:rsidP="00523327" w14:paraId="30F7D169" w14:textId="77777777">
      <w:pPr>
        <w:pStyle w:val="ListParagraph"/>
        <w:ind w:left="360" w:firstLine="360"/>
        <w:rPr>
          <w:rFonts w:ascii="Times New Roman" w:hAnsi="Times New Roman" w:cs="Times New Roman"/>
          <w:b/>
          <w:u w:val="single"/>
        </w:rPr>
      </w:pPr>
      <w:r w:rsidRPr="00691C2B">
        <w:rPr>
          <w:rFonts w:ascii="Times New Roman" w:hAnsi="Times New Roman" w:cs="Times New Roman"/>
          <w:b/>
          <w:u w:val="single"/>
        </w:rPr>
        <w:t>Description</w:t>
      </w:r>
    </w:p>
    <w:p w:rsidR="00523327" w:rsidRPr="00691C2B" w:rsidP="006762BB" w14:paraId="2E2966E3" w14:textId="77777777">
      <w:pPr>
        <w:pStyle w:val="ListParagraph"/>
        <w:spacing w:after="120"/>
        <w:ind w:left="0" w:firstLine="720"/>
        <w:rPr>
          <w:rFonts w:ascii="Times New Roman" w:hAnsi="Times New Roman" w:cs="Times New Roman"/>
        </w:rPr>
      </w:pPr>
      <w:r w:rsidRPr="00691C2B">
        <w:rPr>
          <w:rFonts w:ascii="Times New Roman" w:hAnsi="Times New Roman" w:cs="Times New Roman"/>
        </w:rPr>
        <w:t xml:space="preserve">Emergency preparedness refers to your activities, including planning activities, intended to maintain your continuity of network operations in an area affected by a major weather event, including coordination with other entities. </w:t>
      </w:r>
    </w:p>
    <w:p w:rsidR="00523327" w:rsidRPr="00691C2B" w:rsidP="00523327" w14:paraId="56FF53BC" w14:textId="77777777">
      <w:pPr>
        <w:ind w:firstLine="720"/>
        <w:rPr>
          <w:b/>
          <w:bCs/>
          <w:szCs w:val="22"/>
          <w:u w:val="single"/>
        </w:rPr>
      </w:pPr>
      <w:r w:rsidRPr="00691C2B">
        <w:rPr>
          <w:b/>
          <w:szCs w:val="22"/>
          <w:u w:val="single"/>
        </w:rPr>
        <w:t>Example Best Practices, Checklists and/or Standards</w:t>
      </w:r>
    </w:p>
    <w:p w:rsidR="00523327" w:rsidRPr="00691C2B" w:rsidP="006762BB" w14:paraId="1C3C2E7D" w14:textId="77777777">
      <w:pPr>
        <w:spacing w:after="120"/>
        <w:ind w:firstLine="720"/>
        <w:rPr>
          <w:szCs w:val="22"/>
        </w:rPr>
      </w:pPr>
      <w:r w:rsidRPr="00691C2B">
        <w:rPr>
          <w:szCs w:val="22"/>
        </w:rPr>
        <w:t>The FCC’s CSRIC has issued CSRIC Best Practice Nos. 11-9-0655 (coordinating hurricane and other disaster restoration work with electrical and other utilities).</w:t>
      </w:r>
      <w:r>
        <w:rPr>
          <w:rStyle w:val="FootnoteReference"/>
          <w:sz w:val="22"/>
          <w:szCs w:val="22"/>
        </w:rPr>
        <w:footnoteReference w:id="243"/>
      </w:r>
      <w:r w:rsidRPr="00691C2B">
        <w:rPr>
          <w:szCs w:val="22"/>
        </w:rPr>
        <w:t xml:space="preserve">  In addition, the ATIS checklist provides example techniques to strengthen infrastructure equipment.  These relate to:</w:t>
      </w:r>
    </w:p>
    <w:p w:rsidR="00523327" w:rsidRPr="00691C2B" w:rsidP="00523327" w14:paraId="4BD0270F"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reserving and activating primary or back-up Emergency Operation Centers (EOCs) outside of a storm’s path for tactical operations;</w:t>
      </w:r>
      <w:r>
        <w:rPr>
          <w:rStyle w:val="FootnoteReference"/>
          <w:rFonts w:cs="Times New Roman"/>
          <w:sz w:val="22"/>
        </w:rPr>
        <w:footnoteReference w:id="244"/>
      </w:r>
      <w:r w:rsidRPr="00691C2B">
        <w:rPr>
          <w:rFonts w:ascii="Times New Roman" w:hAnsi="Times New Roman" w:cs="Times New Roman"/>
        </w:rPr>
        <w:t xml:space="preserve"> and </w:t>
      </w:r>
    </w:p>
    <w:p w:rsidR="00523327" w:rsidRPr="00691C2B" w:rsidP="00523327" w14:paraId="0B774664" w14:textId="77777777">
      <w:pPr>
        <w:pStyle w:val="ListParagraph"/>
        <w:numPr>
          <w:ilvl w:val="1"/>
          <w:numId w:val="22"/>
        </w:numPr>
        <w:spacing w:after="160" w:line="256" w:lineRule="auto"/>
        <w:ind w:left="1080"/>
        <w:contextualSpacing/>
        <w:rPr>
          <w:rFonts w:ascii="Times New Roman" w:hAnsi="Times New Roman" w:cs="Times New Roman"/>
        </w:rPr>
      </w:pPr>
      <w:r w:rsidRPr="00691C2B">
        <w:rPr>
          <w:rFonts w:ascii="Times New Roman" w:hAnsi="Times New Roman" w:cs="Times New Roman"/>
        </w:rPr>
        <w:t>verifying designations for high priority circuits are maintained in a database for speed of restoration.</w:t>
      </w:r>
      <w:r>
        <w:rPr>
          <w:rStyle w:val="FootnoteReference"/>
          <w:rFonts w:cs="Times New Roman"/>
          <w:sz w:val="22"/>
        </w:rPr>
        <w:footnoteReference w:id="245"/>
      </w:r>
      <w:r w:rsidRPr="00691C2B">
        <w:rPr>
          <w:rFonts w:ascii="Times New Roman" w:hAnsi="Times New Roman" w:cs="Times New Roman"/>
        </w:rPr>
        <w:t xml:space="preserve"> </w:t>
      </w:r>
    </w:p>
    <w:p w:rsidR="00883ED6" w:rsidRPr="00110D8B" w:rsidP="00110D8B" w14:paraId="262508A2" w14:textId="3CBA7313">
      <w:pPr>
        <w:pStyle w:val="ListParagraph"/>
        <w:numPr>
          <w:ilvl w:val="1"/>
          <w:numId w:val="21"/>
        </w:numPr>
        <w:spacing w:after="160" w:line="256" w:lineRule="auto"/>
        <w:ind w:left="1080"/>
        <w:contextualSpacing/>
        <w:rPr>
          <w:rFonts w:ascii="Times New Roman" w:hAnsi="Times New Roman" w:cs="Times New Roman"/>
        </w:rPr>
      </w:pPr>
      <w:r w:rsidRPr="00691C2B">
        <w:rPr>
          <w:rFonts w:ascii="Times New Roman" w:hAnsi="Times New Roman" w:cs="Times New Roman"/>
        </w:rPr>
        <w:t xml:space="preserve">coordination agreements between communications providers and power companies regarding mutual preparation and restoration efforts that can be activated when a storm </w:t>
      </w:r>
    </w:p>
    <w:sectPr w:rsidSect="006762BB">
      <w:head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onic">
    <w:panose1 w:val="00000000000000000000"/>
    <w:charset w:val="00"/>
    <w:family w:val="roman"/>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15" w:rsidP="0055614C" w14:paraId="7AD6F5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C64615" w14:paraId="23A71E09" w14:textId="77777777">
    <w:pPr>
      <w:pStyle w:val="Footer"/>
    </w:pPr>
  </w:p>
  <w:p w:rsidR="00C64615" w14:paraId="2E05D88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15" w:rsidP="0055614C" w14:paraId="4A1730A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C64615" w14:paraId="76B1D3F9" w14:textId="77777777">
    <w:pPr>
      <w:suppressAutoHyphens/>
      <w:spacing w:line="227" w:lineRule="auto"/>
    </w:pPr>
  </w:p>
  <w:p w:rsidR="00C64615" w14:paraId="5162BF8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15" w14:paraId="7F7912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771C" w14:paraId="36DD3937" w14:textId="77777777">
      <w:r>
        <w:separator/>
      </w:r>
    </w:p>
  </w:footnote>
  <w:footnote w:type="continuationSeparator" w:id="1">
    <w:p w:rsidR="0033771C" w:rsidP="00C721AC" w14:paraId="7DE18A2B" w14:textId="77777777">
      <w:pPr>
        <w:spacing w:before="120"/>
        <w:rPr>
          <w:sz w:val="20"/>
        </w:rPr>
      </w:pPr>
      <w:r>
        <w:rPr>
          <w:sz w:val="20"/>
        </w:rPr>
        <w:t xml:space="preserve">(Continued from previous page)  </w:t>
      </w:r>
      <w:r>
        <w:rPr>
          <w:sz w:val="20"/>
        </w:rPr>
        <w:separator/>
      </w:r>
    </w:p>
  </w:footnote>
  <w:footnote w:type="continuationNotice" w:id="2">
    <w:p w:rsidR="0033771C" w:rsidP="00C721AC" w14:paraId="235B9301" w14:textId="77777777">
      <w:pPr>
        <w:jc w:val="right"/>
        <w:rPr>
          <w:sz w:val="20"/>
        </w:rPr>
      </w:pPr>
    </w:p>
  </w:footnote>
  <w:footnote w:id="3">
    <w:p w:rsidR="00C64615" w14:paraId="06CA904F" w14:textId="280B95A1">
      <w:pPr>
        <w:pStyle w:val="FootnoteText"/>
      </w:pPr>
      <w:r>
        <w:rPr>
          <w:rStyle w:val="FootnoteReference"/>
        </w:rPr>
        <w:footnoteRef/>
      </w:r>
      <w:r>
        <w:t xml:space="preserve"> In the </w:t>
      </w:r>
      <w:r w:rsidRPr="005F46E9">
        <w:rPr>
          <w:i/>
        </w:rPr>
        <w:t>Uniendo a Puerto Rico Fund and the Connect USVI Fund</w:t>
      </w:r>
      <w:r w:rsidRPr="001956D9">
        <w:t xml:space="preserve">, Order, WC Docket Nos. 18-143, 10-90, 14-58, </w:t>
      </w:r>
      <w:r>
        <w:t>34 FCC Rcd 9109 (Sept. 30, 2019</w:t>
      </w:r>
      <w:r w:rsidRPr="001956D9">
        <w:t>) (</w:t>
      </w:r>
      <w:r w:rsidRPr="001956D9">
        <w:rPr>
          <w:i/>
        </w:rPr>
        <w:t>PR-USVI</w:t>
      </w:r>
      <w:r>
        <w:rPr>
          <w:i/>
        </w:rPr>
        <w:t xml:space="preserve"> Stage 2 </w:t>
      </w:r>
      <w:r w:rsidRPr="001956D9">
        <w:rPr>
          <w:i/>
        </w:rPr>
        <w:t>Order</w:t>
      </w:r>
      <w:r w:rsidRPr="001956D9">
        <w:t>)</w:t>
      </w:r>
      <w:r>
        <w:t xml:space="preserve">, the Commission directed the Bureau to conduct a single-round competitive proposal process to award fixed support for voice and broadband services in Puerto Rico and the U.S. Virgin Islands consistent with parameters adopted in the </w:t>
      </w:r>
      <w:r w:rsidRPr="0087796E">
        <w:rPr>
          <w:i/>
        </w:rPr>
        <w:t>Order</w:t>
      </w:r>
      <w:r>
        <w:t xml:space="preserve">.  </w:t>
      </w:r>
      <w:r w:rsidRPr="0087796E">
        <w:rPr>
          <w:i/>
        </w:rPr>
        <w:t>Id.</w:t>
      </w:r>
      <w:r>
        <w:t xml:space="preserve"> at 9133-35, paras. 39-41.  Among other things, the Commission directed to the Bureau to “release an initial Public Notice . . . that further details the expected timeline and submission process for competitive applications, and that restricts eligible providers from discussing their applications or application strategy with each other during the application process and until awards are announced.”  </w:t>
      </w:r>
      <w:r w:rsidRPr="0087796E">
        <w:rPr>
          <w:i/>
        </w:rPr>
        <w:t>Id</w:t>
      </w:r>
      <w:r>
        <w:t xml:space="preserve">. at 9133, para. 39.  The Commission further directed the Bureau “to create any forms required for the submission of a competitive proposal and obtain the necessary approvals to use the form(s)” and stated that it expected the Bureau to “provide additional information regarding the process for submitting an application” and to set forth “how to use and submit any forms, the certification of ETC status, the Letter of Credit, and the Disaster Preparation and Response Plan.”  </w:t>
      </w:r>
      <w:r w:rsidRPr="0087796E">
        <w:rPr>
          <w:i/>
        </w:rPr>
        <w:t>Id</w:t>
      </w:r>
      <w:r>
        <w:t xml:space="preserve">.  Based on the competitive process, the Bureau will “evaluate applications and select on winner per geographic area consistent with the methodology adopted in [the] Order.”  </w:t>
      </w:r>
      <w:r w:rsidRPr="0087796E">
        <w:rPr>
          <w:i/>
        </w:rPr>
        <w:t>Id</w:t>
      </w:r>
      <w:r>
        <w:t xml:space="preserve">. at para. 41.  </w:t>
      </w:r>
    </w:p>
  </w:footnote>
  <w:footnote w:id="4">
    <w:p w:rsidR="00C64615" w:rsidRPr="00805F1F" w:rsidP="002454C0" w14:paraId="181CA3DB" w14:textId="6B0756ED">
      <w:pPr>
        <w:pStyle w:val="FootnoteText"/>
      </w:pPr>
      <w:r w:rsidRPr="00805F1F">
        <w:rPr>
          <w:rStyle w:val="FootnoteReference"/>
        </w:rPr>
        <w:footnoteRef/>
      </w:r>
      <w:r w:rsidRPr="00805F1F">
        <w:t xml:space="preserve"> </w:t>
      </w:r>
      <w:r w:rsidRPr="001956D9">
        <w:rPr>
          <w:i/>
        </w:rPr>
        <w:t>PR-USVI</w:t>
      </w:r>
      <w:r>
        <w:rPr>
          <w:i/>
        </w:rPr>
        <w:t xml:space="preserve"> Stage 2 </w:t>
      </w:r>
      <w:r w:rsidRPr="001956D9">
        <w:rPr>
          <w:i/>
        </w:rPr>
        <w:t>Order</w:t>
      </w:r>
      <w:r>
        <w:t>, 34 FCC Rcd at 9110, 9146-48, paras. 3, 67-70</w:t>
      </w:r>
      <w:r w:rsidRPr="001956D9">
        <w:t>.</w:t>
      </w:r>
      <w:r>
        <w:t xml:space="preserve">  </w:t>
      </w:r>
      <w:r w:rsidRPr="00F3130A">
        <w:t>Virgin Islands Telephone Corp. d/b/a Viya</w:t>
      </w:r>
      <w:r>
        <w:t xml:space="preserve"> filed a petition for reconsideration of the order.  </w:t>
      </w:r>
      <w:r>
        <w:rPr>
          <w:i/>
        </w:rPr>
        <w:t xml:space="preserve">See </w:t>
      </w:r>
      <w:r>
        <w:t>85 Fed. Reg. 61 (Jan. 2, 2020).</w:t>
      </w:r>
    </w:p>
  </w:footnote>
  <w:footnote w:id="5">
    <w:p w:rsidR="00C64615" w14:paraId="65E0D271" w14:textId="6696C503">
      <w:pPr>
        <w:pStyle w:val="FootnoteText"/>
      </w:pPr>
      <w:r>
        <w:rPr>
          <w:rStyle w:val="FootnoteReference"/>
        </w:rPr>
        <w:footnoteRef/>
      </w:r>
      <w:r>
        <w:t xml:space="preserve"> Following the availability and announcement of the Stage 2 application form, the Bureau anticipates the application window deadline for all Stage 2 proposals will be approximately 30 days from the release of the public notice.  </w:t>
      </w:r>
    </w:p>
  </w:footnote>
  <w:footnote w:id="6">
    <w:p w:rsidR="00C64615" w:rsidRPr="00213E6A" w:rsidP="00804C0E" w14:paraId="746B877C" w14:textId="139EC29A">
      <w:pPr>
        <w:pStyle w:val="FootnoteText"/>
      </w:pPr>
      <w:r>
        <w:rPr>
          <w:rStyle w:val="FootnoteReference"/>
        </w:rPr>
        <w:footnoteRef/>
      </w:r>
      <w:r>
        <w:t xml:space="preserve"> In addition to support for fixed voice and telecommunication services, the Commission allocated more than $250 million to the Uniendo a Puerto Rico Fund and $4.4 million to the Connect USVI Fund for Stage 2 mobile support over a three-year period.  </w:t>
      </w:r>
      <w:r w:rsidRPr="001956D9">
        <w:rPr>
          <w:i/>
        </w:rPr>
        <w:t>PR-USVI</w:t>
      </w:r>
      <w:r>
        <w:rPr>
          <w:i/>
        </w:rPr>
        <w:t xml:space="preserve"> Stage 2 </w:t>
      </w:r>
      <w:r w:rsidRPr="001956D9">
        <w:rPr>
          <w:i/>
        </w:rPr>
        <w:t>Order</w:t>
      </w:r>
      <w:r>
        <w:t>, 34 FCC Rcd at 9110, para. 3.</w:t>
      </w:r>
    </w:p>
  </w:footnote>
  <w:footnote w:id="7">
    <w:p w:rsidR="00C64615" w14:paraId="79319F0F" w14:textId="3AEC3F03">
      <w:pPr>
        <w:pStyle w:val="FootnoteText"/>
      </w:pPr>
      <w:r>
        <w:rPr>
          <w:rStyle w:val="FootnoteReference"/>
        </w:rPr>
        <w:footnoteRef/>
      </w:r>
      <w:r>
        <w:t xml:space="preserve"> </w:t>
      </w:r>
      <w:r w:rsidRPr="001956D9">
        <w:rPr>
          <w:i/>
        </w:rPr>
        <w:t>PR-USVI</w:t>
      </w:r>
      <w:r>
        <w:rPr>
          <w:i/>
        </w:rPr>
        <w:t xml:space="preserve"> Stage 2 </w:t>
      </w:r>
      <w:r w:rsidRPr="001956D9">
        <w:rPr>
          <w:i/>
        </w:rPr>
        <w:t>Order</w:t>
      </w:r>
      <w:r>
        <w:t>, 34 FCC Rcd at 9114-15, para. 11.</w:t>
      </w:r>
    </w:p>
  </w:footnote>
  <w:footnote w:id="8">
    <w:p w:rsidR="00C64615" w14:paraId="68EF69B7" w14:textId="47F2B04F">
      <w:pPr>
        <w:pStyle w:val="FootnoteText"/>
      </w:pPr>
      <w:r>
        <w:rPr>
          <w:rStyle w:val="FootnoteReference"/>
        </w:rPr>
        <w:footnoteRef/>
      </w:r>
      <w:r>
        <w:t xml:space="preserve"> </w:t>
      </w:r>
      <w:r w:rsidRPr="00FD2256">
        <w:rPr>
          <w:i/>
        </w:rPr>
        <w:t>Id</w:t>
      </w:r>
      <w:r>
        <w:t>. at 9116, para. 13.</w:t>
      </w:r>
    </w:p>
  </w:footnote>
  <w:footnote w:id="9">
    <w:p w:rsidR="00C64615" w14:paraId="0DABD0DA" w14:textId="15BA243D">
      <w:pPr>
        <w:pStyle w:val="FootnoteText"/>
      </w:pPr>
      <w:r>
        <w:rPr>
          <w:rStyle w:val="FootnoteReference"/>
        </w:rPr>
        <w:footnoteRef/>
      </w:r>
      <w:r>
        <w:t xml:space="preserve"> </w:t>
      </w:r>
      <w:r w:rsidRPr="00FD2256">
        <w:rPr>
          <w:i/>
        </w:rPr>
        <w:t>Id</w:t>
      </w:r>
      <w:r>
        <w:t>. at 9117, para 14.</w:t>
      </w:r>
    </w:p>
  </w:footnote>
  <w:footnote w:id="10">
    <w:p w:rsidR="00C64615" w14:paraId="018701BD" w14:textId="462DEAC5">
      <w:pPr>
        <w:pStyle w:val="FootnoteText"/>
      </w:pPr>
      <w:r>
        <w:rPr>
          <w:rStyle w:val="FootnoteReference"/>
        </w:rPr>
        <w:footnoteRef/>
      </w:r>
      <w:r>
        <w:t xml:space="preserve"> </w:t>
      </w:r>
      <w:r w:rsidRPr="00CC02D6">
        <w:rPr>
          <w:i/>
        </w:rPr>
        <w:t>Id</w:t>
      </w:r>
      <w:r>
        <w:t>.</w:t>
      </w:r>
      <w:r w:rsidRPr="00CC02D6">
        <w:t xml:space="preserve"> </w:t>
      </w:r>
      <w:r>
        <w:t>at 9114-15, para. 11.</w:t>
      </w:r>
    </w:p>
  </w:footnote>
  <w:footnote w:id="11">
    <w:p w:rsidR="00C64615" w:rsidP="002454C0" w14:paraId="1DC6CB8C" w14:textId="174ADD8B">
      <w:pPr>
        <w:pStyle w:val="FootnoteText"/>
      </w:pPr>
      <w:r>
        <w:rPr>
          <w:rStyle w:val="FootnoteReference"/>
        </w:rPr>
        <w:footnoteRef/>
      </w:r>
      <w:r>
        <w:t xml:space="preserve"> </w:t>
      </w:r>
      <w:r>
        <w:rPr>
          <w:i/>
        </w:rPr>
        <w:t>See</w:t>
      </w:r>
      <w:r w:rsidRPr="00277434">
        <w:rPr>
          <w:i/>
        </w:rPr>
        <w:t>,</w:t>
      </w:r>
      <w:r>
        <w:t xml:space="preserve"> </w:t>
      </w:r>
      <w:r>
        <w:rPr>
          <w:i/>
        </w:rPr>
        <w:t>e.g</w:t>
      </w:r>
      <w:r>
        <w:t xml:space="preserve">., </w:t>
      </w:r>
      <w:r w:rsidRPr="00CA0202">
        <w:t>47 CFR §§ 1.210</w:t>
      </w:r>
      <w:r>
        <w:t xml:space="preserve">1-1.2114; </w:t>
      </w:r>
      <w:r w:rsidRPr="001F1420">
        <w:rPr>
          <w:i/>
        </w:rPr>
        <w:t>Connect America Fund et al.</w:t>
      </w:r>
      <w:r w:rsidRPr="001F1420">
        <w:t>, Report and Order and Further Notice of Proposed Rulemaking, 31 FCC Rcd 5949 (2016) (</w:t>
      </w:r>
      <w:r w:rsidRPr="001F1420">
        <w:rPr>
          <w:i/>
        </w:rPr>
        <w:t>Phase II Auction Order and/or FNPRM</w:t>
      </w:r>
      <w:r w:rsidRPr="001F1420">
        <w:t>)</w:t>
      </w:r>
      <w:r>
        <w:t xml:space="preserve">; </w:t>
      </w:r>
      <w:r w:rsidRPr="001F1420">
        <w:rPr>
          <w:i/>
        </w:rPr>
        <w:t xml:space="preserve">Connect America Fund </w:t>
      </w:r>
      <w:r>
        <w:rPr>
          <w:i/>
        </w:rPr>
        <w:t>Phase II Auction Scheduled for July 24, 2018 Notice and Filing Requirements and Other Procedures for Auction 903</w:t>
      </w:r>
      <w:r w:rsidRPr="001F1420">
        <w:rPr>
          <w:i/>
        </w:rPr>
        <w:t>.</w:t>
      </w:r>
      <w:r w:rsidRPr="001F1420">
        <w:t xml:space="preserve">, </w:t>
      </w:r>
      <w:r>
        <w:t>Public Notice, 33</w:t>
      </w:r>
      <w:r w:rsidRPr="001F1420">
        <w:t xml:space="preserve"> FCC Rcd </w:t>
      </w:r>
      <w:r>
        <w:t>1428</w:t>
      </w:r>
      <w:r w:rsidRPr="001F1420">
        <w:t xml:space="preserve"> (</w:t>
      </w:r>
      <w:r>
        <w:t>2018</w:t>
      </w:r>
      <w:r w:rsidRPr="001F1420">
        <w:t>) (</w:t>
      </w:r>
      <w:r>
        <w:rPr>
          <w:i/>
        </w:rPr>
        <w:t>Auction 903</w:t>
      </w:r>
      <w:r w:rsidRPr="001F1420">
        <w:rPr>
          <w:i/>
        </w:rPr>
        <w:t xml:space="preserve"> </w:t>
      </w:r>
      <w:r>
        <w:rPr>
          <w:i/>
        </w:rPr>
        <w:t>Procedures Notice</w:t>
      </w:r>
      <w:r w:rsidRPr="001F1420">
        <w:t>)</w:t>
      </w:r>
      <w:r>
        <w:t xml:space="preserve">; </w:t>
      </w:r>
      <w:r w:rsidRPr="009275FD">
        <w:rPr>
          <w:i/>
        </w:rPr>
        <w:t>Amendment of Part 1 of the Commission</w:t>
      </w:r>
      <w:r>
        <w:rPr>
          <w:i/>
        </w:rPr>
        <w:t>’</w:t>
      </w:r>
      <w:r w:rsidRPr="009275FD">
        <w:rPr>
          <w:i/>
        </w:rPr>
        <w:t xml:space="preserve">s Rules – Competitive </w:t>
      </w:r>
      <w:r>
        <w:rPr>
          <w:i/>
        </w:rPr>
        <w:t>Bidding</w:t>
      </w:r>
      <w:r w:rsidRPr="009275FD">
        <w:rPr>
          <w:i/>
        </w:rPr>
        <w:t xml:space="preserve"> Procedures</w:t>
      </w:r>
      <w:r>
        <w:t xml:space="preserve">, </w:t>
      </w:r>
      <w:r w:rsidRPr="009275FD">
        <w:t>Order on Reconsideration of the Third Report and Order</w:t>
      </w:r>
      <w:r>
        <w:t xml:space="preserve"> et al., 15 FCC Rcd 15293 (2000), </w:t>
      </w:r>
      <w:r w:rsidRPr="00277434">
        <w:rPr>
          <w:i/>
        </w:rPr>
        <w:t>modified by</w:t>
      </w:r>
      <w:r>
        <w:t xml:space="preserve"> </w:t>
      </w:r>
      <w:r w:rsidRPr="009275FD">
        <w:rPr>
          <w:i/>
        </w:rPr>
        <w:t>Amendment of Part 1 of the Commission</w:t>
      </w:r>
      <w:r>
        <w:rPr>
          <w:i/>
        </w:rPr>
        <w:t>’</w:t>
      </w:r>
      <w:r w:rsidRPr="009275FD">
        <w:rPr>
          <w:i/>
        </w:rPr>
        <w:t xml:space="preserve">s Rules – Competitive </w:t>
      </w:r>
      <w:r>
        <w:rPr>
          <w:i/>
        </w:rPr>
        <w:t>Bidding</w:t>
      </w:r>
      <w:r w:rsidRPr="009275FD">
        <w:rPr>
          <w:i/>
        </w:rPr>
        <w:t xml:space="preserve"> Procedures</w:t>
      </w:r>
      <w:r>
        <w:t xml:space="preserve">, Erratum, DA 00-2475 (rel. Nov. 3, 2000); </w:t>
      </w:r>
      <w:r w:rsidRPr="009275FD">
        <w:rPr>
          <w:i/>
        </w:rPr>
        <w:t>Amendment of Part 1 of the Commission</w:t>
      </w:r>
      <w:r>
        <w:rPr>
          <w:i/>
        </w:rPr>
        <w:t>’</w:t>
      </w:r>
      <w:r w:rsidRPr="009275FD">
        <w:rPr>
          <w:i/>
        </w:rPr>
        <w:t xml:space="preserve">s Rules – Competitive </w:t>
      </w:r>
      <w:r>
        <w:rPr>
          <w:i/>
        </w:rPr>
        <w:t>Bidding</w:t>
      </w:r>
      <w:r w:rsidRPr="009275FD">
        <w:rPr>
          <w:i/>
        </w:rPr>
        <w:t xml:space="preserve"> Procedures</w:t>
      </w:r>
      <w:r>
        <w:t xml:space="preserve">, </w:t>
      </w:r>
      <w:r w:rsidRPr="00F87A85">
        <w:t>Seventh Report and Order</w:t>
      </w:r>
      <w:r>
        <w:t xml:space="preserve">, 16 FCC Rcd 17546 (2001); </w:t>
      </w:r>
      <w:r w:rsidRPr="009275FD">
        <w:rPr>
          <w:i/>
        </w:rPr>
        <w:t>Amendment of Part 1 of the Commission</w:t>
      </w:r>
      <w:r>
        <w:rPr>
          <w:i/>
        </w:rPr>
        <w:t>’</w:t>
      </w:r>
      <w:r w:rsidRPr="009275FD">
        <w:rPr>
          <w:i/>
        </w:rPr>
        <w:t xml:space="preserve">s Rules – Competitive </w:t>
      </w:r>
      <w:r>
        <w:rPr>
          <w:i/>
        </w:rPr>
        <w:t>Bidding</w:t>
      </w:r>
      <w:r w:rsidRPr="009275FD">
        <w:rPr>
          <w:i/>
        </w:rPr>
        <w:t xml:space="preserve"> Procedures</w:t>
      </w:r>
      <w:r>
        <w:t xml:space="preserve">, </w:t>
      </w:r>
      <w:r w:rsidRPr="00F87A85">
        <w:t>Eighth Report and Order</w:t>
      </w:r>
      <w:r>
        <w:t xml:space="preserve">, 17 FCC Rcd 2962 (2002); </w:t>
      </w:r>
      <w:r w:rsidRPr="009275FD">
        <w:rPr>
          <w:i/>
        </w:rPr>
        <w:t>Amendment of Part 1 of the Commission</w:t>
      </w:r>
      <w:r>
        <w:rPr>
          <w:i/>
        </w:rPr>
        <w:t>’</w:t>
      </w:r>
      <w:r w:rsidRPr="009275FD">
        <w:rPr>
          <w:i/>
        </w:rPr>
        <w:t xml:space="preserve">s Rules – Competitive </w:t>
      </w:r>
      <w:r>
        <w:rPr>
          <w:i/>
        </w:rPr>
        <w:t>Bidding</w:t>
      </w:r>
      <w:r w:rsidRPr="009275FD">
        <w:rPr>
          <w:i/>
        </w:rPr>
        <w:t xml:space="preserve"> Procedures</w:t>
      </w:r>
      <w:r>
        <w:t xml:space="preserve">, </w:t>
      </w:r>
      <w:r w:rsidRPr="00F87A85">
        <w:t>Second Order on Reconsideration of the Third Report and Order and Order on Reconsideration of the Fifth Report and Order</w:t>
      </w:r>
      <w:r>
        <w:t xml:space="preserve">, 18 FCC Rcd 10180 (2003); </w:t>
      </w:r>
      <w:r w:rsidRPr="009275FD">
        <w:rPr>
          <w:i/>
        </w:rPr>
        <w:t>Amendment of Part 1 of the Commission</w:t>
      </w:r>
      <w:r>
        <w:rPr>
          <w:i/>
        </w:rPr>
        <w:t>’</w:t>
      </w:r>
      <w:r w:rsidRPr="009275FD">
        <w:rPr>
          <w:i/>
        </w:rPr>
        <w:t xml:space="preserve">s Rules – Competitive </w:t>
      </w:r>
      <w:r>
        <w:rPr>
          <w:i/>
        </w:rPr>
        <w:t>Bidding</w:t>
      </w:r>
      <w:r w:rsidRPr="009275FD">
        <w:rPr>
          <w:i/>
        </w:rPr>
        <w:t xml:space="preserve"> Procedures</w:t>
      </w:r>
      <w:r>
        <w:t xml:space="preserve">, </w:t>
      </w:r>
      <w:r w:rsidRPr="00F87A85">
        <w:t>Second Order on Reconsideration of the Fifth Report and Order</w:t>
      </w:r>
      <w:r w:rsidRPr="005463BF">
        <w:t>,</w:t>
      </w:r>
      <w:r>
        <w:rPr>
          <w:i/>
        </w:rPr>
        <w:t xml:space="preserve"> </w:t>
      </w:r>
      <w:r>
        <w:t xml:space="preserve">20 FCC Rcd 1942 (2005).  </w:t>
      </w:r>
    </w:p>
  </w:footnote>
  <w:footnote w:id="12">
    <w:p w:rsidR="00C64615" w:rsidP="002454C0" w14:paraId="6E7B7C2B" w14:textId="5D0E60EC">
      <w:pPr>
        <w:pStyle w:val="FootnoteText"/>
      </w:pPr>
      <w:r>
        <w:rPr>
          <w:rStyle w:val="FootnoteReference"/>
        </w:rPr>
        <w:footnoteRef/>
      </w:r>
      <w:r>
        <w:t xml:space="preserve"> 47 CFR </w:t>
      </w:r>
      <w:r w:rsidRPr="00745C1D">
        <w:t>§</w:t>
      </w:r>
      <w:r>
        <w:t xml:space="preserve"> 54.1507.  A support recipient will be required to offer service to fixed locations, regardless of the technology to be employed.  Each support recipient must meet certain public interest obligations as a condition of receiving support.  This section is a high-level summary of various rules, orders, and public notices that describe the public interest obligations for recipients generally and Stage 2 Fixed recipients more specifically.  Each p</w:t>
      </w:r>
      <w:r w:rsidRPr="00CA0202">
        <w:t>ros</w:t>
      </w:r>
      <w:r>
        <w:t xml:space="preserve">pective applicant should review the relevant underlying rules and documents and has the obligation to conduct due diligence prior to the competition to ensure that it will be able to meet the relevant public interest obligations if authorized to receive support.  </w:t>
      </w:r>
      <w:r w:rsidRPr="00447D74">
        <w:rPr>
          <w:i/>
        </w:rPr>
        <w:t>See supra</w:t>
      </w:r>
      <w:r>
        <w:t xml:space="preserve"> Section I.B (Background and Relevant Authority); </w:t>
      </w:r>
      <w:r w:rsidRPr="00447D74">
        <w:rPr>
          <w:i/>
        </w:rPr>
        <w:t>infra</w:t>
      </w:r>
      <w:r>
        <w:rPr>
          <w:i/>
        </w:rPr>
        <w:t xml:space="preserve"> </w:t>
      </w:r>
      <w:r>
        <w:t>Section</w:t>
      </w:r>
      <w:r w:rsidRPr="00447D74">
        <w:rPr>
          <w:i/>
        </w:rPr>
        <w:t xml:space="preserve"> </w:t>
      </w:r>
      <w:r>
        <w:t xml:space="preserve">II.F.7 (Due Diligence Certification). </w:t>
      </w:r>
    </w:p>
  </w:footnote>
  <w:footnote w:id="13">
    <w:p w:rsidR="00C64615" w:rsidP="002454C0" w14:paraId="12577450" w14:textId="0BA92EA8">
      <w:pPr>
        <w:pStyle w:val="FootnoteText"/>
      </w:pPr>
      <w:r>
        <w:rPr>
          <w:rStyle w:val="FootnoteReference"/>
        </w:rPr>
        <w:footnoteRef/>
      </w:r>
      <w:r>
        <w:t xml:space="preserve"> For purposes of this Public Notice, we may also refer to winning applicants (or their designated operating companies) that are authorized as support recipients. </w:t>
      </w:r>
    </w:p>
  </w:footnote>
  <w:footnote w:id="14">
    <w:p w:rsidR="00C64615" w:rsidP="002454C0" w14:paraId="4015C9C0" w14:textId="4A2F9255">
      <w:pPr>
        <w:pStyle w:val="FootnoteText"/>
      </w:pPr>
      <w:r>
        <w:rPr>
          <w:rStyle w:val="FootnoteReference"/>
        </w:rPr>
        <w:footnoteRef/>
      </w:r>
      <w:r>
        <w:t xml:space="preserve"> </w:t>
      </w:r>
      <w:r>
        <w:rPr>
          <w:i/>
        </w:rPr>
        <w:t>PR-USVI Stage 2 Order</w:t>
      </w:r>
      <w:r>
        <w:t>, 34 FCC Rcd</w:t>
      </w:r>
      <w:r w:rsidRPr="00BC5214">
        <w:t xml:space="preserve"> at </w:t>
      </w:r>
      <w:r>
        <w:t xml:space="preserve">9121-24, paras. 21-26, </w:t>
      </w:r>
      <w:r w:rsidRPr="00BC5214">
        <w:t>Tables 3 and 4.</w:t>
      </w:r>
    </w:p>
  </w:footnote>
  <w:footnote w:id="15">
    <w:p w:rsidR="00C64615" w:rsidP="002454C0" w14:paraId="1EE9966E" w14:textId="35A5F421">
      <w:pPr>
        <w:pStyle w:val="FootnoteText"/>
      </w:pPr>
      <w:r>
        <w:rPr>
          <w:rStyle w:val="FootnoteReference"/>
        </w:rPr>
        <w:footnoteRef/>
      </w:r>
      <w:r>
        <w:t xml:space="preserve"> Each recipient of high-cost support must offer voice as a standalone service but may separately bundle its broadband offerings with a voice service.  </w:t>
      </w:r>
      <w:r w:rsidRPr="00857FE1">
        <w:rPr>
          <w:i/>
        </w:rPr>
        <w:t>USF/ICC Transformation Order</w:t>
      </w:r>
      <w:r>
        <w:t xml:space="preserve">, 26 FCC Rcd at 17693, para. 80.  </w:t>
      </w:r>
    </w:p>
  </w:footnote>
  <w:footnote w:id="16">
    <w:p w:rsidR="00C64615" w:rsidP="002454C0" w14:paraId="023CBEF9" w14:textId="773AD6E6">
      <w:pPr>
        <w:pStyle w:val="FootnoteText"/>
      </w:pPr>
      <w:r>
        <w:rPr>
          <w:rStyle w:val="FootnoteReference"/>
        </w:rPr>
        <w:footnoteRef/>
      </w:r>
      <w:r>
        <w:t xml:space="preserve"> 47 CFR § 54.313(a)(3); </w:t>
      </w:r>
      <w:r w:rsidRPr="00B37289">
        <w:rPr>
          <w:i/>
        </w:rPr>
        <w:t>USF/ICC Transformation Order</w:t>
      </w:r>
      <w:r>
        <w:t xml:space="preserve">, 26 FCC Rcd at 17693-94, paras. 81, 84; </w:t>
      </w:r>
      <w:r>
        <w:rPr>
          <w:i/>
        </w:rPr>
        <w:t>see also Wireline Competition Bureau and Office of Economics and Analytics Announce Results of 2020 Urban Rate Survey for Fixed Voice and Broadband Services, Posting of Survey Data and Explanatory Notes, and Required Minimum Usage Allowances for Eligible Telecommunications Carriers</w:t>
      </w:r>
      <w:r>
        <w:t>, WC Docket No. 10-90, Public Notice, DA 19-1237 (WCB/OEA Dec. 5, 2019) (</w:t>
      </w:r>
      <w:r>
        <w:rPr>
          <w:i/>
        </w:rPr>
        <w:t>2020 Urban Rate Survey</w:t>
      </w:r>
      <w:r>
        <w:t xml:space="preserve">).  Stage 2 support recipients, like all ETCs, have annual reporting and certification obligations.  </w:t>
      </w:r>
      <w:r w:rsidRPr="00447D74">
        <w:rPr>
          <w:i/>
        </w:rPr>
        <w:t>See, e.g.</w:t>
      </w:r>
      <w:r>
        <w:t>, 47 CFR §§ 54.313, 54.314, 54.316.</w:t>
      </w:r>
    </w:p>
  </w:footnote>
  <w:footnote w:id="17">
    <w:p w:rsidR="00C64615" w:rsidP="002454C0" w14:paraId="6F771518" w14:textId="3B06D814">
      <w:pPr>
        <w:pStyle w:val="FootnoteText"/>
      </w:pPr>
      <w:r>
        <w:rPr>
          <w:rStyle w:val="FootnoteReference"/>
        </w:rPr>
        <w:footnoteRef/>
      </w:r>
      <w:r>
        <w:t xml:space="preserve"> 47 CFR § 54.313(a)(3); </w:t>
      </w:r>
      <w:r w:rsidRPr="00A00AE4">
        <w:rPr>
          <w:i/>
        </w:rPr>
        <w:t>December 2014 Connect America Order</w:t>
      </w:r>
      <w:r>
        <w:t xml:space="preserve">, 29 FCC Rcd at 15686-88, paras. 120-23; </w:t>
      </w:r>
      <w:r w:rsidRPr="00277434">
        <w:rPr>
          <w:i/>
        </w:rPr>
        <w:t>s</w:t>
      </w:r>
      <w:r w:rsidRPr="00B37289">
        <w:rPr>
          <w:i/>
        </w:rPr>
        <w:t>ee also</w:t>
      </w:r>
      <w:r>
        <w:t xml:space="preserve"> </w:t>
      </w:r>
      <w:r>
        <w:rPr>
          <w:i/>
        </w:rPr>
        <w:t xml:space="preserve">2020 Urban Rate Survey </w:t>
      </w:r>
      <w:r w:rsidRPr="00B56A76">
        <w:t>at 2-3</w:t>
      </w:r>
      <w:r>
        <w:t xml:space="preserve">.  The reasonably comparable broadband benchmark varies, depending on the supported service’s download and upload bandwidths and usage allowance.  A support recipient must offer service at a rate that is no more than the benchmark that corresponds at a minimum with the required speeds and usage for the performance tier and latency combination(s) applicable to its authorized applications.     </w:t>
      </w:r>
    </w:p>
  </w:footnote>
  <w:footnote w:id="18">
    <w:p w:rsidR="00C64615" w:rsidRPr="00447230" w:rsidP="002454C0" w14:paraId="4671343B" w14:textId="74C0FF34">
      <w:pPr>
        <w:pStyle w:val="FootnoteText"/>
      </w:pPr>
      <w:r>
        <w:rPr>
          <w:rStyle w:val="FootnoteReference"/>
        </w:rPr>
        <w:footnoteRef/>
      </w:r>
      <w:r>
        <w:t xml:space="preserve"> </w:t>
      </w:r>
      <w:r>
        <w:rPr>
          <w:szCs w:val="22"/>
        </w:rPr>
        <w:t xml:space="preserve">For Puerto Rico, the total number of locations per geographic area were determined based on the U.S. Census Bureau estimated housing unit estimates as of July 1, 2017, and the 2012 Economic Census.  Due to a lack of recent housing units estimate for the U.S. Virgin Islands, the number of locations per geographic area for the U.S. Virgin Islands were determined based on 2017 block-level estimates by Commission staff based on public data from the U.S. Census Bureau and OpenStreetMap.  Information regarding the Commission staff housing unit estimates may be found at  </w:t>
      </w:r>
      <w:hyperlink r:id="rId1" w:history="1">
        <w:r>
          <w:rPr>
            <w:rStyle w:val="Hyperlink"/>
          </w:rPr>
          <w:t>https://www.fcc.gov/reports-research/data/staff-block-estimates</w:t>
        </w:r>
      </w:hyperlink>
      <w:r>
        <w:t>.</w:t>
      </w:r>
      <w:r w:rsidRPr="00F02AF5">
        <w:rPr>
          <w:rStyle w:val="Hyperlink"/>
          <w:u w:val="none"/>
        </w:rPr>
        <w:t xml:space="preserve">  </w:t>
      </w:r>
      <w:r>
        <w:t xml:space="preserve">For guidance on location reporting, see </w:t>
      </w:r>
      <w:r w:rsidRPr="00723598">
        <w:rPr>
          <w:i/>
        </w:rPr>
        <w:t>Wireline Competition Bureau Provides Guidance to Carriers Receiving Connect America Fund Support Regarding their Broadband Location Reporting Obligations</w:t>
      </w:r>
      <w:r>
        <w:t>, Public Notice, 31 FCC Rcd 12900 (WCB 2016) (</w:t>
      </w:r>
      <w:r w:rsidRPr="00447230">
        <w:rPr>
          <w:i/>
        </w:rPr>
        <w:t>WCB Location Guidance Public Notice</w:t>
      </w:r>
      <w:r w:rsidRPr="00447230">
        <w:t xml:space="preserve">). </w:t>
      </w:r>
    </w:p>
  </w:footnote>
  <w:footnote w:id="19">
    <w:p w:rsidR="00C64615" w:rsidRPr="00447230" w:rsidP="002454C0" w14:paraId="7FED853C" w14:textId="7E2EDA6E">
      <w:pPr>
        <w:pStyle w:val="FootnoteText"/>
      </w:pPr>
      <w:r w:rsidRPr="00447230">
        <w:rPr>
          <w:rStyle w:val="FootnoteReference"/>
        </w:rPr>
        <w:footnoteRef/>
      </w:r>
      <w:r w:rsidRPr="00447230">
        <w:t xml:space="preserve"> 47 CFR § 54.1506; </w:t>
      </w:r>
      <w:r>
        <w:rPr>
          <w:i/>
        </w:rPr>
        <w:t>PR-USVI Stage 2 Order</w:t>
      </w:r>
      <w:r>
        <w:t>, 34 FCC Rcd</w:t>
      </w:r>
      <w:r w:rsidRPr="00BC5214">
        <w:t xml:space="preserve"> at</w:t>
      </w:r>
      <w:r w:rsidRPr="00447230">
        <w:t xml:space="preserve"> </w:t>
      </w:r>
      <w:r>
        <w:t>9143-44</w:t>
      </w:r>
      <w:r w:rsidRPr="00447230">
        <w:t xml:space="preserve">, para. 62.  </w:t>
      </w:r>
    </w:p>
  </w:footnote>
  <w:footnote w:id="20">
    <w:p w:rsidR="00C64615" w:rsidRPr="00447230" w:rsidP="002454C0" w14:paraId="561D4BC7" w14:textId="77777777">
      <w:pPr>
        <w:pStyle w:val="FootnoteText"/>
      </w:pPr>
      <w:r w:rsidRPr="00447230">
        <w:rPr>
          <w:rStyle w:val="FootnoteReference"/>
        </w:rPr>
        <w:footnoteRef/>
      </w:r>
      <w:r w:rsidRPr="00447230">
        <w:t xml:space="preserve"> </w:t>
      </w:r>
      <w:r w:rsidRPr="00447230">
        <w:rPr>
          <w:i/>
        </w:rPr>
        <w:t>WCB Location Guidance Public Notice</w:t>
      </w:r>
      <w:r w:rsidRPr="00447230">
        <w:t>, 31 FCC Rcd at 12902.</w:t>
      </w:r>
    </w:p>
  </w:footnote>
  <w:footnote w:id="21">
    <w:p w:rsidR="00C64615" w:rsidRPr="00447230" w:rsidP="002454C0" w14:paraId="3CF0EA3C" w14:textId="018C110F">
      <w:pPr>
        <w:pStyle w:val="FootnoteText"/>
      </w:pPr>
      <w:r w:rsidRPr="00447230">
        <w:rPr>
          <w:rStyle w:val="FootnoteReference"/>
        </w:rPr>
        <w:footnoteRef/>
      </w:r>
      <w:r w:rsidRPr="00447230">
        <w:t xml:space="preserve"> Winning applicants may use Stage 2 support to deploy service to all locations in the winning areas, it need not be restricted to only high-cost locations </w:t>
      </w:r>
      <w:r>
        <w:t>announced by the Bureau</w:t>
      </w:r>
      <w:r w:rsidRPr="00447230">
        <w:t>.</w:t>
      </w:r>
      <w:r>
        <w:t xml:space="preserve">  </w:t>
      </w:r>
      <w:r>
        <w:rPr>
          <w:i/>
        </w:rPr>
        <w:t>Wireline Competition Bureau Releases List of Reserve Prices and Location Counts for the Uniendo a Puerto Rico and Connect USVI Fund Stage 2 Fixed Support Competitive Proposal Process,</w:t>
      </w:r>
      <w:r>
        <w:t xml:space="preserve"> Public Notice, DA 19-1300 (WCB rel. Dec. 19, 2019) (</w:t>
      </w:r>
      <w:r w:rsidRPr="00A80AA3">
        <w:rPr>
          <w:i/>
        </w:rPr>
        <w:t>PR-USVI</w:t>
      </w:r>
      <w:r>
        <w:t xml:space="preserve"> </w:t>
      </w:r>
      <w:r>
        <w:rPr>
          <w:i/>
        </w:rPr>
        <w:t>Stage 2 Reserve Price Notice</w:t>
      </w:r>
      <w:r w:rsidRPr="00053569">
        <w:t>)</w:t>
      </w:r>
      <w:r w:rsidRPr="00053569">
        <w:rPr>
          <w:i/>
        </w:rPr>
        <w:t>.</w:t>
      </w:r>
      <w:r>
        <w:rPr>
          <w:i/>
        </w:rPr>
        <w:t xml:space="preserve">  </w:t>
      </w:r>
      <w:r>
        <w:rPr>
          <w:szCs w:val="22"/>
        </w:rPr>
        <w:t xml:space="preserve">The Notice can be found at </w:t>
      </w:r>
      <w:hyperlink r:id="rId2" w:history="1">
        <w:r>
          <w:rPr>
            <w:rStyle w:val="Hyperlink"/>
          </w:rPr>
          <w:t>https://www.fcc.gov/document/reserve-prices-and-location-counts-announced-prusvi-fund-stage-2</w:t>
        </w:r>
      </w:hyperlink>
      <w:r>
        <w:rPr>
          <w:szCs w:val="22"/>
        </w:rPr>
        <w:t>.</w:t>
      </w:r>
    </w:p>
  </w:footnote>
  <w:footnote w:id="22">
    <w:p w:rsidR="00C64615" w14:paraId="2D860BC4" w14:textId="7FE771DE">
      <w:pPr>
        <w:pStyle w:val="FootnoteText"/>
      </w:pPr>
      <w:r w:rsidRPr="00447230">
        <w:rPr>
          <w:rStyle w:val="FootnoteReference"/>
        </w:rPr>
        <w:footnoteRef/>
      </w:r>
      <w:r w:rsidRPr="00447230">
        <w:t xml:space="preserve"> </w:t>
      </w:r>
      <w:r w:rsidRPr="00447230">
        <w:rPr>
          <w:i/>
        </w:rPr>
        <w:t>PR-</w:t>
      </w:r>
      <w:r w:rsidRPr="0027483C">
        <w:rPr>
          <w:i/>
        </w:rPr>
        <w:t>USVI</w:t>
      </w:r>
      <w:r>
        <w:t xml:space="preserve"> </w:t>
      </w:r>
      <w:r>
        <w:rPr>
          <w:i/>
        </w:rPr>
        <w:t>Stage 2</w:t>
      </w:r>
      <w:r w:rsidRPr="00B37289">
        <w:rPr>
          <w:i/>
        </w:rPr>
        <w:t xml:space="preserve"> Order</w:t>
      </w:r>
      <w:r>
        <w:t xml:space="preserve">, 34 FCC Rcd at 9144-45, paras. 63-65.  </w:t>
      </w:r>
      <w:r w:rsidRPr="004C6B54">
        <w:rPr>
          <w:i/>
        </w:rPr>
        <w:t>See also</w:t>
      </w:r>
      <w:r>
        <w:t xml:space="preserve"> </w:t>
      </w:r>
      <w:r w:rsidRPr="00B6202A">
        <w:rPr>
          <w:i/>
        </w:rPr>
        <w:t>Wireline Competition Bureau Seeks Comment on Procedures to Identify and Resolve Location Discrepancies in Eligible Census Blocks Within Winning Bid Areas</w:t>
      </w:r>
      <w:r w:rsidRPr="00B6202A">
        <w:t>, WC Docket No. 10-90, Public Notice, 33 FCC Rcd 8620 (2018) (</w:t>
      </w:r>
      <w:r w:rsidRPr="004C6B54">
        <w:rPr>
          <w:i/>
        </w:rPr>
        <w:t>Auction</w:t>
      </w:r>
      <w:r>
        <w:t xml:space="preserve"> </w:t>
      </w:r>
      <w:r w:rsidRPr="00B6202A">
        <w:rPr>
          <w:i/>
        </w:rPr>
        <w:t>Locations Adjustment Public Notice</w:t>
      </w:r>
      <w:r w:rsidRPr="00B6202A">
        <w:t>)</w:t>
      </w:r>
      <w:r>
        <w:t xml:space="preserve">; </w:t>
      </w:r>
      <w:r w:rsidRPr="00286164">
        <w:rPr>
          <w:i/>
        </w:rPr>
        <w:t>Connect America Fund</w:t>
      </w:r>
      <w:r>
        <w:t>, WC Docket No. 10-90, Order, DA 19-1165 (WCB Nov. 12, 2019) (</w:t>
      </w:r>
      <w:r w:rsidRPr="00286164">
        <w:rPr>
          <w:i/>
        </w:rPr>
        <w:t>Auction Location</w:t>
      </w:r>
      <w:r>
        <w:rPr>
          <w:i/>
        </w:rPr>
        <w:t>s</w:t>
      </w:r>
      <w:r w:rsidRPr="00286164">
        <w:rPr>
          <w:i/>
        </w:rPr>
        <w:t xml:space="preserve"> Adjustment Order</w:t>
      </w:r>
      <w:r>
        <w:t>).</w:t>
      </w:r>
    </w:p>
  </w:footnote>
  <w:footnote w:id="23">
    <w:p w:rsidR="00C64615" w:rsidP="006D20A0" w14:paraId="3768F5B1" w14:textId="1091955B">
      <w:pPr>
        <w:pStyle w:val="FootnoteText"/>
      </w:pPr>
      <w:r>
        <w:rPr>
          <w:rStyle w:val="FootnoteReference"/>
        </w:rPr>
        <w:footnoteRef/>
      </w:r>
      <w:r>
        <w:t xml:space="preserve"> </w:t>
      </w:r>
      <w:r w:rsidRPr="001A586F">
        <w:rPr>
          <w:i/>
        </w:rPr>
        <w:t>Connect America Fund et al</w:t>
      </w:r>
      <w:r>
        <w:rPr>
          <w:i/>
        </w:rPr>
        <w:t>.</w:t>
      </w:r>
      <w:r>
        <w:t>, WC Docket No. 10-90 et al., Order and Order on Reconsideration, 33 FCC Rcd 1380, 1388-89, paras. 23-24 (2018).  This order directs the Bureau to implement the specific procedures for this filing.</w:t>
      </w:r>
    </w:p>
  </w:footnote>
  <w:footnote w:id="24">
    <w:p w:rsidR="00C64615" w14:paraId="2563CBD0" w14:textId="50EE23FB">
      <w:pPr>
        <w:pStyle w:val="FootnoteText"/>
      </w:pPr>
      <w:r>
        <w:rPr>
          <w:rStyle w:val="FootnoteReference"/>
        </w:rPr>
        <w:footnoteRef/>
      </w:r>
      <w:r>
        <w:t xml:space="preserve"> </w:t>
      </w:r>
      <w:r w:rsidRPr="00A80AA3">
        <w:rPr>
          <w:i/>
        </w:rPr>
        <w:t>PR-USVI</w:t>
      </w:r>
      <w:r>
        <w:t xml:space="preserve"> </w:t>
      </w:r>
      <w:r>
        <w:rPr>
          <w:i/>
        </w:rPr>
        <w:t>Stage 2 Reserve Price Notice</w:t>
      </w:r>
      <w:r>
        <w:rPr>
          <w:szCs w:val="22"/>
        </w:rPr>
        <w:t>.</w:t>
      </w:r>
    </w:p>
  </w:footnote>
  <w:footnote w:id="25">
    <w:p w:rsidR="00C64615" w14:paraId="34E6F6D0" w14:textId="65AD95BF">
      <w:pPr>
        <w:pStyle w:val="FootnoteText"/>
      </w:pPr>
      <w:r>
        <w:rPr>
          <w:rStyle w:val="FootnoteReference"/>
        </w:rPr>
        <w:footnoteRef/>
      </w:r>
      <w:r>
        <w:t xml:space="preserve"> </w:t>
      </w:r>
      <w:r w:rsidRPr="0027483C">
        <w:rPr>
          <w:i/>
        </w:rPr>
        <w:t>PR-USVI</w:t>
      </w:r>
      <w:r>
        <w:t xml:space="preserve"> </w:t>
      </w:r>
      <w:r>
        <w:rPr>
          <w:i/>
        </w:rPr>
        <w:t>Stage 2</w:t>
      </w:r>
      <w:r w:rsidRPr="00B37289">
        <w:rPr>
          <w:i/>
        </w:rPr>
        <w:t xml:space="preserve"> Order</w:t>
      </w:r>
      <w:r>
        <w:t>, 34 FCC Rcd at 9145-46, para. 66.</w:t>
      </w:r>
    </w:p>
  </w:footnote>
  <w:footnote w:id="26">
    <w:p w:rsidR="00C64615" w:rsidP="002454C0" w14:paraId="79A64DE1" w14:textId="31B4F552">
      <w:pPr>
        <w:pStyle w:val="FootnoteText"/>
      </w:pPr>
      <w:r>
        <w:rPr>
          <w:rStyle w:val="FootnoteReference"/>
        </w:rPr>
        <w:footnoteRef/>
      </w:r>
      <w:r>
        <w:t xml:space="preserve"> </w:t>
      </w:r>
      <w:r>
        <w:rPr>
          <w:i/>
        </w:rPr>
        <w:t>Id.</w:t>
      </w:r>
      <w:r>
        <w:t>.</w:t>
      </w:r>
    </w:p>
  </w:footnote>
  <w:footnote w:id="27">
    <w:p w:rsidR="00C64615" w:rsidP="002454C0" w14:paraId="451E24C3" w14:textId="0647797F">
      <w:pPr>
        <w:pStyle w:val="FootnoteText"/>
      </w:pPr>
      <w:r>
        <w:rPr>
          <w:rStyle w:val="FootnoteReference"/>
        </w:rPr>
        <w:footnoteRef/>
      </w:r>
      <w:r>
        <w:t xml:space="preserve"> 47 CFR §§ </w:t>
      </w:r>
      <w:r w:rsidRPr="00137EFF">
        <w:t>54.313, 54.314, 54.316, 54.1507;</w:t>
      </w:r>
      <w:r>
        <w:t xml:space="preserve"> </w:t>
      </w:r>
      <w:r w:rsidRPr="006D20A0">
        <w:rPr>
          <w:i/>
        </w:rPr>
        <w:t>PR-USVI</w:t>
      </w:r>
      <w:r>
        <w:t xml:space="preserve"> </w:t>
      </w:r>
      <w:r>
        <w:rPr>
          <w:i/>
        </w:rPr>
        <w:t>Stage 2</w:t>
      </w:r>
      <w:r w:rsidRPr="00B37289">
        <w:rPr>
          <w:i/>
        </w:rPr>
        <w:t xml:space="preserve"> Order</w:t>
      </w:r>
      <w:r>
        <w:t xml:space="preserve">, 34 FCC Rcd at 9149-52, paras. </w:t>
      </w:r>
      <w:r w:rsidRPr="00137EFF">
        <w:t>72-77.</w:t>
      </w:r>
    </w:p>
  </w:footnote>
  <w:footnote w:id="28">
    <w:p w:rsidR="00C64615" w:rsidP="002454C0" w14:paraId="30752FBF" w14:textId="39E8A35A">
      <w:pPr>
        <w:pStyle w:val="FootnoteText"/>
      </w:pPr>
      <w:r>
        <w:rPr>
          <w:rStyle w:val="FootnoteReference"/>
        </w:rPr>
        <w:footnoteRef/>
      </w:r>
      <w:r>
        <w:t xml:space="preserve"> 47 CFR </w:t>
      </w:r>
      <w:r w:rsidRPr="00B3749B">
        <w:t>§ 54.316(a)(7).</w:t>
      </w:r>
      <w:r>
        <w:t xml:space="preserve">  Each support recipient is required to submit its locations to the Universal Service Administrative Company’s (USAC) High Cost Universal Service Broadband (HUBB) portal and is encouraged to do so on a rolling basis.</w:t>
      </w:r>
    </w:p>
  </w:footnote>
  <w:footnote w:id="29">
    <w:p w:rsidR="00C64615" w:rsidP="002454C0" w14:paraId="1AB5833D" w14:textId="31673317">
      <w:pPr>
        <w:pStyle w:val="FootnoteText"/>
      </w:pPr>
      <w:r>
        <w:rPr>
          <w:rStyle w:val="FootnoteReference"/>
        </w:rPr>
        <w:footnoteRef/>
      </w:r>
      <w:r>
        <w:t xml:space="preserve"> 47 CFR </w:t>
      </w:r>
      <w:r w:rsidRPr="00B3749B">
        <w:t>§ 54.316(b)(7).</w:t>
      </w:r>
    </w:p>
  </w:footnote>
  <w:footnote w:id="30">
    <w:p w:rsidR="00C64615" w:rsidP="002454C0" w14:paraId="40786E43" w14:textId="77453FB0">
      <w:pPr>
        <w:pStyle w:val="FootnoteText"/>
      </w:pPr>
      <w:r>
        <w:rPr>
          <w:rStyle w:val="FootnoteReference"/>
        </w:rPr>
        <w:footnoteRef/>
      </w:r>
      <w:r>
        <w:t xml:space="preserve"> 47 CFR </w:t>
      </w:r>
      <w:r w:rsidRPr="0033656E">
        <w:t>§ 54.313.</w:t>
      </w:r>
    </w:p>
  </w:footnote>
  <w:footnote w:id="31">
    <w:p w:rsidR="00C64615" w:rsidP="002454C0" w14:paraId="672AD588" w14:textId="7DC3B9EA">
      <w:pPr>
        <w:pStyle w:val="FootnoteText"/>
      </w:pPr>
      <w:r>
        <w:rPr>
          <w:rStyle w:val="FootnoteReference"/>
        </w:rPr>
        <w:footnoteRef/>
      </w:r>
      <w:r>
        <w:t xml:space="preserve"> 47 CFR</w:t>
      </w:r>
      <w:r w:rsidRPr="002D2C2E">
        <w:rPr>
          <w:i/>
        </w:rPr>
        <w:t xml:space="preserve"> </w:t>
      </w:r>
      <w:r>
        <w:t xml:space="preserve">§§ </w:t>
      </w:r>
      <w:r w:rsidRPr="00E638AB">
        <w:t>54.315(c)(4</w:t>
      </w:r>
      <w:r w:rsidRPr="0014640C">
        <w:t>), 54.320;</w:t>
      </w:r>
      <w:r>
        <w:t xml:space="preserve"> </w:t>
      </w:r>
      <w:r w:rsidRPr="006D20A0">
        <w:rPr>
          <w:i/>
        </w:rPr>
        <w:t>PR-USVI</w:t>
      </w:r>
      <w:r>
        <w:t xml:space="preserve"> </w:t>
      </w:r>
      <w:r>
        <w:rPr>
          <w:i/>
        </w:rPr>
        <w:t>Stage 2</w:t>
      </w:r>
      <w:r w:rsidRPr="00B37289">
        <w:rPr>
          <w:i/>
        </w:rPr>
        <w:t xml:space="preserve"> Order</w:t>
      </w:r>
      <w:r>
        <w:t xml:space="preserve">, 34 FCC Rcd at 9149-50, paras. </w:t>
      </w:r>
      <w:r w:rsidRPr="007B7695">
        <w:t>73-75</w:t>
      </w:r>
      <w:r>
        <w:t xml:space="preserve">; </w:t>
      </w:r>
      <w:r w:rsidRPr="00A8722C">
        <w:rPr>
          <w:i/>
        </w:rPr>
        <w:t xml:space="preserve">Connect America </w:t>
      </w:r>
      <w:r>
        <w:rPr>
          <w:i/>
        </w:rPr>
        <w:t xml:space="preserve">Fund et al., </w:t>
      </w:r>
      <w:r>
        <w:t>WC Docket Nos. 10-90, 14-58, 14-192, Report and Order, 29 FCC Rcd 15644, 15694-700, paras. 142-54 (2014) (</w:t>
      </w:r>
      <w:r w:rsidRPr="00F13403">
        <w:rPr>
          <w:i/>
        </w:rPr>
        <w:t>December 2014 Connect America Order</w:t>
      </w:r>
      <w:r>
        <w:t>).</w:t>
      </w:r>
    </w:p>
  </w:footnote>
  <w:footnote w:id="32">
    <w:p w:rsidR="00C64615" w:rsidP="002454C0" w14:paraId="714EB066" w14:textId="33E46B63">
      <w:pPr>
        <w:pStyle w:val="FootnoteText"/>
      </w:pPr>
      <w:r>
        <w:rPr>
          <w:rStyle w:val="FootnoteReference"/>
        </w:rPr>
        <w:footnoteRef/>
      </w:r>
      <w:r>
        <w:t xml:space="preserve"> </w:t>
      </w:r>
      <w:r w:rsidRPr="006D20A0">
        <w:rPr>
          <w:i/>
        </w:rPr>
        <w:t>PR-USVI</w:t>
      </w:r>
      <w:r>
        <w:t xml:space="preserve"> </w:t>
      </w:r>
      <w:r>
        <w:rPr>
          <w:i/>
        </w:rPr>
        <w:t>Stage 2</w:t>
      </w:r>
      <w:r w:rsidRPr="00B37289">
        <w:rPr>
          <w:i/>
        </w:rPr>
        <w:t xml:space="preserve"> Order</w:t>
      </w:r>
      <w:r>
        <w:t xml:space="preserve">, 34 FCC Rcd at 9150-52, paras. 74-84.  A support recipient will be required to test its networks for compliance and certify and report the results on an annual basis using the framework of the performance measures the Commission adopted.  47 CFR </w:t>
      </w:r>
      <w:r w:rsidRPr="00D509F4">
        <w:t xml:space="preserve">§ 54.313(a)(6); </w:t>
      </w:r>
      <w:r>
        <w:rPr>
          <w:i/>
        </w:rPr>
        <w:t xml:space="preserve">see also </w:t>
      </w:r>
      <w:r w:rsidRPr="001A0A1D">
        <w:rPr>
          <w:i/>
        </w:rPr>
        <w:t>Connect America Fund</w:t>
      </w:r>
      <w:r w:rsidRPr="001A0A1D">
        <w:t xml:space="preserve">, WC Docket No. 10-90, </w:t>
      </w:r>
      <w:r>
        <w:t>Order</w:t>
      </w:r>
      <w:r w:rsidRPr="00AC10FC">
        <w:t xml:space="preserve">, </w:t>
      </w:r>
      <w:r w:rsidRPr="00AC10FC">
        <w:rPr>
          <w:color w:val="1D2B3E"/>
        </w:rPr>
        <w:t xml:space="preserve">33 FCC Rcd 6509 </w:t>
      </w:r>
      <w:r w:rsidRPr="001A0A1D">
        <w:t>(</w:t>
      </w:r>
      <w:r>
        <w:t xml:space="preserve">WCB/WTB/OET </w:t>
      </w:r>
      <w:r w:rsidRPr="001A0A1D">
        <w:t>2018)</w:t>
      </w:r>
      <w:r>
        <w:t xml:space="preserve">; </w:t>
      </w:r>
      <w:r w:rsidRPr="001A0A1D">
        <w:rPr>
          <w:i/>
        </w:rPr>
        <w:t>Connect America Fund</w:t>
      </w:r>
      <w:r w:rsidRPr="001A0A1D">
        <w:t xml:space="preserve">, WC Docket No. 10-90, </w:t>
      </w:r>
      <w:r>
        <w:t>Order on Reconsideration</w:t>
      </w:r>
      <w:r w:rsidRPr="00AC10FC">
        <w:t xml:space="preserve">, </w:t>
      </w:r>
      <w:r>
        <w:rPr>
          <w:color w:val="1D2B3E"/>
        </w:rPr>
        <w:t xml:space="preserve">FCC 19-104 </w:t>
      </w:r>
      <w:r w:rsidRPr="001A0A1D">
        <w:t>(</w:t>
      </w:r>
      <w:r>
        <w:t xml:space="preserve">rel. Oct. 31, 2019); </w:t>
      </w:r>
      <w:r w:rsidRPr="001A0A1D">
        <w:rPr>
          <w:i/>
        </w:rPr>
        <w:t>Connect America Fund</w:t>
      </w:r>
      <w:r w:rsidRPr="001A0A1D">
        <w:t xml:space="preserve">, WC Docket No. 10-90, </w:t>
      </w:r>
      <w:r>
        <w:t>Order on Reconsideration</w:t>
      </w:r>
      <w:r w:rsidRPr="00AC10FC">
        <w:t xml:space="preserve">, </w:t>
      </w:r>
      <w:r w:rsidRPr="00AC10FC">
        <w:rPr>
          <w:color w:val="1D2B3E"/>
        </w:rPr>
        <w:t>3</w:t>
      </w:r>
      <w:r>
        <w:rPr>
          <w:color w:val="1D2B3E"/>
        </w:rPr>
        <w:t>4</w:t>
      </w:r>
      <w:r w:rsidRPr="00AC10FC">
        <w:rPr>
          <w:color w:val="1D2B3E"/>
        </w:rPr>
        <w:t xml:space="preserve"> FCC Rcd </w:t>
      </w:r>
      <w:r>
        <w:rPr>
          <w:color w:val="1D2B3E"/>
        </w:rPr>
        <w:t xml:space="preserve">8081 </w:t>
      </w:r>
      <w:r w:rsidRPr="001A0A1D">
        <w:t>(</w:t>
      </w:r>
      <w:r>
        <w:t xml:space="preserve">WCB/WTB/OET </w:t>
      </w:r>
      <w:r w:rsidRPr="001A0A1D">
        <w:t>201</w:t>
      </w:r>
      <w:r>
        <w:t>9)</w:t>
      </w:r>
      <w:r w:rsidRPr="001A0A1D">
        <w:t>.</w:t>
      </w:r>
    </w:p>
  </w:footnote>
  <w:footnote w:id="33">
    <w:p w:rsidR="00C64615" w:rsidP="00676A10" w14:paraId="1D622011" w14:textId="7BA1EBFB">
      <w:pPr>
        <w:pStyle w:val="FootnoteText"/>
      </w:pPr>
      <w:r>
        <w:rPr>
          <w:rStyle w:val="FootnoteReference"/>
        </w:rPr>
        <w:footnoteRef/>
      </w:r>
      <w:r>
        <w:t xml:space="preserve"> </w:t>
      </w:r>
      <w:r w:rsidRPr="00096706">
        <w:rPr>
          <w:i/>
        </w:rPr>
        <w:t xml:space="preserve">See </w:t>
      </w:r>
      <w:r w:rsidRPr="006655AD">
        <w:t>47 CFR § 54.1501;</w:t>
      </w:r>
      <w:r>
        <w:rPr>
          <w:i/>
        </w:rPr>
        <w:t xml:space="preserve"> </w:t>
      </w:r>
      <w:r w:rsidRPr="00096706">
        <w:rPr>
          <w:i/>
        </w:rPr>
        <w:t>PR-USVI Stage 2 Order</w:t>
      </w:r>
      <w:r>
        <w:t>, 34 FCC Rcd at 9114, para. 11.</w:t>
      </w:r>
    </w:p>
  </w:footnote>
  <w:footnote w:id="34">
    <w:p w:rsidR="00C64615" w:rsidP="00676A10" w14:paraId="71C01B45" w14:textId="7101833E">
      <w:pPr>
        <w:pStyle w:val="FootnoteText"/>
      </w:pPr>
      <w:r>
        <w:rPr>
          <w:rStyle w:val="FootnoteReference"/>
        </w:rPr>
        <w:footnoteRef/>
      </w:r>
      <w:r>
        <w:t xml:space="preserve"> 47 CFR </w:t>
      </w:r>
      <w:r w:rsidRPr="00745C1D">
        <w:t>§</w:t>
      </w:r>
      <w:r>
        <w:t xml:space="preserve"> 54.1505(a); </w:t>
      </w:r>
      <w:r w:rsidRPr="00096706">
        <w:rPr>
          <w:i/>
        </w:rPr>
        <w:t>See PR-USVI Stage 2 Order</w:t>
      </w:r>
      <w:r>
        <w:t xml:space="preserve">, 34 FCC Rcd at 9137-39, paras. 46-49. We remind applicants that in addition to meeting this eligibility requirement, we require any winning recipient that is not already an ETC to become an </w:t>
      </w:r>
      <w:r w:rsidRPr="002574AC">
        <w:t xml:space="preserve">ETC to receive support. </w:t>
      </w:r>
      <w:r>
        <w:t xml:space="preserve"> </w:t>
      </w:r>
      <w:r w:rsidRPr="002574AC">
        <w:rPr>
          <w:i/>
        </w:rPr>
        <w:t>See infra</w:t>
      </w:r>
      <w:r w:rsidRPr="002574AC">
        <w:t xml:space="preserve"> </w:t>
      </w:r>
      <w:r w:rsidRPr="0088329D">
        <w:t xml:space="preserve">Sec. </w:t>
      </w:r>
      <w:r>
        <w:t>II.F.8;</w:t>
      </w:r>
      <w:r w:rsidRPr="002574AC">
        <w:t xml:space="preserve"> </w:t>
      </w:r>
      <w:r w:rsidRPr="002574AC">
        <w:rPr>
          <w:i/>
        </w:rPr>
        <w:t xml:space="preserve">see also </w:t>
      </w:r>
      <w:r w:rsidRPr="002574AC">
        <w:t>47 U.S.C. §</w:t>
      </w:r>
      <w:r w:rsidRPr="00745C1D">
        <w:t>§</w:t>
      </w:r>
      <w:r w:rsidRPr="002574AC">
        <w:t xml:space="preserve"> 254(e)</w:t>
      </w:r>
      <w:r>
        <w:t>, 214(e)</w:t>
      </w:r>
      <w:r w:rsidRPr="002574AC">
        <w:t xml:space="preserve">(1)(A).  </w:t>
      </w:r>
      <w:r w:rsidRPr="002574AC">
        <w:rPr>
          <w:shd w:val="clear" w:color="auto" w:fill="FFFFFF"/>
        </w:rPr>
        <w:t>An ETC must use its own facilities or a combination of its own facilities and resale of another carrier’s services when offering the supported services.  47 U.S.C. § 214(e)(1)(A).</w:t>
      </w:r>
    </w:p>
  </w:footnote>
  <w:footnote w:id="35">
    <w:p w:rsidR="00C64615" w:rsidP="00676A10" w14:paraId="71E3267E" w14:textId="77777777">
      <w:pPr>
        <w:pStyle w:val="FootnoteText"/>
      </w:pPr>
      <w:r>
        <w:rPr>
          <w:rStyle w:val="FootnoteReference"/>
        </w:rPr>
        <w:footnoteRef/>
      </w:r>
      <w:r>
        <w:t xml:space="preserve"> </w:t>
      </w:r>
      <w:r w:rsidRPr="0062104D">
        <w:rPr>
          <w:i/>
        </w:rPr>
        <w:t xml:space="preserve">PR-USVI Fund </w:t>
      </w:r>
      <w:r w:rsidRPr="00BB0599">
        <w:rPr>
          <w:i/>
        </w:rPr>
        <w:t>Notice</w:t>
      </w:r>
      <w:r>
        <w:t>, 33 FCC Rcd at 5415, para. 42.</w:t>
      </w:r>
    </w:p>
  </w:footnote>
  <w:footnote w:id="36">
    <w:p w:rsidR="00C64615" w:rsidP="007B294D" w14:paraId="58FA540D" w14:textId="4CE43DA6">
      <w:pPr>
        <w:pStyle w:val="FootnoteText"/>
      </w:pPr>
      <w:r>
        <w:rPr>
          <w:rStyle w:val="FootnoteReference"/>
        </w:rPr>
        <w:footnoteRef/>
      </w:r>
      <w:r>
        <w:t xml:space="preserve"> 47 CFR </w:t>
      </w:r>
      <w:r w:rsidRPr="00745C1D">
        <w:t>§</w:t>
      </w:r>
      <w:r>
        <w:t xml:space="preserve"> 54.1502; </w:t>
      </w:r>
      <w:r>
        <w:rPr>
          <w:i/>
        </w:rPr>
        <w:t>See</w:t>
      </w:r>
      <w:r>
        <w:t xml:space="preserve"> </w:t>
      </w:r>
      <w:r w:rsidRPr="006D20A0">
        <w:rPr>
          <w:i/>
        </w:rPr>
        <w:t>PR-USVI</w:t>
      </w:r>
      <w:r>
        <w:t xml:space="preserve"> </w:t>
      </w:r>
      <w:r>
        <w:rPr>
          <w:i/>
        </w:rPr>
        <w:t>Stage 2</w:t>
      </w:r>
      <w:r w:rsidRPr="00B37289">
        <w:rPr>
          <w:i/>
        </w:rPr>
        <w:t xml:space="preserve"> Order</w:t>
      </w:r>
      <w:r>
        <w:t xml:space="preserve">, 34 FCC Rcd at 9139-40, para. 50.   </w:t>
      </w:r>
    </w:p>
  </w:footnote>
  <w:footnote w:id="37">
    <w:p w:rsidR="00C64615" w:rsidP="007B294D" w14:paraId="16774F71" w14:textId="1E81E622">
      <w:pPr>
        <w:pStyle w:val="FootnoteText"/>
      </w:pPr>
      <w:r>
        <w:rPr>
          <w:rStyle w:val="FootnoteReference"/>
        </w:rPr>
        <w:footnoteRef/>
      </w:r>
      <w:r>
        <w:t xml:space="preserve"> </w:t>
      </w:r>
      <w:r>
        <w:rPr>
          <w:i/>
        </w:rPr>
        <w:t>See</w:t>
      </w:r>
      <w:r>
        <w:t xml:space="preserve"> </w:t>
      </w:r>
      <w:r w:rsidRPr="006D20A0">
        <w:rPr>
          <w:i/>
        </w:rPr>
        <w:t>PR-USVI</w:t>
      </w:r>
      <w:r>
        <w:t xml:space="preserve"> </w:t>
      </w:r>
      <w:r>
        <w:rPr>
          <w:i/>
        </w:rPr>
        <w:t>Stage 2</w:t>
      </w:r>
      <w:r w:rsidRPr="00B37289">
        <w:rPr>
          <w:i/>
        </w:rPr>
        <w:t xml:space="preserve"> Order</w:t>
      </w:r>
      <w:r>
        <w:t xml:space="preserve">, 34 FCC Rcd at 9140-41, paras. 51-53.   </w:t>
      </w:r>
    </w:p>
  </w:footnote>
  <w:footnote w:id="38">
    <w:p w:rsidR="00C64615" w:rsidP="007B294D" w14:paraId="7A2F57EC" w14:textId="6F4E2B50">
      <w:pPr>
        <w:pStyle w:val="FootnoteText"/>
      </w:pPr>
      <w:r>
        <w:rPr>
          <w:rStyle w:val="FootnoteReference"/>
        </w:rPr>
        <w:footnoteRef/>
      </w:r>
      <w:r>
        <w:t xml:space="preserve"> </w:t>
      </w:r>
      <w:r>
        <w:rPr>
          <w:i/>
        </w:rPr>
        <w:t>See</w:t>
      </w:r>
      <w:r>
        <w:t xml:space="preserve"> </w:t>
      </w:r>
      <w:r>
        <w:rPr>
          <w:i/>
        </w:rPr>
        <w:t>id.</w:t>
      </w:r>
      <w:r>
        <w:t xml:space="preserve"> at 9119, 9143, paras. 18, 61.</w:t>
      </w:r>
    </w:p>
  </w:footnote>
  <w:footnote w:id="39">
    <w:p w:rsidR="00C64615" w:rsidP="007B294D" w14:paraId="054CE995" w14:textId="334EF575">
      <w:pPr>
        <w:pStyle w:val="FootnoteText"/>
      </w:pPr>
      <w:r>
        <w:rPr>
          <w:rStyle w:val="FootnoteReference"/>
        </w:rPr>
        <w:footnoteRef/>
      </w:r>
      <w:r>
        <w:t xml:space="preserve"> </w:t>
      </w:r>
      <w:r w:rsidRPr="00A80AA3">
        <w:rPr>
          <w:i/>
        </w:rPr>
        <w:t>PR-USVI</w:t>
      </w:r>
      <w:r>
        <w:t xml:space="preserve"> </w:t>
      </w:r>
      <w:r>
        <w:rPr>
          <w:i/>
        </w:rPr>
        <w:t>Stage 2 Reserve Price Notice</w:t>
      </w:r>
    </w:p>
  </w:footnote>
  <w:footnote w:id="40">
    <w:p w:rsidR="00C64615" w:rsidP="007B294D" w14:paraId="72A99B85" w14:textId="77777777">
      <w:pPr>
        <w:pStyle w:val="FootnoteText"/>
      </w:pPr>
      <w:r>
        <w:rPr>
          <w:rStyle w:val="FootnoteReference"/>
        </w:rPr>
        <w:footnoteRef/>
      </w:r>
      <w:r>
        <w:t xml:space="preserve"> </w:t>
      </w:r>
      <w:r>
        <w:rPr>
          <w:i/>
        </w:rPr>
        <w:t>Id.</w:t>
      </w:r>
    </w:p>
  </w:footnote>
  <w:footnote w:id="41">
    <w:p w:rsidR="00C64615" w:rsidP="007B294D" w14:paraId="174F07BD" w14:textId="4FC9D2CC">
      <w:pPr>
        <w:pStyle w:val="FootnoteText"/>
      </w:pPr>
      <w:r>
        <w:rPr>
          <w:rStyle w:val="FootnoteReference"/>
        </w:rPr>
        <w:footnoteRef/>
      </w:r>
      <w:r>
        <w:t xml:space="preserve"> </w:t>
      </w:r>
      <w:r w:rsidRPr="00096706">
        <w:rPr>
          <w:i/>
        </w:rPr>
        <w:t>See PR-USVI Stage 2 Order</w:t>
      </w:r>
      <w:r>
        <w:t xml:space="preserve">, 34 FCC Rcd at 9140-41, paras. 51-52. </w:t>
      </w:r>
    </w:p>
  </w:footnote>
  <w:footnote w:id="42">
    <w:p w:rsidR="00C64615" w:rsidP="00C85009" w14:paraId="7B427D2D" w14:textId="472D52CB">
      <w:pPr>
        <w:pStyle w:val="FootnoteText"/>
      </w:pPr>
      <w:r>
        <w:rPr>
          <w:rStyle w:val="FootnoteReference"/>
        </w:rPr>
        <w:footnoteRef/>
      </w:r>
      <w:r>
        <w:t xml:space="preserve"> </w:t>
      </w:r>
      <w:r w:rsidRPr="00096706">
        <w:rPr>
          <w:i/>
        </w:rPr>
        <w:t>PR-USVI Stage 2</w:t>
      </w:r>
      <w:r>
        <w:rPr>
          <w:i/>
        </w:rPr>
        <w:t xml:space="preserve"> Reserve Price Notice.</w:t>
      </w:r>
    </w:p>
  </w:footnote>
  <w:footnote w:id="43">
    <w:p w:rsidR="00C64615" w:rsidRPr="005003A1" w:rsidP="00AF3A07" w14:paraId="57F45D42" w14:textId="7CEFF975">
      <w:pPr>
        <w:pStyle w:val="FootnoteText"/>
      </w:pPr>
      <w:r>
        <w:rPr>
          <w:rStyle w:val="FootnoteReference"/>
        </w:rPr>
        <w:footnoteRef/>
      </w:r>
      <w:r>
        <w:t xml:space="preserve"> </w:t>
      </w:r>
      <w:r w:rsidRPr="002F593E">
        <w:rPr>
          <w:i/>
        </w:rPr>
        <w:t>PR-USVI</w:t>
      </w:r>
      <w:r>
        <w:t xml:space="preserve"> </w:t>
      </w:r>
      <w:r>
        <w:rPr>
          <w:i/>
        </w:rPr>
        <w:t>Stage 2</w:t>
      </w:r>
      <w:r w:rsidRPr="00805F1F">
        <w:rPr>
          <w:i/>
        </w:rPr>
        <w:t xml:space="preserve"> Order</w:t>
      </w:r>
      <w:r>
        <w:t>, 34</w:t>
      </w:r>
      <w:r w:rsidRPr="00805F1F">
        <w:t xml:space="preserve"> FCC Rcd at </w:t>
      </w:r>
      <w:r>
        <w:t>9119-21</w:t>
      </w:r>
      <w:r w:rsidRPr="00805F1F">
        <w:t>, para</w:t>
      </w:r>
      <w:r>
        <w:t>s</w:t>
      </w:r>
      <w:r w:rsidRPr="00805F1F">
        <w:t xml:space="preserve">. </w:t>
      </w:r>
      <w:r>
        <w:t>18-20</w:t>
      </w:r>
      <w:r w:rsidRPr="00805F1F">
        <w:t>.</w:t>
      </w:r>
    </w:p>
  </w:footnote>
  <w:footnote w:id="44">
    <w:p w:rsidR="00C64615" w:rsidP="00C5075C" w14:paraId="69DB0CB1" w14:textId="754C77CB">
      <w:pPr>
        <w:pStyle w:val="FootnoteText"/>
      </w:pPr>
      <w:r>
        <w:rPr>
          <w:rStyle w:val="FootnoteReference"/>
        </w:rPr>
        <w:footnoteRef/>
      </w:r>
      <w:r>
        <w:t xml:space="preserve"> </w:t>
      </w:r>
      <w:r w:rsidRPr="00096706">
        <w:rPr>
          <w:i/>
        </w:rPr>
        <w:t>PR-USVI Stage 2</w:t>
      </w:r>
      <w:r>
        <w:rPr>
          <w:i/>
        </w:rPr>
        <w:t xml:space="preserve"> Reserve Price Notice</w:t>
      </w:r>
      <w:r w:rsidRPr="00456306">
        <w:t xml:space="preserve"> at </w:t>
      </w:r>
      <w:r>
        <w:t>2.</w:t>
      </w:r>
    </w:p>
  </w:footnote>
  <w:footnote w:id="45">
    <w:p w:rsidR="00C64615" w:rsidP="00676A10" w14:paraId="32489680" w14:textId="77777777">
      <w:pPr>
        <w:pStyle w:val="FootnoteText"/>
      </w:pPr>
      <w:r>
        <w:rPr>
          <w:rStyle w:val="FootnoteReference"/>
        </w:rPr>
        <w:footnoteRef/>
      </w:r>
      <w:r>
        <w:t xml:space="preserve"> </w:t>
      </w:r>
      <w:r w:rsidRPr="00FE2E92">
        <w:rPr>
          <w:i/>
        </w:rPr>
        <w:t xml:space="preserve">See </w:t>
      </w:r>
      <w:r>
        <w:rPr>
          <w:i/>
        </w:rPr>
        <w:t xml:space="preserve">generally </w:t>
      </w:r>
      <w:r w:rsidRPr="00FE2E92">
        <w:t>47 CFR § 1.2104(i).</w:t>
      </w:r>
    </w:p>
  </w:footnote>
  <w:footnote w:id="46">
    <w:p w:rsidR="00C64615" w:rsidP="004A51A6" w14:paraId="04A3CB64" w14:textId="266EE7B1">
      <w:pPr>
        <w:pStyle w:val="FootnoteText"/>
      </w:pPr>
      <w:r>
        <w:rPr>
          <w:rStyle w:val="FootnoteReference"/>
        </w:rPr>
        <w:footnoteRef/>
      </w:r>
      <w:r>
        <w:t xml:space="preserve"> </w:t>
      </w:r>
      <w:r w:rsidRPr="002F593E">
        <w:rPr>
          <w:i/>
        </w:rPr>
        <w:t>PR-USVI</w:t>
      </w:r>
      <w:r>
        <w:t xml:space="preserve"> </w:t>
      </w:r>
      <w:r>
        <w:rPr>
          <w:i/>
        </w:rPr>
        <w:t>Stage 2</w:t>
      </w:r>
      <w:r w:rsidRPr="00805F1F">
        <w:rPr>
          <w:i/>
        </w:rPr>
        <w:t xml:space="preserve"> Order</w:t>
      </w:r>
      <w:r>
        <w:t>, 34</w:t>
      </w:r>
      <w:r w:rsidRPr="00805F1F">
        <w:t xml:space="preserve"> FCC Rcd at </w:t>
      </w:r>
      <w:r>
        <w:t>9136-37</w:t>
      </w:r>
      <w:r w:rsidRPr="00805F1F">
        <w:t>, para.</w:t>
      </w:r>
      <w:r>
        <w:t xml:space="preserve"> 45.</w:t>
      </w:r>
    </w:p>
  </w:footnote>
  <w:footnote w:id="47">
    <w:p w:rsidR="00C64615" w:rsidRPr="00097A21" w:rsidP="004A51A6" w14:paraId="1ABE7FD1" w14:textId="27CE70AE">
      <w:pPr>
        <w:pStyle w:val="FootnoteText"/>
        <w:rPr>
          <w:i/>
        </w:rPr>
      </w:pPr>
      <w:r>
        <w:rPr>
          <w:rStyle w:val="FootnoteReference"/>
        </w:rPr>
        <w:footnoteRef/>
      </w:r>
      <w:r>
        <w:t xml:space="preserve"> </w:t>
      </w:r>
      <w:r w:rsidRPr="002F593E">
        <w:rPr>
          <w:i/>
        </w:rPr>
        <w:t>PR-USVI</w:t>
      </w:r>
      <w:r>
        <w:t xml:space="preserve"> </w:t>
      </w:r>
      <w:r>
        <w:rPr>
          <w:i/>
        </w:rPr>
        <w:t>Stage 2</w:t>
      </w:r>
      <w:r w:rsidRPr="00805F1F">
        <w:rPr>
          <w:i/>
        </w:rPr>
        <w:t xml:space="preserve"> Order</w:t>
      </w:r>
      <w:r>
        <w:t>, 34</w:t>
      </w:r>
      <w:r w:rsidRPr="00805F1F">
        <w:t xml:space="preserve"> FCC Rcd at </w:t>
      </w:r>
      <w:r>
        <w:t>9115-35</w:t>
      </w:r>
      <w:r w:rsidRPr="00805F1F">
        <w:t>, para</w:t>
      </w:r>
      <w:r>
        <w:t>s</w:t>
      </w:r>
      <w:r w:rsidRPr="00805F1F">
        <w:t xml:space="preserve">. </w:t>
      </w:r>
      <w:r>
        <w:t>12-42</w:t>
      </w:r>
      <w:r w:rsidRPr="00805F1F">
        <w:t>.</w:t>
      </w:r>
    </w:p>
  </w:footnote>
  <w:footnote w:id="48">
    <w:p w:rsidR="00C64615" w:rsidP="00676A10" w14:paraId="0A177BF9" w14:textId="77777777">
      <w:pPr>
        <w:pStyle w:val="FootnoteText"/>
      </w:pPr>
      <w:r>
        <w:rPr>
          <w:rStyle w:val="FootnoteReference"/>
        </w:rPr>
        <w:footnoteRef/>
      </w:r>
      <w:r>
        <w:t xml:space="preserve"> 47 CFR §§ 1.21001, 54.1501-1515.</w:t>
      </w:r>
    </w:p>
  </w:footnote>
  <w:footnote w:id="49">
    <w:p w:rsidR="00C64615" w:rsidP="00676A10" w14:paraId="41FBA406"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50">
    <w:p w:rsidR="00C64615" w14:paraId="4A77CE68" w14:textId="17ED241B">
      <w:pPr>
        <w:pStyle w:val="FootnoteText"/>
      </w:pPr>
      <w:r>
        <w:rPr>
          <w:rStyle w:val="FootnoteReference"/>
        </w:rPr>
        <w:footnoteRef/>
      </w:r>
      <w:r>
        <w:t xml:space="preserve"> Applicants </w:t>
      </w:r>
      <w:r w:rsidRPr="00612BA9">
        <w:t xml:space="preserve">will receive an e-mail </w:t>
      </w:r>
      <w:r>
        <w:t xml:space="preserve">response </w:t>
      </w:r>
      <w:r w:rsidRPr="00612BA9">
        <w:t xml:space="preserve">confirming </w:t>
      </w:r>
      <w:r>
        <w:t>receipt</w:t>
      </w:r>
      <w:r w:rsidRPr="00612BA9">
        <w:t xml:space="preserve"> and should contact the Bureau if they do not receive such confirmation. Confirmation of receipt does not constitute </w:t>
      </w:r>
      <w:r>
        <w:t>determination that the application is complete as filed</w:t>
      </w:r>
      <w:r w:rsidRPr="00612BA9">
        <w:t>.</w:t>
      </w:r>
    </w:p>
  </w:footnote>
  <w:footnote w:id="51">
    <w:p w:rsidR="00C64615" w:rsidP="00676A10" w14:paraId="6DD0463B" w14:textId="04BC814D">
      <w:pPr>
        <w:pStyle w:val="FootnoteText"/>
      </w:pPr>
      <w:r>
        <w:rPr>
          <w:rStyle w:val="FootnoteReference"/>
        </w:rPr>
        <w:footnoteRef/>
      </w:r>
      <w:r>
        <w:t xml:space="preserve"> </w:t>
      </w:r>
      <w:r w:rsidRPr="00B41D4B">
        <w:rPr>
          <w:i/>
        </w:rPr>
        <w:t>See</w:t>
      </w:r>
      <w:r>
        <w:t xml:space="preserve"> </w:t>
      </w:r>
      <w:r w:rsidRPr="00055E09">
        <w:rPr>
          <w:i/>
        </w:rPr>
        <w:t>infra</w:t>
      </w:r>
      <w:r>
        <w:t xml:space="preserve"> Section II.E (Prohibited Communications and Compliance with Antitrust Laws).</w:t>
      </w:r>
    </w:p>
  </w:footnote>
  <w:footnote w:id="52">
    <w:p w:rsidR="00C64615" w:rsidP="00676A10" w14:paraId="6A232D48" w14:textId="75B0742F">
      <w:pPr>
        <w:pStyle w:val="FootnoteText"/>
      </w:pPr>
      <w:r>
        <w:rPr>
          <w:rStyle w:val="FootnoteReference"/>
        </w:rPr>
        <w:footnoteRef/>
      </w:r>
      <w:r>
        <w:t xml:space="preserve"> </w:t>
      </w:r>
      <w:r w:rsidRPr="00596BFE">
        <w:rPr>
          <w:i/>
        </w:rPr>
        <w:t>See</w:t>
      </w:r>
      <w:r>
        <w:t xml:space="preserve"> </w:t>
      </w:r>
      <w:r w:rsidRPr="006D20A0">
        <w:rPr>
          <w:i/>
        </w:rPr>
        <w:t>PR-USVI</w:t>
      </w:r>
      <w:r>
        <w:t xml:space="preserve"> </w:t>
      </w:r>
      <w:r>
        <w:rPr>
          <w:i/>
        </w:rPr>
        <w:t>Stage 2</w:t>
      </w:r>
      <w:r w:rsidRPr="00B37289">
        <w:rPr>
          <w:i/>
        </w:rPr>
        <w:t xml:space="preserve"> Order</w:t>
      </w:r>
      <w:r>
        <w:t>, 34 FCC Rcd 9109.</w:t>
      </w:r>
    </w:p>
  </w:footnote>
  <w:footnote w:id="53">
    <w:p w:rsidR="00C64615" w:rsidP="00676A10" w14:paraId="5A2DE221" w14:textId="77777777">
      <w:pPr>
        <w:pStyle w:val="FootnoteText"/>
      </w:pPr>
      <w:r>
        <w:rPr>
          <w:rStyle w:val="FootnoteReference"/>
        </w:rPr>
        <w:footnoteRef/>
      </w:r>
      <w:r>
        <w:t xml:space="preserve"> </w:t>
      </w:r>
      <w:r w:rsidRPr="00B41D4B">
        <w:rPr>
          <w:i/>
        </w:rPr>
        <w:t>See</w:t>
      </w:r>
      <w:r>
        <w:t xml:space="preserve"> </w:t>
      </w:r>
      <w:r w:rsidRPr="00055E09">
        <w:rPr>
          <w:i/>
        </w:rPr>
        <w:t>infra</w:t>
      </w:r>
      <w:r>
        <w:t xml:space="preserve"> Section </w:t>
      </w:r>
      <w:r w:rsidRPr="00D728B4">
        <w:t>V.D</w:t>
      </w:r>
      <w:r>
        <w:t xml:space="preserve"> (Contact Information).</w:t>
      </w:r>
    </w:p>
  </w:footnote>
  <w:footnote w:id="54">
    <w:p w:rsidR="00C64615" w:rsidP="00676A10" w14:paraId="2D48F1AB" w14:textId="77777777">
      <w:pPr>
        <w:pStyle w:val="FootnoteText"/>
      </w:pPr>
      <w:r>
        <w:rPr>
          <w:rStyle w:val="FootnoteReference"/>
        </w:rPr>
        <w:footnoteRef/>
      </w:r>
      <w:r>
        <w:t xml:space="preserve"> </w:t>
      </w:r>
      <w:r w:rsidRPr="00805F1F">
        <w:rPr>
          <w:i/>
        </w:rPr>
        <w:t xml:space="preserve">See </w:t>
      </w:r>
      <w:r>
        <w:t>47 CFR § 1.21001(d)(4).</w:t>
      </w:r>
    </w:p>
  </w:footnote>
  <w:footnote w:id="55">
    <w:p w:rsidR="00C64615" w:rsidRPr="00805F1F" w:rsidP="00676A10" w14:paraId="626BF341" w14:textId="77777777">
      <w:pPr>
        <w:pStyle w:val="FootnoteText"/>
      </w:pPr>
      <w:r w:rsidRPr="00805F1F">
        <w:rPr>
          <w:rStyle w:val="FootnoteReference"/>
        </w:rPr>
        <w:footnoteRef/>
      </w:r>
      <w:r w:rsidRPr="00805F1F">
        <w:t xml:space="preserve"> </w:t>
      </w:r>
      <w:r w:rsidRPr="00805F1F">
        <w:rPr>
          <w:i/>
        </w:rPr>
        <w:t>See</w:t>
      </w:r>
      <w:r>
        <w:rPr>
          <w:i/>
        </w:rPr>
        <w:t>, e.g.,</w:t>
      </w:r>
      <w:r w:rsidRPr="00805F1F">
        <w:rPr>
          <w:i/>
        </w:rPr>
        <w:t xml:space="preserve"> id.</w:t>
      </w:r>
      <w:r w:rsidRPr="00805F1F">
        <w:t xml:space="preserve"> § 1.21001(d)</w:t>
      </w:r>
      <w:r>
        <w:t>(1)</w:t>
      </w:r>
      <w:r w:rsidRPr="00805F1F">
        <w:t>.</w:t>
      </w:r>
    </w:p>
  </w:footnote>
  <w:footnote w:id="56">
    <w:p w:rsidR="00C64615" w:rsidRPr="00805F1F" w:rsidP="00676A10" w14:paraId="625FDF0D" w14:textId="77777777">
      <w:pPr>
        <w:pStyle w:val="FootnoteText"/>
      </w:pPr>
      <w:r w:rsidRPr="00805F1F">
        <w:rPr>
          <w:rStyle w:val="FootnoteReference"/>
        </w:rPr>
        <w:footnoteRef/>
      </w:r>
      <w:r w:rsidRPr="00805F1F">
        <w:t xml:space="preserve"> </w:t>
      </w:r>
      <w:r w:rsidRPr="00805F1F">
        <w:rPr>
          <w:i/>
        </w:rPr>
        <w:t>See</w:t>
      </w:r>
      <w:r>
        <w:rPr>
          <w:i/>
        </w:rPr>
        <w:t>, e.g.,</w:t>
      </w:r>
      <w:r w:rsidRPr="00805F1F">
        <w:rPr>
          <w:i/>
        </w:rPr>
        <w:t xml:space="preserve"> id.</w:t>
      </w:r>
      <w:r w:rsidRPr="00805F1F">
        <w:t xml:space="preserve"> § 1.21001(d)</w:t>
      </w:r>
      <w:r>
        <w:t>(5)</w:t>
      </w:r>
      <w:r w:rsidRPr="00805F1F">
        <w:t>.</w:t>
      </w:r>
    </w:p>
  </w:footnote>
  <w:footnote w:id="57">
    <w:p w:rsidR="00C64615" w:rsidRPr="003F3D05" w:rsidP="00676A10" w14:paraId="12FCD8C8" w14:textId="77777777">
      <w:pPr>
        <w:pStyle w:val="FootnoteText"/>
      </w:pPr>
      <w:r>
        <w:rPr>
          <w:rStyle w:val="FootnoteReference"/>
        </w:rPr>
        <w:footnoteRef/>
      </w:r>
      <w:r>
        <w:t xml:space="preserve"> </w:t>
      </w:r>
      <w:r>
        <w:rPr>
          <w:i/>
        </w:rPr>
        <w:t>Id</w:t>
      </w:r>
      <w:r>
        <w:t>.</w:t>
      </w:r>
    </w:p>
  </w:footnote>
  <w:footnote w:id="58">
    <w:p w:rsidR="00C64615" w:rsidP="00676A10" w14:paraId="09152915" w14:textId="1BFB5DDC">
      <w:pPr>
        <w:pStyle w:val="FootnoteText"/>
      </w:pPr>
      <w:r>
        <w:rPr>
          <w:rStyle w:val="FootnoteReference"/>
        </w:rPr>
        <w:footnoteRef/>
      </w:r>
      <w:r>
        <w:t xml:space="preserve"> </w:t>
      </w:r>
      <w:r>
        <w:rPr>
          <w:i/>
        </w:rPr>
        <w:t>S</w:t>
      </w:r>
      <w:r w:rsidRPr="00B41D4B">
        <w:rPr>
          <w:i/>
        </w:rPr>
        <w:t>ee</w:t>
      </w:r>
      <w:r>
        <w:t xml:space="preserve"> </w:t>
      </w:r>
      <w:r w:rsidRPr="00055E09">
        <w:rPr>
          <w:i/>
        </w:rPr>
        <w:t>infra</w:t>
      </w:r>
      <w:r>
        <w:t xml:space="preserve"> Section </w:t>
      </w:r>
      <w:r w:rsidRPr="0013326E">
        <w:t>III.</w:t>
      </w:r>
      <w:r>
        <w:t>F (Competition Results).</w:t>
      </w:r>
    </w:p>
  </w:footnote>
  <w:footnote w:id="59">
    <w:p w:rsidR="00C64615" w14:paraId="29BE2012" w14:textId="06EF34F8">
      <w:pPr>
        <w:pStyle w:val="FootnoteText"/>
      </w:pPr>
      <w:r>
        <w:rPr>
          <w:rStyle w:val="FootnoteReference"/>
        </w:rPr>
        <w:footnoteRef/>
      </w:r>
      <w:r>
        <w:t xml:space="preserve"> </w:t>
      </w:r>
      <w:r w:rsidRPr="002F593E">
        <w:rPr>
          <w:i/>
        </w:rPr>
        <w:t>PR-USVI</w:t>
      </w:r>
      <w:r>
        <w:t xml:space="preserve"> </w:t>
      </w:r>
      <w:r>
        <w:rPr>
          <w:i/>
        </w:rPr>
        <w:t>Stage 2</w:t>
      </w:r>
      <w:r w:rsidRPr="00805F1F">
        <w:rPr>
          <w:i/>
        </w:rPr>
        <w:t xml:space="preserve"> Order</w:t>
      </w:r>
      <w:r>
        <w:t>, 34</w:t>
      </w:r>
      <w:r w:rsidRPr="00805F1F">
        <w:t xml:space="preserve"> FCC Rcd at </w:t>
      </w:r>
      <w:r>
        <w:t>9134, para. 39.</w:t>
      </w:r>
    </w:p>
  </w:footnote>
  <w:footnote w:id="60">
    <w:p w:rsidR="00C64615" w:rsidRPr="00701F80" w:rsidP="00A9276F" w14:paraId="7C4DB0D4" w14:textId="77777777">
      <w:pPr>
        <w:pStyle w:val="FootnoteText"/>
      </w:pPr>
      <w:r>
        <w:rPr>
          <w:rStyle w:val="FootnoteReference"/>
        </w:rPr>
        <w:footnoteRef/>
      </w:r>
      <w:r>
        <w:t xml:space="preserve"> </w:t>
      </w:r>
      <w:r w:rsidRPr="00805F1F">
        <w:rPr>
          <w:i/>
        </w:rPr>
        <w:t xml:space="preserve">See supra </w:t>
      </w:r>
      <w:r w:rsidRPr="00805F1F">
        <w:t>Section</w:t>
      </w:r>
      <w:r w:rsidRPr="00805F1F">
        <w:rPr>
          <w:i/>
        </w:rPr>
        <w:t xml:space="preserve"> </w:t>
      </w:r>
      <w:r w:rsidRPr="00805F1F">
        <w:t>I</w:t>
      </w:r>
      <w:r>
        <w:t>I</w:t>
      </w:r>
      <w:r w:rsidRPr="00805F1F">
        <w:t>.</w:t>
      </w:r>
      <w:r>
        <w:t>E.1 (</w:t>
      </w:r>
      <w:r w:rsidRPr="00805F1F">
        <w:t>State Selections an</w:t>
      </w:r>
      <w:r>
        <w:t>d Impermissible State Overlaps).</w:t>
      </w:r>
    </w:p>
  </w:footnote>
  <w:footnote w:id="61">
    <w:p w:rsidR="00C64615" w:rsidRPr="00291FA9" w:rsidP="003347F8" w14:paraId="6892F50B" w14:textId="1CACC9B7">
      <w:pPr>
        <w:pStyle w:val="FootnoteText"/>
      </w:pPr>
      <w:r w:rsidRPr="00ED24AC">
        <w:rPr>
          <w:rStyle w:val="FootnoteReference"/>
        </w:rPr>
        <w:footnoteRef/>
      </w:r>
      <w:r w:rsidRPr="00ED24AC">
        <w:t xml:space="preserve"> </w:t>
      </w:r>
      <w:r w:rsidRPr="00ED24AC">
        <w:rPr>
          <w:i/>
        </w:rPr>
        <w:t>See CAF II Auction Comment Public Notice</w:t>
      </w:r>
      <w:r w:rsidRPr="00ED24AC">
        <w:t>, 32 FCC Rcd</w:t>
      </w:r>
      <w:r w:rsidRPr="00ED24AC">
        <w:rPr>
          <w:i/>
        </w:rPr>
        <w:t xml:space="preserve"> </w:t>
      </w:r>
      <w:r w:rsidRPr="00ED24AC">
        <w:t>at 6262, para. 83.</w:t>
      </w:r>
    </w:p>
  </w:footnote>
  <w:footnote w:id="62">
    <w:p w:rsidR="00C64615" w:rsidRPr="00B77488" w:rsidP="003347F8" w14:paraId="0DB131E0" w14:textId="1C43CEAE">
      <w:pPr>
        <w:pStyle w:val="FootnoteText"/>
      </w:pPr>
      <w:r w:rsidRPr="00B77488">
        <w:rPr>
          <w:rStyle w:val="FootnoteReference"/>
        </w:rPr>
        <w:footnoteRef/>
      </w:r>
      <w:r w:rsidRPr="00B77488">
        <w:t xml:space="preserve"> </w:t>
      </w:r>
      <w:r w:rsidRPr="00096CCF">
        <w:rPr>
          <w:i/>
        </w:rPr>
        <w:t>See</w:t>
      </w:r>
      <w:r>
        <w:t xml:space="preserve"> 47 CFR</w:t>
      </w:r>
      <w:r w:rsidRPr="00B77488">
        <w:t xml:space="preserve"> § 1.2</w:t>
      </w:r>
      <w:r>
        <w:t>1001</w:t>
      </w:r>
      <w:r w:rsidRPr="00B77488">
        <w:t>(d)(</w:t>
      </w:r>
      <w:r>
        <w:t>5</w:t>
      </w:r>
      <w:r w:rsidRPr="00B77488">
        <w:t xml:space="preserve">). </w:t>
      </w:r>
      <w:r>
        <w:t xml:space="preserve"> </w:t>
      </w:r>
      <w:r w:rsidRPr="00B77488">
        <w:t>Minor amendments include any changes that are not major, such as correcting typographical errors and supplying or correcting information as requested to support the certifications made in the application. </w:t>
      </w:r>
    </w:p>
  </w:footnote>
  <w:footnote w:id="63">
    <w:p w:rsidR="00C64615" w:rsidRPr="00B77488" w:rsidP="003347F8" w14:paraId="61D30ACE" w14:textId="2CE272E0">
      <w:pPr>
        <w:pStyle w:val="FootnoteText"/>
      </w:pPr>
      <w:r w:rsidRPr="00B77488">
        <w:rPr>
          <w:rStyle w:val="FootnoteReference"/>
        </w:rPr>
        <w:footnoteRef/>
      </w:r>
      <w:r w:rsidRPr="00B77488">
        <w:t xml:space="preserve"> </w:t>
      </w:r>
      <w:r w:rsidRPr="00B77488">
        <w:rPr>
          <w:i/>
        </w:rPr>
        <w:t>See</w:t>
      </w:r>
      <w:r w:rsidRPr="00B77488">
        <w:t xml:space="preserve"> </w:t>
      </w:r>
      <w:r w:rsidRPr="00031699">
        <w:rPr>
          <w:i/>
        </w:rPr>
        <w:t>id.</w:t>
      </w:r>
      <w:r>
        <w:rPr>
          <w:i/>
        </w:rPr>
        <w:t xml:space="preserve"> </w:t>
      </w:r>
      <w:r w:rsidRPr="00B77488">
        <w:t>§ 1.2</w:t>
      </w:r>
      <w:r>
        <w:t>1001</w:t>
      </w:r>
      <w:r w:rsidRPr="00B77488">
        <w:t>(d)(</w:t>
      </w:r>
      <w:r>
        <w:t>4</w:t>
      </w:r>
      <w:r w:rsidRPr="00B77488">
        <w:t xml:space="preserve">).  </w:t>
      </w:r>
      <w:r>
        <w:t>While parties can always seek waiver of any Commission rules, the Bureau emphasizes that we would be reluctant to depart from the Commission’s well-established precedent on this issue.</w:t>
      </w:r>
    </w:p>
  </w:footnote>
  <w:footnote w:id="64">
    <w:p w:rsidR="00C64615" w:rsidP="003347F8" w14:paraId="78527605" w14:textId="07F6310B">
      <w:pPr>
        <w:pStyle w:val="FootnoteText"/>
      </w:pPr>
      <w:r>
        <w:rPr>
          <w:rStyle w:val="FootnoteReference"/>
        </w:rPr>
        <w:footnoteRef/>
      </w:r>
      <w:r>
        <w:t xml:space="preserve"> </w:t>
      </w:r>
      <w:r w:rsidRPr="00FE2E92">
        <w:t xml:space="preserve">Any change in control of an applicant—resulting from a merger, for example—will be considered a major modification, and the application will consequently be dismissed.  </w:t>
      </w:r>
      <w:r>
        <w:t>The Bureau</w:t>
      </w:r>
      <w:r w:rsidRPr="00FE2E92">
        <w:t xml:space="preserve"> reiterate</w:t>
      </w:r>
      <w:r>
        <w:t>s</w:t>
      </w:r>
      <w:r w:rsidRPr="00FE2E92">
        <w:t xml:space="preserve"> that, even if an applicant’s </w:t>
      </w:r>
      <w:r>
        <w:t>Application</w:t>
      </w:r>
      <w:r w:rsidRPr="00FE2E92">
        <w:t xml:space="preserve"> Form is dismissed, the applicant would remain subject to the</w:t>
      </w:r>
      <w:r>
        <w:t xml:space="preserve"> rule prohibiting certain</w:t>
      </w:r>
      <w:r w:rsidRPr="00FE2E92">
        <w:t xml:space="preserve"> communication</w:t>
      </w:r>
      <w:r>
        <w:t>s</w:t>
      </w:r>
      <w:r w:rsidRPr="00FE2E92">
        <w:t xml:space="preserve"> until the </w:t>
      </w:r>
      <w:r>
        <w:t>applicant authorization notice</w:t>
      </w:r>
      <w:r w:rsidRPr="00FE2E92">
        <w:t xml:space="preserve">, which will be established after the </w:t>
      </w:r>
      <w:r>
        <w:t>competition</w:t>
      </w:r>
      <w:r w:rsidRPr="00FE2E92">
        <w:t xml:space="preserve"> closes.</w:t>
      </w:r>
    </w:p>
  </w:footnote>
  <w:footnote w:id="65">
    <w:p w:rsidR="00C64615" w:rsidP="003347F8" w14:paraId="0E86A152" w14:textId="17B95DC7">
      <w:pPr>
        <w:pStyle w:val="FootnoteText"/>
        <w:widowControl w:val="0"/>
      </w:pPr>
      <w:r>
        <w:rPr>
          <w:rStyle w:val="FootnoteReference"/>
        </w:rPr>
        <w:footnoteRef/>
      </w:r>
      <w:r>
        <w:t xml:space="preserve"> </w:t>
      </w:r>
      <w:r w:rsidRPr="00FE2E92">
        <w:rPr>
          <w:i/>
        </w:rPr>
        <w:t xml:space="preserve">See </w:t>
      </w:r>
      <w:r w:rsidRPr="00FE2E92">
        <w:t>47 CFR § 1.65.</w:t>
      </w:r>
      <w:r>
        <w:t xml:space="preserve">  For purposes of section 1.65 of the Commission’s rules, an applicant’s Application Form </w:t>
      </w:r>
      <w:r w:rsidRPr="001A6B11">
        <w:t xml:space="preserve">and </w:t>
      </w:r>
      <w:r>
        <w:t>associated attachments will remain pending until the release of a public notice announcing the winners of the Stage 2 Competition</w:t>
      </w:r>
      <w:r w:rsidRPr="001A6B11">
        <w:t>.</w:t>
      </w:r>
      <w:r>
        <w:t xml:space="preserve">  However, the Bureau reminds Stage 2 Competition applicants that they remain subject to </w:t>
      </w:r>
      <w:r w:rsidRPr="002D3BB1">
        <w:t xml:space="preserve">the </w:t>
      </w:r>
      <w:r>
        <w:t xml:space="preserve">rule </w:t>
      </w:r>
      <w:r w:rsidRPr="002D3BB1">
        <w:t>prohibiti</w:t>
      </w:r>
      <w:r>
        <w:t xml:space="preserve">ng certain communications </w:t>
      </w:r>
      <w:r w:rsidRPr="002D3BB1">
        <w:t xml:space="preserve">until the </w:t>
      </w:r>
      <w:r>
        <w:t>authorization of support for</w:t>
      </w:r>
      <w:r w:rsidRPr="002D3BB1">
        <w:t xml:space="preserve"> winning </w:t>
      </w:r>
      <w:r>
        <w:t>application</w:t>
      </w:r>
      <w:r w:rsidRPr="002D3BB1">
        <w:t>s</w:t>
      </w:r>
      <w:r>
        <w:t>.</w:t>
      </w:r>
    </w:p>
  </w:footnote>
  <w:footnote w:id="66">
    <w:p w:rsidR="00C64615" w:rsidRPr="00B77488" w:rsidP="003347F8" w14:paraId="5DE771DF" w14:textId="26CA0A86">
      <w:pPr>
        <w:pStyle w:val="FootnoteText"/>
      </w:pPr>
      <w:r w:rsidRPr="00B77488">
        <w:rPr>
          <w:rStyle w:val="FootnoteReference"/>
        </w:rPr>
        <w:footnoteRef/>
      </w:r>
      <w:r w:rsidRPr="00B77488">
        <w:t xml:space="preserve"> </w:t>
      </w:r>
      <w:r w:rsidRPr="00B77488">
        <w:rPr>
          <w:i/>
        </w:rPr>
        <w:t>See</w:t>
      </w:r>
      <w:r w:rsidRPr="00B77488">
        <w:t xml:space="preserve"> 47 </w:t>
      </w:r>
      <w:r>
        <w:t>CFR</w:t>
      </w:r>
      <w:r w:rsidRPr="00B77488">
        <w:t xml:space="preserve"> § 1.65</w:t>
      </w:r>
      <w:r>
        <w:t xml:space="preserve">; </w:t>
      </w:r>
      <w:r w:rsidRPr="00936D0A">
        <w:rPr>
          <w:i/>
          <w:iCs/>
        </w:rPr>
        <w:t>cf</w:t>
      </w:r>
      <w:r>
        <w:t xml:space="preserve">. 47 CFR </w:t>
      </w:r>
      <w:r w:rsidRPr="00B77488">
        <w:t>§</w:t>
      </w:r>
      <w:r>
        <w:t xml:space="preserve"> 1.2105(b)(4)</w:t>
      </w:r>
      <w:r w:rsidRPr="00B77488">
        <w:t>.</w:t>
      </w:r>
      <w:r w:rsidRPr="00481DD9">
        <w:t xml:space="preserve"> </w:t>
      </w:r>
      <w:r>
        <w:t xml:space="preserve"> The Bureau</w:t>
      </w:r>
      <w:r w:rsidRPr="00B77488">
        <w:t xml:space="preserve"> remind</w:t>
      </w:r>
      <w:r>
        <w:t>s</w:t>
      </w:r>
      <w:r w:rsidRPr="00B77488">
        <w:t xml:space="preserve"> each applicant of its duty to continuously maintain the accuracy of information submitted in its</w:t>
      </w:r>
      <w:r>
        <w:t xml:space="preserve"> Stage 2</w:t>
      </w:r>
      <w:r w:rsidRPr="00B77488">
        <w:t xml:space="preserve"> </w:t>
      </w:r>
      <w:r>
        <w:t>Competition</w:t>
      </w:r>
      <w:r w:rsidRPr="00B77488">
        <w:t xml:space="preserve"> application.  </w:t>
      </w:r>
      <w:r w:rsidRPr="00B77488">
        <w:rPr>
          <w:i/>
        </w:rPr>
        <w:t>See, e.g.</w:t>
      </w:r>
      <w:r w:rsidRPr="00D368F9">
        <w:t>,</w:t>
      </w:r>
      <w:r w:rsidRPr="00B77488">
        <w:rPr>
          <w:i/>
        </w:rPr>
        <w:t xml:space="preserve"> Vermont Telephone Company</w:t>
      </w:r>
      <w:r>
        <w:rPr>
          <w:i/>
        </w:rPr>
        <w:t>, Inc.</w:t>
      </w:r>
      <w:r w:rsidRPr="00B77488">
        <w:t>, Notice of Apparent Liability for Forfeiture,</w:t>
      </w:r>
      <w:r w:rsidRPr="00B77488">
        <w:rPr>
          <w:i/>
        </w:rPr>
        <w:t xml:space="preserve"> </w:t>
      </w:r>
      <w:r w:rsidRPr="00B77488">
        <w:t>26 FCC Rcd 14130</w:t>
      </w:r>
      <w:r>
        <w:t>, 14134, para. 11</w:t>
      </w:r>
      <w:r w:rsidRPr="00B77488">
        <w:t xml:space="preserve"> (</w:t>
      </w:r>
      <w:r>
        <w:t xml:space="preserve">EB </w:t>
      </w:r>
      <w:r w:rsidRPr="00B77488">
        <w:t>2011).</w:t>
      </w:r>
    </w:p>
  </w:footnote>
  <w:footnote w:id="67">
    <w:p w:rsidR="00C64615" w:rsidP="002454C0" w14:paraId="70778CD7" w14:textId="30028641">
      <w:pPr>
        <w:pStyle w:val="FootnoteText"/>
      </w:pPr>
      <w:r>
        <w:rPr>
          <w:rStyle w:val="FootnoteReference"/>
        </w:rPr>
        <w:footnoteRef/>
      </w:r>
      <w:r>
        <w:t xml:space="preserve"> </w:t>
      </w:r>
      <w:r>
        <w:rPr>
          <w:i/>
        </w:rPr>
        <w:t xml:space="preserve">Cf. </w:t>
      </w:r>
      <w:r w:rsidRPr="00604C25">
        <w:t>47 CFR §</w:t>
      </w:r>
      <w:r>
        <w:t xml:space="preserve"> 1.21001(b)(3).</w:t>
      </w:r>
    </w:p>
  </w:footnote>
  <w:footnote w:id="68">
    <w:p w:rsidR="00C64615" w:rsidP="002454C0" w14:paraId="3562FA29" w14:textId="5C72EA4D">
      <w:pPr>
        <w:pStyle w:val="FootnoteText"/>
      </w:pPr>
      <w:r>
        <w:rPr>
          <w:rStyle w:val="FootnoteReference"/>
        </w:rPr>
        <w:footnoteRef/>
      </w:r>
      <w:r>
        <w:t xml:space="preserve"> </w:t>
      </w:r>
      <w:r>
        <w:rPr>
          <w:i/>
        </w:rPr>
        <w:t xml:space="preserve">See CAF II Auction </w:t>
      </w:r>
      <w:r w:rsidRPr="00555C67">
        <w:rPr>
          <w:i/>
        </w:rPr>
        <w:t>Comment Public Notice</w:t>
      </w:r>
      <w:r>
        <w:t xml:space="preserve">, 32 FCC Rcd at 6246, para. 25.  </w:t>
      </w:r>
      <w:r w:rsidRPr="00805F1F">
        <w:t xml:space="preserve">This requirement is consistent with the agreement disclosure requirements in our spectrum </w:t>
      </w:r>
      <w:r>
        <w:t>competition</w:t>
      </w:r>
      <w:r w:rsidRPr="00805F1F">
        <w:t xml:space="preserve">s.  </w:t>
      </w:r>
      <w:r w:rsidRPr="00805F1F">
        <w:rPr>
          <w:i/>
          <w:iCs/>
        </w:rPr>
        <w:t xml:space="preserve">See </w:t>
      </w:r>
      <w:r>
        <w:t>47 CFR</w:t>
      </w:r>
      <w:r w:rsidRPr="00805F1F">
        <w:t xml:space="preserve"> § 1.2105(a)(2)(viii).</w:t>
      </w:r>
    </w:p>
  </w:footnote>
  <w:footnote w:id="69">
    <w:p w:rsidR="00C64615" w:rsidP="002454C0" w14:paraId="3123B9A8" w14:textId="30FE62B4">
      <w:pPr>
        <w:pStyle w:val="FootnoteText"/>
      </w:pPr>
      <w:r>
        <w:rPr>
          <w:rStyle w:val="FootnoteReference"/>
        </w:rPr>
        <w:footnoteRef/>
      </w:r>
      <w:r>
        <w:t xml:space="preserve"> </w:t>
      </w:r>
      <w:r>
        <w:rPr>
          <w:i/>
        </w:rPr>
        <w:t xml:space="preserve">Cf. </w:t>
      </w:r>
      <w:r>
        <w:t>47 CFR § 1.21001(b)(4).</w:t>
      </w:r>
    </w:p>
  </w:footnote>
  <w:footnote w:id="70">
    <w:p w:rsidR="00C64615" w:rsidP="002454C0" w14:paraId="429635CD" w14:textId="56E6BDB8">
      <w:pPr>
        <w:pStyle w:val="FootnoteText"/>
      </w:pPr>
      <w:r>
        <w:rPr>
          <w:rStyle w:val="FootnoteReference"/>
        </w:rPr>
        <w:footnoteRef/>
      </w:r>
      <w:r>
        <w:t xml:space="preserve"> </w:t>
      </w:r>
      <w:r>
        <w:rPr>
          <w:i/>
        </w:rPr>
        <w:t xml:space="preserve">See CAF II Auction </w:t>
      </w:r>
      <w:r w:rsidRPr="00555C67">
        <w:rPr>
          <w:i/>
        </w:rPr>
        <w:t>Comment Public Notice</w:t>
      </w:r>
      <w:r>
        <w:t>, 32 FCC Rcd at 6246, para. 26.</w:t>
      </w:r>
    </w:p>
  </w:footnote>
  <w:footnote w:id="71">
    <w:p w:rsidR="00C64615" w:rsidP="002454C0" w14:paraId="179AD629" w14:textId="0BE355B6">
      <w:pPr>
        <w:pStyle w:val="FootnoteText"/>
      </w:pPr>
      <w:r>
        <w:rPr>
          <w:rStyle w:val="FootnoteReference"/>
        </w:rPr>
        <w:footnoteRef/>
      </w:r>
      <w:r>
        <w:t xml:space="preserve"> </w:t>
      </w:r>
      <w:r>
        <w:rPr>
          <w:i/>
        </w:rPr>
        <w:t xml:space="preserve">See </w:t>
      </w:r>
      <w:r w:rsidRPr="00AC40E4">
        <w:rPr>
          <w:i/>
        </w:rPr>
        <w:t>infra</w:t>
      </w:r>
      <w:r>
        <w:t xml:space="preserve"> </w:t>
      </w:r>
      <w:r w:rsidRPr="00AC40E4">
        <w:t>Section</w:t>
      </w:r>
      <w:r>
        <w:t xml:space="preserve"> II.H (Prohibited Communications and Compliance with Antitrust Laws).</w:t>
      </w:r>
    </w:p>
  </w:footnote>
  <w:footnote w:id="72">
    <w:p w:rsidR="00C64615" w:rsidP="002454C0" w14:paraId="2A16B0D2" w14:textId="1C698F24">
      <w:pPr>
        <w:pStyle w:val="FootnoteText"/>
      </w:pPr>
      <w:r>
        <w:rPr>
          <w:rStyle w:val="FootnoteReference"/>
        </w:rPr>
        <w:footnoteRef/>
      </w:r>
      <w:r>
        <w:t xml:space="preserve"> </w:t>
      </w:r>
      <w:r>
        <w:rPr>
          <w:i/>
        </w:rPr>
        <w:t>See</w:t>
      </w:r>
      <w:r>
        <w:t xml:space="preserve"> 47 CFR §§ 1.2112(a), 54.1505(d)(1) (requiring the disclosure of ownership information as set forth in 47 CFR § 1.2112(a)).</w:t>
      </w:r>
    </w:p>
  </w:footnote>
  <w:footnote w:id="73">
    <w:p w:rsidR="00C64615" w:rsidP="002454C0" w14:paraId="438A3E88" w14:textId="77777777">
      <w:pPr>
        <w:pStyle w:val="FootnoteText"/>
      </w:pPr>
      <w:r>
        <w:rPr>
          <w:rStyle w:val="FootnoteReference"/>
        </w:rPr>
        <w:footnoteRef/>
      </w:r>
      <w:r>
        <w:t xml:space="preserve"> 47 CFR § 1.2112(a).</w:t>
      </w:r>
    </w:p>
  </w:footnote>
  <w:footnote w:id="74">
    <w:p w:rsidR="00C64615" w:rsidRPr="00953F1D" w:rsidP="002454C0" w14:paraId="298DC3DF" w14:textId="6BE541B4">
      <w:pPr>
        <w:pStyle w:val="FootnoteText"/>
      </w:pPr>
      <w:r>
        <w:rPr>
          <w:rStyle w:val="FootnoteReference"/>
        </w:rPr>
        <w:footnoteRef/>
      </w:r>
      <w:r>
        <w:t xml:space="preserve"> </w:t>
      </w:r>
      <w:r w:rsidRPr="00936D0A">
        <w:rPr>
          <w:i/>
          <w:iCs/>
        </w:rPr>
        <w:t>See</w:t>
      </w:r>
      <w:r>
        <w:t xml:space="preserve"> </w:t>
      </w:r>
      <w:r>
        <w:rPr>
          <w:i/>
        </w:rPr>
        <w:t xml:space="preserve">id. </w:t>
      </w:r>
      <w:r>
        <w:t>§ 1.21001(b)(6).</w:t>
      </w:r>
    </w:p>
  </w:footnote>
  <w:footnote w:id="75">
    <w:p w:rsidR="00C64615" w:rsidRPr="00953F1D" w:rsidP="002454C0" w14:paraId="3E9FFB08" w14:textId="77777777">
      <w:pPr>
        <w:pStyle w:val="FootnoteText"/>
      </w:pPr>
      <w:r>
        <w:rPr>
          <w:rStyle w:val="FootnoteReference"/>
        </w:rPr>
        <w:footnoteRef/>
      </w:r>
      <w:r>
        <w:t xml:space="preserve"> </w:t>
      </w:r>
      <w:r>
        <w:rPr>
          <w:i/>
        </w:rPr>
        <w:t>Id.</w:t>
      </w:r>
      <w:r>
        <w:t xml:space="preserve">  </w:t>
      </w:r>
    </w:p>
  </w:footnote>
  <w:footnote w:id="76">
    <w:p w:rsidR="00C64615" w14:paraId="7390B44C" w14:textId="03BD2AE1">
      <w:pPr>
        <w:pStyle w:val="FootnoteText"/>
      </w:pPr>
      <w:r>
        <w:rPr>
          <w:rStyle w:val="FootnoteReference"/>
        </w:rPr>
        <w:footnoteRef/>
      </w:r>
      <w:r>
        <w:t xml:space="preserve"> </w:t>
      </w:r>
      <w:r w:rsidRPr="006D20A0">
        <w:rPr>
          <w:i/>
        </w:rPr>
        <w:t>PR-USVI</w:t>
      </w:r>
      <w:r>
        <w:t xml:space="preserve"> </w:t>
      </w:r>
      <w:r>
        <w:rPr>
          <w:i/>
        </w:rPr>
        <w:t>Stage 2</w:t>
      </w:r>
      <w:r w:rsidRPr="00B37289">
        <w:rPr>
          <w:i/>
        </w:rPr>
        <w:t xml:space="preserve"> Order</w:t>
      </w:r>
      <w:r>
        <w:t>, 34 FCC Rcd at 9133-35, paras. 39, 41.</w:t>
      </w:r>
    </w:p>
  </w:footnote>
  <w:footnote w:id="77">
    <w:p w:rsidR="00C64615" w:rsidP="002454C0" w14:paraId="2D4F460E" w14:textId="1300EF43">
      <w:pPr>
        <w:pStyle w:val="FootnoteText"/>
      </w:pPr>
      <w:r>
        <w:rPr>
          <w:rStyle w:val="FootnoteReference"/>
        </w:rPr>
        <w:footnoteRef/>
      </w:r>
      <w:r>
        <w:t xml:space="preserve"> </w:t>
      </w:r>
      <w:r w:rsidRPr="003607BA">
        <w:rPr>
          <w:i/>
        </w:rPr>
        <w:t>See</w:t>
      </w:r>
      <w:r>
        <w:t xml:space="preserve">, </w:t>
      </w:r>
      <w:r w:rsidRPr="003607BA">
        <w:rPr>
          <w:i/>
        </w:rPr>
        <w:t>e</w:t>
      </w:r>
      <w:r>
        <w:t>.</w:t>
      </w:r>
      <w:r w:rsidRPr="003607BA">
        <w:rPr>
          <w:i/>
        </w:rPr>
        <w:t>g</w:t>
      </w:r>
      <w:r>
        <w:t xml:space="preserve">., 47 CFR </w:t>
      </w:r>
      <w:r w:rsidRPr="00805F1F">
        <w:t>§</w:t>
      </w:r>
      <w:r>
        <w:t xml:space="preserve"> 54.315(a)(7)(i).</w:t>
      </w:r>
    </w:p>
  </w:footnote>
  <w:footnote w:id="78">
    <w:p w:rsidR="00C64615" w:rsidP="002454C0" w14:paraId="553F5CCE" w14:textId="50ABB7B6">
      <w:pPr>
        <w:pStyle w:val="FootnoteText"/>
      </w:pPr>
      <w:r>
        <w:rPr>
          <w:rStyle w:val="FootnoteReference"/>
        </w:rPr>
        <w:footnoteRef/>
      </w:r>
      <w:r>
        <w:t xml:space="preserve"> </w:t>
      </w:r>
      <w:r>
        <w:rPr>
          <w:i/>
        </w:rPr>
        <w:t>Id.</w:t>
      </w:r>
      <w:r>
        <w:t xml:space="preserve"> </w:t>
      </w:r>
      <w:r w:rsidRPr="00805F1F">
        <w:t>§</w:t>
      </w:r>
      <w:r>
        <w:t xml:space="preserve"> 54.315(a)(7)(i)(A).  If the applicant is making this certification as a wholly owned subsidiary of a parent company, it must also identify the parent company’s name in the application.  If the applicant is a holding company, it must make this certification on behalf of one of the operating companies that is identified in the application.  If the applicant is a consortium or joint venture, it must make this certification on behalf of one of the entities that is part of the consortium or joint venture.  </w:t>
      </w:r>
    </w:p>
  </w:footnote>
  <w:footnote w:id="79">
    <w:p w:rsidR="00C64615" w14:paraId="578D3F55" w14:textId="79FBA503">
      <w:pPr>
        <w:pStyle w:val="FootnoteText"/>
      </w:pPr>
      <w:r>
        <w:rPr>
          <w:rStyle w:val="FootnoteReference"/>
        </w:rPr>
        <w:footnoteRef/>
      </w:r>
      <w:r>
        <w:t xml:space="preserve"> As provided by the PR-USVI Stage 2 Order, providers are eligible to participate in Stage 2 fixed competition if they made service available as of at least June 2018, as verified by a June 2018 FCC Form 477 filed with the Commission.  </w:t>
      </w:r>
      <w:r w:rsidRPr="00794FAE">
        <w:rPr>
          <w:i/>
        </w:rPr>
        <w:t>PR-USVI Stage 2 Order</w:t>
      </w:r>
      <w:r>
        <w:t xml:space="preserve">, 34 FCC Rcd at 9137, para. 46.  Consequently, the Bureau will not accept applications from providers that were offering service at the time but had not complied with its FCC Form 477 obligations, thereby limiting the Commission’s ability to fully validate an applicant’s eligibility and qualifications.   </w:t>
      </w:r>
    </w:p>
  </w:footnote>
  <w:footnote w:id="80">
    <w:p w:rsidR="00C64615" w:rsidP="003607BA" w14:paraId="4BA9F38B" w14:textId="247D6013">
      <w:pPr>
        <w:pStyle w:val="FootnoteText"/>
      </w:pPr>
      <w:r>
        <w:rPr>
          <w:rStyle w:val="FootnoteReference"/>
        </w:rPr>
        <w:footnoteRef/>
      </w:r>
      <w:r>
        <w:t xml:space="preserve"> 47 CFR </w:t>
      </w:r>
      <w:r w:rsidRPr="00805F1F">
        <w:t>§</w:t>
      </w:r>
      <w:r>
        <w:t xml:space="preserve"> 1506.</w:t>
      </w:r>
    </w:p>
  </w:footnote>
  <w:footnote w:id="81">
    <w:p w:rsidR="00C64615" w:rsidP="007B1E04" w14:paraId="0C7B4F8C" w14:textId="77777777">
      <w:pPr>
        <w:pStyle w:val="FootnoteText"/>
      </w:pPr>
      <w:r>
        <w:rPr>
          <w:rStyle w:val="FootnoteReference"/>
        </w:rPr>
        <w:footnoteRef/>
      </w:r>
      <w:r>
        <w:t xml:space="preserve"> An applicant may propose to use more than one spectrum band to meet its Stage 2 public interest obligations.  Each applicant must identify for which part of the network (e.g., last mile, backhaul, etc.) it intends to use each spectrum band.  </w:t>
      </w:r>
    </w:p>
  </w:footnote>
  <w:footnote w:id="82">
    <w:p w:rsidR="00C64615" w:rsidP="007B1E04" w14:paraId="71A76D52" w14:textId="5E5ADA38">
      <w:pPr>
        <w:pStyle w:val="FootnoteText"/>
      </w:pPr>
      <w:r>
        <w:rPr>
          <w:rStyle w:val="FootnoteReference"/>
        </w:rPr>
        <w:footnoteRef/>
      </w:r>
      <w:r>
        <w:t xml:space="preserve"> If the licensee is a different party than the applicant, the licensee name and the relationship to the applicant should be described.  If the applicant is leasing spectrum, the lease number should be provided along with the license information.  </w:t>
      </w:r>
    </w:p>
  </w:footnote>
  <w:footnote w:id="83">
    <w:p w:rsidR="00C64615" w:rsidP="002454C0" w14:paraId="5E48A60D" w14:textId="39428E43">
      <w:pPr>
        <w:pStyle w:val="FootnoteText"/>
      </w:pPr>
      <w:r>
        <w:rPr>
          <w:rStyle w:val="FootnoteReference"/>
        </w:rPr>
        <w:footnoteRef/>
      </w:r>
      <w:r>
        <w:t xml:space="preserve"> </w:t>
      </w:r>
      <w:r w:rsidRPr="00794FAE">
        <w:rPr>
          <w:i/>
        </w:rPr>
        <w:t>PR-USVI Stage 2 Order</w:t>
      </w:r>
      <w:r>
        <w:t xml:space="preserve">, 34 FCC Rcd at 9134-35, para. 41 &amp; n.157.  </w:t>
      </w:r>
      <w:r>
        <w:rPr>
          <w:szCs w:val="22"/>
        </w:rPr>
        <w:t xml:space="preserve">Applicants should note that even if an applicant is able to demonstrate that it has sufficient financial qualifications to participate in the competition, it may not ultimately be authorized to receive Stage 2 support based on failing to fulfill all program requirements.  </w:t>
      </w:r>
    </w:p>
  </w:footnote>
  <w:footnote w:id="84">
    <w:p w:rsidR="00C64615" w:rsidP="00E733CE" w14:paraId="65F7C726" w14:textId="055F5E0E">
      <w:pPr>
        <w:pStyle w:val="FootnoteText"/>
      </w:pPr>
      <w:r>
        <w:rPr>
          <w:rStyle w:val="FootnoteReference"/>
        </w:rPr>
        <w:footnoteRef/>
      </w:r>
      <w:r>
        <w:t xml:space="preserve"> 47 CFR § 54.315(b)(2)(v); </w:t>
      </w:r>
      <w:r w:rsidRPr="00794FAE">
        <w:rPr>
          <w:i/>
        </w:rPr>
        <w:t>PR-USVI Stage 2 Order</w:t>
      </w:r>
      <w:r>
        <w:t>, 34 FCC Rcd at 9134-35, para. 41 &amp; n.157.</w:t>
      </w:r>
    </w:p>
  </w:footnote>
  <w:footnote w:id="85">
    <w:p w:rsidR="00C64615" w:rsidP="00E733CE" w14:paraId="6D9FEB19" w14:textId="2E3C3A57">
      <w:pPr>
        <w:pStyle w:val="FootnoteText"/>
      </w:pPr>
      <w:r>
        <w:rPr>
          <w:rStyle w:val="FootnoteReference"/>
        </w:rPr>
        <w:footnoteRef/>
      </w:r>
      <w:r>
        <w:t xml:space="preserve"> 47 CFR § 54.1005(b)(2)(vi); </w:t>
      </w:r>
      <w:r w:rsidRPr="00794FAE">
        <w:rPr>
          <w:i/>
        </w:rPr>
        <w:t>PR-USVI Stage 2 Order</w:t>
      </w:r>
      <w:r>
        <w:t>, 34 FCC Rcd at 9134-35, para. 41 &amp; n.157.</w:t>
      </w:r>
    </w:p>
  </w:footnote>
  <w:footnote w:id="86">
    <w:p w:rsidR="00C64615" w:rsidP="00E733CE" w14:paraId="2B0B064F" w14:textId="5796E077">
      <w:pPr>
        <w:pStyle w:val="FootnoteText"/>
      </w:pPr>
      <w:r>
        <w:rPr>
          <w:rStyle w:val="FootnoteReference"/>
        </w:rPr>
        <w:footnoteRef/>
      </w:r>
      <w:r>
        <w:t xml:space="preserve"> The Bureau</w:t>
      </w:r>
      <w:r w:rsidRPr="006B4CC5">
        <w:t xml:space="preserve"> will </w:t>
      </w:r>
      <w:r>
        <w:t xml:space="preserve">also </w:t>
      </w:r>
      <w:r w:rsidRPr="006B4CC5">
        <w:t>treat applicants that submit this information as having made a request to treat this information as confidential trade secrets and/or commercial information</w:t>
      </w:r>
      <w:r>
        <w:t xml:space="preserve">. </w:t>
      </w:r>
      <w:r w:rsidRPr="00B13658">
        <w:rPr>
          <w:i/>
        </w:rPr>
        <w:t xml:space="preserve"> See </w:t>
      </w:r>
      <w:r>
        <w:t>47 CFR § 0.459(a)(4).  If a request for public inspection under section 0.461 is made, however, the applicant will be notified and will be required to justify confidential treatment of its request if the applicant has any objections to disclosure.  47 CFR § 0.461.</w:t>
      </w:r>
    </w:p>
  </w:footnote>
  <w:footnote w:id="87">
    <w:p w:rsidR="00C64615" w:rsidP="006C70A7" w14:paraId="45CD27D6" w14:textId="60B2E397">
      <w:pPr>
        <w:pStyle w:val="FootnoteText"/>
      </w:pPr>
      <w:r>
        <w:rPr>
          <w:rStyle w:val="FootnoteReference"/>
        </w:rPr>
        <w:footnoteRef/>
      </w:r>
      <w:r>
        <w:t xml:space="preserve"> 47 CFR </w:t>
      </w:r>
      <w:r w:rsidRPr="00805F1F">
        <w:t>§</w:t>
      </w:r>
      <w:r>
        <w:t xml:space="preserve"> 54.315(a)(4); </w:t>
      </w:r>
      <w:r w:rsidRPr="003859B8">
        <w:rPr>
          <w:i/>
        </w:rPr>
        <w:t>see also</w:t>
      </w:r>
      <w:r>
        <w:t xml:space="preserve"> </w:t>
      </w:r>
      <w:r w:rsidRPr="006D20A0">
        <w:rPr>
          <w:i/>
        </w:rPr>
        <w:t>PR-USVI</w:t>
      </w:r>
      <w:r>
        <w:t xml:space="preserve"> </w:t>
      </w:r>
      <w:r>
        <w:rPr>
          <w:i/>
        </w:rPr>
        <w:t>Stage 2</w:t>
      </w:r>
      <w:r w:rsidRPr="00B37289">
        <w:rPr>
          <w:i/>
        </w:rPr>
        <w:t xml:space="preserve"> Order</w:t>
      </w:r>
      <w:r>
        <w:t>, 34 FCC Rcd at 9121-24, paras. 21-26.</w:t>
      </w:r>
    </w:p>
  </w:footnote>
  <w:footnote w:id="88">
    <w:p w:rsidR="00C64615" w:rsidP="006C70A7" w14:paraId="6A7E13BB" w14:textId="77777777">
      <w:pPr>
        <w:pStyle w:val="FootnoteText"/>
      </w:pPr>
      <w:r>
        <w:rPr>
          <w:rStyle w:val="FootnoteReference"/>
        </w:rPr>
        <w:footnoteRef/>
      </w:r>
      <w:r>
        <w:t xml:space="preserve"> </w:t>
      </w:r>
      <w:r w:rsidRPr="00AE355E">
        <w:rPr>
          <w:i/>
        </w:rPr>
        <w:t>Id.</w:t>
      </w:r>
      <w:r>
        <w:t xml:space="preserve">  An applicant may propose to use different technologies within a geographic area and use hybrid networks to meet its Stage 2 public interest obligations. </w:t>
      </w:r>
    </w:p>
  </w:footnote>
  <w:footnote w:id="89">
    <w:p w:rsidR="00C64615" w:rsidP="00E733CE" w14:paraId="60FDD1A6" w14:textId="0146EB84">
      <w:pPr>
        <w:pStyle w:val="FootnoteText"/>
      </w:pPr>
      <w:r>
        <w:rPr>
          <w:rStyle w:val="FootnoteReference"/>
        </w:rPr>
        <w:footnoteRef/>
      </w:r>
      <w:r>
        <w:t xml:space="preserve"> </w:t>
      </w:r>
      <w:r w:rsidRPr="00794FAE">
        <w:rPr>
          <w:i/>
        </w:rPr>
        <w:t>PR-USVI Stage 2 Order</w:t>
      </w:r>
      <w:r>
        <w:t>, 34 FCC Rcd at 9134-35, para. 41 &amp; n.157.</w:t>
      </w:r>
    </w:p>
  </w:footnote>
  <w:footnote w:id="90">
    <w:p w:rsidR="00C64615" w:rsidP="00E733CE" w14:paraId="0460BC0D" w14:textId="228110F7">
      <w:pPr>
        <w:pStyle w:val="FootnoteText"/>
      </w:pPr>
      <w:r>
        <w:rPr>
          <w:rStyle w:val="FootnoteReference"/>
        </w:rPr>
        <w:footnoteRef/>
      </w:r>
      <w:r>
        <w:t xml:space="preserve"> </w:t>
      </w:r>
      <w:r w:rsidRPr="00DC5CD6">
        <w:rPr>
          <w:i/>
        </w:rPr>
        <w:t>Id</w:t>
      </w:r>
      <w:r>
        <w:t>.</w:t>
      </w:r>
    </w:p>
  </w:footnote>
  <w:footnote w:id="91">
    <w:p w:rsidR="00C64615" w:rsidP="00E733CE" w14:paraId="3D76816C" w14:textId="087FD350">
      <w:pPr>
        <w:pStyle w:val="FootnoteText"/>
      </w:pPr>
      <w:r>
        <w:rPr>
          <w:rStyle w:val="FootnoteReference"/>
        </w:rPr>
        <w:footnoteRef/>
      </w:r>
      <w:r>
        <w:t xml:space="preserve"> W</w:t>
      </w:r>
      <w:r w:rsidRPr="006B4CC5">
        <w:t xml:space="preserve">e will treat </w:t>
      </w:r>
      <w:r>
        <w:t>any</w:t>
      </w:r>
      <w:r w:rsidRPr="006B4CC5">
        <w:t xml:space="preserve"> applicant that submit</w:t>
      </w:r>
      <w:r>
        <w:t>s</w:t>
      </w:r>
      <w:r w:rsidRPr="006B4CC5">
        <w:t xml:space="preserve"> this information as having made a request to treat this information as confidential trade secrets and/or commercial information</w:t>
      </w:r>
      <w:r>
        <w:t xml:space="preserve">. </w:t>
      </w:r>
      <w:r w:rsidRPr="00B13658">
        <w:rPr>
          <w:i/>
        </w:rPr>
        <w:t xml:space="preserve"> See </w:t>
      </w:r>
      <w:r>
        <w:t>47 CFR § 0.459(a)(4).  If a request for public inspection under section 0.461 is made, however, the applicant will be notified and will be required to justify confidential treatment of its request if the applicant has any objections to disclosure.  47 CFR § 0.461.</w:t>
      </w:r>
    </w:p>
  </w:footnote>
  <w:footnote w:id="92">
    <w:p w:rsidR="00C64615" w:rsidP="00E733CE" w14:paraId="064FCFE6" w14:textId="7E34CB65">
      <w:pPr>
        <w:pStyle w:val="FootnoteText"/>
      </w:pPr>
      <w:r>
        <w:rPr>
          <w:rStyle w:val="FootnoteReference"/>
        </w:rPr>
        <w:footnoteRef/>
      </w:r>
      <w:r>
        <w:t xml:space="preserve"> We recognize that because a Stage 2 support recipient has six years to fully build out its network, the information submitted by the application may be based on a preliminary network design that may be modified as the network is built out.  </w:t>
      </w:r>
    </w:p>
  </w:footnote>
  <w:footnote w:id="93">
    <w:p w:rsidR="00C64615" w:rsidP="00E733CE" w14:paraId="3EE75EDB" w14:textId="2E36A940">
      <w:pPr>
        <w:pStyle w:val="FootnoteText"/>
      </w:pPr>
      <w:r w:rsidRPr="006B4CC5">
        <w:rPr>
          <w:rStyle w:val="FootnoteReference"/>
        </w:rPr>
        <w:footnoteRef/>
      </w:r>
      <w:r>
        <w:rPr>
          <w:i/>
        </w:rPr>
        <w:t>See Auction 903 Procedures PN</w:t>
      </w:r>
      <w:r w:rsidRPr="00EB588E">
        <w:t xml:space="preserve">, </w:t>
      </w:r>
      <w:r>
        <w:t>33</w:t>
      </w:r>
      <w:r w:rsidRPr="00EB588E">
        <w:t xml:space="preserve"> FCC Rcd at </w:t>
      </w:r>
      <w:r>
        <w:t>1514-18</w:t>
      </w:r>
      <w:r w:rsidRPr="00EB588E">
        <w:t xml:space="preserve">, paras. </w:t>
      </w:r>
      <w:r>
        <w:t>298-305</w:t>
      </w:r>
      <w:r>
        <w:rPr>
          <w:i/>
        </w:rPr>
        <w:t>; s</w:t>
      </w:r>
      <w:r w:rsidRPr="00573674">
        <w:rPr>
          <w:i/>
        </w:rPr>
        <w:t>ee Rural Broadband Experiments Order</w:t>
      </w:r>
      <w:r>
        <w:t xml:space="preserve">, 29 FCC Rcd at 8787, para. 54 (requiring rural broadband experiment support recipients to “submit a description of the technology and system design used to deliver voice and broadband service, including a network diagram, which must be certified by a professional engineer”). </w:t>
      </w:r>
    </w:p>
  </w:footnote>
  <w:footnote w:id="94">
    <w:p w:rsidR="00C64615" w:rsidP="00E733CE" w14:paraId="4D2EC928" w14:textId="77777777">
      <w:pPr>
        <w:pStyle w:val="FootnoteText"/>
      </w:pPr>
      <w:r>
        <w:rPr>
          <w:rStyle w:val="FootnoteReference"/>
        </w:rPr>
        <w:footnoteRef/>
      </w:r>
      <w:r>
        <w:t xml:space="preserve"> Such architectures and technologies include, for example, wireless licensed or unlicensed, fiber, coaxial cable, satellite, digital subscriber line, hybrids, etc. </w:t>
      </w:r>
    </w:p>
  </w:footnote>
  <w:footnote w:id="95">
    <w:p w:rsidR="00C64615" w:rsidP="00E733CE" w14:paraId="16E7D5F5" w14:textId="77777777">
      <w:pPr>
        <w:pStyle w:val="FootnoteText"/>
      </w:pPr>
      <w:r>
        <w:rPr>
          <w:rStyle w:val="FootnoteReference"/>
        </w:rPr>
        <w:footnoteRef/>
      </w:r>
      <w:r>
        <w:t xml:space="preserve"> </w:t>
      </w:r>
      <w:bookmarkStart w:id="1323" w:name="_Hlk500921320"/>
      <w:r>
        <w:t>For example, describe ring, mesh, tree and branch, and hybrid topologies.</w:t>
      </w:r>
      <w:bookmarkEnd w:id="1323"/>
      <w:r>
        <w:t xml:space="preserve"> </w:t>
      </w:r>
    </w:p>
  </w:footnote>
  <w:footnote w:id="96">
    <w:p w:rsidR="00C64615" w:rsidP="00E733CE" w14:paraId="5707C3FC" w14:textId="18C5DF27">
      <w:pPr>
        <w:pStyle w:val="FootnoteText"/>
      </w:pPr>
      <w:r>
        <w:rPr>
          <w:rStyle w:val="FootnoteReference"/>
        </w:rPr>
        <w:footnoteRef/>
      </w:r>
      <w:r>
        <w:t xml:space="preserve"> This description should include the applicant’s Session Initiation Protocol (SIP) proxies, session border controllers, and various network databases.  If the applicant obtains these or other voice service functions as services from another provider or providers (for example, an over-the-top VoIP provider, or an incumbent or competitive local exchange carrier), the description should so indicate. </w:t>
      </w:r>
    </w:p>
  </w:footnote>
  <w:footnote w:id="97">
    <w:p w:rsidR="00C64615" w:rsidP="00E733CE" w14:paraId="5FF68C49" w14:textId="005785A1">
      <w:pPr>
        <w:pStyle w:val="FootnoteText"/>
      </w:pPr>
      <w:r>
        <w:rPr>
          <w:rStyle w:val="FootnoteReference"/>
        </w:rPr>
        <w:footnoteRef/>
      </w:r>
      <w:r>
        <w:t xml:space="preserve"> </w:t>
      </w:r>
      <w:r>
        <w:rPr>
          <w:i/>
        </w:rPr>
        <w:t>PR-USVI Stage 2 Order</w:t>
      </w:r>
      <w:r>
        <w:t>, 34 FCC Rcd</w:t>
      </w:r>
      <w:r w:rsidRPr="00BC5214">
        <w:t xml:space="preserve"> at</w:t>
      </w:r>
      <w:r>
        <w:t xml:space="preserve"> 9143-44, para. 62.</w:t>
      </w:r>
    </w:p>
  </w:footnote>
  <w:footnote w:id="98">
    <w:p w:rsidR="00C64615" w:rsidP="00E733CE" w14:paraId="1070C263" w14:textId="77777777">
      <w:pPr>
        <w:pStyle w:val="FootnoteText"/>
      </w:pPr>
      <w:r>
        <w:rPr>
          <w:rStyle w:val="FootnoteReference"/>
        </w:rPr>
        <w:footnoteRef/>
      </w:r>
      <w:r>
        <w:t xml:space="preserve"> </w:t>
      </w:r>
      <w:r w:rsidRPr="00BB1EEC">
        <w:t>Major nodes include</w:t>
      </w:r>
      <w:r>
        <w:t>,</w:t>
      </w:r>
      <w:r w:rsidRPr="00BB1EEC">
        <w:t xml:space="preserve"> but are not necessarily restricted to</w:t>
      </w:r>
      <w:r>
        <w:t>,</w:t>
      </w:r>
      <w:r w:rsidRPr="00BB1EEC">
        <w:t xml:space="preserve"> routers, SIP Proxies, softswitche</w:t>
      </w:r>
      <w:r>
        <w:t>s, and databases used to route Internet</w:t>
      </w:r>
      <w:r w:rsidRPr="00BB1EEC">
        <w:t xml:space="preserve"> communications and voice calls; and Points of Interconnection with </w:t>
      </w:r>
      <w:r>
        <w:t>the Public Switched Telephone Network and the Internet</w:t>
      </w:r>
      <w:r w:rsidRPr="00BB1EEC">
        <w:t xml:space="preserve"> core.</w:t>
      </w:r>
    </w:p>
  </w:footnote>
  <w:footnote w:id="99">
    <w:p w:rsidR="00C64615" w:rsidP="00E733CE" w14:paraId="50DDF8BA" w14:textId="77777777">
      <w:pPr>
        <w:pStyle w:val="FootnoteText"/>
      </w:pPr>
      <w:r>
        <w:rPr>
          <w:rStyle w:val="FootnoteReference"/>
        </w:rPr>
        <w:footnoteRef/>
      </w:r>
      <w:r>
        <w:t xml:space="preserve"> An applicant should provide addresses if available.  To the extent latitude and longitude coordinates are provided, an applicant should include six digits after the decimal point.  </w:t>
      </w:r>
    </w:p>
  </w:footnote>
  <w:footnote w:id="100">
    <w:p w:rsidR="00C64615" w:rsidP="00E733CE" w14:paraId="6E9BCA37" w14:textId="77777777">
      <w:pPr>
        <w:pStyle w:val="FootnoteText"/>
      </w:pPr>
      <w:r>
        <w:rPr>
          <w:rStyle w:val="FootnoteReference"/>
        </w:rPr>
        <w:footnoteRef/>
      </w:r>
      <w:r>
        <w:t xml:space="preserve"> </w:t>
      </w:r>
      <w:r w:rsidRPr="00BB1EEC">
        <w:t>Cap</w:t>
      </w:r>
      <w:r>
        <w:t>acity should be measured in Gigabits per second</w:t>
      </w:r>
      <w:r w:rsidRPr="00BB1EEC">
        <w:t xml:space="preserve"> for routers, calls per hour for SIP proxies and softswitches, queries per minute for databases, and appropriate units for other nodes.</w:t>
      </w:r>
    </w:p>
  </w:footnote>
  <w:footnote w:id="101">
    <w:p w:rsidR="00C64615" w:rsidP="00E733CE" w14:paraId="69A9873B" w14:textId="77777777">
      <w:pPr>
        <w:pStyle w:val="FootnoteText"/>
      </w:pPr>
      <w:r>
        <w:rPr>
          <w:rStyle w:val="FootnoteReference"/>
        </w:rPr>
        <w:footnoteRef/>
      </w:r>
      <w:r>
        <w:t xml:space="preserve"> An access node connects a customer’s connection to the core of the network.  Access nodes include wireless base stations, digital subscriber line access modules, cable modem termination systems, and optical line terminations, among others.  Access nodes are sometimes referred to as aggregation nodes.  When we reference gateways, we are referring to the gateway earth stations used by satellite providers.  </w:t>
      </w:r>
    </w:p>
  </w:footnote>
  <w:footnote w:id="102">
    <w:p w:rsidR="00C64615" w:rsidP="00E733CE" w14:paraId="27B5C7F7" w14:textId="77777777">
      <w:pPr>
        <w:pStyle w:val="FootnoteText"/>
      </w:pPr>
      <w:r>
        <w:rPr>
          <w:rStyle w:val="FootnoteReference"/>
        </w:rPr>
        <w:footnoteRef/>
      </w:r>
      <w:r>
        <w:t xml:space="preserve"> Include links that connect access nodes to the network core, among other major inter-nodal links.  Each inter-nodal link should be identified by specifying the nodes at the ends of the link.</w:t>
      </w:r>
    </w:p>
  </w:footnote>
  <w:footnote w:id="103">
    <w:p w:rsidR="00C64615" w:rsidP="00E733CE" w14:paraId="03C506EE" w14:textId="77777777">
      <w:pPr>
        <w:pStyle w:val="FootnoteText"/>
      </w:pPr>
      <w:r>
        <w:rPr>
          <w:rStyle w:val="FootnoteReference"/>
        </w:rPr>
        <w:footnoteRef/>
      </w:r>
      <w:r>
        <w:t xml:space="preserve"> The justification should clearly define all relevant assumptions including, but not limited to, oversubscription ratio, number of locations, spectrum efficiency, bandwidth, peak periods required user data rate, and peak periods network loading. </w:t>
      </w:r>
    </w:p>
  </w:footnote>
  <w:footnote w:id="104">
    <w:p w:rsidR="00C64615" w:rsidP="00E733CE" w14:paraId="38A794C7" w14:textId="77777777">
      <w:pPr>
        <w:pStyle w:val="FootnoteText"/>
      </w:pPr>
      <w:r>
        <w:rPr>
          <w:rStyle w:val="FootnoteReference"/>
        </w:rPr>
        <w:footnoteRef/>
      </w:r>
      <w:r>
        <w:t xml:space="preserve"> This should include a description of all design assumptions, including, but not limited to, coverage reliability, fade margins, required frame error rate, required signal-to-noise ratio, and modulation/coding scheme associated with frame error rate and signal to noise ratio.</w:t>
      </w:r>
    </w:p>
  </w:footnote>
  <w:footnote w:id="105">
    <w:p w:rsidR="00C64615" w:rsidP="00E733CE" w14:paraId="1003789A" w14:textId="77777777">
      <w:pPr>
        <w:pStyle w:val="FootnoteText"/>
      </w:pPr>
      <w:r>
        <w:rPr>
          <w:rStyle w:val="FootnoteReference"/>
        </w:rPr>
        <w:footnoteRef/>
      </w:r>
      <w:r>
        <w:t xml:space="preserve"> The term cell edge is commonly used to describe the edge of the base station coverage area beyond which performance goals cannot be achieved. </w:t>
      </w:r>
    </w:p>
  </w:footnote>
  <w:footnote w:id="106">
    <w:p w:rsidR="00C64615" w:rsidP="00E733CE" w14:paraId="70366B68" w14:textId="77777777">
      <w:pPr>
        <w:pStyle w:val="FootnoteText"/>
      </w:pPr>
      <w:r>
        <w:rPr>
          <w:rStyle w:val="FootnoteReference"/>
        </w:rPr>
        <w:footnoteRef/>
      </w:r>
      <w:r>
        <w:t xml:space="preserve"> Typically, a suitable received power figure or other technology dependent figure is used for such coverage plots.</w:t>
      </w:r>
    </w:p>
  </w:footnote>
  <w:footnote w:id="107">
    <w:p w:rsidR="00C64615" w:rsidP="00E733CE" w14:paraId="72C36F36" w14:textId="77777777">
      <w:pPr>
        <w:pStyle w:val="FootnoteText"/>
      </w:pPr>
      <w:r>
        <w:rPr>
          <w:rStyle w:val="FootnoteReference"/>
        </w:rPr>
        <w:footnoteRef/>
      </w:r>
      <w:r>
        <w:t xml:space="preserve"> An applicant should provide vendor references and publicly available publications for the utilized model, digital elevation, and clutter data.</w:t>
      </w:r>
    </w:p>
  </w:footnote>
  <w:footnote w:id="108">
    <w:p w:rsidR="00C64615" w:rsidP="00E733CE" w14:paraId="4E8E6353" w14:textId="77777777">
      <w:pPr>
        <w:pStyle w:val="FootnoteText"/>
      </w:pPr>
      <w:r>
        <w:rPr>
          <w:rStyle w:val="FootnoteReference"/>
        </w:rPr>
        <w:footnoteRef/>
      </w:r>
      <w:r>
        <w:t xml:space="preserve"> Such a description should include technology, speed, number of sectors, average number of subscribing locations per sector, frequency band, channel bandwidth, frequency reuse, antenna gain, diversity configuration, estimated losses, estimated height above ground, base station coordinate in NAD 83, and any other relevant information.  An applicant should also include vendor specification data sheets or other supporting documents.</w:t>
      </w:r>
    </w:p>
  </w:footnote>
  <w:footnote w:id="109">
    <w:p w:rsidR="00C64615" w:rsidP="00E733CE" w14:paraId="478558F8" w14:textId="77777777">
      <w:pPr>
        <w:pStyle w:val="FootnoteText"/>
      </w:pPr>
      <w:r>
        <w:rPr>
          <w:rStyle w:val="FootnoteReference"/>
        </w:rPr>
        <w:footnoteRef/>
      </w:r>
      <w:r>
        <w:t xml:space="preserve"> Such a description should include technology, applicable frequency band, speed options, antenna gain, diversity scheme and modem specifications.  An applicant should also include vendor specification data sheets or other supporting documents. </w:t>
      </w:r>
    </w:p>
  </w:footnote>
  <w:footnote w:id="110">
    <w:p w:rsidR="00C64615" w:rsidP="00E733CE" w14:paraId="61B2F88F" w14:textId="58F71385">
      <w:pPr>
        <w:pStyle w:val="FootnoteText"/>
      </w:pPr>
      <w:r>
        <w:rPr>
          <w:rStyle w:val="FootnoteReference"/>
        </w:rPr>
        <w:footnoteRef/>
      </w:r>
      <w:r>
        <w:t xml:space="preserve"> This does not include applicants that intend to use satellite technologies primarily for backhaul. </w:t>
      </w:r>
    </w:p>
  </w:footnote>
  <w:footnote w:id="111">
    <w:p w:rsidR="00C64615" w:rsidP="00706C60" w14:paraId="29F67751" w14:textId="24A8D3CB">
      <w:pPr>
        <w:pStyle w:val="FootnoteText"/>
      </w:pPr>
      <w:r>
        <w:rPr>
          <w:rStyle w:val="FootnoteReference"/>
        </w:rPr>
        <w:footnoteRef/>
      </w:r>
      <w:r>
        <w:t xml:space="preserve"> 47 CFR § 54.1508; </w:t>
      </w:r>
      <w:r>
        <w:rPr>
          <w:i/>
        </w:rPr>
        <w:t>PR-USVI Stage 2 Order</w:t>
      </w:r>
      <w:r>
        <w:t xml:space="preserve">, 34 FCC Rcd at 9201-05, Appendix C (describing the letter of credit requirements and providing models); </w:t>
      </w:r>
      <w:r w:rsidRPr="00D85C31">
        <w:rPr>
          <w:i/>
        </w:rPr>
        <w:t>see also</w:t>
      </w:r>
      <w:r>
        <w:t xml:space="preserve"> 47 CFR </w:t>
      </w:r>
      <w:r w:rsidRPr="00745C1D">
        <w:t>§</w:t>
      </w:r>
      <w:r>
        <w:t xml:space="preserve"> 54.315(b)(3), (c)(2); 47 CFR </w:t>
      </w:r>
      <w:r w:rsidRPr="00745C1D">
        <w:t>§</w:t>
      </w:r>
      <w:r>
        <w:t xml:space="preserve"> 54.315(c) (describing the Auction 903 letter of credit requirements).</w:t>
      </w:r>
    </w:p>
  </w:footnote>
  <w:footnote w:id="112">
    <w:p w:rsidR="00C64615" w:rsidP="00706C60" w14:paraId="6F4C3172" w14:textId="093E548A">
      <w:pPr>
        <w:pStyle w:val="FootnoteText"/>
      </w:pPr>
      <w:r>
        <w:rPr>
          <w:rStyle w:val="FootnoteReference"/>
        </w:rPr>
        <w:footnoteRef/>
      </w:r>
      <w:r>
        <w:t xml:space="preserve"> 47 CFR § 54.315(b)(3).</w:t>
      </w:r>
    </w:p>
  </w:footnote>
  <w:footnote w:id="113">
    <w:p w:rsidR="00C64615" w14:paraId="6DDB9738" w14:textId="6303A233">
      <w:pPr>
        <w:pStyle w:val="FootnoteText"/>
      </w:pPr>
      <w:r>
        <w:rPr>
          <w:rStyle w:val="FootnoteReference"/>
        </w:rPr>
        <w:footnoteRef/>
      </w:r>
      <w:r>
        <w:t xml:space="preserve"> </w:t>
      </w:r>
      <w:r w:rsidRPr="00A80AA3">
        <w:rPr>
          <w:i/>
        </w:rPr>
        <w:t>PR-USVI</w:t>
      </w:r>
      <w:r>
        <w:t xml:space="preserve"> </w:t>
      </w:r>
      <w:r>
        <w:rPr>
          <w:i/>
        </w:rPr>
        <w:t xml:space="preserve">Stage 2 Reserve Price Notice </w:t>
      </w:r>
      <w:r w:rsidRPr="00EB24B2">
        <w:t>at Attachments</w:t>
      </w:r>
      <w:r>
        <w:rPr>
          <w:i/>
        </w:rPr>
        <w:t>.</w:t>
      </w:r>
    </w:p>
  </w:footnote>
  <w:footnote w:id="114">
    <w:p w:rsidR="00C64615" w:rsidP="00E356D5" w14:paraId="19EB4A4B" w14:textId="04384CC3">
      <w:pPr>
        <w:pStyle w:val="FootnoteText"/>
      </w:pPr>
      <w:r>
        <w:rPr>
          <w:rStyle w:val="FootnoteReference"/>
        </w:rPr>
        <w:footnoteRef/>
      </w:r>
      <w:r>
        <w:t xml:space="preserve"> </w:t>
      </w:r>
      <w:r w:rsidRPr="00447D74">
        <w:rPr>
          <w:i/>
        </w:rPr>
        <w:t>See supra</w:t>
      </w:r>
      <w:r>
        <w:t xml:space="preserve"> Section I.D (Public Interest Obligations), Section IV.E (Location Adjustment Process).</w:t>
      </w:r>
    </w:p>
  </w:footnote>
  <w:footnote w:id="115">
    <w:p w:rsidR="00C64615" w:rsidRPr="00805F1F" w:rsidP="00E356D5" w14:paraId="728DD258" w14:textId="3CCA2167">
      <w:pPr>
        <w:pStyle w:val="FootnoteText"/>
      </w:pPr>
      <w:r w:rsidRPr="00805F1F">
        <w:rPr>
          <w:rStyle w:val="FootnoteReference"/>
        </w:rPr>
        <w:footnoteRef/>
      </w:r>
      <w:r w:rsidRPr="00805F1F">
        <w:t xml:space="preserve"> </w:t>
      </w:r>
      <w:r w:rsidRPr="00805F1F">
        <w:rPr>
          <w:i/>
        </w:rPr>
        <w:t>See</w:t>
      </w:r>
      <w:r>
        <w:rPr>
          <w:i/>
        </w:rPr>
        <w:t>, e.g.,</w:t>
      </w:r>
      <w:r w:rsidRPr="00805F1F">
        <w:rPr>
          <w:i/>
        </w:rPr>
        <w:t xml:space="preserve"> </w:t>
      </w:r>
      <w:r>
        <w:rPr>
          <w:i/>
        </w:rPr>
        <w:t>Phase II Auction</w:t>
      </w:r>
      <w:r w:rsidRPr="00805F1F">
        <w:rPr>
          <w:i/>
        </w:rPr>
        <w:t xml:space="preserve"> Order</w:t>
      </w:r>
      <w:r w:rsidRPr="00805F1F">
        <w:t>, 31 FCC Rcd at 5984</w:t>
      </w:r>
      <w:r>
        <w:t>-85</w:t>
      </w:r>
      <w:r w:rsidRPr="00805F1F">
        <w:t>, 6000, paras. 104, 143.</w:t>
      </w:r>
    </w:p>
  </w:footnote>
  <w:footnote w:id="116">
    <w:p w:rsidR="00C64615" w:rsidP="00E356D5" w14:paraId="45CB7587" w14:textId="428C52C5">
      <w:pPr>
        <w:pStyle w:val="FootnoteText"/>
      </w:pPr>
      <w:r>
        <w:rPr>
          <w:rStyle w:val="FootnoteReference"/>
        </w:rPr>
        <w:footnoteRef/>
      </w:r>
      <w:r>
        <w:t xml:space="preserve"> 47 CFR </w:t>
      </w:r>
      <w:r w:rsidRPr="00745C1D">
        <w:t>§</w:t>
      </w:r>
      <w:r>
        <w:t xml:space="preserve"> 54.1505; </w:t>
      </w:r>
      <w:r w:rsidRPr="00232E40">
        <w:rPr>
          <w:i/>
        </w:rPr>
        <w:t>PR-USVI Stage 2 Order</w:t>
      </w:r>
      <w:r>
        <w:t>, 34 FCC Rcd at 9141-, paras. 54-56.  A Lifeline-only ETC designation is not sufficient, and the applicant must obtain a high-cost ETC designation in areas where it seeks to be authorized to receive Stage 2 support.</w:t>
      </w:r>
    </w:p>
  </w:footnote>
  <w:footnote w:id="117">
    <w:p w:rsidR="00C64615" w:rsidRPr="0032666F" w:rsidP="00E356D5" w14:paraId="296883C0" w14:textId="5E427B7C">
      <w:pPr>
        <w:pStyle w:val="FootnoteText"/>
      </w:pPr>
      <w:r w:rsidRPr="0032666F">
        <w:rPr>
          <w:rStyle w:val="FootnoteReference"/>
        </w:rPr>
        <w:footnoteRef/>
      </w:r>
      <w:r w:rsidRPr="0032666F">
        <w:t xml:space="preserve"> </w:t>
      </w:r>
      <w:r w:rsidRPr="00B52EDC">
        <w:t>47 U.S.C. § 254(e); 47 CFR § 54.201(a)(1).</w:t>
      </w:r>
    </w:p>
  </w:footnote>
  <w:footnote w:id="118">
    <w:p w:rsidR="00C64615" w:rsidRPr="0032666F" w:rsidP="00E356D5" w14:paraId="29933012" w14:textId="77777777">
      <w:pPr>
        <w:pStyle w:val="FootnoteText"/>
      </w:pPr>
      <w:r w:rsidRPr="0032666F">
        <w:rPr>
          <w:rStyle w:val="FootnoteReference"/>
        </w:rPr>
        <w:footnoteRef/>
      </w:r>
      <w:r w:rsidRPr="0032666F">
        <w:rPr>
          <w:i/>
        </w:rPr>
        <w:t xml:space="preserve"> Federal-State Joint Board on Universal Service</w:t>
      </w:r>
      <w:r w:rsidRPr="0032666F">
        <w:t xml:space="preserve">, </w:t>
      </w:r>
      <w:r>
        <w:t xml:space="preserve">CC Docket No. 96-45, </w:t>
      </w:r>
      <w:r w:rsidRPr="0032666F">
        <w:t>Report and Order, 20 FCC R</w:t>
      </w:r>
      <w:r>
        <w:t>cd 6371, 6397, para. 61 (2005).</w:t>
      </w:r>
    </w:p>
  </w:footnote>
  <w:footnote w:id="119">
    <w:p w:rsidR="00C64615" w:rsidRPr="0032666F" w:rsidP="00E356D5" w14:paraId="0EA7FBC8" w14:textId="77777777">
      <w:pPr>
        <w:pStyle w:val="FootnoteText"/>
      </w:pPr>
      <w:r w:rsidRPr="0032666F">
        <w:rPr>
          <w:rStyle w:val="FootnoteReference"/>
        </w:rPr>
        <w:footnoteRef/>
      </w:r>
      <w:r w:rsidRPr="0032666F">
        <w:t xml:space="preserve"> 47 U.S.C. § 214(e)(6).</w:t>
      </w:r>
    </w:p>
  </w:footnote>
  <w:footnote w:id="120">
    <w:p w:rsidR="00C64615" w:rsidP="00E356D5" w14:paraId="5D72E7F1" w14:textId="58FD0E50">
      <w:pPr>
        <w:pStyle w:val="FootnoteText"/>
      </w:pPr>
      <w:r>
        <w:rPr>
          <w:rStyle w:val="FootnoteReference"/>
        </w:rPr>
        <w:footnoteRef/>
      </w:r>
      <w:r>
        <w:t xml:space="preserve"> 47 CFR </w:t>
      </w:r>
      <w:r w:rsidRPr="00745C1D">
        <w:t>§</w:t>
      </w:r>
      <w:r>
        <w:t xml:space="preserve"> 54.1505; </w:t>
      </w:r>
      <w:r>
        <w:rPr>
          <w:i/>
        </w:rPr>
        <w:t>PR-USVI Stage 2</w:t>
      </w:r>
      <w:r w:rsidRPr="00357F33">
        <w:rPr>
          <w:i/>
        </w:rPr>
        <w:t xml:space="preserve"> Order</w:t>
      </w:r>
      <w:r>
        <w:t xml:space="preserve">, 34 FCC Rcd at 9141-42, paras. 54-56; </w:t>
      </w:r>
      <w:r>
        <w:rPr>
          <w:i/>
        </w:rPr>
        <w:t>s</w:t>
      </w:r>
      <w:r w:rsidRPr="00357F33">
        <w:rPr>
          <w:i/>
        </w:rPr>
        <w:t xml:space="preserve">ee also </w:t>
      </w:r>
      <w:r>
        <w:t xml:space="preserve">47 CFR </w:t>
      </w:r>
      <w:r w:rsidRPr="0032666F">
        <w:t>§§</w:t>
      </w:r>
      <w:r>
        <w:t xml:space="preserve"> 54.310(e)(1), 54.315(b)(5); </w:t>
      </w:r>
      <w:r w:rsidRPr="00536BFA">
        <w:rPr>
          <w:i/>
        </w:rPr>
        <w:t>Auction 903 Procedure</w:t>
      </w:r>
      <w:r>
        <w:rPr>
          <w:i/>
        </w:rPr>
        <w:t>s</w:t>
      </w:r>
      <w:r w:rsidRPr="00536BFA">
        <w:rPr>
          <w:i/>
        </w:rPr>
        <w:t xml:space="preserve"> PN</w:t>
      </w:r>
      <w:r>
        <w:t xml:space="preserve">, 33 FCC Rcd at 1472-73, paras. 120-121; </w:t>
      </w:r>
      <w:r w:rsidRPr="00357F33">
        <w:rPr>
          <w:i/>
        </w:rPr>
        <w:t>April 2014 Connect America Order</w:t>
      </w:r>
      <w:r>
        <w:t>, 29 FCC Rcd at 7064-66, paras. 40-46.</w:t>
      </w:r>
    </w:p>
  </w:footnote>
  <w:footnote w:id="121">
    <w:p w:rsidR="00C64615" w:rsidP="00E356D5" w14:paraId="1C3902E9" w14:textId="46E87256">
      <w:pPr>
        <w:pStyle w:val="FootnoteText"/>
      </w:pPr>
      <w:r>
        <w:rPr>
          <w:rStyle w:val="FootnoteReference"/>
        </w:rPr>
        <w:footnoteRef/>
      </w:r>
      <w:r>
        <w:t xml:space="preserve"> The Commission explained that in the event an applicant is unable to obtain the necessary ETC designations within this timeframe, it would be appropriate to waive the 60-day timeframe if the applicant is able to demonstrate that it has engaged in good faith efforts to obtain an ETC designation, but the proceeding is not yet complete.  </w:t>
      </w:r>
      <w:r>
        <w:rPr>
          <w:i/>
        </w:rPr>
        <w:t>See PR-USVI Stage 2</w:t>
      </w:r>
      <w:r w:rsidRPr="009C517E">
        <w:rPr>
          <w:i/>
        </w:rPr>
        <w:t xml:space="preserve"> Order</w:t>
      </w:r>
      <w:r>
        <w:t>, 34 FCC Rcd at 9142, para. 55.</w:t>
      </w:r>
    </w:p>
  </w:footnote>
  <w:footnote w:id="122">
    <w:p w:rsidR="00C64615" w:rsidP="00E356D5" w14:paraId="52316FDF"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123">
    <w:p w:rsidR="00C64615" w:rsidP="00E356D5" w14:paraId="4D9DA5F0" w14:textId="0DC1DF26">
      <w:pPr>
        <w:pStyle w:val="FootnoteText"/>
      </w:pPr>
      <w:r>
        <w:rPr>
          <w:rStyle w:val="FootnoteReference"/>
        </w:rPr>
        <w:footnoteRef/>
      </w:r>
      <w:r>
        <w:t xml:space="preserve"> 47 CFR § 54.309(b) (such applications must be at rates reasonably comparable to rates charged to eligible schools and libraries in urban areas for comparable offerings); </w:t>
      </w:r>
      <w:r w:rsidRPr="001F00F9">
        <w:rPr>
          <w:i/>
        </w:rPr>
        <w:t>s</w:t>
      </w:r>
      <w:r w:rsidRPr="00723598">
        <w:rPr>
          <w:i/>
        </w:rPr>
        <w:t xml:space="preserve">ee also Modernizing the E-rate Program for Schools and Libraries </w:t>
      </w:r>
      <w:r>
        <w:rPr>
          <w:i/>
        </w:rPr>
        <w:t>et al.</w:t>
      </w:r>
      <w:r>
        <w:t xml:space="preserve">, Second Report and Order and Order on Reconsideration, 29 FCC Rcd 15538, 15562-69, paras. 60-76 (2014).  The Bureau has not yet adopted reasonable comparability benchmarks to implement this requirement.  </w:t>
      </w:r>
    </w:p>
  </w:footnote>
  <w:footnote w:id="124">
    <w:p w:rsidR="00C64615" w14:paraId="419BC7A8" w14:textId="797E5C65">
      <w:pPr>
        <w:pStyle w:val="FootnoteText"/>
      </w:pPr>
      <w:r>
        <w:rPr>
          <w:rStyle w:val="FootnoteReference"/>
        </w:rPr>
        <w:footnoteRef/>
      </w:r>
      <w:r>
        <w:t xml:space="preserve"> 47 CFR </w:t>
      </w:r>
      <w:r w:rsidRPr="00745C1D">
        <w:t>§</w:t>
      </w:r>
      <w:r>
        <w:t xml:space="preserve"> 54.1515; </w:t>
      </w:r>
      <w:r w:rsidRPr="009528D0">
        <w:rPr>
          <w:i/>
        </w:rPr>
        <w:t>PR-USVI Stage 2 Order</w:t>
      </w:r>
      <w:r>
        <w:t>, 34 FCC Rcd at 9174-76, paras. 134-137.</w:t>
      </w:r>
    </w:p>
  </w:footnote>
  <w:footnote w:id="125">
    <w:p w:rsidR="00C64615" w:rsidP="001A7642" w14:paraId="784B8571" w14:textId="12479547">
      <w:pPr>
        <w:pStyle w:val="FootnoteText"/>
      </w:pPr>
      <w:r>
        <w:rPr>
          <w:rStyle w:val="FootnoteReference"/>
        </w:rPr>
        <w:footnoteRef/>
      </w:r>
      <w:r>
        <w:t xml:space="preserve"> 47 CFR </w:t>
      </w:r>
      <w:r w:rsidRPr="00745C1D">
        <w:t>§</w:t>
      </w:r>
      <w:r>
        <w:t xml:space="preserve"> 54.1515(b); </w:t>
      </w:r>
      <w:r w:rsidRPr="009528D0">
        <w:rPr>
          <w:i/>
        </w:rPr>
        <w:t>PR-USVI Stage 2 Order</w:t>
      </w:r>
      <w:r>
        <w:t>, 34 FCC Rcd at 9174-76, paras. 134-137.</w:t>
      </w:r>
    </w:p>
  </w:footnote>
  <w:footnote w:id="126">
    <w:p w:rsidR="00C64615" w14:paraId="0570456A" w14:textId="5FF52018">
      <w:pPr>
        <w:pStyle w:val="FootnoteText"/>
      </w:pPr>
      <w:r>
        <w:rPr>
          <w:rStyle w:val="FootnoteReference"/>
        </w:rPr>
        <w:footnoteRef/>
      </w:r>
      <w:r>
        <w:t xml:space="preserve"> 47 CFR </w:t>
      </w:r>
      <w:r w:rsidRPr="00745C1D">
        <w:t>§</w:t>
      </w:r>
      <w:r>
        <w:t xml:space="preserve"> 54.1515(c).</w:t>
      </w:r>
    </w:p>
  </w:footnote>
  <w:footnote w:id="127">
    <w:p w:rsidR="00C64615" w:rsidRPr="00805F1F" w:rsidP="002454C0" w14:paraId="33F3BF8E" w14:textId="6890484D">
      <w:pPr>
        <w:pStyle w:val="FootnoteText"/>
      </w:pPr>
      <w:r w:rsidRPr="00805F1F">
        <w:rPr>
          <w:rStyle w:val="FootnoteReference"/>
        </w:rPr>
        <w:footnoteRef/>
      </w:r>
      <w:r w:rsidRPr="00805F1F">
        <w:t xml:space="preserve"> </w:t>
      </w:r>
      <w:r w:rsidRPr="00805F1F">
        <w:rPr>
          <w:i/>
        </w:rPr>
        <w:t>See</w:t>
      </w:r>
      <w:r w:rsidRPr="00805F1F">
        <w:t xml:space="preserve"> </w:t>
      </w:r>
      <w:r w:rsidRPr="009E3B02">
        <w:rPr>
          <w:i/>
        </w:rPr>
        <w:t>Auction 903 Procedures PN</w:t>
      </w:r>
      <w:r>
        <w:t xml:space="preserve">, 33 FCC Rcd at 1473-76, paras. 122-27; </w:t>
      </w:r>
      <w:r>
        <w:rPr>
          <w:i/>
        </w:rPr>
        <w:t xml:space="preserve">CAF II Auction </w:t>
      </w:r>
      <w:r w:rsidRPr="00555C67">
        <w:rPr>
          <w:i/>
        </w:rPr>
        <w:t>Comment Public Notice</w:t>
      </w:r>
      <w:r>
        <w:t xml:space="preserve">, 32 FCC Rcd at 6272, para. 137; </w:t>
      </w:r>
      <w:r w:rsidRPr="00805F1F">
        <w:t>47 CFR § 1.21003(b)(1)</w:t>
      </w:r>
      <w:r>
        <w:t xml:space="preserve">; </w:t>
      </w:r>
      <w:r>
        <w:rPr>
          <w:i/>
        </w:rPr>
        <w:t>s</w:t>
      </w:r>
      <w:r w:rsidRPr="00805F1F">
        <w:rPr>
          <w:i/>
        </w:rPr>
        <w:t>ee also</w:t>
      </w:r>
      <w:r>
        <w:rPr>
          <w:i/>
        </w:rPr>
        <w:t xml:space="preserve"> Competition</w:t>
      </w:r>
      <w:r w:rsidRPr="00805F1F">
        <w:rPr>
          <w:i/>
        </w:rPr>
        <w:t xml:space="preserve"> of Advanced Wireless Services </w:t>
      </w:r>
      <w:r>
        <w:rPr>
          <w:i/>
        </w:rPr>
        <w:t xml:space="preserve">(AWS-3) </w:t>
      </w:r>
      <w:r w:rsidRPr="00805F1F">
        <w:rPr>
          <w:i/>
        </w:rPr>
        <w:t>Licenses Scheduled for November 13, 2014</w:t>
      </w:r>
      <w:r>
        <w:rPr>
          <w:i/>
        </w:rPr>
        <w:t>;</w:t>
      </w:r>
      <w:r w:rsidRPr="00805F1F">
        <w:rPr>
          <w:i/>
        </w:rPr>
        <w:t xml:space="preserve"> Notice and Filing Requirements, Reserve Prices, Minimum Opening </w:t>
      </w:r>
      <w:r>
        <w:rPr>
          <w:i/>
        </w:rPr>
        <w:t>Application</w:t>
      </w:r>
      <w:r w:rsidRPr="00805F1F">
        <w:rPr>
          <w:i/>
        </w:rPr>
        <w:t xml:space="preserve">s, Upfront Payments, and Other Procedures for </w:t>
      </w:r>
      <w:r>
        <w:rPr>
          <w:i/>
        </w:rPr>
        <w:t>Competition</w:t>
      </w:r>
      <w:r w:rsidRPr="00805F1F">
        <w:rPr>
          <w:i/>
        </w:rPr>
        <w:t xml:space="preserve"> 97</w:t>
      </w:r>
      <w:r w:rsidRPr="00805F1F">
        <w:t>, Public Notice, 29 FCC Rcd 8386, 8428-31, paras. 149-57 (WTB 2014) (</w:t>
      </w:r>
      <w:r>
        <w:rPr>
          <w:i/>
        </w:rPr>
        <w:t>Competition</w:t>
      </w:r>
      <w:r w:rsidRPr="00805F1F">
        <w:rPr>
          <w:i/>
        </w:rPr>
        <w:t xml:space="preserve"> 97 Procedures Public Notice); </w:t>
      </w:r>
      <w:r>
        <w:rPr>
          <w:i/>
        </w:rPr>
        <w:t>Competition</w:t>
      </w:r>
      <w:r w:rsidRPr="00805F1F">
        <w:rPr>
          <w:i/>
        </w:rPr>
        <w:t xml:space="preserve"> of 700 MHz Band Licenses Scheduled for January 24, 2008; Notice and Filing Requirements, Minimum Opening </w:t>
      </w:r>
      <w:r>
        <w:rPr>
          <w:i/>
        </w:rPr>
        <w:t>Application</w:t>
      </w:r>
      <w:r w:rsidRPr="00805F1F">
        <w:rPr>
          <w:i/>
        </w:rPr>
        <w:t xml:space="preserve">s, Reserve Prices, Upfront Payments, and Other Procedures for </w:t>
      </w:r>
      <w:r>
        <w:rPr>
          <w:i/>
        </w:rPr>
        <w:t>Competition</w:t>
      </w:r>
      <w:r w:rsidRPr="00805F1F">
        <w:rPr>
          <w:i/>
        </w:rPr>
        <w:t>s 73 and 76</w:t>
      </w:r>
      <w:r w:rsidRPr="00805F1F">
        <w:t xml:space="preserve">, Public Notice, 22 FCC Rcd 18141, 18181-85, paras. 145-56 (WTB 2007); </w:t>
      </w:r>
      <w:r>
        <w:rPr>
          <w:bCs/>
          <w:i/>
        </w:rPr>
        <w:t>Competition</w:t>
      </w:r>
      <w:r w:rsidRPr="00805F1F">
        <w:rPr>
          <w:bCs/>
          <w:i/>
        </w:rPr>
        <w:t xml:space="preserve"> of Advanced Wireless Services Licenses Scheduled for June 29, 2006; Notice and Filing Requirements, Minimum Opening </w:t>
      </w:r>
      <w:r>
        <w:rPr>
          <w:bCs/>
          <w:i/>
        </w:rPr>
        <w:t>Application</w:t>
      </w:r>
      <w:r w:rsidRPr="00805F1F">
        <w:rPr>
          <w:bCs/>
          <w:i/>
        </w:rPr>
        <w:t xml:space="preserve">s, Upfront Payments and Other Procedures for </w:t>
      </w:r>
      <w:r>
        <w:rPr>
          <w:bCs/>
          <w:i/>
        </w:rPr>
        <w:t>Competition</w:t>
      </w:r>
      <w:r w:rsidRPr="00805F1F">
        <w:rPr>
          <w:bCs/>
          <w:i/>
        </w:rPr>
        <w:t xml:space="preserve"> No. 66</w:t>
      </w:r>
      <w:r w:rsidRPr="00805F1F">
        <w:rPr>
          <w:bCs/>
        </w:rPr>
        <w:t>, Public Notice, 21 FCC Rcd 4562, 4600-05, paras. 140-57 (2006).</w:t>
      </w:r>
    </w:p>
  </w:footnote>
  <w:footnote w:id="128">
    <w:p w:rsidR="00C64615" w:rsidRPr="004E6BE6" w:rsidP="002454C0" w14:paraId="29087C7C" w14:textId="4DA40007">
      <w:pPr>
        <w:pStyle w:val="FootnoteText"/>
      </w:pPr>
      <w:r>
        <w:rPr>
          <w:rStyle w:val="FootnoteReference"/>
        </w:rPr>
        <w:footnoteRef/>
      </w:r>
      <w:r>
        <w:t xml:space="preserve"> </w:t>
      </w:r>
      <w:r>
        <w:rPr>
          <w:i/>
        </w:rPr>
        <w:t>See</w:t>
      </w:r>
      <w:r>
        <w:t xml:space="preserve"> 47 CFR § 0.459(a)(4).  For this purpose, “financial information” includes an applicant’s financial statements that may be submitted with the application.  </w:t>
      </w:r>
    </w:p>
  </w:footnote>
  <w:footnote w:id="129">
    <w:p w:rsidR="00C64615" w:rsidP="002454C0" w14:paraId="503CE5D5" w14:textId="77777777">
      <w:pPr>
        <w:pStyle w:val="FootnoteText"/>
      </w:pPr>
      <w:r>
        <w:rPr>
          <w:rStyle w:val="FootnoteReference"/>
        </w:rPr>
        <w:footnoteRef/>
      </w:r>
      <w:r>
        <w:t xml:space="preserve"> 47 CFR § 0.459(b).</w:t>
      </w:r>
    </w:p>
  </w:footnote>
  <w:footnote w:id="130">
    <w:p w:rsidR="00C64615" w:rsidP="002454C0" w14:paraId="4B49F684" w14:textId="77777777">
      <w:pPr>
        <w:pStyle w:val="FootnoteText"/>
      </w:pPr>
      <w:r>
        <w:rPr>
          <w:rStyle w:val="FootnoteReference"/>
        </w:rPr>
        <w:footnoteRef/>
      </w:r>
      <w:r>
        <w:t xml:space="preserve"> 47 CFR § 0.459(a)(4).  Section 0.459(b) of the Commission’s rules cross-references section 0.459(a)(3), which the Commission redesignated as section 0.459(a)(4) in 2011.  </w:t>
      </w:r>
      <w:r w:rsidRPr="00132E00">
        <w:rPr>
          <w:i/>
        </w:rPr>
        <w:t>See</w:t>
      </w:r>
      <w:r>
        <w:t xml:space="preserve"> FCC, Commission’s Rules of Practice, Procedure, and Organization, 76 Fed. Reg. 24383 (May 2, 2011); </w:t>
      </w:r>
      <w:r w:rsidRPr="00132E00">
        <w:rPr>
          <w:i/>
        </w:rPr>
        <w:t>Modernizing the FCC Form 477 Data Program</w:t>
      </w:r>
      <w:r>
        <w:t>, Report and Order, 28 FCC Rcd 9887, 9921, para. 79 (2013) (allowing for the request of confidentiality pursuant to a check-box on the Form 477).</w:t>
      </w:r>
    </w:p>
  </w:footnote>
  <w:footnote w:id="131">
    <w:p w:rsidR="00C64615" w:rsidP="002454C0" w14:paraId="6F83137F" w14:textId="77777777">
      <w:pPr>
        <w:pStyle w:val="FootnoteText"/>
      </w:pPr>
      <w:r>
        <w:rPr>
          <w:rStyle w:val="FootnoteReference"/>
        </w:rPr>
        <w:footnoteRef/>
      </w:r>
      <w:r>
        <w:t xml:space="preserve"> </w:t>
      </w:r>
      <w:r w:rsidRPr="00877F03">
        <w:rPr>
          <w:i/>
        </w:rPr>
        <w:t xml:space="preserve">Connect America Fund Fifth </w:t>
      </w:r>
      <w:r>
        <w:rPr>
          <w:i/>
        </w:rPr>
        <w:t>Reconsideration Order</w:t>
      </w:r>
      <w:r w:rsidRPr="0020586D">
        <w:t>,</w:t>
      </w:r>
      <w:r>
        <w:t xml:space="preserve"> </w:t>
      </w:r>
      <w:r w:rsidRPr="00805F1F">
        <w:t>27 FCC Rcd</w:t>
      </w:r>
      <w:r>
        <w:t xml:space="preserve"> at 14554-56, paras. 15-17.</w:t>
      </w:r>
    </w:p>
  </w:footnote>
  <w:footnote w:id="132">
    <w:p w:rsidR="00C64615" w:rsidP="002454C0" w14:paraId="34540B95" w14:textId="77777777">
      <w:pPr>
        <w:pStyle w:val="FootnoteText"/>
      </w:pPr>
      <w:r>
        <w:rPr>
          <w:rStyle w:val="FootnoteReference"/>
        </w:rPr>
        <w:footnoteRef/>
      </w:r>
      <w:r>
        <w:t xml:space="preserve"> 47 CFR § 0.459(b).</w:t>
      </w:r>
    </w:p>
  </w:footnote>
  <w:footnote w:id="133">
    <w:p w:rsidR="00C64615" w14:paraId="2113B9E0" w14:textId="7A0E977C">
      <w:pPr>
        <w:pStyle w:val="FootnoteText"/>
      </w:pPr>
      <w:r>
        <w:rPr>
          <w:rStyle w:val="FootnoteReference"/>
        </w:rPr>
        <w:footnoteRef/>
      </w:r>
      <w:r>
        <w:t xml:space="preserve"> </w:t>
      </w:r>
      <w:r w:rsidRPr="00191A6A">
        <w:rPr>
          <w:i/>
        </w:rPr>
        <w:t xml:space="preserve"> </w:t>
      </w:r>
      <w:r w:rsidRPr="009528D0">
        <w:rPr>
          <w:i/>
        </w:rPr>
        <w:t>PR-USVI Stage 2 Order</w:t>
      </w:r>
      <w:r>
        <w:t>, 34 FCC Rcd at 9133-34, para. 39 &amp; n.150.</w:t>
      </w:r>
    </w:p>
  </w:footnote>
  <w:footnote w:id="134">
    <w:p w:rsidR="00C64615" w:rsidP="002454C0" w14:paraId="03957C5E" w14:textId="77777777">
      <w:pPr>
        <w:pStyle w:val="FootnoteText"/>
      </w:pPr>
      <w:r>
        <w:rPr>
          <w:rStyle w:val="FootnoteReference"/>
        </w:rPr>
        <w:footnoteRef/>
      </w:r>
      <w:r>
        <w:t xml:space="preserve"> 47 CFR § 1.21002.</w:t>
      </w:r>
    </w:p>
  </w:footnote>
  <w:footnote w:id="135">
    <w:p w:rsidR="00C64615" w:rsidP="002454C0" w14:paraId="18D0E48A" w14:textId="77777777">
      <w:pPr>
        <w:pStyle w:val="FootnoteText"/>
      </w:pPr>
      <w:r>
        <w:rPr>
          <w:rStyle w:val="FootnoteReference"/>
        </w:rPr>
        <w:footnoteRef/>
      </w:r>
      <w:r>
        <w:t xml:space="preserve"> </w:t>
      </w:r>
      <w:r>
        <w:rPr>
          <w:i/>
        </w:rPr>
        <w:t>See</w:t>
      </w:r>
      <w:r>
        <w:t xml:space="preserve"> 47 CFR §§ 1.21001(b)(3)-(4), 1.21002; </w:t>
      </w:r>
      <w:r>
        <w:rPr>
          <w:i/>
        </w:rPr>
        <w:t>see also</w:t>
      </w:r>
      <w:r>
        <w:t xml:space="preserve"> </w:t>
      </w:r>
      <w:r>
        <w:rPr>
          <w:i/>
        </w:rPr>
        <w:t>USF/ICC Transformation Order</w:t>
      </w:r>
      <w:r>
        <w:t xml:space="preserve">, 26 FCC Rcd at 17807, para. 431.  </w:t>
      </w:r>
    </w:p>
  </w:footnote>
  <w:footnote w:id="136">
    <w:p w:rsidR="00C64615" w14:paraId="3B50C7AA" w14:textId="16A67D3A">
      <w:pPr>
        <w:pStyle w:val="FootnoteText"/>
      </w:pPr>
      <w:r>
        <w:rPr>
          <w:rStyle w:val="FootnoteReference"/>
        </w:rPr>
        <w:footnoteRef/>
      </w:r>
      <w:r>
        <w:t xml:space="preserve"> </w:t>
      </w:r>
      <w:r w:rsidRPr="009528D0">
        <w:rPr>
          <w:i/>
        </w:rPr>
        <w:t>PR-USVI Stage 2 Order</w:t>
      </w:r>
      <w:r>
        <w:t>, 34 FCC Rcd at 9133-34, para. 39 n.150 (providing that the prohibited communications “requirements shall be substantially similar to the requirements of 47 CFR § 1.21002(b) applicable to competitive bidding for universal service support”).</w:t>
      </w:r>
    </w:p>
  </w:footnote>
  <w:footnote w:id="137">
    <w:p w:rsidR="00C64615" w:rsidRPr="00204389" w:rsidP="002454C0" w14:paraId="20DC3310" w14:textId="4F9AB7EC">
      <w:pPr>
        <w:autoSpaceDE w:val="0"/>
        <w:autoSpaceDN w:val="0"/>
        <w:adjustRightInd w:val="0"/>
        <w:spacing w:after="120"/>
        <w:rPr>
          <w:i/>
          <w:iCs/>
          <w:sz w:val="20"/>
        </w:rPr>
      </w:pPr>
      <w:r>
        <w:rPr>
          <w:rStyle w:val="FootnoteReference"/>
        </w:rPr>
        <w:footnoteRef/>
      </w:r>
      <w:r>
        <w:t xml:space="preserve"> </w:t>
      </w:r>
      <w:r w:rsidRPr="00204389">
        <w:rPr>
          <w:i/>
          <w:sz w:val="20"/>
        </w:rPr>
        <w:t xml:space="preserve">See </w:t>
      </w:r>
      <w:r>
        <w:rPr>
          <w:i/>
          <w:sz w:val="20"/>
        </w:rPr>
        <w:t xml:space="preserve">Auction 903 Procedures </w:t>
      </w:r>
      <w:r w:rsidRPr="00737785">
        <w:rPr>
          <w:i/>
          <w:sz w:val="20"/>
        </w:rPr>
        <w:t>PN</w:t>
      </w:r>
      <w:r>
        <w:rPr>
          <w:sz w:val="20"/>
        </w:rPr>
        <w:t xml:space="preserve">, 33 FCC Rcd at 1476-86, paras. 128-65; </w:t>
      </w:r>
      <w:r w:rsidRPr="002347DF">
        <w:rPr>
          <w:iCs/>
          <w:sz w:val="20"/>
        </w:rPr>
        <w:t>Guidance</w:t>
      </w:r>
      <w:r w:rsidRPr="00204389">
        <w:rPr>
          <w:i/>
          <w:iCs/>
          <w:sz w:val="20"/>
        </w:rPr>
        <w:t xml:space="preserve"> Regarding the Prohibition of Certain Communications During the Incentive</w:t>
      </w:r>
      <w:r>
        <w:rPr>
          <w:i/>
          <w:iCs/>
          <w:sz w:val="20"/>
        </w:rPr>
        <w:t xml:space="preserve"> Competition</w:t>
      </w:r>
      <w:r w:rsidRPr="00204389">
        <w:rPr>
          <w:i/>
          <w:iCs/>
          <w:sz w:val="20"/>
        </w:rPr>
        <w:t xml:space="preserve">, </w:t>
      </w:r>
      <w:r>
        <w:rPr>
          <w:i/>
          <w:iCs/>
          <w:sz w:val="20"/>
        </w:rPr>
        <w:t>Competition</w:t>
      </w:r>
      <w:r w:rsidRPr="00204389">
        <w:rPr>
          <w:i/>
          <w:iCs/>
          <w:sz w:val="20"/>
        </w:rPr>
        <w:t xml:space="preserve"> 1000</w:t>
      </w:r>
      <w:r w:rsidRPr="00204389">
        <w:rPr>
          <w:sz w:val="20"/>
        </w:rPr>
        <w:t xml:space="preserve">, Public Notice, 30 FCC Rcd 10794 (WTB 2015) </w:t>
      </w:r>
      <w:r w:rsidRPr="00204389">
        <w:rPr>
          <w:i/>
          <w:sz w:val="20"/>
        </w:rPr>
        <w:t>(BIA Guidance</w:t>
      </w:r>
      <w:r>
        <w:rPr>
          <w:sz w:val="20"/>
        </w:rPr>
        <w:t xml:space="preserve">); </w:t>
      </w:r>
      <w:r w:rsidRPr="00EF1264">
        <w:rPr>
          <w:i/>
          <w:sz w:val="20"/>
        </w:rPr>
        <w:t xml:space="preserve">Mobility Fund Phase I </w:t>
      </w:r>
      <w:r>
        <w:rPr>
          <w:i/>
          <w:sz w:val="20"/>
        </w:rPr>
        <w:t>Competition</w:t>
      </w:r>
      <w:r w:rsidRPr="00EF1264">
        <w:rPr>
          <w:i/>
          <w:sz w:val="20"/>
        </w:rPr>
        <w:t xml:space="preserve"> Scheduled for September 27, 2012; Notice and Filing Requirements and Other Procedures for </w:t>
      </w:r>
      <w:r>
        <w:rPr>
          <w:i/>
          <w:sz w:val="20"/>
        </w:rPr>
        <w:t>Competition</w:t>
      </w:r>
      <w:r w:rsidRPr="00EF1264">
        <w:rPr>
          <w:i/>
          <w:sz w:val="20"/>
        </w:rPr>
        <w:t xml:space="preserve"> 901</w:t>
      </w:r>
      <w:r w:rsidRPr="00EF1264">
        <w:rPr>
          <w:sz w:val="20"/>
        </w:rPr>
        <w:t>, Public Notice, 27 FCC Rcd 4</w:t>
      </w:r>
      <w:r>
        <w:rPr>
          <w:sz w:val="20"/>
        </w:rPr>
        <w:t xml:space="preserve">725, 4743-44, paras. 54-55 (WCB &amp; </w:t>
      </w:r>
      <w:r w:rsidRPr="00EF1264">
        <w:rPr>
          <w:sz w:val="20"/>
        </w:rPr>
        <w:t xml:space="preserve">WTB 2012) (discussing prohibition in competitive </w:t>
      </w:r>
      <w:r>
        <w:rPr>
          <w:sz w:val="20"/>
        </w:rPr>
        <w:t>bidding</w:t>
      </w:r>
      <w:r w:rsidRPr="00EF1264">
        <w:rPr>
          <w:sz w:val="20"/>
        </w:rPr>
        <w:t xml:space="preserve"> for universal service support</w:t>
      </w:r>
      <w:r>
        <w:rPr>
          <w:sz w:val="20"/>
        </w:rPr>
        <w:t xml:space="preserve">); </w:t>
      </w:r>
      <w:r w:rsidRPr="00EF1264">
        <w:rPr>
          <w:i/>
          <w:sz w:val="20"/>
        </w:rPr>
        <w:t>Amendment of Part 1 of the Commission</w:t>
      </w:r>
      <w:r>
        <w:rPr>
          <w:i/>
          <w:sz w:val="20"/>
        </w:rPr>
        <w:t>’</w:t>
      </w:r>
      <w:r w:rsidRPr="00EF1264">
        <w:rPr>
          <w:i/>
          <w:sz w:val="20"/>
        </w:rPr>
        <w:t xml:space="preserve">s Rules – Competitive </w:t>
      </w:r>
      <w:r>
        <w:rPr>
          <w:i/>
          <w:sz w:val="20"/>
        </w:rPr>
        <w:t>Bidding</w:t>
      </w:r>
      <w:r w:rsidRPr="00EF1264">
        <w:rPr>
          <w:i/>
          <w:sz w:val="20"/>
        </w:rPr>
        <w:t xml:space="preserve"> Procedures</w:t>
      </w:r>
      <w:r w:rsidRPr="00EF1264">
        <w:rPr>
          <w:sz w:val="20"/>
        </w:rPr>
        <w:t>, Seventh Report and Order, 16 FCC Rcd 17546, 1755</w:t>
      </w:r>
      <w:r>
        <w:rPr>
          <w:sz w:val="20"/>
        </w:rPr>
        <w:t>1</w:t>
      </w:r>
      <w:r w:rsidRPr="00EF1264">
        <w:rPr>
          <w:sz w:val="20"/>
        </w:rPr>
        <w:t>-5</w:t>
      </w:r>
      <w:r>
        <w:rPr>
          <w:sz w:val="20"/>
        </w:rPr>
        <w:t>2,</w:t>
      </w:r>
      <w:r w:rsidRPr="00EF1264">
        <w:rPr>
          <w:sz w:val="20"/>
        </w:rPr>
        <w:t xml:space="preserve"> para. 1</w:t>
      </w:r>
      <w:r>
        <w:rPr>
          <w:sz w:val="20"/>
        </w:rPr>
        <w:t>1</w:t>
      </w:r>
      <w:r w:rsidRPr="00EF1264">
        <w:rPr>
          <w:sz w:val="20"/>
        </w:rPr>
        <w:t xml:space="preserve"> (2001) (</w:t>
      </w:r>
      <w:r>
        <w:rPr>
          <w:sz w:val="20"/>
        </w:rPr>
        <w:t xml:space="preserve">explaining that </w:t>
      </w:r>
      <w:r w:rsidRPr="00EF1264">
        <w:rPr>
          <w:sz w:val="20"/>
        </w:rPr>
        <w:t xml:space="preserve">“when one </w:t>
      </w:r>
      <w:r>
        <w:rPr>
          <w:sz w:val="20"/>
        </w:rPr>
        <w:t>applicant</w:t>
      </w:r>
      <w:r w:rsidRPr="00EF1264">
        <w:rPr>
          <w:sz w:val="20"/>
        </w:rPr>
        <w:t xml:space="preserve"> is privy to a competing </w:t>
      </w:r>
      <w:r>
        <w:rPr>
          <w:sz w:val="20"/>
        </w:rPr>
        <w:t>applicant</w:t>
      </w:r>
      <w:r w:rsidRPr="00EF1264">
        <w:rPr>
          <w:sz w:val="20"/>
        </w:rPr>
        <w:t xml:space="preserve">’s strategic </w:t>
      </w:r>
      <w:r>
        <w:rPr>
          <w:sz w:val="20"/>
        </w:rPr>
        <w:t>bidding</w:t>
      </w:r>
      <w:r w:rsidRPr="00EF1264">
        <w:rPr>
          <w:sz w:val="20"/>
        </w:rPr>
        <w:t xml:space="preserve"> information . . . it may use such information to manipulate the </w:t>
      </w:r>
      <w:r>
        <w:rPr>
          <w:sz w:val="20"/>
        </w:rPr>
        <w:t>competitions</w:t>
      </w:r>
      <w:r w:rsidRPr="00EF1264">
        <w:rPr>
          <w:sz w:val="20"/>
        </w:rPr>
        <w:t xml:space="preserve"> process and gain an unfair competitive advantage”)</w:t>
      </w:r>
      <w:r>
        <w:rPr>
          <w:sz w:val="20"/>
        </w:rPr>
        <w:t>.</w:t>
      </w:r>
    </w:p>
  </w:footnote>
  <w:footnote w:id="138">
    <w:p w:rsidR="00C64615" w:rsidP="002454C0" w14:paraId="3A9FB7BE" w14:textId="77777777">
      <w:pPr>
        <w:pStyle w:val="FootnoteText"/>
      </w:pPr>
      <w:r>
        <w:rPr>
          <w:rStyle w:val="FootnoteReference"/>
          <w:color w:val="000000"/>
        </w:rPr>
        <w:footnoteRef/>
      </w:r>
      <w:r>
        <w:t xml:space="preserve"> </w:t>
      </w:r>
      <w:r>
        <w:rPr>
          <w:i/>
        </w:rPr>
        <w:t>See</w:t>
      </w:r>
      <w:r>
        <w:t>,</w:t>
      </w:r>
      <w:r>
        <w:rPr>
          <w:i/>
        </w:rPr>
        <w:t xml:space="preserve"> e.g</w:t>
      </w:r>
      <w:r>
        <w:t xml:space="preserve">., </w:t>
      </w:r>
      <w:r w:rsidRPr="00211B3D">
        <w:rPr>
          <w:i/>
        </w:rPr>
        <w:t>Star Wireless, LLC</w:t>
      </w:r>
      <w:r>
        <w:t xml:space="preserve">, </w:t>
      </w:r>
      <w:r w:rsidRPr="00211B3D">
        <w:t>Forfeiture Order</w:t>
      </w:r>
      <w:r>
        <w:t xml:space="preserve">, 19 FCC Rcd 18626, 18628, para. 4 &amp; n.19 (2004), </w:t>
      </w:r>
      <w:r>
        <w:rPr>
          <w:i/>
        </w:rPr>
        <w:t>application for review granted in part sub nom.</w:t>
      </w:r>
      <w:r>
        <w:t xml:space="preserve"> </w:t>
      </w:r>
      <w:r w:rsidRPr="00211B3D">
        <w:rPr>
          <w:i/>
        </w:rPr>
        <w:t xml:space="preserve">Star Wireless, LLC </w:t>
      </w:r>
      <w:r w:rsidRPr="00211B3D">
        <w:rPr>
          <w:i/>
          <w:color w:val="000000"/>
        </w:rPr>
        <w:t>and Northeast Communications of Wisconsin, Inc.</w:t>
      </w:r>
      <w:r>
        <w:rPr>
          <w:color w:val="000000"/>
        </w:rPr>
        <w:t xml:space="preserve">, </w:t>
      </w:r>
      <w:r w:rsidRPr="00211B3D">
        <w:t>Order on Review</w:t>
      </w:r>
      <w:r>
        <w:t>, 22 FCC Rcd 8943 (2007) (</w:t>
      </w:r>
      <w:r>
        <w:rPr>
          <w:i/>
        </w:rPr>
        <w:t>Star and Northeast Review Order</w:t>
      </w:r>
      <w:r>
        <w:t xml:space="preserve">), </w:t>
      </w:r>
      <w:r>
        <w:rPr>
          <w:i/>
        </w:rPr>
        <w:t>petition for review denied, Star Wireless, LLC v. FCC</w:t>
      </w:r>
      <w:r>
        <w:t xml:space="preserve">, 522 F.3d 469 (D.C. Cir. 2008) (observing that Section 1.2105(c) applies to applicants regardless of whether they are qualified to application); </w:t>
      </w:r>
      <w:r w:rsidRPr="00520B05">
        <w:t xml:space="preserve">Letter from Margaret W. Wiener, Chief, </w:t>
      </w:r>
      <w:r>
        <w:t>Competition</w:t>
      </w:r>
      <w:r w:rsidRPr="00520B05">
        <w:t>s and Industry Analysis Division</w:t>
      </w:r>
      <w:r>
        <w:t>,</w:t>
      </w:r>
      <w:r w:rsidRPr="00520B05">
        <w:t xml:space="preserve"> </w:t>
      </w:r>
      <w:r>
        <w:t xml:space="preserve">FCC, </w:t>
      </w:r>
      <w:r w:rsidRPr="00520B05">
        <w:t>to Robert Pettit,</w:t>
      </w:r>
      <w:r>
        <w:t xml:space="preserve"> Wiley, Rein &amp; Fielding</w:t>
      </w:r>
      <w:r w:rsidRPr="00520B05">
        <w:t xml:space="preserve">, </w:t>
      </w:r>
      <w:r>
        <w:t xml:space="preserve">16 FCC Rcd 10080 (2000) (declining to exempt an applicant’s controlling interest from coverage by the communication prohibitions of section 1.2105(c), even though the applicant never made an upfront payment for the competition and was not listed as a qualified applicant).  </w:t>
      </w:r>
    </w:p>
  </w:footnote>
  <w:footnote w:id="139">
    <w:p w:rsidR="00C64615" w:rsidP="002454C0" w14:paraId="1C58C014" w14:textId="77777777">
      <w:pPr>
        <w:pStyle w:val="FootnoteText"/>
      </w:pPr>
      <w:r>
        <w:rPr>
          <w:rStyle w:val="FootnoteReference"/>
        </w:rPr>
        <w:footnoteRef/>
      </w:r>
      <w:r>
        <w:t xml:space="preserve"> 47 CFR § 1.21002(a).</w:t>
      </w:r>
    </w:p>
  </w:footnote>
  <w:footnote w:id="140">
    <w:p w:rsidR="00C64615" w:rsidP="002454C0" w14:paraId="13CD80C2" w14:textId="77777777">
      <w:pPr>
        <w:pStyle w:val="FootnoteText"/>
      </w:pPr>
      <w:r>
        <w:rPr>
          <w:rStyle w:val="FootnoteReference"/>
        </w:rPr>
        <w:footnoteRef/>
      </w:r>
      <w:r>
        <w:t xml:space="preserve"> </w:t>
      </w:r>
      <w:r>
        <w:rPr>
          <w:i/>
        </w:rPr>
        <w:t>Id.</w:t>
      </w:r>
      <w:r>
        <w:t xml:space="preserve"> § 1.</w:t>
      </w:r>
      <w:r>
        <w:rPr>
          <w:szCs w:val="22"/>
        </w:rPr>
        <w:t>21002(b)</w:t>
      </w:r>
      <w:r>
        <w:t>.</w:t>
      </w:r>
    </w:p>
  </w:footnote>
  <w:footnote w:id="141">
    <w:p w:rsidR="00C64615" w:rsidRPr="00D42B4E" w:rsidP="002454C0" w14:paraId="4DD13C83" w14:textId="2F74EA0B">
      <w:pPr>
        <w:pStyle w:val="FootnoteText"/>
      </w:pPr>
      <w:r>
        <w:rPr>
          <w:rStyle w:val="FootnoteReference"/>
        </w:rPr>
        <w:footnoteRef/>
      </w:r>
      <w:r>
        <w:t xml:space="preserve"> </w:t>
      </w:r>
      <w:r>
        <w:rPr>
          <w:i/>
        </w:rPr>
        <w:t>Id.</w:t>
      </w:r>
      <w:r>
        <w:t xml:space="preserve">; </w:t>
      </w:r>
      <w:r>
        <w:rPr>
          <w:i/>
        </w:rPr>
        <w:t>see generally</w:t>
      </w:r>
      <w:r w:rsidRPr="008D57AF">
        <w:t xml:space="preserve"> </w:t>
      </w:r>
      <w:r w:rsidRPr="008D57AF">
        <w:rPr>
          <w:i/>
        </w:rPr>
        <w:t xml:space="preserve">Updating Part 1 Competitive </w:t>
      </w:r>
      <w:r>
        <w:rPr>
          <w:i/>
        </w:rPr>
        <w:t>Bidding</w:t>
      </w:r>
      <w:r w:rsidRPr="008D57AF">
        <w:rPr>
          <w:i/>
        </w:rPr>
        <w:t xml:space="preserve"> Rule</w:t>
      </w:r>
      <w:r>
        <w:rPr>
          <w:i/>
        </w:rPr>
        <w:t>s</w:t>
      </w:r>
      <w:r w:rsidRPr="008F268C">
        <w:t>,</w:t>
      </w:r>
      <w:r>
        <w:rPr>
          <w:i/>
        </w:rPr>
        <w:t xml:space="preserve"> </w:t>
      </w:r>
      <w:r w:rsidRPr="00227484">
        <w:t>Report and Order</w:t>
      </w:r>
      <w:r>
        <w:t xml:space="preserve"> et al.</w:t>
      </w:r>
      <w:r w:rsidRPr="00D368F9">
        <w:t>,</w:t>
      </w:r>
      <w:r>
        <w:rPr>
          <w:i/>
        </w:rPr>
        <w:t xml:space="preserve"> </w:t>
      </w:r>
      <w:r>
        <w:t xml:space="preserve">30 FCC Rcd 7493, 7577, para. 199 (2015) (explaining that similar section 1.2105(c) language prohibiting communicating applications or bidding strategies “in any manner” bars “communicating applications or bidding information, either directly or indirectly”); </w:t>
      </w:r>
      <w:r w:rsidRPr="00227484">
        <w:rPr>
          <w:i/>
        </w:rPr>
        <w:t>Cascade Access, L.L.C.,</w:t>
      </w:r>
      <w:r>
        <w:t xml:space="preserve"> Forfeiture Order, 28 FCC Rcd 141, 144, para. 7 (EB 2013) (rejecting argument that the communication was not prohibited because it did not reveal the “substance” of Cascade’s applications or bidding strategies).</w:t>
      </w:r>
    </w:p>
  </w:footnote>
  <w:footnote w:id="142">
    <w:p w:rsidR="00C64615" w:rsidP="002454C0" w14:paraId="6F0B439B" w14:textId="77777777">
      <w:pPr>
        <w:pStyle w:val="FootnoteText"/>
      </w:pPr>
      <w:r>
        <w:rPr>
          <w:rStyle w:val="FootnoteReference"/>
        </w:rPr>
        <w:footnoteRef/>
      </w:r>
      <w:r>
        <w:t xml:space="preserve"> We remind applicants that they must determine whether parties with whom they are communicating are covered by the rule once the prohibition begins at the deadline for submitting applications, even before the public notice identifying applicants is released.</w:t>
      </w:r>
    </w:p>
  </w:footnote>
  <w:footnote w:id="143">
    <w:p w:rsidR="00C64615" w:rsidP="002454C0" w14:paraId="1E2D7F3B" w14:textId="41F5FA75">
      <w:pPr>
        <w:pStyle w:val="FootnoteText"/>
      </w:pPr>
      <w:r>
        <w:rPr>
          <w:rStyle w:val="FootnoteReference"/>
        </w:rPr>
        <w:footnoteRef/>
      </w:r>
      <w:r>
        <w:rPr>
          <w:i/>
        </w:rPr>
        <w:t xml:space="preserve"> See</w:t>
      </w:r>
      <w:r>
        <w:t>,</w:t>
      </w:r>
      <w:r>
        <w:rPr>
          <w:i/>
        </w:rPr>
        <w:t xml:space="preserve"> e.g</w:t>
      </w:r>
      <w:r>
        <w:t>.,</w:t>
      </w:r>
      <w:r>
        <w:rPr>
          <w:i/>
        </w:rPr>
        <w:t xml:space="preserve"> </w:t>
      </w:r>
      <w:r>
        <w:t>Letter from Barbara A. Kreisman, Chief, Video Division, FCC Media Bureau, and Margaret W. Wiener, Chief, Competitions and Spectrum Access Division, FCC Wireless Telecommunications Bureau, to Colby M. May, TCCSA, Inc., d/b/a Trinity Broadcasting Network, 20 FCC Rcd 14648 (2005) (finding apparent violation of communication prohibitions of section 1.2105(c) where applicants with mutually exclusive applications reported sharing same individual as an officer and director and reported having no bidding agreement).</w:t>
      </w:r>
    </w:p>
  </w:footnote>
  <w:footnote w:id="144">
    <w:p w:rsidR="00C64615" w:rsidP="002454C0" w14:paraId="5276BFE4" w14:textId="77777777">
      <w:pPr>
        <w:pStyle w:val="FootnoteText"/>
      </w:pPr>
      <w:r>
        <w:rPr>
          <w:rStyle w:val="FootnoteReference"/>
        </w:rPr>
        <w:footnoteRef/>
      </w:r>
      <w:r>
        <w:t xml:space="preserve"> 47 CFR § 1.21002(b).</w:t>
      </w:r>
    </w:p>
  </w:footnote>
  <w:footnote w:id="145">
    <w:p w:rsidR="00C64615" w:rsidRPr="00B82A1F" w:rsidP="002454C0" w14:paraId="30AC7648" w14:textId="61C41284">
      <w:pPr>
        <w:pStyle w:val="FootnoteText"/>
      </w:pPr>
      <w:r w:rsidRPr="00151057">
        <w:rPr>
          <w:rStyle w:val="FootnoteReference"/>
        </w:rPr>
        <w:footnoteRef/>
      </w:r>
      <w:r w:rsidRPr="00151057">
        <w:t xml:space="preserve"> </w:t>
      </w:r>
      <w:r w:rsidRPr="00151057">
        <w:rPr>
          <w:i/>
        </w:rPr>
        <w:t>See Expanding the Economic and Innovation Opportunities of Spectrum Through Incentive Competitions</w:t>
      </w:r>
      <w:r w:rsidRPr="00151057">
        <w:t>, Report and Order, 29 FCC Rcd 6567, 6738, para. 400 (2014) (explaining that applicants were competitors even when bidding on different geographic areas in Auction 903 because the bidding system determined which areas received support based on a limited budget).</w:t>
      </w:r>
    </w:p>
  </w:footnote>
  <w:footnote w:id="146">
    <w:p w:rsidR="00C64615" w:rsidP="002454C0" w14:paraId="739AF17A" w14:textId="77777777">
      <w:pPr>
        <w:pStyle w:val="FootnoteText"/>
      </w:pPr>
      <w:r>
        <w:rPr>
          <w:rStyle w:val="FootnoteReference"/>
        </w:rPr>
        <w:footnoteRef/>
      </w:r>
      <w:r>
        <w:t xml:space="preserve"> </w:t>
      </w:r>
      <w:r>
        <w:rPr>
          <w:i/>
        </w:rPr>
        <w:t>See BIA Guidance</w:t>
      </w:r>
      <w:r>
        <w:t>, 30 FCC Rcd</w:t>
      </w:r>
      <w:r>
        <w:rPr>
          <w:i/>
        </w:rPr>
        <w:t xml:space="preserve"> </w:t>
      </w:r>
      <w:r w:rsidRPr="00111B31">
        <w:t xml:space="preserve">at </w:t>
      </w:r>
      <w:r>
        <w:t>10795, para. 3.</w:t>
      </w:r>
    </w:p>
  </w:footnote>
  <w:footnote w:id="147">
    <w:p w:rsidR="00C64615" w:rsidRPr="008D0803" w:rsidP="002454C0" w14:paraId="1A2ECB43" w14:textId="77777777">
      <w:pPr>
        <w:pStyle w:val="FootnoteText"/>
        <w:rPr>
          <w:i/>
        </w:rPr>
      </w:pPr>
      <w:r>
        <w:rPr>
          <w:rStyle w:val="FootnoteReference"/>
        </w:rPr>
        <w:footnoteRef/>
      </w:r>
      <w:r>
        <w:t xml:space="preserve"> </w:t>
      </w:r>
      <w:r>
        <w:rPr>
          <w:i/>
        </w:rPr>
        <w:t xml:space="preserve">See </w:t>
      </w:r>
      <w:r w:rsidRPr="008C65DF">
        <w:rPr>
          <w:i/>
        </w:rPr>
        <w:t>id.</w:t>
      </w:r>
      <w:r>
        <w:rPr>
          <w:i/>
        </w:rPr>
        <w:t xml:space="preserve"> </w:t>
      </w:r>
      <w:r w:rsidRPr="00111B31">
        <w:t xml:space="preserve">at </w:t>
      </w:r>
      <w:r>
        <w:t>10796-97, paras. 6-9.</w:t>
      </w:r>
    </w:p>
  </w:footnote>
  <w:footnote w:id="148">
    <w:p w:rsidR="00C64615" w:rsidP="00C31D47" w14:paraId="4435EBFC" w14:textId="77777777">
      <w:pPr>
        <w:pStyle w:val="FootnoteText"/>
      </w:pPr>
      <w:r>
        <w:rPr>
          <w:rStyle w:val="FootnoteReference"/>
        </w:rPr>
        <w:footnoteRef/>
      </w:r>
      <w:r>
        <w:t xml:space="preserve"> </w:t>
      </w:r>
      <w:r w:rsidRPr="000F070A">
        <w:rPr>
          <w:i/>
        </w:rPr>
        <w:t>See</w:t>
      </w:r>
      <w:r w:rsidRPr="000F070A">
        <w:t xml:space="preserve"> </w:t>
      </w:r>
      <w:r w:rsidRPr="000F070A">
        <w:rPr>
          <w:i/>
        </w:rPr>
        <w:t>Commercial Realty St. Pete, Inc</w:t>
      </w:r>
      <w:r w:rsidRPr="000F070A">
        <w:t>., Memorandum Opinion and Order, 11 FCC Rcd 15374 (1996)</w:t>
      </w:r>
      <w:r>
        <w:t>.</w:t>
      </w:r>
    </w:p>
  </w:footnote>
  <w:footnote w:id="149">
    <w:p w:rsidR="00C64615" w:rsidP="002454C0" w14:paraId="7521EA9D" w14:textId="77777777">
      <w:pPr>
        <w:pStyle w:val="FootnoteText"/>
      </w:pPr>
      <w:r>
        <w:rPr>
          <w:rStyle w:val="FootnoteReference"/>
        </w:rPr>
        <w:footnoteRef/>
      </w:r>
      <w:r>
        <w:t xml:space="preserve"> </w:t>
      </w:r>
      <w:r>
        <w:rPr>
          <w:i/>
        </w:rPr>
        <w:t>Cf.</w:t>
      </w:r>
      <w:r>
        <w:t xml:space="preserve"> </w:t>
      </w:r>
      <w:r w:rsidRPr="00BA1901">
        <w:rPr>
          <w:i/>
        </w:rPr>
        <w:t xml:space="preserve">Wireless Telecommunications Bureau Responds to Questions About the Local Multipoint Distribution Service </w:t>
      </w:r>
      <w:r>
        <w:rPr>
          <w:i/>
        </w:rPr>
        <w:t>Competition</w:t>
      </w:r>
      <w:r>
        <w:t xml:space="preserve">, </w:t>
      </w:r>
      <w:r w:rsidRPr="00BA1901">
        <w:t>Public Notice</w:t>
      </w:r>
      <w:r>
        <w:t xml:space="preserve">, 13 FCC Rcd 341, 347-48 (WTB 1998) (“Public statements can give rise to collusion concerns.  This has occurred in the antitrust context, where certain public statements can support other evidence which tends to indicate the existence of a conspiracy.”).  </w:t>
      </w:r>
    </w:p>
  </w:footnote>
  <w:footnote w:id="150">
    <w:p w:rsidR="00C64615" w:rsidP="002454C0" w14:paraId="313272FC" w14:textId="77777777">
      <w:pPr>
        <w:autoSpaceDE w:val="0"/>
        <w:autoSpaceDN w:val="0"/>
        <w:adjustRightInd w:val="0"/>
        <w:spacing w:after="120"/>
      </w:pPr>
      <w:r>
        <w:rPr>
          <w:rStyle w:val="FootnoteReference"/>
        </w:rPr>
        <w:footnoteRef/>
      </w:r>
      <w:r>
        <w:t xml:space="preserve"> </w:t>
      </w:r>
      <w:r w:rsidRPr="00563F24">
        <w:rPr>
          <w:i/>
          <w:sz w:val="20"/>
        </w:rPr>
        <w:t>See, e.g.</w:t>
      </w:r>
      <w:r w:rsidRPr="00552666">
        <w:rPr>
          <w:sz w:val="20"/>
        </w:rPr>
        <w:t>,</w:t>
      </w:r>
      <w:r w:rsidRPr="00563F24">
        <w:rPr>
          <w:i/>
          <w:sz w:val="20"/>
        </w:rPr>
        <w:t xml:space="preserve"> BIA </w:t>
      </w:r>
      <w:r w:rsidRPr="00563F24">
        <w:rPr>
          <w:i/>
          <w:iCs/>
          <w:sz w:val="20"/>
        </w:rPr>
        <w:t>Guidance</w:t>
      </w:r>
      <w:r w:rsidRPr="00563F24">
        <w:rPr>
          <w:sz w:val="20"/>
        </w:rPr>
        <w:t>, 30 FCC Rcd at 10798, para. 13 (describing the use of non-disclosure agreements and, for third parties that may be advising multiple covered parties, firewalls).</w:t>
      </w:r>
    </w:p>
  </w:footnote>
  <w:footnote w:id="151">
    <w:p w:rsidR="00C64615" w:rsidP="002454C0" w14:paraId="77720163" w14:textId="77777777">
      <w:pPr>
        <w:pStyle w:val="FootnoteText"/>
      </w:pPr>
      <w:r>
        <w:rPr>
          <w:rStyle w:val="FootnoteReference"/>
        </w:rPr>
        <w:footnoteRef/>
      </w:r>
      <w:r>
        <w:t xml:space="preserve"> </w:t>
      </w:r>
      <w:r>
        <w:rPr>
          <w:i/>
        </w:rPr>
        <w:t>Id.</w:t>
      </w:r>
      <w:r>
        <w:t xml:space="preserve"> </w:t>
      </w:r>
    </w:p>
  </w:footnote>
  <w:footnote w:id="152">
    <w:p w:rsidR="00C64615" w:rsidP="002454C0" w14:paraId="6BAC3CFB" w14:textId="127E0C74">
      <w:pPr>
        <w:pStyle w:val="FootnoteText"/>
      </w:pPr>
      <w:r>
        <w:rPr>
          <w:rStyle w:val="FootnoteReference"/>
        </w:rPr>
        <w:footnoteRef/>
      </w:r>
      <w:r>
        <w:t xml:space="preserve"> </w:t>
      </w:r>
      <w:r w:rsidRPr="00B55877">
        <w:rPr>
          <w:i/>
        </w:rPr>
        <w:t xml:space="preserve">See </w:t>
      </w:r>
      <w:r>
        <w:rPr>
          <w:i/>
        </w:rPr>
        <w:t>id.</w:t>
      </w:r>
      <w:r>
        <w:t xml:space="preserve">; </w:t>
      </w:r>
      <w:r w:rsidRPr="00211B3D">
        <w:rPr>
          <w:i/>
        </w:rPr>
        <w:t>Application of Nevada Wireless</w:t>
      </w:r>
      <w:r>
        <w:t xml:space="preserve">, </w:t>
      </w:r>
      <w:r w:rsidRPr="00211B3D">
        <w:t>Memorandum Opinion and Order</w:t>
      </w:r>
      <w:r>
        <w:t>,</w:t>
      </w:r>
      <w:r>
        <w:rPr>
          <w:i/>
        </w:rPr>
        <w:t xml:space="preserve"> </w:t>
      </w:r>
      <w:r>
        <w:t>13 FCC Rcd 11973, 11978, para. 12 (1998) (</w:t>
      </w:r>
      <w:r>
        <w:rPr>
          <w:i/>
        </w:rPr>
        <w:t>Nevada Wireless Order</w:t>
      </w:r>
      <w:r>
        <w:t xml:space="preserve">) (strongly encouraging parties to implement any firewall procedures necessary and to provide information in their auction bids regarding the procedures).  </w:t>
      </w:r>
    </w:p>
  </w:footnote>
  <w:footnote w:id="153">
    <w:p w:rsidR="00C64615" w:rsidRPr="006E7868" w:rsidP="002454C0" w14:paraId="49AC5980" w14:textId="77777777">
      <w:pPr>
        <w:pStyle w:val="FootnoteText"/>
      </w:pPr>
      <w:r>
        <w:rPr>
          <w:rStyle w:val="FootnoteReference"/>
        </w:rPr>
        <w:footnoteRef/>
      </w:r>
      <w:r>
        <w:t xml:space="preserve"> </w:t>
      </w:r>
      <w:r>
        <w:rPr>
          <w:i/>
        </w:rPr>
        <w:t>See, e.g.</w:t>
      </w:r>
      <w:r w:rsidRPr="003848B0">
        <w:t>,</w:t>
      </w:r>
      <w:r>
        <w:rPr>
          <w:i/>
        </w:rPr>
        <w:t xml:space="preserve"> BIA </w:t>
      </w:r>
      <w:r w:rsidRPr="00172187">
        <w:rPr>
          <w:i/>
        </w:rPr>
        <w:t>Guidance</w:t>
      </w:r>
      <w:r>
        <w:t xml:space="preserve">, </w:t>
      </w:r>
      <w:r w:rsidRPr="00172187">
        <w:t>30</w:t>
      </w:r>
      <w:r w:rsidRPr="00563F24">
        <w:t xml:space="preserve"> FCC Rcd at 1079</w:t>
      </w:r>
      <w:r>
        <w:t>9,</w:t>
      </w:r>
      <w:r>
        <w:rPr>
          <w:i/>
        </w:rPr>
        <w:t xml:space="preserve"> </w:t>
      </w:r>
      <w:r>
        <w:t xml:space="preserve">para. 14; </w:t>
      </w:r>
      <w:r w:rsidRPr="00B55877">
        <w:rPr>
          <w:i/>
        </w:rPr>
        <w:t xml:space="preserve">Nevada Wireless </w:t>
      </w:r>
      <w:r>
        <w:rPr>
          <w:i/>
        </w:rPr>
        <w:t>Order</w:t>
      </w:r>
      <w:r>
        <w:t>, 13 FCC Rcd at 11978, para. 13.</w:t>
      </w:r>
    </w:p>
  </w:footnote>
  <w:footnote w:id="154">
    <w:p w:rsidR="00C64615" w:rsidP="002454C0" w14:paraId="73F26820" w14:textId="0A4CD2E8">
      <w:pPr>
        <w:pStyle w:val="FootnoteText"/>
      </w:pPr>
      <w:r>
        <w:rPr>
          <w:rStyle w:val="FootnoteReference"/>
        </w:rPr>
        <w:footnoteRef/>
      </w:r>
      <w:r>
        <w:t xml:space="preserve"> </w:t>
      </w:r>
      <w:r>
        <w:rPr>
          <w:i/>
        </w:rPr>
        <w:t xml:space="preserve">Auction 903 Procedures Public </w:t>
      </w:r>
      <w:r w:rsidRPr="002E3CEB">
        <w:rPr>
          <w:i/>
        </w:rPr>
        <w:t>Notice</w:t>
      </w:r>
      <w:r>
        <w:t xml:space="preserve">, 33 FCC Rcd at1480, para. 145; </w:t>
      </w:r>
      <w:r w:rsidRPr="00A8422B">
        <w:rPr>
          <w:i/>
        </w:rPr>
        <w:t>see also</w:t>
      </w:r>
      <w:r>
        <w:t xml:space="preserve"> </w:t>
      </w:r>
      <w:r w:rsidRPr="004E684A">
        <w:rPr>
          <w:i/>
        </w:rPr>
        <w:t>BIA Guidance</w:t>
      </w:r>
      <w:r>
        <w:t>, 30 FCC Rcd at 10800, para. 15.</w:t>
      </w:r>
    </w:p>
  </w:footnote>
  <w:footnote w:id="155">
    <w:p w:rsidR="00C64615" w:rsidP="002454C0" w14:paraId="359191A8" w14:textId="77777777">
      <w:pPr>
        <w:pStyle w:val="FootnoteText"/>
      </w:pPr>
      <w:r>
        <w:rPr>
          <w:rStyle w:val="FootnoteReference"/>
        </w:rPr>
        <w:footnoteRef/>
      </w:r>
      <w:r>
        <w:t xml:space="preserve"> </w:t>
      </w:r>
      <w:r>
        <w:rPr>
          <w:i/>
        </w:rPr>
        <w:t>Id.</w:t>
      </w:r>
    </w:p>
  </w:footnote>
  <w:footnote w:id="156">
    <w:p w:rsidR="00C64615" w:rsidP="002454C0" w14:paraId="2C8DA197" w14:textId="77777777">
      <w:pPr>
        <w:pStyle w:val="FootnoteText"/>
      </w:pPr>
      <w:r>
        <w:rPr>
          <w:rStyle w:val="FootnoteReference"/>
        </w:rPr>
        <w:footnoteRef/>
      </w:r>
      <w:r>
        <w:t xml:space="preserve"> </w:t>
      </w:r>
      <w:r>
        <w:rPr>
          <w:i/>
        </w:rPr>
        <w:t>Id.</w:t>
      </w:r>
    </w:p>
  </w:footnote>
  <w:footnote w:id="157">
    <w:p w:rsidR="00C64615" w:rsidP="002454C0" w14:paraId="6DCC9C36" w14:textId="77777777">
      <w:pPr>
        <w:pStyle w:val="FootnoteText"/>
      </w:pPr>
      <w:r>
        <w:rPr>
          <w:rStyle w:val="FootnoteReference"/>
        </w:rPr>
        <w:footnoteRef/>
      </w:r>
      <w:r>
        <w:t xml:space="preserve"> 47 CFR §§ 1.21001(b)(4), 1.21002.</w:t>
      </w:r>
    </w:p>
  </w:footnote>
  <w:footnote w:id="158">
    <w:p w:rsidR="00C64615" w:rsidP="002454C0" w14:paraId="5D91ACD1" w14:textId="77777777">
      <w:pPr>
        <w:pStyle w:val="FootnoteText"/>
      </w:pPr>
      <w:r>
        <w:rPr>
          <w:rStyle w:val="FootnoteReference"/>
        </w:rPr>
        <w:footnoteRef/>
      </w:r>
      <w:r>
        <w:t xml:space="preserve"> </w:t>
      </w:r>
      <w:r>
        <w:rPr>
          <w:i/>
        </w:rPr>
        <w:t>Id.</w:t>
      </w:r>
      <w:r>
        <w:t xml:space="preserve"> § 1.21001(b)(4).</w:t>
      </w:r>
    </w:p>
  </w:footnote>
  <w:footnote w:id="159">
    <w:p w:rsidR="00C64615" w:rsidP="002454C0" w14:paraId="389FB70D" w14:textId="77777777">
      <w:pPr>
        <w:pStyle w:val="FootnoteText"/>
      </w:pPr>
      <w:r>
        <w:rPr>
          <w:rStyle w:val="FootnoteReference"/>
        </w:rPr>
        <w:footnoteRef/>
      </w:r>
      <w:r>
        <w:t xml:space="preserve"> </w:t>
      </w:r>
      <w:r>
        <w:rPr>
          <w:i/>
        </w:rPr>
        <w:t>Id.</w:t>
      </w:r>
      <w:r>
        <w:t xml:space="preserve"> §§ 1.21001(b)(5), 1.21002.</w:t>
      </w:r>
    </w:p>
  </w:footnote>
  <w:footnote w:id="160">
    <w:p w:rsidR="00C64615" w:rsidP="002454C0" w14:paraId="623E417E" w14:textId="77777777">
      <w:pPr>
        <w:pStyle w:val="FootnoteText"/>
      </w:pPr>
      <w:r>
        <w:rPr>
          <w:rStyle w:val="FootnoteReference"/>
        </w:rPr>
        <w:footnoteRef/>
      </w:r>
      <w:r>
        <w:t xml:space="preserve"> </w:t>
      </w:r>
      <w:r>
        <w:rPr>
          <w:i/>
        </w:rPr>
        <w:t>See Nevada Wireless Order</w:t>
      </w:r>
      <w:r>
        <w:t>, 13 FCC Rcd at 11978, para. 13.</w:t>
      </w:r>
    </w:p>
  </w:footnote>
  <w:footnote w:id="161">
    <w:p w:rsidR="00C64615" w:rsidP="002454C0" w14:paraId="09635B77" w14:textId="7C6603C5">
      <w:pPr>
        <w:pStyle w:val="FootnoteText"/>
      </w:pPr>
      <w:r>
        <w:rPr>
          <w:rStyle w:val="FootnoteReference"/>
        </w:rPr>
        <w:footnoteRef/>
      </w:r>
      <w:r>
        <w:t xml:space="preserve"> </w:t>
      </w:r>
      <w:r>
        <w:rPr>
          <w:i/>
        </w:rPr>
        <w:t>Competitive Bidding Memorandum Opinion and Order</w:t>
      </w:r>
      <w:r>
        <w:t xml:space="preserve">, 9 FCC Rcd at 7689, para. 12. </w:t>
      </w:r>
    </w:p>
  </w:footnote>
  <w:footnote w:id="162">
    <w:p w:rsidR="00C64615" w:rsidP="002454C0" w14:paraId="43B88BCB" w14:textId="77777777">
      <w:pPr>
        <w:pStyle w:val="FootnoteText"/>
      </w:pPr>
      <w:r>
        <w:rPr>
          <w:rStyle w:val="FootnoteReference"/>
        </w:rPr>
        <w:footnoteRef/>
      </w:r>
      <w:r>
        <w:t xml:space="preserve"> </w:t>
      </w:r>
      <w:r>
        <w:rPr>
          <w:i/>
        </w:rPr>
        <w:t>See</w:t>
      </w:r>
      <w:r>
        <w:t xml:space="preserve">, </w:t>
      </w:r>
      <w:r>
        <w:rPr>
          <w:i/>
        </w:rPr>
        <w:t>e</w:t>
      </w:r>
      <w:r>
        <w:t>.</w:t>
      </w:r>
      <w:r>
        <w:rPr>
          <w:i/>
        </w:rPr>
        <w:t>g</w:t>
      </w:r>
      <w:r>
        <w:t xml:space="preserve">., 47 CFR § 1.2109(d).  </w:t>
      </w:r>
    </w:p>
  </w:footnote>
  <w:footnote w:id="163">
    <w:p w:rsidR="00C64615" w:rsidP="002454C0" w14:paraId="19D7C0FE" w14:textId="77777777">
      <w:pPr>
        <w:pStyle w:val="FootnoteText"/>
      </w:pPr>
      <w:r>
        <w:rPr>
          <w:rStyle w:val="FootnoteReference"/>
        </w:rPr>
        <w:footnoteRef/>
      </w:r>
      <w:r>
        <w:t xml:space="preserve"> </w:t>
      </w:r>
      <w:r>
        <w:rPr>
          <w:i/>
        </w:rPr>
        <w:t>Id.</w:t>
      </w:r>
      <w:r>
        <w:t xml:space="preserve"> § 1.21002(c); </w:t>
      </w:r>
      <w:r>
        <w:rPr>
          <w:i/>
        </w:rPr>
        <w:t>see also</w:t>
      </w:r>
      <w:r>
        <w:t xml:space="preserve"> </w:t>
      </w:r>
      <w:r>
        <w:rPr>
          <w:i/>
        </w:rPr>
        <w:t>Part 1 Seventh Report and Order</w:t>
      </w:r>
      <w:r>
        <w:t>, 16 FCC Rcd at 17553-55, paras. 13-17.</w:t>
      </w:r>
    </w:p>
  </w:footnote>
  <w:footnote w:id="164">
    <w:p w:rsidR="00C64615" w:rsidP="002454C0" w14:paraId="05138660" w14:textId="77777777">
      <w:pPr>
        <w:pStyle w:val="FootnoteText"/>
      </w:pPr>
      <w:r>
        <w:rPr>
          <w:rStyle w:val="FootnoteReference"/>
        </w:rPr>
        <w:footnoteRef/>
      </w:r>
      <w:r>
        <w:t xml:space="preserve"> 47 CFR § 1.21002(c).</w:t>
      </w:r>
    </w:p>
  </w:footnote>
  <w:footnote w:id="165">
    <w:p w:rsidR="00C64615" w:rsidP="002454C0" w14:paraId="5916C9E5" w14:textId="2AACA8F2">
      <w:pPr>
        <w:pStyle w:val="FootnoteText"/>
      </w:pPr>
      <w:r>
        <w:rPr>
          <w:rStyle w:val="FootnoteReference"/>
        </w:rPr>
        <w:footnoteRef/>
      </w:r>
      <w:r>
        <w:t xml:space="preserve"> 47 CFR § 1.65. </w:t>
      </w:r>
    </w:p>
  </w:footnote>
  <w:footnote w:id="166">
    <w:p w:rsidR="00C64615" w:rsidP="002454C0" w14:paraId="5A4C38CC" w14:textId="77777777">
      <w:pPr>
        <w:pStyle w:val="FootnoteText"/>
      </w:pPr>
      <w:r>
        <w:rPr>
          <w:rStyle w:val="FootnoteReference"/>
        </w:rPr>
        <w:footnoteRef/>
      </w:r>
      <w:r>
        <w:t xml:space="preserve"> </w:t>
      </w:r>
      <w:r>
        <w:rPr>
          <w:i/>
        </w:rPr>
        <w:t>See Part 1 Seventh Report and Order</w:t>
      </w:r>
      <w:r>
        <w:t>, 16 FCC Rcd at 17550-51, para. 9.</w:t>
      </w:r>
    </w:p>
  </w:footnote>
  <w:footnote w:id="167">
    <w:p w:rsidR="00C64615" w:rsidP="002454C0" w14:paraId="392BC573" w14:textId="5082F19A">
      <w:pPr>
        <w:pStyle w:val="FootnoteText"/>
      </w:pPr>
      <w:r>
        <w:rPr>
          <w:rStyle w:val="FootnoteReference"/>
        </w:rPr>
        <w:footnoteRef/>
      </w:r>
      <w:r>
        <w:t xml:space="preserve"> </w:t>
      </w:r>
      <w:r w:rsidRPr="00A471AF">
        <w:rPr>
          <w:i/>
        </w:rPr>
        <w:t xml:space="preserve">Procedural Amendments to Commission Part 1 Competitive </w:t>
      </w:r>
      <w:r>
        <w:rPr>
          <w:i/>
        </w:rPr>
        <w:t>Bidding</w:t>
      </w:r>
      <w:r w:rsidRPr="00A471AF">
        <w:rPr>
          <w:i/>
        </w:rPr>
        <w:t xml:space="preserve"> Rules</w:t>
      </w:r>
      <w:r>
        <w:t xml:space="preserve">, </w:t>
      </w:r>
      <w:r w:rsidRPr="00A471AF">
        <w:t>Order</w:t>
      </w:r>
      <w:r>
        <w:t>, 25 FCC Rcd 521, 523, para. 8 (2010) (</w:t>
      </w:r>
      <w:r>
        <w:rPr>
          <w:i/>
        </w:rPr>
        <w:t>Part 1 Procedural Amendments Order</w:t>
      </w:r>
      <w:r>
        <w:t xml:space="preserve">). </w:t>
      </w:r>
    </w:p>
  </w:footnote>
  <w:footnote w:id="168">
    <w:p w:rsidR="00C64615" w:rsidP="002454C0" w14:paraId="5F42905C"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69">
    <w:p w:rsidR="00C64615" w:rsidP="002454C0" w14:paraId="17A9137C" w14:textId="77777777">
      <w:pPr>
        <w:pStyle w:val="FootnoteText"/>
      </w:pPr>
      <w:r>
        <w:rPr>
          <w:rStyle w:val="FootnoteReference"/>
        </w:rPr>
        <w:footnoteRef/>
      </w:r>
      <w:r>
        <w:t xml:space="preserve"> 47 CFR §§ 1.65, 1.21001(b)(3)-(5), 1.21002.</w:t>
      </w:r>
    </w:p>
  </w:footnote>
  <w:footnote w:id="170">
    <w:p w:rsidR="00C64615" w:rsidP="002454C0" w14:paraId="4C5D2B67" w14:textId="77777777">
      <w:pPr>
        <w:pStyle w:val="FootnoteText"/>
      </w:pPr>
      <w:r>
        <w:rPr>
          <w:rStyle w:val="FootnoteReference"/>
        </w:rPr>
        <w:footnoteRef/>
      </w:r>
      <w:r>
        <w:t xml:space="preserve"> </w:t>
      </w:r>
      <w:r>
        <w:rPr>
          <w:i/>
        </w:rPr>
        <w:t>Part 1 Procedural Amendments Order</w:t>
      </w:r>
      <w:r>
        <w:t>, 25 FCC 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competition applicants.</w:t>
      </w:r>
    </w:p>
  </w:footnote>
  <w:footnote w:id="171">
    <w:p w:rsidR="00C64615" w:rsidP="002454C0" w14:paraId="2D56E077"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72">
    <w:p w:rsidR="00C64615" w:rsidP="002454C0" w14:paraId="78EE0B18" w14:textId="77777777">
      <w:pPr>
        <w:pStyle w:val="FootnoteText"/>
      </w:pPr>
      <w:r>
        <w:rPr>
          <w:rStyle w:val="FootnoteReference"/>
        </w:rPr>
        <w:footnoteRef/>
      </w:r>
      <w:r>
        <w:t xml:space="preserve"> </w:t>
      </w:r>
      <w:r>
        <w:rPr>
          <w:i/>
        </w:rPr>
        <w:t xml:space="preserve">See </w:t>
      </w:r>
      <w:r>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 xml:space="preserve">See </w:t>
      </w:r>
      <w:r w:rsidRPr="005320EB">
        <w:rPr>
          <w:i/>
        </w:rPr>
        <w:t>id.</w:t>
      </w:r>
      <w:r>
        <w:t xml:space="preserve"> § 0.459(a).  </w:t>
      </w:r>
    </w:p>
  </w:footnote>
  <w:footnote w:id="173">
    <w:p w:rsidR="00C64615" w:rsidP="002454C0" w14:paraId="5F2C9E10" w14:textId="4C8B7B9D">
      <w:pPr>
        <w:pStyle w:val="FootnoteText"/>
      </w:pPr>
      <w:r>
        <w:rPr>
          <w:rStyle w:val="FootnoteReference"/>
        </w:rPr>
        <w:footnoteRef/>
      </w:r>
      <w:r>
        <w:t xml:space="preserve"> </w:t>
      </w:r>
      <w:r>
        <w:rPr>
          <w:i/>
        </w:rPr>
        <w:t>See</w:t>
      </w:r>
      <w:r>
        <w:t xml:space="preserve"> </w:t>
      </w:r>
      <w:r>
        <w:rPr>
          <w:i/>
        </w:rPr>
        <w:t xml:space="preserve">supra </w:t>
      </w:r>
      <w:r>
        <w:t>Section V.D (Contact Information).</w:t>
      </w:r>
    </w:p>
  </w:footnote>
  <w:footnote w:id="174">
    <w:p w:rsidR="00C64615" w:rsidP="002454C0" w14:paraId="4DB8BFE0" w14:textId="4FB23C7B">
      <w:pPr>
        <w:pStyle w:val="FootnoteText"/>
      </w:pPr>
      <w:r>
        <w:rPr>
          <w:rStyle w:val="FootnoteReference"/>
        </w:rPr>
        <w:footnoteRef/>
      </w:r>
      <w:r>
        <w:t xml:space="preserve"> </w:t>
      </w:r>
      <w:r>
        <w:rPr>
          <w:i/>
        </w:rPr>
        <w:t>See</w:t>
      </w:r>
      <w:r>
        <w:t xml:space="preserve"> 47 CFR § 54.315(b)(2)(viii) (applicants will need to provide “[s]uch additional information as the Commission may require.”).</w:t>
      </w:r>
    </w:p>
  </w:footnote>
  <w:footnote w:id="175">
    <w:p w:rsidR="00C64615" w:rsidP="002454C0" w14:paraId="43A5DC13" w14:textId="77777777">
      <w:pPr>
        <w:pStyle w:val="FootnoteText"/>
      </w:pPr>
      <w:r>
        <w:rPr>
          <w:rStyle w:val="FootnoteReference"/>
        </w:rPr>
        <w:footnoteRef/>
      </w:r>
      <w:r>
        <w:t xml:space="preserve"> Note that this website is not intended to—and does not—include every Commission document, judicial opinion, or civil enforcement action that refers to the prohibition of certain communications in Commission competitions. </w:t>
      </w:r>
    </w:p>
  </w:footnote>
  <w:footnote w:id="176">
    <w:p w:rsidR="00C64615" w:rsidP="002454C0" w14:paraId="4CF8ADBA" w14:textId="78F33DE2">
      <w:pPr>
        <w:pStyle w:val="FootnoteText"/>
      </w:pPr>
      <w:r>
        <w:rPr>
          <w:rStyle w:val="FootnoteReference"/>
        </w:rPr>
        <w:footnoteRef/>
      </w:r>
      <w:r>
        <w:t xml:space="preserve"> </w:t>
      </w:r>
      <w:r>
        <w:rPr>
          <w:i/>
        </w:rPr>
        <w:t xml:space="preserve">See </w:t>
      </w:r>
      <w:r w:rsidRPr="00110431">
        <w:rPr>
          <w:i/>
        </w:rPr>
        <w:t xml:space="preserve">Amendment of Part 1 of the Commission’s Rules – Competitive </w:t>
      </w:r>
      <w:r>
        <w:rPr>
          <w:i/>
        </w:rPr>
        <w:t>Bidding</w:t>
      </w:r>
      <w:r w:rsidRPr="00110431">
        <w:rPr>
          <w:i/>
        </w:rPr>
        <w:t xml:space="preserve"> Procedures</w:t>
      </w:r>
      <w:r>
        <w:t xml:space="preserve">, </w:t>
      </w:r>
      <w:r w:rsidRPr="00110431">
        <w:t>Third Further Notice of Proposed Rulemaking</w:t>
      </w:r>
      <w:r>
        <w:t xml:space="preserve">, 14 FCC Rcd 21558, 21560-61, para. 4 &amp; n.17 (1999) (quoting </w:t>
      </w:r>
      <w:r>
        <w:rPr>
          <w:i/>
        </w:rPr>
        <w:t>Competitive Bidding Memorandum Opinion and Order</w:t>
      </w:r>
      <w:r>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110431">
        <w:rPr>
          <w:i/>
        </w:rPr>
        <w:t xml:space="preserve">Implementation of Section 309(j) of the Communications Act – Competitive </w:t>
      </w:r>
      <w:r>
        <w:rPr>
          <w:i/>
        </w:rPr>
        <w:t>Bidding</w:t>
      </w:r>
      <w:r>
        <w:t xml:space="preserve">, </w:t>
      </w:r>
      <w:r w:rsidRPr="00110431">
        <w:t>Fourth Memorandum Opinion and Order</w:t>
      </w:r>
      <w:r>
        <w:t>, 9 FCC Rcd 6858, 6869 n.134 (1994) (“[A]pplicants will also be subject to existing antitrust laws.”) (</w:t>
      </w:r>
      <w:r>
        <w:rPr>
          <w:i/>
        </w:rPr>
        <w:t>Fourth Memorandum Opinion and Order</w:t>
      </w:r>
      <w:r>
        <w:t>).</w:t>
      </w:r>
      <w:r>
        <w:rPr>
          <w:i/>
        </w:rPr>
        <w:t xml:space="preserve">  </w:t>
      </w:r>
    </w:p>
  </w:footnote>
  <w:footnote w:id="177">
    <w:p w:rsidR="00C64615" w:rsidP="002454C0" w14:paraId="7B2D96D4" w14:textId="2CEB07C8">
      <w:pPr>
        <w:pStyle w:val="FootnoteText"/>
      </w:pPr>
      <w:r>
        <w:rPr>
          <w:rStyle w:val="FootnoteReference"/>
        </w:rPr>
        <w:footnoteRef/>
      </w:r>
      <w:r>
        <w:t xml:space="preserve"> </w:t>
      </w:r>
      <w:r>
        <w:rPr>
          <w:i/>
        </w:rPr>
        <w:t>See Competitive Bidding Memorandum Opinion and Order</w:t>
      </w:r>
      <w:r>
        <w:t xml:space="preserve">, 9 FCC Rcd at 7689, para. 12.  </w:t>
      </w:r>
      <w:r>
        <w:rPr>
          <w:i/>
        </w:rPr>
        <w:t>See also</w:t>
      </w:r>
      <w:r>
        <w:t xml:space="preserve"> Press Release, Dep’t of Justice, Justice Department Sues Three Firms Over FCC Competition Practices (Nov. 10, 1998). </w:t>
      </w:r>
    </w:p>
  </w:footnote>
  <w:footnote w:id="178">
    <w:p w:rsidR="00C64615" w:rsidP="002454C0" w14:paraId="1F003030" w14:textId="77777777">
      <w:pPr>
        <w:pStyle w:val="FootnoteText"/>
      </w:pPr>
      <w:r>
        <w:rPr>
          <w:rStyle w:val="FootnoteReference"/>
        </w:rPr>
        <w:footnoteRef/>
      </w:r>
      <w:r>
        <w:t xml:space="preserve"> </w:t>
      </w:r>
      <w:r>
        <w:rPr>
          <w:i/>
        </w:rPr>
        <w:t>See, e.g</w:t>
      </w:r>
      <w:r>
        <w:t xml:space="preserve">., </w:t>
      </w:r>
      <w:r>
        <w:rPr>
          <w:i/>
        </w:rPr>
        <w:t>Fourth Memorandum Opinion and Order</w:t>
      </w:r>
      <w:r>
        <w:t xml:space="preserve">, 9 FCC Rcd at 6869 n.134.    </w:t>
      </w:r>
    </w:p>
  </w:footnote>
  <w:footnote w:id="179">
    <w:p w:rsidR="00C64615" w:rsidRPr="009B5102" w:rsidP="002454C0" w14:paraId="65456DF0" w14:textId="77777777">
      <w:pPr>
        <w:pStyle w:val="FootnoteText"/>
      </w:pPr>
      <w:r>
        <w:rPr>
          <w:rStyle w:val="FootnoteReference"/>
        </w:rPr>
        <w:footnoteRef/>
      </w:r>
      <w:r>
        <w:t xml:space="preserve"> </w:t>
      </w:r>
      <w:r>
        <w:rPr>
          <w:i/>
        </w:rPr>
        <w:t>Id.</w:t>
      </w:r>
      <w:r>
        <w:t xml:space="preserve">  </w:t>
      </w:r>
    </w:p>
  </w:footnote>
  <w:footnote w:id="180">
    <w:p w:rsidR="00C64615" w:rsidP="002454C0" w14:paraId="33977B7C" w14:textId="77777777">
      <w:pPr>
        <w:pStyle w:val="FootnoteText"/>
      </w:pPr>
      <w:r>
        <w:rPr>
          <w:rStyle w:val="FootnoteReference"/>
        </w:rPr>
        <w:footnoteRef/>
      </w:r>
      <w:r>
        <w:t xml:space="preserve"> </w:t>
      </w:r>
      <w:r w:rsidRPr="00243148">
        <w:rPr>
          <w:i/>
        </w:rPr>
        <w:t xml:space="preserve">Wireless Telecommunications Bureau Clarifies Spectrum </w:t>
      </w:r>
      <w:r>
        <w:rPr>
          <w:i/>
        </w:rPr>
        <w:t>Competition</w:t>
      </w:r>
      <w:r w:rsidRPr="00243148">
        <w:rPr>
          <w:i/>
        </w:rPr>
        <w:t xml:space="preserve"> Anti-Collusion Rules</w:t>
      </w:r>
      <w:r>
        <w:t>, Public Notice, 11 FCC Rcd 9645, 9646 (WTB 1995).</w:t>
      </w:r>
    </w:p>
  </w:footnote>
  <w:footnote w:id="181">
    <w:p w:rsidR="00C64615" w:rsidP="002454C0" w14:paraId="55692215" w14:textId="61D22A63">
      <w:pPr>
        <w:pStyle w:val="FootnoteText"/>
      </w:pPr>
      <w:r>
        <w:rPr>
          <w:rStyle w:val="FootnoteReference"/>
        </w:rPr>
        <w:footnoteRef/>
      </w:r>
      <w:r>
        <w:t xml:space="preserve"> </w:t>
      </w:r>
      <w:r>
        <w:rPr>
          <w:i/>
        </w:rPr>
        <w:t xml:space="preserve">See </w:t>
      </w:r>
      <w:r w:rsidRPr="00775BB3">
        <w:rPr>
          <w:i/>
        </w:rPr>
        <w:t xml:space="preserve">Implementation of Section 309(j) of the Communications Act—Competitive </w:t>
      </w:r>
      <w:r>
        <w:rPr>
          <w:i/>
        </w:rPr>
        <w:t>Bidding</w:t>
      </w:r>
      <w:r>
        <w:t xml:space="preserve">, </w:t>
      </w:r>
      <w:r w:rsidRPr="00775BB3">
        <w:t>Second Report and Order</w:t>
      </w:r>
      <w:r>
        <w:t>, 9 FCC Rcd 2348, 2388,</w:t>
      </w:r>
      <w:r>
        <w:rPr>
          <w:i/>
        </w:rPr>
        <w:t xml:space="preserve"> </w:t>
      </w:r>
      <w:r>
        <w:t xml:space="preserve">para. 226 (1994).  </w:t>
      </w:r>
    </w:p>
  </w:footnote>
  <w:footnote w:id="182">
    <w:p w:rsidR="00C64615" w:rsidP="002454C0" w14:paraId="3D4D57E5" w14:textId="77777777">
      <w:pPr>
        <w:pStyle w:val="FootnoteText"/>
      </w:pPr>
      <w:r>
        <w:rPr>
          <w:rStyle w:val="FootnoteReference"/>
        </w:rPr>
        <w:footnoteRef/>
      </w:r>
      <w:r>
        <w:t xml:space="preserve"> </w:t>
      </w:r>
      <w:r>
        <w:rPr>
          <w:i/>
        </w:rPr>
        <w:t>See id.</w:t>
      </w:r>
      <w:r>
        <w:t>; 47 CFR § 1.2109(d).</w:t>
      </w:r>
    </w:p>
  </w:footnote>
  <w:footnote w:id="183">
    <w:p w:rsidR="00C64615" w:rsidRPr="001A7F99" w:rsidP="002454C0" w14:paraId="5B31C4FB" w14:textId="77777777">
      <w:pPr>
        <w:pStyle w:val="FootnoteText"/>
      </w:pPr>
      <w:r w:rsidRPr="001A7F99">
        <w:rPr>
          <w:rStyle w:val="FootnoteReference"/>
        </w:rPr>
        <w:footnoteRef/>
      </w:r>
      <w:r w:rsidRPr="001A7F99">
        <w:t xml:space="preserve"> </w:t>
      </w:r>
      <w:r w:rsidRPr="001A7F99">
        <w:rPr>
          <w:i/>
        </w:rPr>
        <w:t>Amendment of Parts 0 and 1 of the Commission’s Rules; Implementation of the Debt Collection Improvement Act of 1996 and Adoption of Rules Governing Applications or Requests for Benefits by Delinquent Debtors</w:t>
      </w:r>
      <w:r w:rsidRPr="001A7F99">
        <w:t>, Report and Order, 19 FCC Rcd 6540 (2004) (implementing Pub. L. No. 104-134, 110 Stat. 1321, 1358 (1996)</w:t>
      </w:r>
      <w:r>
        <w:t>)</w:t>
      </w:r>
      <w:r w:rsidRPr="001A7F99">
        <w:t xml:space="preserve"> (</w:t>
      </w:r>
      <w:r w:rsidRPr="001A7F99">
        <w:rPr>
          <w:i/>
        </w:rPr>
        <w:t>Debt Collection Report and Order</w:t>
      </w:r>
      <w:r w:rsidRPr="001A7F99">
        <w:t>); 47 CFR Part 1, Subpart O.</w:t>
      </w:r>
    </w:p>
  </w:footnote>
  <w:footnote w:id="184">
    <w:p w:rsidR="00C64615" w:rsidRPr="001A7F99" w:rsidP="002454C0" w14:paraId="1F5EB464" w14:textId="77777777">
      <w:pPr>
        <w:pStyle w:val="FootnoteText"/>
      </w:pPr>
      <w:r w:rsidRPr="001A7F99">
        <w:rPr>
          <w:rStyle w:val="FootnoteReference"/>
        </w:rPr>
        <w:footnoteRef/>
      </w:r>
      <w:r w:rsidRPr="001A7F99">
        <w:t xml:space="preserve"> 47 CFR § 1.1910(b)(2).</w:t>
      </w:r>
    </w:p>
  </w:footnote>
  <w:footnote w:id="185">
    <w:p w:rsidR="00C64615" w:rsidP="002454C0" w14:paraId="0F3B26B0" w14:textId="7F3C7A70">
      <w:pPr>
        <w:pStyle w:val="FootnoteText"/>
      </w:pPr>
      <w:r>
        <w:rPr>
          <w:rStyle w:val="FootnoteReference"/>
        </w:rPr>
        <w:footnoteRef/>
      </w:r>
      <w:r>
        <w:t xml:space="preserve"> Parties familiar with spectrum license competitions should note that the stricter spectrum license application rules supersede the Commission’s red light rules in the context of a spectrum license competition.  </w:t>
      </w:r>
      <w:r>
        <w:rPr>
          <w:i/>
        </w:rPr>
        <w:t>See</w:t>
      </w:r>
      <w:r>
        <w:t xml:space="preserve"> 47 CFR § 1.1902(f).  No corresponding provision applies with respect to the Stage 2 Competition, however.  Accordingly, the Commission’s standard red light rules will apply.</w:t>
      </w:r>
    </w:p>
  </w:footnote>
  <w:footnote w:id="186">
    <w:p w:rsidR="00C64615" w:rsidP="002454C0" w14:paraId="6B47F6EA" w14:textId="77777777">
      <w:pPr>
        <w:pStyle w:val="FootnoteText"/>
      </w:pPr>
      <w:r>
        <w:rPr>
          <w:rStyle w:val="FootnoteReference"/>
        </w:rPr>
        <w:footnoteRef/>
      </w:r>
      <w:r>
        <w:t xml:space="preserve"> 47 CFR § 1.1910(b)(2).</w:t>
      </w:r>
    </w:p>
  </w:footnote>
  <w:footnote w:id="187">
    <w:p w:rsidR="00C64615" w:rsidP="002454C0" w14:paraId="03B681CD" w14:textId="77777777">
      <w:pPr>
        <w:pStyle w:val="FootnoteText"/>
        <w:rPr>
          <w:color w:val="000000"/>
        </w:rPr>
      </w:pPr>
      <w:r>
        <w:rPr>
          <w:rStyle w:val="FootnoteReference"/>
          <w:color w:val="000000"/>
        </w:rPr>
        <w:footnoteRef/>
      </w:r>
      <w:r>
        <w:rPr>
          <w:color w:val="000000"/>
        </w:rPr>
        <w:t xml:space="preserve"> 47 CFR § 54.8.</w:t>
      </w:r>
    </w:p>
  </w:footnote>
  <w:footnote w:id="188">
    <w:p w:rsidR="00C64615" w:rsidP="00FD1F88" w14:paraId="6D38C759" w14:textId="095CF7A6">
      <w:pPr>
        <w:pStyle w:val="FootnoteText"/>
      </w:pPr>
      <w:r>
        <w:rPr>
          <w:rStyle w:val="FootnoteReference"/>
        </w:rPr>
        <w:footnoteRef/>
      </w:r>
      <w:r>
        <w:t xml:space="preserve"> </w:t>
      </w:r>
      <w:r w:rsidRPr="000F6AB0">
        <w:rPr>
          <w:i/>
        </w:rPr>
        <w:t>PR-USVI Stage 2 Order</w:t>
      </w:r>
      <w:r>
        <w:t>, 34 FCC Rcd at 9134-35, para. 41.</w:t>
      </w:r>
    </w:p>
  </w:footnote>
  <w:footnote w:id="189">
    <w:p w:rsidR="00C64615" w:rsidP="00FD1F88" w14:paraId="3644A1FC" w14:textId="77777777">
      <w:pPr>
        <w:pStyle w:val="FootnoteText"/>
      </w:pPr>
      <w:r>
        <w:rPr>
          <w:rStyle w:val="FootnoteReference"/>
        </w:rPr>
        <w:footnoteRef/>
      </w:r>
      <w:r>
        <w:t xml:space="preserve"> </w:t>
      </w:r>
      <w:r w:rsidRPr="001C7509">
        <w:rPr>
          <w:i/>
        </w:rPr>
        <w:t>Id</w:t>
      </w:r>
      <w:r>
        <w:t>.</w:t>
      </w:r>
    </w:p>
  </w:footnote>
  <w:footnote w:id="190">
    <w:p w:rsidR="00C64615" w:rsidP="00D514D8" w14:paraId="2AA42744" w14:textId="77777777">
      <w:pPr>
        <w:pStyle w:val="FootnoteText"/>
      </w:pPr>
      <w:r>
        <w:rPr>
          <w:rStyle w:val="FootnoteReference"/>
        </w:rPr>
        <w:footnoteRef/>
      </w:r>
      <w:r>
        <w:t xml:space="preserve"> </w:t>
      </w:r>
      <w:r>
        <w:rPr>
          <w:i/>
        </w:rPr>
        <w:t>PR-USVI Stage 2 Order</w:t>
      </w:r>
      <w:r>
        <w:t xml:space="preserve">, 34 FCC Rcd at 9152-53, para. 81. </w:t>
      </w:r>
    </w:p>
  </w:footnote>
  <w:footnote w:id="191">
    <w:p w:rsidR="00C64615" w:rsidRPr="00F8164D" w:rsidP="00D514D8" w14:paraId="76832BE0" w14:textId="77777777">
      <w:pPr>
        <w:pStyle w:val="FootnoteText"/>
      </w:pPr>
      <w:r>
        <w:rPr>
          <w:rStyle w:val="FootnoteReference"/>
        </w:rPr>
        <w:footnoteRef/>
      </w:r>
      <w:r>
        <w:t xml:space="preserve"> This forfeiture payment satisfies the requirements of section 1.21004(b) of the Commission’s rules with respect to default payments.  47 CFR § 1.21004(b). </w:t>
      </w:r>
    </w:p>
  </w:footnote>
  <w:footnote w:id="192">
    <w:p w:rsidR="00C64615" w:rsidP="00D514D8" w14:paraId="213717DA" w14:textId="77777777">
      <w:pPr>
        <w:pStyle w:val="FootnoteText"/>
      </w:pPr>
      <w:r>
        <w:rPr>
          <w:rStyle w:val="FootnoteReference"/>
        </w:rPr>
        <w:footnoteRef/>
      </w:r>
      <w:r>
        <w:t xml:space="preserve"> </w:t>
      </w:r>
      <w:r>
        <w:rPr>
          <w:i/>
        </w:rPr>
        <w:t>PR-USVI Stage 2 Order</w:t>
      </w:r>
      <w:r>
        <w:t xml:space="preserve">, 34 FCC Rcd at 9152-53, para. 81.  In determining the final amount of the forfeiture, consistent with the Commission’s rules, the Enforcement Bureau shall take into account the nature, circumstances, extent, and gravity of the violations.  </w:t>
      </w:r>
      <w:r w:rsidRPr="00F76E36">
        <w:t xml:space="preserve">47 </w:t>
      </w:r>
      <w:r>
        <w:t>CFR</w:t>
      </w:r>
      <w:r w:rsidRPr="00F76E36">
        <w:t xml:space="preserve"> § 1</w:t>
      </w:r>
      <w:r>
        <w:t>.</w:t>
      </w:r>
      <w:r w:rsidRPr="00F76E36">
        <w:t>80(b)(8).</w:t>
      </w:r>
      <w:r>
        <w:t>47 CFR § 1.80(b)(8</w:t>
      </w:r>
      <w:r w:rsidRPr="00F76E36">
        <w:t>)</w:t>
      </w:r>
      <w:r>
        <w:t xml:space="preserve">, note to paragraph (b)(8).  Thus, for example, if a municipio contains 33 census block groups, the base forfeiture as to that municipio would be $99,000.  </w:t>
      </w:r>
      <w:r>
        <w:rPr>
          <w:i/>
        </w:rPr>
        <w:t>PR-USVI Stage 2 Order</w:t>
      </w:r>
      <w:r>
        <w:t xml:space="preserve">, 34 FCC Rcd at 9153, para. 81 n.296.  </w:t>
      </w:r>
    </w:p>
  </w:footnote>
  <w:footnote w:id="193">
    <w:p w:rsidR="00C64615" w14:paraId="3F59EC3D" w14:textId="0EFEFF24">
      <w:pPr>
        <w:pStyle w:val="FootnoteText"/>
      </w:pPr>
      <w:r>
        <w:rPr>
          <w:rStyle w:val="FootnoteReference"/>
        </w:rPr>
        <w:footnoteRef/>
      </w:r>
      <w:r>
        <w:t xml:space="preserve"> </w:t>
      </w:r>
      <w:r>
        <w:rPr>
          <w:i/>
        </w:rPr>
        <w:t>PR-USVI Stage 2 Order</w:t>
      </w:r>
      <w:r>
        <w:t>, 34 FCC Rcd at 9153, para. 82.</w:t>
      </w:r>
    </w:p>
  </w:footnote>
  <w:footnote w:id="194">
    <w:p w:rsidR="00C64615" w:rsidP="00D514D8" w14:paraId="599ADA30" w14:textId="191DE5C5">
      <w:pPr>
        <w:pStyle w:val="FootnoteText"/>
      </w:pPr>
      <w:r>
        <w:rPr>
          <w:rStyle w:val="FootnoteReference"/>
        </w:rPr>
        <w:footnoteRef/>
      </w:r>
      <w:r>
        <w:t xml:space="preserve"> </w:t>
      </w:r>
      <w:r>
        <w:rPr>
          <w:i/>
        </w:rPr>
        <w:t>Id</w:t>
      </w:r>
      <w:r>
        <w:t>.  A</w:t>
      </w:r>
      <w:r w:rsidRPr="00F76E36">
        <w:t xml:space="preserve"> </w:t>
      </w:r>
      <w:r>
        <w:t>winning applicant would violate</w:t>
      </w:r>
      <w:r w:rsidRPr="00F76E36">
        <w:t xml:space="preserve"> the Commission’s rules for each of the </w:t>
      </w:r>
      <w:r>
        <w:t>CBG</w:t>
      </w:r>
      <w:r w:rsidRPr="00F76E36">
        <w:t xml:space="preserve">s </w:t>
      </w:r>
      <w:r>
        <w:t>within the geographic area assigned</w:t>
      </w:r>
      <w:r w:rsidRPr="00F76E36">
        <w:t xml:space="preserve"> in its </w:t>
      </w:r>
      <w:r>
        <w:t>defaulting application</w:t>
      </w:r>
      <w:r w:rsidRPr="00F76E36">
        <w:t xml:space="preserve">.  If </w:t>
      </w:r>
      <w:r>
        <w:t>a</w:t>
      </w:r>
      <w:r w:rsidRPr="00F76E36">
        <w:t xml:space="preserve"> </w:t>
      </w:r>
      <w:r>
        <w:t>winning</w:t>
      </w:r>
      <w:r w:rsidRPr="00F76E36">
        <w:t xml:space="preserve"> </w:t>
      </w:r>
      <w:r>
        <w:t xml:space="preserve">applicant </w:t>
      </w:r>
      <w:r w:rsidRPr="00F76E36">
        <w:t>defaults on a</w:t>
      </w:r>
      <w:r>
        <w:t>n</w:t>
      </w:r>
      <w:r w:rsidRPr="00F76E36">
        <w:t xml:space="preserve"> </w:t>
      </w:r>
      <w:r>
        <w:t>application</w:t>
      </w:r>
      <w:r w:rsidRPr="00F76E36">
        <w:t xml:space="preserve"> that includes 10 </w:t>
      </w:r>
      <w:r>
        <w:t>CBG</w:t>
      </w:r>
      <w:r w:rsidRPr="00F76E36">
        <w:t xml:space="preserve">s, that entity could be subject to a base forfeiture of $30,000 (10 </w:t>
      </w:r>
      <w:r>
        <w:t>CBG</w:t>
      </w:r>
      <w:r w:rsidRPr="00F76E36">
        <w:t>s multiplied by the base forfeiture of $3,000).</w:t>
      </w:r>
    </w:p>
  </w:footnote>
  <w:footnote w:id="195">
    <w:p w:rsidR="00C64615" w:rsidP="00D514D8" w14:paraId="24B15508" w14:textId="6461EE49">
      <w:pPr>
        <w:pStyle w:val="FootnoteText"/>
      </w:pPr>
      <w:r>
        <w:rPr>
          <w:rStyle w:val="FootnoteReference"/>
        </w:rPr>
        <w:footnoteRef/>
      </w:r>
      <w:r>
        <w:t xml:space="preserve"> </w:t>
      </w:r>
      <w:r>
        <w:rPr>
          <w:i/>
        </w:rPr>
        <w:t>Id</w:t>
      </w:r>
      <w:r>
        <w:t xml:space="preserve">.  </w:t>
      </w:r>
      <w:r w:rsidRPr="00E5200E">
        <w:t xml:space="preserve">This would occur in situations where the dollar amount associated with the </w:t>
      </w:r>
      <w:r>
        <w:t>application</w:t>
      </w:r>
      <w:r w:rsidRPr="00E5200E">
        <w:t xml:space="preserve"> is low.  For example, assume </w:t>
      </w:r>
      <w:r>
        <w:t>Applicant</w:t>
      </w:r>
      <w:r w:rsidRPr="00E5200E">
        <w:t xml:space="preserve"> A</w:t>
      </w:r>
      <w:r>
        <w:t>’s winning application includes</w:t>
      </w:r>
      <w:r w:rsidRPr="00E5200E">
        <w:t xml:space="preserve"> </w:t>
      </w:r>
      <w:r>
        <w:t>100 CBGs</w:t>
      </w:r>
      <w:r w:rsidRPr="00E5200E">
        <w:t xml:space="preserve"> for $100,000 over the ten-year support term.  We would impose a base forfeiture of $5,000 (5 percent of $100,000) because otherwise the base forfeiture would be $300,000 ($3,000 x 100 </w:t>
      </w:r>
      <w:r>
        <w:t>CBGs</w:t>
      </w:r>
      <w:r w:rsidRPr="00E5200E">
        <w:t xml:space="preserve">), which is three times the entire </w:t>
      </w:r>
      <w:r>
        <w:t>application</w:t>
      </w:r>
      <w:r w:rsidRPr="00E5200E">
        <w:t xml:space="preserve"> amount.  In contrast, if </w:t>
      </w:r>
      <w:r>
        <w:t>Applicant</w:t>
      </w:r>
      <w:r w:rsidRPr="00E5200E">
        <w:t xml:space="preserve"> B</w:t>
      </w:r>
      <w:r>
        <w:t>’s winning application</w:t>
      </w:r>
      <w:r w:rsidRPr="00E5200E">
        <w:t xml:space="preserve"> </w:t>
      </w:r>
      <w:r>
        <w:t>includes</w:t>
      </w:r>
      <w:r w:rsidRPr="00E5200E">
        <w:t xml:space="preserve"> 100 </w:t>
      </w:r>
      <w:r>
        <w:t>CBGs</w:t>
      </w:r>
      <w:r w:rsidRPr="00E5200E">
        <w:t xml:space="preserve"> for $7,000,000 over the support term, we would impose a base forfeiture of $300,000 ($3,000 x 100 </w:t>
      </w:r>
      <w:r>
        <w:t>CBGs</w:t>
      </w:r>
      <w:r w:rsidRPr="00E5200E">
        <w:t xml:space="preserve">), which is 4.3 percent of the total </w:t>
      </w:r>
      <w:r>
        <w:t>application</w:t>
      </w:r>
      <w:r w:rsidRPr="00E5200E">
        <w:t>.</w:t>
      </w:r>
      <w:r>
        <w:t xml:space="preserve">  The Commission, however, expressly stated that the five percent limit to the base forfeiture would not limit upward adjustments for egregious misconduct.  </w:t>
      </w:r>
      <w:r>
        <w:rPr>
          <w:i/>
        </w:rPr>
        <w:t>PR-USVI Stage 2 Order</w:t>
      </w:r>
      <w:r>
        <w:t xml:space="preserve">, 34 FCC Rcd at 9153, para. 82 n.297.  </w:t>
      </w:r>
    </w:p>
  </w:footnote>
  <w:footnote w:id="196">
    <w:p w:rsidR="00C64615" w:rsidP="00D514D8" w14:paraId="4217D578" w14:textId="77777777">
      <w:pPr>
        <w:pStyle w:val="FootnoteText"/>
      </w:pPr>
      <w:r>
        <w:rPr>
          <w:rStyle w:val="FootnoteReference"/>
        </w:rPr>
        <w:footnoteRef/>
      </w:r>
      <w:r>
        <w:t xml:space="preserve"> </w:t>
      </w:r>
      <w:r>
        <w:rPr>
          <w:i/>
        </w:rPr>
        <w:t>PR-USVI Stage 2 Order</w:t>
      </w:r>
      <w:r>
        <w:t>, 34 FCC Rcd at 9153-54, para. 84.</w:t>
      </w:r>
    </w:p>
  </w:footnote>
  <w:footnote w:id="197">
    <w:p w:rsidR="00C64615" w:rsidP="00D514D8" w14:paraId="276533F6" w14:textId="77777777">
      <w:pPr>
        <w:pStyle w:val="FootnoteText"/>
      </w:pPr>
      <w:r>
        <w:rPr>
          <w:rStyle w:val="FootnoteReference"/>
        </w:rPr>
        <w:footnoteRef/>
      </w:r>
      <w:r>
        <w:t xml:space="preserve"> </w:t>
      </w:r>
      <w:r w:rsidRPr="00963F57">
        <w:t xml:space="preserve">47 CFR </w:t>
      </w:r>
      <w:r>
        <w:t xml:space="preserve">§§ 54.315(c)(4), 54.320.  </w:t>
      </w:r>
    </w:p>
  </w:footnote>
  <w:footnote w:id="198">
    <w:p w:rsidR="00C64615" w:rsidP="00D514D8" w14:paraId="70873643" w14:textId="77777777">
      <w:pPr>
        <w:pStyle w:val="FootnoteText"/>
      </w:pPr>
      <w:r>
        <w:rPr>
          <w:rStyle w:val="FootnoteReference"/>
        </w:rPr>
        <w:footnoteRef/>
      </w:r>
      <w:r>
        <w:t xml:space="preserve"> </w:t>
      </w:r>
      <w:r>
        <w:rPr>
          <w:i/>
        </w:rPr>
        <w:t>Id.</w:t>
      </w:r>
      <w:r>
        <w:t xml:space="preserve"> §§ 54.315(c)(4), 54.320; </w:t>
      </w:r>
      <w:r>
        <w:rPr>
          <w:i/>
        </w:rPr>
        <w:t>PR-USVI Stage 2 Order</w:t>
      </w:r>
      <w:r>
        <w:t xml:space="preserve">, 34 FCC Rcd at 9150, para. 74; </w:t>
      </w:r>
      <w:r w:rsidRPr="00D00FF5">
        <w:rPr>
          <w:i/>
        </w:rPr>
        <w:t>see also</w:t>
      </w:r>
      <w:r>
        <w:t xml:space="preserve"> </w:t>
      </w:r>
      <w:r w:rsidRPr="00B37289">
        <w:rPr>
          <w:i/>
        </w:rPr>
        <w:t>December 2014 Connect America Order</w:t>
      </w:r>
      <w:r>
        <w:t>, 29 FCC Rcd at 15694-701, paras. 142-57.</w:t>
      </w:r>
    </w:p>
  </w:footnote>
  <w:footnote w:id="199">
    <w:p w:rsidR="00C64615" w:rsidP="00D514D8" w14:paraId="0E3996A3" w14:textId="77777777">
      <w:pPr>
        <w:pStyle w:val="FootnoteText"/>
      </w:pPr>
      <w:r>
        <w:rPr>
          <w:rStyle w:val="FootnoteReference"/>
        </w:rPr>
        <w:footnoteRef/>
      </w:r>
      <w:r>
        <w:t xml:space="preserve"> 47 CFR § 54.320.</w:t>
      </w:r>
    </w:p>
  </w:footnote>
  <w:footnote w:id="200">
    <w:p w:rsidR="00C64615" w14:paraId="7CE1927E" w14:textId="2A11E6DA">
      <w:pPr>
        <w:pStyle w:val="FootnoteText"/>
      </w:pPr>
      <w:r>
        <w:rPr>
          <w:rStyle w:val="FootnoteReference"/>
        </w:rPr>
        <w:footnoteRef/>
      </w:r>
      <w:r>
        <w:t xml:space="preserve"> </w:t>
      </w:r>
      <w:r w:rsidRPr="000F6AB0">
        <w:rPr>
          <w:i/>
        </w:rPr>
        <w:t>PR-USVI Stage 2 Order</w:t>
      </w:r>
      <w:r>
        <w:t>, 34 FCC Rcd at 9135, para. 42.</w:t>
      </w:r>
    </w:p>
  </w:footnote>
  <w:footnote w:id="201">
    <w:p w:rsidR="00C64615" w:rsidP="000C3514" w14:paraId="0AB959C8" w14:textId="02D2B4CE">
      <w:pPr>
        <w:pStyle w:val="FootnoteText"/>
      </w:pPr>
      <w:r>
        <w:rPr>
          <w:rStyle w:val="FootnoteReference"/>
        </w:rPr>
        <w:footnoteRef/>
      </w:r>
      <w:r>
        <w:t xml:space="preserve"> An authorized applicant is called a “support recipient” or “Stage 2 support recipient.” </w:t>
      </w:r>
    </w:p>
  </w:footnote>
  <w:footnote w:id="202">
    <w:p w:rsidR="00C64615" w:rsidP="007743AA" w14:paraId="03B60B1A" w14:textId="77FEAC6C">
      <w:pPr>
        <w:pStyle w:val="FootnoteText"/>
      </w:pPr>
      <w:r>
        <w:rPr>
          <w:rStyle w:val="FootnoteReference"/>
        </w:rPr>
        <w:footnoteRef/>
      </w:r>
      <w:r>
        <w:t xml:space="preserve"> 47 CFR § 54.315(b)(5).  A Lifeline-only ETC designation is not sufficient; the applicant must obtain a high-cost ETC designation in areas where it seeks to be authorized to receive Stage 2 support.</w:t>
      </w:r>
    </w:p>
  </w:footnote>
  <w:footnote w:id="203">
    <w:p w:rsidR="00C64615" w:rsidP="007743AA" w14:paraId="79D495D2" w14:textId="373DDAD2">
      <w:pPr>
        <w:pStyle w:val="FootnoteText"/>
      </w:pPr>
      <w:r>
        <w:rPr>
          <w:rStyle w:val="FootnoteReference"/>
        </w:rPr>
        <w:footnoteRef/>
      </w:r>
      <w:r>
        <w:t xml:space="preserve"> </w:t>
      </w:r>
      <w:r w:rsidRPr="001F1420">
        <w:rPr>
          <w:i/>
        </w:rPr>
        <w:t>Phase II Auction Order</w:t>
      </w:r>
      <w:r>
        <w:t>, 31 FCC Rcd at 5999, para. 141.</w:t>
      </w:r>
    </w:p>
  </w:footnote>
  <w:footnote w:id="204">
    <w:p w:rsidR="00C64615" w:rsidP="007743AA" w14:paraId="6B848E06" w14:textId="5B0075F7">
      <w:pPr>
        <w:pStyle w:val="FootnoteText"/>
      </w:pPr>
      <w:r>
        <w:rPr>
          <w:rStyle w:val="FootnoteReference"/>
        </w:rPr>
        <w:footnoteRef/>
      </w:r>
      <w:r>
        <w:t xml:space="preserve"> 47 CFR § 54.315(b)(5); </w:t>
      </w:r>
      <w:r w:rsidRPr="001F1420">
        <w:rPr>
          <w:i/>
        </w:rPr>
        <w:t>Phase II Auction Order</w:t>
      </w:r>
      <w:r>
        <w:t>, 31 FCC Rcd at 5999, para. 141.</w:t>
      </w:r>
    </w:p>
  </w:footnote>
  <w:footnote w:id="205">
    <w:p w:rsidR="00C64615" w:rsidP="00DB627C" w14:paraId="57497C62" w14:textId="72C113F4">
      <w:pPr>
        <w:pStyle w:val="FootnoteText"/>
      </w:pPr>
      <w:r>
        <w:rPr>
          <w:rStyle w:val="FootnoteReference"/>
        </w:rPr>
        <w:footnoteRef/>
      </w:r>
      <w:r>
        <w:t xml:space="preserve"> 47 CFR § 54.1508(b), (c).  An applicant may obtain multiple letters of credit for a state.  However, because compliance is determined at the state-level, the Bureau will authorize a draw on all the letters of credit covering all the applications in a state if a support recipient defaults.  47 CFR §</w:t>
      </w:r>
      <w:r w:rsidRPr="00A41A17">
        <w:t xml:space="preserve"> </w:t>
      </w:r>
      <w:r>
        <w:t>54.1508(b), (e).</w:t>
      </w:r>
    </w:p>
  </w:footnote>
  <w:footnote w:id="206">
    <w:p w:rsidR="00C64615" w:rsidP="00DB627C" w14:paraId="39358D59" w14:textId="3BBA701A">
      <w:pPr>
        <w:pStyle w:val="FootnoteText"/>
      </w:pPr>
      <w:r>
        <w:rPr>
          <w:rStyle w:val="FootnoteReference"/>
        </w:rPr>
        <w:footnoteRef/>
      </w:r>
      <w:r>
        <w:t xml:space="preserve"> </w:t>
      </w:r>
      <w:r w:rsidRPr="007418E8">
        <w:rPr>
          <w:i/>
        </w:rPr>
        <w:t>See</w:t>
      </w:r>
      <w:r>
        <w:t xml:space="preserve"> Appendix B.  </w:t>
      </w:r>
      <w:r w:rsidRPr="007418E8">
        <w:rPr>
          <w:i/>
        </w:rPr>
        <w:t>See also</w:t>
      </w:r>
      <w:r>
        <w:t xml:space="preserve"> </w:t>
      </w:r>
      <w:r>
        <w:rPr>
          <w:i/>
        </w:rPr>
        <w:t>PR-USVI Stage 2 Order</w:t>
      </w:r>
      <w:r>
        <w:t>, 34 FCC Rcd at 9151, 9201-05, para. 76 &amp; n.281, Appx. C.</w:t>
      </w:r>
    </w:p>
  </w:footnote>
  <w:footnote w:id="207">
    <w:p w:rsidR="00C64615" w:rsidP="00DB627C" w14:paraId="567C6FB0" w14:textId="6C060300">
      <w:pPr>
        <w:pStyle w:val="FootnoteText"/>
      </w:pPr>
      <w:r>
        <w:rPr>
          <w:rStyle w:val="FootnoteReference"/>
        </w:rPr>
        <w:footnoteRef/>
      </w:r>
      <w:r>
        <w:t xml:space="preserve"> </w:t>
      </w:r>
      <w:r w:rsidRPr="00A41A17">
        <w:t>47 CFR</w:t>
      </w:r>
      <w:r>
        <w:t xml:space="preserve"> § 1508(d); </w:t>
      </w:r>
      <w:r>
        <w:rPr>
          <w:i/>
        </w:rPr>
        <w:t>PR-USVI Stage 2 Order</w:t>
      </w:r>
      <w:r>
        <w:t xml:space="preserve">, 34 FCC Rcd at 9152, para. 78; </w:t>
      </w:r>
      <w:r w:rsidRPr="00A41A17">
        <w:rPr>
          <w:i/>
        </w:rPr>
        <w:t>see also</w:t>
      </w:r>
      <w:r>
        <w:t xml:space="preserve"> 11 U.S.C. § 541; 47 CFR § 54.315(c)(3). </w:t>
      </w:r>
    </w:p>
  </w:footnote>
  <w:footnote w:id="208">
    <w:p w:rsidR="00C64615" w14:paraId="135827C0" w14:textId="2546835D">
      <w:pPr>
        <w:pStyle w:val="FootnoteText"/>
      </w:pPr>
      <w:r>
        <w:rPr>
          <w:rStyle w:val="FootnoteReference"/>
        </w:rPr>
        <w:footnoteRef/>
      </w:r>
      <w:r>
        <w:t xml:space="preserve"> </w:t>
      </w:r>
      <w:r w:rsidRPr="00FD2256">
        <w:t>47 CFR</w:t>
      </w:r>
      <w:r>
        <w:t xml:space="preserve"> § 1508(b); </w:t>
      </w:r>
      <w:r>
        <w:rPr>
          <w:i/>
        </w:rPr>
        <w:t>PR-USVI Stage 2 Order</w:t>
      </w:r>
      <w:r>
        <w:t>, 34 FCC Rcd at 9152, paras. 79-80.</w:t>
      </w:r>
    </w:p>
  </w:footnote>
  <w:footnote w:id="209">
    <w:p w:rsidR="00C64615" w14:paraId="6F2C76CF" w14:textId="62C1A872">
      <w:pPr>
        <w:pStyle w:val="FootnoteText"/>
      </w:pPr>
      <w:r>
        <w:rPr>
          <w:rStyle w:val="FootnoteReference"/>
        </w:rPr>
        <w:footnoteRef/>
      </w:r>
      <w:r>
        <w:t xml:space="preserve"> </w:t>
      </w:r>
      <w:r w:rsidRPr="00FD2256">
        <w:t>47 CFR</w:t>
      </w:r>
      <w:r>
        <w:t xml:space="preserve"> § 1508(b); </w:t>
      </w:r>
      <w:r>
        <w:rPr>
          <w:i/>
        </w:rPr>
        <w:t>PR-USVI Stage 2 Order</w:t>
      </w:r>
      <w:r>
        <w:t>, 34 FCC Rcd at 9152, para. 79.</w:t>
      </w:r>
    </w:p>
  </w:footnote>
  <w:footnote w:id="210">
    <w:p w:rsidR="00C64615" w14:paraId="54F37A8A" w14:textId="3A6807D0">
      <w:pPr>
        <w:pStyle w:val="FootnoteText"/>
      </w:pPr>
      <w:r>
        <w:rPr>
          <w:rStyle w:val="FootnoteReference"/>
        </w:rPr>
        <w:footnoteRef/>
      </w:r>
      <w:r>
        <w:t xml:space="preserve"> </w:t>
      </w:r>
      <w:r>
        <w:rPr>
          <w:i/>
        </w:rPr>
        <w:t>PR-USVI Stage 2 Order</w:t>
      </w:r>
      <w:r>
        <w:t>, 34 FCC Rcd at 9152, para. 79.</w:t>
      </w:r>
    </w:p>
  </w:footnote>
  <w:footnote w:id="211">
    <w:p w:rsidR="00C64615" w14:paraId="5342BD82" w14:textId="15FB391C">
      <w:pPr>
        <w:pStyle w:val="FootnoteText"/>
      </w:pPr>
      <w:r>
        <w:rPr>
          <w:rStyle w:val="FootnoteReference"/>
        </w:rPr>
        <w:footnoteRef/>
      </w:r>
      <w:r>
        <w:t xml:space="preserve"> </w:t>
      </w:r>
      <w:r w:rsidRPr="00557CC6">
        <w:rPr>
          <w:i/>
        </w:rPr>
        <w:t>Id</w:t>
      </w:r>
      <w:r>
        <w:t>.</w:t>
      </w:r>
    </w:p>
  </w:footnote>
  <w:footnote w:id="212">
    <w:p w:rsidR="00C64615" w14:paraId="024FA3CC" w14:textId="644915BE">
      <w:pPr>
        <w:pStyle w:val="FootnoteText"/>
      </w:pPr>
      <w:r>
        <w:rPr>
          <w:rStyle w:val="FootnoteReference"/>
        </w:rPr>
        <w:footnoteRef/>
      </w:r>
      <w:r>
        <w:t xml:space="preserve"> </w:t>
      </w:r>
      <w:r w:rsidRPr="00FD2256">
        <w:t>47 CFR</w:t>
      </w:r>
      <w:r>
        <w:t xml:space="preserve"> § 1508(b)(1); </w:t>
      </w:r>
      <w:r>
        <w:rPr>
          <w:i/>
        </w:rPr>
        <w:t>PR-USVI Stage 2 Order</w:t>
      </w:r>
      <w:r>
        <w:t>, 34 FCC Rcd at 9152, para. 80.</w:t>
      </w:r>
    </w:p>
  </w:footnote>
  <w:footnote w:id="213">
    <w:p w:rsidR="00C64615" w14:paraId="00E03036" w14:textId="5E82FA50">
      <w:pPr>
        <w:pStyle w:val="FootnoteText"/>
      </w:pPr>
      <w:r>
        <w:rPr>
          <w:rStyle w:val="FootnoteReference"/>
        </w:rPr>
        <w:footnoteRef/>
      </w:r>
      <w:r>
        <w:t xml:space="preserve"> </w:t>
      </w:r>
      <w:r w:rsidRPr="00FD2256">
        <w:t>47 CFR</w:t>
      </w:r>
      <w:r>
        <w:t xml:space="preserve"> § 1508(b)(2); </w:t>
      </w:r>
      <w:r>
        <w:rPr>
          <w:i/>
        </w:rPr>
        <w:t>PR-USVI Stage 2 Order</w:t>
      </w:r>
      <w:r>
        <w:t>, 34 FCC Rcd at 9152, para. 80.</w:t>
      </w:r>
    </w:p>
  </w:footnote>
  <w:footnote w:id="214">
    <w:p w:rsidR="00C64615" w14:paraId="0B705093" w14:textId="1AA1AAD9">
      <w:pPr>
        <w:pStyle w:val="FootnoteText"/>
      </w:pPr>
      <w:r>
        <w:rPr>
          <w:rStyle w:val="FootnoteReference"/>
        </w:rPr>
        <w:footnoteRef/>
      </w:r>
      <w:r>
        <w:rPr>
          <w:i/>
        </w:rPr>
        <w:t xml:space="preserve"> </w:t>
      </w:r>
      <w:r w:rsidRPr="00FD2256">
        <w:t>47 CFR</w:t>
      </w:r>
      <w:r>
        <w:t xml:space="preserve"> § 1508(a); </w:t>
      </w:r>
      <w:r>
        <w:rPr>
          <w:i/>
        </w:rPr>
        <w:t>PR-USVI Stage 2 Order</w:t>
      </w:r>
      <w:r>
        <w:t>, 34 FCC Rcd at 9152, para. 80.</w:t>
      </w:r>
    </w:p>
  </w:footnote>
  <w:footnote w:id="215">
    <w:p w:rsidR="00C64615" w14:paraId="4AF9DAC5" w14:textId="1F5582AD">
      <w:pPr>
        <w:pStyle w:val="FootnoteText"/>
      </w:pPr>
      <w:r>
        <w:rPr>
          <w:rStyle w:val="FootnoteReference"/>
        </w:rPr>
        <w:footnoteRef/>
      </w:r>
      <w:r>
        <w:t xml:space="preserve"> </w:t>
      </w:r>
      <w:r>
        <w:rPr>
          <w:i/>
        </w:rPr>
        <w:t>PR-USVI Stage 2 Order</w:t>
      </w:r>
      <w:r>
        <w:t xml:space="preserve">, 34 FCC Rcd at 9144-45, paras. 63-65. </w:t>
      </w:r>
      <w:r w:rsidRPr="0048490F">
        <w:rPr>
          <w:i/>
        </w:rPr>
        <w:t>See</w:t>
      </w:r>
      <w:r>
        <w:rPr>
          <w:i/>
        </w:rPr>
        <w:t xml:space="preserve"> also</w:t>
      </w:r>
      <w:r w:rsidRPr="0048490F">
        <w:rPr>
          <w:i/>
        </w:rPr>
        <w:t xml:space="preserve"> </w:t>
      </w:r>
      <w:r>
        <w:rPr>
          <w:i/>
        </w:rPr>
        <w:t xml:space="preserve">Auction </w:t>
      </w:r>
      <w:r w:rsidRPr="0048490F">
        <w:rPr>
          <w:i/>
        </w:rPr>
        <w:t xml:space="preserve">Locations Adjustment </w:t>
      </w:r>
      <w:r>
        <w:rPr>
          <w:i/>
        </w:rPr>
        <w:t xml:space="preserve">Public </w:t>
      </w:r>
      <w:r w:rsidRPr="0048490F">
        <w:rPr>
          <w:i/>
        </w:rPr>
        <w:t xml:space="preserve">Notice; </w:t>
      </w:r>
      <w:r>
        <w:rPr>
          <w:i/>
        </w:rPr>
        <w:t xml:space="preserve">Auction </w:t>
      </w:r>
      <w:r w:rsidRPr="0048490F">
        <w:rPr>
          <w:i/>
        </w:rPr>
        <w:t>Locations Adjustment Order</w:t>
      </w:r>
      <w:r>
        <w:t>.</w:t>
      </w:r>
    </w:p>
  </w:footnote>
  <w:footnote w:id="216">
    <w:p w:rsidR="00C64615" w:rsidRPr="00AA7DD4" w14:paraId="107E4F53" w14:textId="5AAF7EFB">
      <w:pPr>
        <w:pStyle w:val="FootnoteText"/>
      </w:pPr>
      <w:r>
        <w:rPr>
          <w:rStyle w:val="FootnoteReference"/>
        </w:rPr>
        <w:footnoteRef/>
      </w:r>
      <w:r>
        <w:t xml:space="preserve"> </w:t>
      </w:r>
      <w:r>
        <w:rPr>
          <w:i/>
        </w:rPr>
        <w:t>PR-USVI Stage 2 Order</w:t>
      </w:r>
      <w:r>
        <w:t xml:space="preserve">, 34 FCC Rcd at 9144-45, paras. 63-65; </w:t>
      </w:r>
      <w:r w:rsidRPr="001B1336">
        <w:rPr>
          <w:i/>
        </w:rPr>
        <w:t>PR-USVI Reserve Price PN</w:t>
      </w:r>
      <w:r>
        <w:t>.</w:t>
      </w:r>
    </w:p>
  </w:footnote>
  <w:footnote w:id="217">
    <w:p w:rsidR="00C64615" w14:paraId="096C6068" w14:textId="421BC6FD">
      <w:pPr>
        <w:pStyle w:val="FootnoteText"/>
      </w:pPr>
      <w:r>
        <w:rPr>
          <w:rStyle w:val="FootnoteReference"/>
        </w:rPr>
        <w:footnoteRef/>
      </w:r>
      <w:r>
        <w:t xml:space="preserve"> </w:t>
      </w:r>
      <w:r>
        <w:rPr>
          <w:i/>
        </w:rPr>
        <w:t>PR-USVI Stage 2 Order</w:t>
      </w:r>
      <w:r>
        <w:t>, 34 FCC Rcd at 9144-45, paras. 63-65.</w:t>
      </w:r>
    </w:p>
  </w:footnote>
  <w:footnote w:id="218">
    <w:p w:rsidR="00C64615" w14:paraId="4EF86282" w14:textId="7E39C4EB">
      <w:pPr>
        <w:pStyle w:val="FootnoteText"/>
      </w:pPr>
      <w:r>
        <w:rPr>
          <w:rStyle w:val="FootnoteReference"/>
        </w:rPr>
        <w:footnoteRef/>
      </w:r>
      <w:r>
        <w:t xml:space="preserve"> </w:t>
      </w:r>
      <w:r>
        <w:rPr>
          <w:i/>
        </w:rPr>
        <w:t>Id</w:t>
      </w:r>
      <w:r>
        <w:t>.</w:t>
      </w:r>
    </w:p>
  </w:footnote>
  <w:footnote w:id="219">
    <w:p w:rsidR="00C64615" w14:paraId="7DDA93B6" w14:textId="3E35197C">
      <w:pPr>
        <w:pStyle w:val="FootnoteText"/>
      </w:pPr>
      <w:r>
        <w:rPr>
          <w:rStyle w:val="FootnoteReference"/>
        </w:rPr>
        <w:footnoteRef/>
      </w:r>
      <w:r>
        <w:t xml:space="preserve"> </w:t>
      </w:r>
      <w:r>
        <w:rPr>
          <w:i/>
        </w:rPr>
        <w:t>Id</w:t>
      </w:r>
      <w:r>
        <w:t>.</w:t>
      </w:r>
    </w:p>
  </w:footnote>
  <w:footnote w:id="220">
    <w:p w:rsidR="00C64615" w14:paraId="3FD7A11B" w14:textId="68A1559B">
      <w:pPr>
        <w:pStyle w:val="FootnoteText"/>
      </w:pPr>
      <w:r>
        <w:rPr>
          <w:rStyle w:val="FootnoteReference"/>
        </w:rPr>
        <w:footnoteRef/>
      </w:r>
      <w:r>
        <w:t xml:space="preserve"> </w:t>
      </w:r>
      <w:r>
        <w:rPr>
          <w:i/>
        </w:rPr>
        <w:t>PR-USVI Stage 2 Order</w:t>
      </w:r>
      <w:r>
        <w:t>, 34 FCC Rcd at 9145-46, para. 66.</w:t>
      </w:r>
    </w:p>
  </w:footnote>
  <w:footnote w:id="221">
    <w:p w:rsidR="00C64615" w:rsidP="009A49F6" w14:paraId="60170E33" w14:textId="6171324C">
      <w:pPr>
        <w:pStyle w:val="FootnoteText"/>
      </w:pPr>
      <w:r>
        <w:rPr>
          <w:rStyle w:val="FootnoteReference"/>
        </w:rPr>
        <w:footnoteRef/>
      </w:r>
      <w:r>
        <w:t xml:space="preserve"> </w:t>
      </w:r>
      <w:r>
        <w:rPr>
          <w:i/>
        </w:rPr>
        <w:t>Id.</w:t>
      </w:r>
      <w:r>
        <w:t xml:space="preserve"> at 9146, para. 66, n. 244.</w:t>
      </w:r>
    </w:p>
  </w:footnote>
  <w:footnote w:id="222">
    <w:p w:rsidR="00C64615" w14:paraId="1E06F0A4" w14:textId="7B08DD03">
      <w:pPr>
        <w:pStyle w:val="FootnoteText"/>
      </w:pPr>
      <w:r>
        <w:rPr>
          <w:rStyle w:val="FootnoteReference"/>
        </w:rPr>
        <w:footnoteRef/>
      </w:r>
      <w:r>
        <w:t xml:space="preserve"> </w:t>
      </w:r>
      <w:r>
        <w:rPr>
          <w:i/>
        </w:rPr>
        <w:t>Id.</w:t>
      </w:r>
      <w:r>
        <w:t xml:space="preserve"> at 9145-46, para. 66.</w:t>
      </w:r>
    </w:p>
  </w:footnote>
  <w:footnote w:id="223">
    <w:p w:rsidR="00C64615" w14:paraId="1119AA05" w14:textId="2FF334F5">
      <w:pPr>
        <w:pStyle w:val="FootnoteText"/>
      </w:pPr>
      <w:r>
        <w:rPr>
          <w:rStyle w:val="FootnoteReference"/>
        </w:rPr>
        <w:footnoteRef/>
      </w:r>
      <w:r>
        <w:t xml:space="preserve"> 47 CFR </w:t>
      </w:r>
      <w:r w:rsidRPr="00745C1D">
        <w:t>§</w:t>
      </w:r>
      <w:r>
        <w:t xml:space="preserve"> 54.1515(c); </w:t>
      </w:r>
      <w:r>
        <w:rPr>
          <w:i/>
        </w:rPr>
        <w:t>s</w:t>
      </w:r>
      <w:r w:rsidRPr="0051542E">
        <w:rPr>
          <w:i/>
        </w:rPr>
        <w:t>ee infra</w:t>
      </w:r>
      <w:r>
        <w:t xml:space="preserve"> Sec. II.C.4.i, paras. 85-88.  For example, an applicant may be precluded from participation in a Uniendo a Puerto Rico Fund and Connect USVI Fund Stage 3 competition for mobile support. </w:t>
      </w:r>
      <w:r w:rsidRPr="00936D0A">
        <w:rPr>
          <w:i/>
          <w:iCs/>
        </w:rPr>
        <w:t>See</w:t>
      </w:r>
      <w:r>
        <w:t xml:space="preserve"> </w:t>
      </w:r>
      <w:r>
        <w:rPr>
          <w:i/>
        </w:rPr>
        <w:t>PR-USVI Stage 2 Order</w:t>
      </w:r>
      <w:r>
        <w:t>, 34 FCC Rcd at 9168, para. 117 (indicating that the long term goal for the Territories includes a Stage 3 competition for mobile support).</w:t>
      </w:r>
    </w:p>
  </w:footnote>
  <w:footnote w:id="224">
    <w:p w:rsidR="00C64615" w:rsidRPr="004F1FC4" w:rsidP="00903E6D" w14:paraId="2618313C" w14:textId="29BFF28E">
      <w:pPr>
        <w:pStyle w:val="FootnoteText"/>
      </w:pPr>
      <w:r w:rsidRPr="00D8182E">
        <w:rPr>
          <w:rStyle w:val="FootnoteReference"/>
        </w:rPr>
        <w:footnoteRef/>
      </w:r>
      <w:r w:rsidRPr="00D8182E">
        <w:t xml:space="preserve"> </w:t>
      </w:r>
      <w:r>
        <w:t xml:space="preserve">47 CFR </w:t>
      </w:r>
      <w:r w:rsidRPr="00745C1D">
        <w:t>§</w:t>
      </w:r>
      <w:r>
        <w:t xml:space="preserve"> 54.1515(d); </w:t>
      </w:r>
      <w:r>
        <w:rPr>
          <w:i/>
        </w:rPr>
        <w:t>PR-USVI Stage 2 Order</w:t>
      </w:r>
      <w:r>
        <w:t xml:space="preserve">, 34 FCC Rcd at 9176, paras. 138-140.  </w:t>
      </w:r>
      <w:r w:rsidRPr="00D8182E">
        <w:t xml:space="preserve">The mandatory DIRS reporting scheme described herein is supplemental to, and does not replace or obviate, existing non-DIRS reporting requirements, including the Commission’s Network Outage Reporting System (NORS) reporting requirements.  A provider’s obligation to provide NORS reports is temporarily waived when it provides DIRS reports under normal Commission protocol.  </w:t>
      </w:r>
      <w:r w:rsidRPr="00D8182E">
        <w:rPr>
          <w:i/>
        </w:rPr>
        <w:t>S</w:t>
      </w:r>
      <w:r w:rsidRPr="00D8182E">
        <w:rPr>
          <w:i/>
          <w:iCs/>
        </w:rPr>
        <w:t>ee</w:t>
      </w:r>
      <w:r w:rsidRPr="00D8182E">
        <w:t xml:space="preserve">, </w:t>
      </w:r>
      <w:r w:rsidRPr="00D8182E">
        <w:rPr>
          <w:i/>
          <w:iCs/>
        </w:rPr>
        <w:t>e.g.</w:t>
      </w:r>
      <w:r w:rsidRPr="00D8182E">
        <w:t xml:space="preserve">, </w:t>
      </w:r>
      <w:r w:rsidRPr="00D8182E">
        <w:rPr>
          <w:i/>
          <w:iCs/>
        </w:rPr>
        <w:t>Public Safety &amp; Homeland Security</w:t>
      </w:r>
      <w:r w:rsidRPr="00026636">
        <w:rPr>
          <w:i/>
          <w:iCs/>
        </w:rPr>
        <w:t xml:space="preserve"> Bureau Announces the Activation of the Disaster Information Reporting System for Puerto Rico and U.S. Virgin Islands in Response to Hurricane Maria</w:t>
      </w:r>
      <w:r w:rsidRPr="00026636">
        <w:t xml:space="preserve">, Public Notice, </w:t>
      </w:r>
      <w:r>
        <w:t xml:space="preserve">32 FCC Rcd 6992 </w:t>
      </w:r>
      <w:r w:rsidRPr="00026636">
        <w:t>(PSHSB 2017) (suspending NORS reporting obligations in response to Maria for providers participating in DIRS).</w:t>
      </w:r>
      <w:r>
        <w:t xml:space="preserve">  This remains true for Stage 2 funding recipients subject to mandatory DIRS reporting. </w:t>
      </w:r>
    </w:p>
  </w:footnote>
  <w:footnote w:id="225">
    <w:p w:rsidR="00C64615" w14:paraId="6BDE6FBD" w14:textId="5A295989">
      <w:pPr>
        <w:pStyle w:val="FootnoteText"/>
      </w:pPr>
      <w:r>
        <w:rPr>
          <w:rStyle w:val="FootnoteReference"/>
        </w:rPr>
        <w:footnoteRef/>
      </w:r>
      <w:r>
        <w:t xml:space="preserve"> </w:t>
      </w:r>
      <w:r w:rsidRPr="00A2062D">
        <w:rPr>
          <w:i/>
        </w:rPr>
        <w:t>See</w:t>
      </w:r>
      <w:r>
        <w:t xml:space="preserve"> Federal Communications Commission, Public Safety, Cybersecurity and Communications Reliability Division, Disaster Information Reporting System, </w:t>
      </w:r>
      <w:r w:rsidRPr="00F66FBD">
        <w:rPr>
          <w:i/>
        </w:rPr>
        <w:t>available at</w:t>
      </w:r>
      <w:r>
        <w:t xml:space="preserve"> </w:t>
      </w:r>
      <w:hyperlink r:id="rId3" w:history="1">
        <w:r>
          <w:rPr>
            <w:rStyle w:val="Hyperlink"/>
          </w:rPr>
          <w:t>https://www.fcc.gov/general/disaster-information-reporting-system-dirs-0</w:t>
        </w:r>
      </w:hyperlink>
      <w:r>
        <w:t xml:space="preserve"> (last visited Nov. 12, 2019).</w:t>
      </w:r>
    </w:p>
  </w:footnote>
  <w:footnote w:id="226">
    <w:p w:rsidR="00C64615" w14:paraId="652A732A" w14:textId="67A28C06">
      <w:pPr>
        <w:pStyle w:val="FootnoteText"/>
      </w:pPr>
      <w:r>
        <w:rPr>
          <w:rStyle w:val="FootnoteReference"/>
        </w:rPr>
        <w:footnoteRef/>
      </w:r>
      <w:r>
        <w:t xml:space="preserve"> Information regarding how to access and use the DIRS system can be found in the PSHSB DIRS User Manual. Federal Communications Commission, Disaster Information Reporting System (DIRS) User Manual, Version 5 (Feb. 24, 2014), </w:t>
      </w:r>
      <w:r w:rsidRPr="00F66FBD">
        <w:rPr>
          <w:i/>
        </w:rPr>
        <w:t xml:space="preserve">available at </w:t>
      </w:r>
      <w:hyperlink r:id="rId4" w:history="1">
        <w:r w:rsidRPr="001A544D">
          <w:rPr>
            <w:rStyle w:val="Hyperlink"/>
          </w:rPr>
          <w:t>https://transition.fcc.gov/pshs/disaster/disaster_manual.pdf</w:t>
        </w:r>
      </w:hyperlink>
      <w:r>
        <w:t xml:space="preserve"> (last accessed Nov. 12, 2019).</w:t>
      </w:r>
    </w:p>
  </w:footnote>
  <w:footnote w:id="227">
    <w:p w:rsidR="00C64615" w:rsidP="00A2062D" w14:paraId="0B4E161B" w14:textId="351F79B3">
      <w:pPr>
        <w:pStyle w:val="FootnoteText"/>
      </w:pPr>
      <w:r>
        <w:rPr>
          <w:rStyle w:val="FootnoteReference"/>
        </w:rPr>
        <w:footnoteRef/>
      </w:r>
      <w:r>
        <w:rPr>
          <w:i/>
        </w:rPr>
        <w:t>PR-USVI Stage 2 Order</w:t>
      </w:r>
      <w:r>
        <w:t>, 34 FCC Rcd at 9177, para. 140.</w:t>
      </w:r>
    </w:p>
  </w:footnote>
  <w:footnote w:id="228">
    <w:p w:rsidR="00C64615" w14:paraId="0DC2529C" w14:textId="53E9B68A">
      <w:pPr>
        <w:pStyle w:val="FootnoteText"/>
      </w:pPr>
      <w:r>
        <w:rPr>
          <w:rStyle w:val="FootnoteReference"/>
        </w:rPr>
        <w:footnoteRef/>
      </w:r>
      <w:r>
        <w:t xml:space="preserve"> </w:t>
      </w:r>
      <w:r>
        <w:rPr>
          <w:i/>
        </w:rPr>
        <w:t>Id.</w:t>
      </w:r>
      <w:r>
        <w:t xml:space="preserve"> at 9176-77, para. 139.</w:t>
      </w:r>
    </w:p>
  </w:footnote>
  <w:footnote w:id="229">
    <w:p w:rsidR="00C64615" w:rsidP="00903E6D" w14:paraId="039CF93A" w14:textId="7F49D2E3">
      <w:pPr>
        <w:pStyle w:val="FootnoteText"/>
      </w:pPr>
      <w:r>
        <w:rPr>
          <w:rStyle w:val="FootnoteReference"/>
        </w:rPr>
        <w:footnoteRef/>
      </w:r>
      <w:r>
        <w:t xml:space="preserve"> </w:t>
      </w:r>
      <w:r>
        <w:rPr>
          <w:i/>
        </w:rPr>
        <w:t>Id.</w:t>
      </w:r>
      <w:r>
        <w:t xml:space="preserve">.  </w:t>
      </w:r>
      <w:r w:rsidRPr="00124993">
        <w:t>In such circumstances, a carrier would be excused from mandatory DIRS reporting.</w:t>
      </w:r>
      <w:r>
        <w:rPr>
          <w:rStyle w:val="Hyperlink"/>
        </w:rPr>
        <w:t xml:space="preserve"> </w:t>
      </w:r>
    </w:p>
  </w:footnote>
  <w:footnote w:id="230">
    <w:p w:rsidR="00C64615" w:rsidP="00AE729D" w14:paraId="3811E336" w14:textId="77777777">
      <w:pPr>
        <w:pStyle w:val="FootnoteText"/>
      </w:pPr>
      <w:r>
        <w:rPr>
          <w:rStyle w:val="FootnoteReference"/>
        </w:rPr>
        <w:footnoteRef/>
      </w:r>
      <w:r>
        <w:t xml:space="preserve"> </w:t>
      </w:r>
      <w:r w:rsidRPr="001401DE">
        <w:rPr>
          <w:i/>
        </w:rPr>
        <w:t>S</w:t>
      </w:r>
      <w:r w:rsidRPr="007A3682">
        <w:rPr>
          <w:i/>
        </w:rPr>
        <w:t>ee</w:t>
      </w:r>
      <w:r w:rsidRPr="00976009">
        <w:t xml:space="preserve"> 44 U.S.C. 3506(c)(4).</w:t>
      </w:r>
    </w:p>
  </w:footnote>
  <w:footnote w:id="231">
    <w:p w:rsidR="00C64615" w:rsidRPr="00805F1F" w:rsidP="006337D8" w14:paraId="60BC7158" w14:textId="33437FF7">
      <w:pPr>
        <w:pStyle w:val="FootnoteText"/>
      </w:pPr>
      <w:r w:rsidRPr="00805F1F">
        <w:rPr>
          <w:rStyle w:val="FootnoteReference"/>
        </w:rPr>
        <w:footnoteRef/>
      </w:r>
      <w:r w:rsidRPr="00805F1F">
        <w:t xml:space="preserve"> </w:t>
      </w:r>
      <w:r>
        <w:rPr>
          <w:i/>
        </w:rPr>
        <w:t>PR-USVI Stage 2 Order</w:t>
      </w:r>
      <w:r>
        <w:t>, 34 FCC Rcd at 9186, paras. 163-166.</w:t>
      </w:r>
    </w:p>
  </w:footnote>
  <w:footnote w:id="232">
    <w:p w:rsidR="00C64615" w14:paraId="4C1265F3" w14:textId="084561ED">
      <w:pPr>
        <w:pStyle w:val="FootnoteText"/>
      </w:pPr>
      <w:r>
        <w:rPr>
          <w:rStyle w:val="FootnoteReference"/>
        </w:rPr>
        <w:footnoteRef/>
      </w:r>
      <w:r>
        <w:t xml:space="preserve"> </w:t>
      </w:r>
      <w:r>
        <w:rPr>
          <w:i/>
        </w:rPr>
        <w:t>Id.</w:t>
      </w:r>
      <w:r>
        <w:t xml:space="preserve"> at 9186, para. 165.</w:t>
      </w:r>
    </w:p>
  </w:footnote>
  <w:footnote w:id="233">
    <w:p w:rsidR="00C64615" w:rsidRPr="001B03DF" w:rsidP="00F84D43" w14:paraId="79FAF8CD" w14:textId="77777777">
      <w:pPr>
        <w:pStyle w:val="FootnoteText"/>
      </w:pPr>
      <w:r w:rsidRPr="00FD7376">
        <w:rPr>
          <w:rStyle w:val="FootnoteReference"/>
          <w:rFonts w:cs="Calibri"/>
        </w:rPr>
        <w:footnoteRef/>
      </w:r>
      <w:r w:rsidRPr="00FD7376">
        <w:rPr>
          <w:rFonts w:cs="Calibri"/>
        </w:rPr>
        <w:t xml:space="preserve"> </w:t>
      </w:r>
      <w:r w:rsidRPr="001B03DF">
        <w:t>As a result of licensee</w:t>
      </w:r>
      <w:r w:rsidRPr="00167302">
        <w:t>’</w:t>
      </w:r>
      <w:r w:rsidRPr="00936D0A">
        <w:t>s election pursuant to Memorandum Opinion and Order, DA 13-2409, in WT Docket No. 13-225</w:t>
      </w:r>
    </w:p>
  </w:footnote>
  <w:footnote w:id="234">
    <w:p w:rsidR="00C64615" w:rsidP="00523327" w14:paraId="58CD61EA" w14:textId="77777777">
      <w:pPr>
        <w:pStyle w:val="Default"/>
        <w:rPr>
          <w:szCs w:val="20"/>
          <w:u w:val="single"/>
        </w:rPr>
      </w:pPr>
      <w:r>
        <w:rPr>
          <w:rStyle w:val="FootnoteReference"/>
          <w:szCs w:val="20"/>
        </w:rPr>
        <w:footnoteRef/>
      </w:r>
      <w:r w:rsidRPr="005C5D24">
        <w:rPr>
          <w:rStyle w:val="ALTSFOOTNOTEChar1"/>
        </w:rPr>
        <w:t xml:space="preserve"> ATIS NRSC, ATIS-0100019 Emergency Preparedness and Response Checklist at ref. no. 1.1.1 (2019),  </w:t>
      </w:r>
      <w:hyperlink r:id="rId5" w:history="1">
        <w:r w:rsidRPr="00051C25">
          <w:rPr>
            <w:rStyle w:val="Hyperlink"/>
            <w:szCs w:val="20"/>
          </w:rPr>
          <w:t>https://www.atis.org/01_committ_forums/nrsc/documents/</w:t>
        </w:r>
      </w:hyperlink>
      <w:r w:rsidRPr="00051C25">
        <w:rPr>
          <w:szCs w:val="20"/>
        </w:rPr>
        <w:t>.</w:t>
      </w:r>
    </w:p>
  </w:footnote>
  <w:footnote w:id="235">
    <w:p w:rsidR="00C64615" w:rsidP="00523327" w14:paraId="5A3226CC" w14:textId="77777777">
      <w:pPr>
        <w:pStyle w:val="Default"/>
        <w:rPr>
          <w:szCs w:val="20"/>
          <w:u w:val="single"/>
        </w:rPr>
      </w:pPr>
      <w:r>
        <w:rPr>
          <w:rStyle w:val="FootnoteReference"/>
          <w:szCs w:val="20"/>
        </w:rPr>
        <w:footnoteRef/>
      </w:r>
      <w:r>
        <w:rPr>
          <w:szCs w:val="20"/>
        </w:rPr>
        <w:t xml:space="preserve"> </w:t>
      </w:r>
      <w:r w:rsidRPr="005C5D24">
        <w:rPr>
          <w:rStyle w:val="ALTSFOOTNOTEChar1"/>
          <w:i/>
        </w:rPr>
        <w:t>Id.</w:t>
      </w:r>
    </w:p>
  </w:footnote>
  <w:footnote w:id="236">
    <w:p w:rsidR="00C64615" w:rsidP="00523327" w14:paraId="51074350" w14:textId="77777777">
      <w:pPr>
        <w:pStyle w:val="FootnoteText"/>
      </w:pPr>
      <w:r>
        <w:rPr>
          <w:rStyle w:val="FootnoteReference"/>
        </w:rPr>
        <w:footnoteRef/>
      </w:r>
      <w:r>
        <w:t xml:space="preserve"> </w:t>
      </w:r>
      <w:r>
        <w:rPr>
          <w:i/>
        </w:rPr>
        <w:t xml:space="preserve">Id. </w:t>
      </w:r>
      <w:r>
        <w:t>at ref. no. 1.1.3.</w:t>
      </w:r>
    </w:p>
  </w:footnote>
  <w:footnote w:id="237">
    <w:p w:rsidR="00C64615" w:rsidP="00523327" w14:paraId="1EAE40C9" w14:textId="77777777">
      <w:pPr>
        <w:pStyle w:val="FootnoteText"/>
      </w:pPr>
      <w:r>
        <w:rPr>
          <w:rStyle w:val="FootnoteReference"/>
        </w:rPr>
        <w:footnoteRef/>
      </w:r>
      <w:r>
        <w:t xml:space="preserve"> </w:t>
      </w:r>
      <w:r>
        <w:rPr>
          <w:i/>
        </w:rPr>
        <w:t xml:space="preserve">Id. </w:t>
      </w:r>
      <w:r>
        <w:t>at ref. no. 1.1.4.</w:t>
      </w:r>
    </w:p>
  </w:footnote>
  <w:footnote w:id="238">
    <w:p w:rsidR="00C64615" w:rsidP="00523327" w14:paraId="1DF82801" w14:textId="77777777">
      <w:pPr>
        <w:pStyle w:val="FootnoteText"/>
      </w:pPr>
      <w:r>
        <w:rPr>
          <w:rStyle w:val="FootnoteReference"/>
        </w:rPr>
        <w:footnoteRef/>
      </w:r>
      <w:r>
        <w:t xml:space="preserve"> </w:t>
      </w:r>
      <w:r>
        <w:rPr>
          <w:i/>
        </w:rPr>
        <w:t xml:space="preserve">Id. </w:t>
      </w:r>
      <w:r>
        <w:t>at ref. no. 1.1.7.</w:t>
      </w:r>
    </w:p>
  </w:footnote>
  <w:footnote w:id="239">
    <w:p w:rsidR="00C64615" w:rsidP="00523327" w14:paraId="54235EB1" w14:textId="77777777">
      <w:pPr>
        <w:pStyle w:val="FootnoteText"/>
      </w:pPr>
      <w:r>
        <w:rPr>
          <w:rStyle w:val="FootnoteReference"/>
        </w:rPr>
        <w:footnoteRef/>
      </w:r>
      <w:r>
        <w:t xml:space="preserve"> </w:t>
      </w:r>
      <w:r>
        <w:rPr>
          <w:i/>
        </w:rPr>
        <w:t xml:space="preserve">Id. </w:t>
      </w:r>
      <w:r>
        <w:t>at ref. no. 1.1.8.</w:t>
      </w:r>
    </w:p>
  </w:footnote>
  <w:footnote w:id="240">
    <w:p w:rsidR="00C64615" w:rsidP="00523327" w14:paraId="6BF48C35" w14:textId="77777777">
      <w:pPr>
        <w:pStyle w:val="FootnoteText"/>
      </w:pPr>
      <w:r>
        <w:rPr>
          <w:rStyle w:val="FootnoteReference"/>
        </w:rPr>
        <w:footnoteRef/>
      </w:r>
      <w:r>
        <w:t xml:space="preserve"> In light of the importance of such resilience, in addition to requiring all Stage 2 support recipients to develop and document network resilience plans, we also award additional points to fixed Stage 2 support applicants for having a backup network or path diversity.  </w:t>
      </w:r>
    </w:p>
  </w:footnote>
  <w:footnote w:id="241">
    <w:p w:rsidR="00C64615" w:rsidP="00523327" w14:paraId="1FB3BA47" w14:textId="77777777">
      <w:pPr>
        <w:pStyle w:val="Default"/>
        <w:rPr>
          <w:szCs w:val="20"/>
        </w:rPr>
      </w:pPr>
      <w:r>
        <w:rPr>
          <w:rStyle w:val="FootnoteReference"/>
          <w:szCs w:val="20"/>
        </w:rPr>
        <w:footnoteRef/>
      </w:r>
      <w:r>
        <w:rPr>
          <w:szCs w:val="20"/>
        </w:rPr>
        <w:t xml:space="preserve"> </w:t>
      </w:r>
      <w:r w:rsidRPr="005C5D24">
        <w:rPr>
          <w:rStyle w:val="ALTSFOOTNOTEChar1"/>
          <w:i/>
        </w:rPr>
        <w:t>See</w:t>
      </w:r>
      <w:r w:rsidRPr="005C5D24">
        <w:rPr>
          <w:rStyle w:val="ALTSFOOTNOTEChar1"/>
        </w:rPr>
        <w:t xml:space="preserve"> FCC, CSRIC Best Practice Nos. 11-9-0580, 11-9-0510, 11-9-5113, 11-9-0566 and 11-9-0568, </w:t>
      </w:r>
      <w:hyperlink r:id="rId6" w:history="1">
        <w:r w:rsidRPr="00051C25">
          <w:rPr>
            <w:rStyle w:val="Hyperlink"/>
            <w:szCs w:val="20"/>
          </w:rPr>
          <w:t>https://opendata.fcc.gov/Public-Safety/CSRIC-Best-Practices/qb45-rw2t/data</w:t>
        </w:r>
      </w:hyperlink>
      <w:r>
        <w:rPr>
          <w:szCs w:val="20"/>
        </w:rPr>
        <w:t xml:space="preserve">. </w:t>
      </w:r>
    </w:p>
  </w:footnote>
  <w:footnote w:id="242">
    <w:p w:rsidR="00C64615" w:rsidP="00523327" w14:paraId="4CFDF45C" w14:textId="77777777">
      <w:pPr>
        <w:pStyle w:val="FootnoteText"/>
      </w:pPr>
      <w:r>
        <w:rPr>
          <w:rStyle w:val="FootnoteReference"/>
        </w:rPr>
        <w:footnoteRef/>
      </w:r>
      <w:r>
        <w:t xml:space="preserve"> </w:t>
      </w:r>
      <w:r>
        <w:rPr>
          <w:i/>
        </w:rPr>
        <w:t>See</w:t>
      </w:r>
      <w:r>
        <w:t xml:space="preserve"> FCC, CSRIC Best Practice Nos. 11-9-5204, 11-9-0657 and 11-9-1028, </w:t>
      </w:r>
      <w:hyperlink r:id="rId6" w:history="1">
        <w:r w:rsidRPr="00051C25">
          <w:rPr>
            <w:rStyle w:val="Hyperlink"/>
          </w:rPr>
          <w:t>https://opendata.fcc.gov/Public-Safety/CSRIC-Best-Practices/qb45-rw2t/data</w:t>
        </w:r>
      </w:hyperlink>
      <w:r>
        <w:t>.</w:t>
      </w:r>
    </w:p>
  </w:footnote>
  <w:footnote w:id="243">
    <w:p w:rsidR="00C64615" w:rsidP="00523327" w14:paraId="45943A99" w14:textId="77777777">
      <w:pPr>
        <w:pStyle w:val="FootnoteText"/>
      </w:pPr>
      <w:r>
        <w:rPr>
          <w:rStyle w:val="FootnoteReference"/>
        </w:rPr>
        <w:footnoteRef/>
      </w:r>
      <w:r>
        <w:t xml:space="preserve"> </w:t>
      </w:r>
      <w:r>
        <w:rPr>
          <w:i/>
        </w:rPr>
        <w:t>See</w:t>
      </w:r>
      <w:r>
        <w:t xml:space="preserve"> FCC, CSRIC Best Practice No. 11-9-0655</w:t>
      </w:r>
      <w:r w:rsidRPr="00876562">
        <w:t xml:space="preserve">, </w:t>
      </w:r>
      <w:hyperlink r:id="rId6" w:history="1">
        <w:r w:rsidRPr="00051C25">
          <w:rPr>
            <w:rStyle w:val="Hyperlink"/>
          </w:rPr>
          <w:t>https://opendata.fcc.gov/Public-Safety/CSRIC-Best-Practices/qb45-rw2t/data</w:t>
        </w:r>
      </w:hyperlink>
      <w:r>
        <w:t>.</w:t>
      </w:r>
    </w:p>
  </w:footnote>
  <w:footnote w:id="244">
    <w:p w:rsidR="00C64615" w:rsidRPr="00876562" w:rsidP="00523327" w14:paraId="6298DCDE" w14:textId="77777777">
      <w:pPr>
        <w:pStyle w:val="FootnoteText"/>
      </w:pPr>
      <w:r>
        <w:rPr>
          <w:rStyle w:val="FootnoteReference"/>
        </w:rPr>
        <w:footnoteRef/>
      </w:r>
      <w:r>
        <w:t xml:space="preserve"> ATIS NRSC, ATIS-0100019</w:t>
      </w:r>
      <w:r>
        <w:rPr>
          <w:rFonts w:ascii="Century Gothic" w:hAnsi="Century Gothic" w:cs="Century Gothic"/>
        </w:rPr>
        <w:t xml:space="preserve"> </w:t>
      </w:r>
      <w:r>
        <w:t xml:space="preserve">Emergency Preparedness and Response Checklist at ref. no. 2.10.1 (2019),  </w:t>
      </w:r>
      <w:hyperlink r:id="rId5" w:history="1">
        <w:r w:rsidRPr="00051C25">
          <w:rPr>
            <w:rStyle w:val="Hyperlink"/>
          </w:rPr>
          <w:t>https://www.atis.org/01_committ_forums/nrsc/documents/</w:t>
        </w:r>
      </w:hyperlink>
      <w:r w:rsidRPr="00876562">
        <w:t>.</w:t>
      </w:r>
    </w:p>
  </w:footnote>
  <w:footnote w:id="245">
    <w:p w:rsidR="00C64615" w:rsidP="00523327" w14:paraId="1D5E0FF6" w14:textId="77777777">
      <w:pPr>
        <w:pStyle w:val="FootnoteText"/>
      </w:pPr>
      <w:r>
        <w:rPr>
          <w:rStyle w:val="FootnoteReference"/>
        </w:rPr>
        <w:footnoteRef/>
      </w:r>
      <w:r>
        <w:t xml:space="preserve"> </w:t>
      </w:r>
      <w:r>
        <w:rPr>
          <w:i/>
        </w:rPr>
        <w:t>Id.</w:t>
      </w:r>
      <w:r>
        <w:t xml:space="preserve"> at ref. no.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15" w:rsidP="001D1DFF" w14:paraId="49C537AA" w14:textId="10E82F70">
    <w:pPr>
      <w:pStyle w:val="Header"/>
      <w:tabs>
        <w:tab w:val="left" w:pos="2730"/>
      </w:tabs>
      <w:rPr>
        <w:b w:val="0"/>
      </w:rPr>
    </w:pPr>
    <w:r>
      <w:tab/>
    </w:r>
    <w:r>
      <w:tab/>
      <w:t>Federal Communications Commission</w:t>
    </w:r>
    <w:r>
      <w:tab/>
      <w:t>DA 20-</w:t>
    </w:r>
    <w:r w:rsidR="00620DAF">
      <w:t>133</w:t>
    </w:r>
  </w:p>
  <w:p w:rsidR="00C64615" w14:paraId="2DF563CE" w14:textId="233B2DC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64615" w14:paraId="3A0290A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5BE" w:rsidRPr="00A866AC" w:rsidP="003955BE" w14:paraId="0979073F" w14:textId="51D7D98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955BE" w:rsidP="003955BE" w14:textId="77777777">
                          <w:pPr>
                            <w:rPr>
                              <w:rFonts w:ascii="Arial" w:hAnsi="Arial"/>
                              <w:b/>
                            </w:rPr>
                          </w:pPr>
                          <w:r>
                            <w:rPr>
                              <w:rFonts w:ascii="Arial" w:hAnsi="Arial"/>
                              <w:b/>
                            </w:rPr>
                            <w:t>Federal Communications Commission</w:t>
                          </w:r>
                        </w:p>
                        <w:p w:rsidR="003955BE" w:rsidP="003955B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55BE" w:rsidP="003955B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3955BE" w:rsidP="003955BE" w14:paraId="0083A93A" w14:textId="77777777">
                    <w:pPr>
                      <w:rPr>
                        <w:rFonts w:ascii="Arial" w:hAnsi="Arial"/>
                        <w:b/>
                      </w:rPr>
                    </w:pPr>
                    <w:r>
                      <w:rPr>
                        <w:rFonts w:ascii="Arial" w:hAnsi="Arial"/>
                        <w:b/>
                      </w:rPr>
                      <w:t>Federal Communications Commission</w:t>
                    </w:r>
                  </w:p>
                  <w:p w:rsidR="003955BE" w:rsidP="003955BE" w14:paraId="55FFD59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55BE" w:rsidP="003955BE" w14:paraId="52B29C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20675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955BE" w:rsidRPr="00357D50" w:rsidP="003955BE" w14:paraId="0317A733" w14:textId="413528AE">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5715" t="5715" r="13335" b="1333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955BE" w:rsidP="003955BE" w14:textId="77777777">
                          <w:pPr>
                            <w:spacing w:before="40"/>
                            <w:jc w:val="right"/>
                            <w:rPr>
                              <w:rFonts w:ascii="Arial" w:hAnsi="Arial"/>
                              <w:b/>
                              <w:sz w:val="16"/>
                            </w:rPr>
                          </w:pPr>
                          <w:r>
                            <w:rPr>
                              <w:rFonts w:ascii="Arial" w:hAnsi="Arial"/>
                              <w:b/>
                              <w:sz w:val="16"/>
                            </w:rPr>
                            <w:t>News Media Information 202 / 418-0500</w:t>
                          </w:r>
                        </w:p>
                        <w:p w:rsidR="003955BE" w:rsidP="003955BE" w14:textId="77777777">
                          <w:pPr>
                            <w:jc w:val="right"/>
                            <w:rPr>
                              <w:rFonts w:ascii="Arial" w:hAnsi="Arial"/>
                              <w:b/>
                              <w:sz w:val="16"/>
                            </w:rPr>
                          </w:pPr>
                          <w:r>
                            <w:rPr>
                              <w:rFonts w:ascii="Arial" w:hAnsi="Arial"/>
                              <w:b/>
                              <w:sz w:val="16"/>
                            </w:rPr>
                            <w:t xml:space="preserve">Internet: </w:t>
                          </w:r>
                          <w:bookmarkStart w:id="2167" w:name="_Hlt233824"/>
                          <w:hyperlink r:id="rId2" w:history="1">
                            <w:r w:rsidRPr="00D216CD">
                              <w:rPr>
                                <w:rStyle w:val="Hyperlink"/>
                                <w:rFonts w:ascii="Arial" w:hAnsi="Arial"/>
                                <w:b/>
                                <w:sz w:val="16"/>
                              </w:rPr>
                              <w:t>h</w:t>
                            </w:r>
                            <w:bookmarkEnd w:id="2167"/>
                            <w:r w:rsidRPr="00D216CD">
                              <w:rPr>
                                <w:rStyle w:val="Hyperlink"/>
                                <w:rFonts w:ascii="Arial" w:hAnsi="Arial"/>
                                <w:b/>
                                <w:sz w:val="16"/>
                              </w:rPr>
                              <w:t>ttps://www.fcc.gov</w:t>
                            </w:r>
                          </w:hyperlink>
                        </w:p>
                        <w:p w:rsidR="003955BE" w:rsidP="003955BE"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955BE" w:rsidP="003955BE" w14:paraId="2932CBA9" w14:textId="77777777">
                    <w:pPr>
                      <w:spacing w:before="40"/>
                      <w:jc w:val="right"/>
                      <w:rPr>
                        <w:rFonts w:ascii="Arial" w:hAnsi="Arial"/>
                        <w:b/>
                        <w:sz w:val="16"/>
                      </w:rPr>
                    </w:pPr>
                    <w:r>
                      <w:rPr>
                        <w:rFonts w:ascii="Arial" w:hAnsi="Arial"/>
                        <w:b/>
                        <w:sz w:val="16"/>
                      </w:rPr>
                      <w:t>News Media Information 202 / 418-0500</w:t>
                    </w:r>
                  </w:p>
                  <w:p w:rsidR="003955BE" w:rsidP="003955BE" w14:paraId="1CBBC832" w14:textId="77777777">
                    <w:pPr>
                      <w:jc w:val="right"/>
                      <w:rPr>
                        <w:rFonts w:ascii="Arial" w:hAnsi="Arial"/>
                        <w:b/>
                        <w:sz w:val="16"/>
                      </w:rPr>
                    </w:pPr>
                    <w:r>
                      <w:rPr>
                        <w:rFonts w:ascii="Arial" w:hAnsi="Arial"/>
                        <w:b/>
                        <w:sz w:val="16"/>
                      </w:rPr>
                      <w:t xml:space="preserve">Internet: </w:t>
                    </w:r>
                    <w:bookmarkStart w:id="2167" w:name="_Hlt233824"/>
                    <w:hyperlink r:id="rId2" w:history="1">
                      <w:r w:rsidRPr="00D216CD">
                        <w:rPr>
                          <w:rStyle w:val="Hyperlink"/>
                          <w:rFonts w:ascii="Arial" w:hAnsi="Arial"/>
                          <w:b/>
                          <w:sz w:val="16"/>
                        </w:rPr>
                        <w:t>h</w:t>
                      </w:r>
                      <w:bookmarkEnd w:id="2167"/>
                      <w:r w:rsidRPr="00D216CD">
                        <w:rPr>
                          <w:rStyle w:val="Hyperlink"/>
                          <w:rFonts w:ascii="Arial" w:hAnsi="Arial"/>
                          <w:b/>
                          <w:sz w:val="16"/>
                        </w:rPr>
                        <w:t>ttps://www.fcc.gov</w:t>
                      </w:r>
                    </w:hyperlink>
                  </w:p>
                  <w:p w:rsidR="003955BE" w:rsidP="003955BE" w14:paraId="6AFBE9AC" w14:textId="77777777">
                    <w:pPr>
                      <w:jc w:val="right"/>
                    </w:pPr>
                    <w:r>
                      <w:rPr>
                        <w:rFonts w:ascii="Arial" w:hAnsi="Arial"/>
                        <w:b/>
                        <w:sz w:val="16"/>
                      </w:rPr>
                      <w:t>TTY: 1-888-835-5322</w:t>
                    </w:r>
                  </w:p>
                </w:txbxContent>
              </v:textbox>
            </v:shape>
          </w:pict>
        </mc:Fallback>
      </mc:AlternateContent>
    </w:r>
  </w:p>
  <w:p w:rsidR="00C64615" w:rsidRPr="003955BE" w:rsidP="003955BE" w14:paraId="3F561F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15" w:rsidRPr="004555AD" w:rsidP="004555AD" w14:paraId="138BC91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615" w:rsidRPr="006762BB" w:rsidP="006762BB" w14:paraId="35BAB3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bullet="t">
        <v:imagedata r:id="rId1" o:title=""/>
      </v:shape>
    </w:pict>
  </w:numPicBullet>
  <w:abstractNum w:abstractNumId="0">
    <w:nsid w:val="00B837DD"/>
    <w:multiLevelType w:val="hybridMultilevel"/>
    <w:tmpl w:val="4920D342"/>
    <w:lvl w:ilvl="0">
      <w:start w:val="2"/>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0ED289E"/>
    <w:multiLevelType w:val="hybridMultilevel"/>
    <w:tmpl w:val="5AF24900"/>
    <w:lvl w:ilvl="0">
      <w:start w:val="17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522DC7"/>
    <w:multiLevelType w:val="hybridMultilevel"/>
    <w:tmpl w:val="A91635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4DF1A69"/>
    <w:multiLevelType w:val="hybridMultilevel"/>
    <w:tmpl w:val="DDAA3BC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2279412A"/>
    <w:multiLevelType w:val="hybridMultilevel"/>
    <w:tmpl w:val="33E683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0DFE39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983CA1"/>
    <w:multiLevelType w:val="hybridMultilevel"/>
    <w:tmpl w:val="496E6F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F268C1"/>
    <w:multiLevelType w:val="hybridMultilevel"/>
    <w:tmpl w:val="E71A8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7E4A2B"/>
    <w:multiLevelType w:val="hybridMultilevel"/>
    <w:tmpl w:val="729068EE"/>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multilevel"/>
    <w:tmpl w:val="85988230"/>
    <w:lvl w:ilvl="0">
      <w:start w:val="1"/>
      <w:numFmt w:val="decimal"/>
      <w:pStyle w:val="ParaNum"/>
      <w:lvlText w:val="%1."/>
      <w:lvlJc w:val="left"/>
      <w:pPr>
        <w:tabs>
          <w:tab w:val="num" w:pos="1080"/>
        </w:tabs>
        <w:ind w:left="0" w:firstLine="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7916380"/>
    <w:multiLevelType w:val="hybridMultilevel"/>
    <w:tmpl w:val="0AD4B56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BBC6803"/>
    <w:multiLevelType w:val="hybridMultilevel"/>
    <w:tmpl w:val="27BEFE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6E672509"/>
    <w:multiLevelType w:val="hybridMultilevel"/>
    <w:tmpl w:val="AE348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2"/>
  </w:num>
  <w:num w:numId="5">
    <w:abstractNumId w:val="7"/>
  </w:num>
  <w:num w:numId="6">
    <w:abstractNumId w:val="4"/>
  </w:num>
  <w:num w:numId="7">
    <w:abstractNumId w:val="11"/>
  </w:num>
  <w:num w:numId="8">
    <w:abstractNumId w:val="10"/>
  </w:num>
  <w:num w:numId="9">
    <w:abstractNumId w:val="13"/>
  </w:num>
  <w:num w:numId="10">
    <w:abstractNumId w:val="5"/>
  </w:num>
  <w:num w:numId="11">
    <w:abstractNumId w:val="2"/>
  </w:num>
  <w:num w:numId="12">
    <w:abstractNumId w:val="17"/>
  </w:num>
  <w:num w:numId="13">
    <w:abstractNumId w:val="14"/>
    <w:lvlOverride w:ilvl="0">
      <w:startOverride w:val="1"/>
    </w:lvlOverride>
  </w:num>
  <w:num w:numId="14">
    <w:abstractNumId w:val="14"/>
    <w:lvlOverride w:ilvl="0">
      <w:startOverride w:val="1"/>
    </w:lvlOverride>
  </w:num>
  <w:num w:numId="15">
    <w:abstractNumId w:val="15"/>
  </w:num>
  <w:num w:numId="16">
    <w:abstractNumId w:val="16"/>
  </w:num>
  <w:num w:numId="17">
    <w:abstractNumId w:val="8"/>
  </w:num>
  <w:num w:numId="18">
    <w:abstractNumId w:val="1"/>
  </w:num>
  <w:num w:numId="19">
    <w:abstractNumId w:val="14"/>
  </w:num>
  <w:num w:numId="20">
    <w:abstractNumId w:val="14"/>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2"/>
    </w:lvlOverride>
  </w:num>
  <w:num w:numId="24">
    <w:abstractNumId w:val="14"/>
    <w:lvlOverride w:ilvl="0">
      <w:startOverride w:val="1"/>
    </w:lvlOverride>
    <w:lvlOverride w:ilvl="1">
      <w:startOverride w:val="1"/>
    </w:lvlOverride>
    <w:lvlOverride w:ilvl="2">
      <w:startOverride w:val="1"/>
    </w:lvlOverride>
    <w:lvlOverride w:ilvl="3">
      <w:startOverride w:val="3"/>
    </w:lvlOverride>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3"/>
    </w:lvlOverride>
  </w:num>
  <w:num w:numId="28">
    <w:abstractNumId w:val="14"/>
    <w:lvlOverride w:ilvl="0">
      <w:startOverride w:val="1"/>
    </w:lvlOverride>
    <w:lvlOverride w:ilvl="1">
      <w:startOverride w:val="1"/>
    </w:lvlOverride>
    <w:lvlOverride w:ilvl="2">
      <w:startOverride w:val="1"/>
    </w:lvlOverride>
    <w:lvlOverride w:ilvl="3">
      <w:startOverride w:val="2"/>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 w:numId="32">
    <w:abstractNumId w:val="8"/>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C0"/>
    <w:rsid w:val="00002187"/>
    <w:rsid w:val="00002F05"/>
    <w:rsid w:val="00004A61"/>
    <w:rsid w:val="00004EB9"/>
    <w:rsid w:val="0000719A"/>
    <w:rsid w:val="000079C0"/>
    <w:rsid w:val="0001041E"/>
    <w:rsid w:val="00011AAF"/>
    <w:rsid w:val="000135DE"/>
    <w:rsid w:val="000140D0"/>
    <w:rsid w:val="0001416A"/>
    <w:rsid w:val="00014527"/>
    <w:rsid w:val="000157B1"/>
    <w:rsid w:val="00015ECA"/>
    <w:rsid w:val="0001638A"/>
    <w:rsid w:val="000232D7"/>
    <w:rsid w:val="000234DE"/>
    <w:rsid w:val="000235D7"/>
    <w:rsid w:val="00023A8D"/>
    <w:rsid w:val="00024392"/>
    <w:rsid w:val="00024470"/>
    <w:rsid w:val="00024B5A"/>
    <w:rsid w:val="00024F03"/>
    <w:rsid w:val="00025111"/>
    <w:rsid w:val="0002581E"/>
    <w:rsid w:val="000262AE"/>
    <w:rsid w:val="00026636"/>
    <w:rsid w:val="00026B77"/>
    <w:rsid w:val="00027A5D"/>
    <w:rsid w:val="00030C19"/>
    <w:rsid w:val="00031699"/>
    <w:rsid w:val="00033196"/>
    <w:rsid w:val="00034B56"/>
    <w:rsid w:val="000359F6"/>
    <w:rsid w:val="00036039"/>
    <w:rsid w:val="0003792C"/>
    <w:rsid w:val="00037F90"/>
    <w:rsid w:val="00040353"/>
    <w:rsid w:val="00042A4C"/>
    <w:rsid w:val="000450C4"/>
    <w:rsid w:val="00045473"/>
    <w:rsid w:val="000459C7"/>
    <w:rsid w:val="00046E34"/>
    <w:rsid w:val="0004763B"/>
    <w:rsid w:val="000518C5"/>
    <w:rsid w:val="00051C25"/>
    <w:rsid w:val="00051C79"/>
    <w:rsid w:val="00052ACE"/>
    <w:rsid w:val="00052B14"/>
    <w:rsid w:val="00052F70"/>
    <w:rsid w:val="00053052"/>
    <w:rsid w:val="00053569"/>
    <w:rsid w:val="00053672"/>
    <w:rsid w:val="00055E09"/>
    <w:rsid w:val="00056175"/>
    <w:rsid w:val="000564C0"/>
    <w:rsid w:val="00062529"/>
    <w:rsid w:val="000626C0"/>
    <w:rsid w:val="00062753"/>
    <w:rsid w:val="00062C46"/>
    <w:rsid w:val="00062DF6"/>
    <w:rsid w:val="0006305B"/>
    <w:rsid w:val="00064249"/>
    <w:rsid w:val="00064638"/>
    <w:rsid w:val="00064D6A"/>
    <w:rsid w:val="00064E97"/>
    <w:rsid w:val="00065ECB"/>
    <w:rsid w:val="000677CC"/>
    <w:rsid w:val="00067BE1"/>
    <w:rsid w:val="000711CE"/>
    <w:rsid w:val="00071579"/>
    <w:rsid w:val="00072A0A"/>
    <w:rsid w:val="00073357"/>
    <w:rsid w:val="00073C34"/>
    <w:rsid w:val="00074FA7"/>
    <w:rsid w:val="00075BA9"/>
    <w:rsid w:val="00075EFB"/>
    <w:rsid w:val="00075FD2"/>
    <w:rsid w:val="0007687A"/>
    <w:rsid w:val="00082E55"/>
    <w:rsid w:val="0008344F"/>
    <w:rsid w:val="0008369B"/>
    <w:rsid w:val="000846CA"/>
    <w:rsid w:val="00085502"/>
    <w:rsid w:val="00085A82"/>
    <w:rsid w:val="00086D4F"/>
    <w:rsid w:val="000875BF"/>
    <w:rsid w:val="000903E6"/>
    <w:rsid w:val="000930AC"/>
    <w:rsid w:val="0009472B"/>
    <w:rsid w:val="00094AA4"/>
    <w:rsid w:val="000953A6"/>
    <w:rsid w:val="00096483"/>
    <w:rsid w:val="00096706"/>
    <w:rsid w:val="00096CAB"/>
    <w:rsid w:val="00096CCF"/>
    <w:rsid w:val="00096D8C"/>
    <w:rsid w:val="00097A21"/>
    <w:rsid w:val="000A074B"/>
    <w:rsid w:val="000A158C"/>
    <w:rsid w:val="000A1E5E"/>
    <w:rsid w:val="000A27C0"/>
    <w:rsid w:val="000A2E46"/>
    <w:rsid w:val="000A3CAE"/>
    <w:rsid w:val="000A66AB"/>
    <w:rsid w:val="000A68E7"/>
    <w:rsid w:val="000A73A9"/>
    <w:rsid w:val="000B04D3"/>
    <w:rsid w:val="000B078A"/>
    <w:rsid w:val="000B07D4"/>
    <w:rsid w:val="000B0B05"/>
    <w:rsid w:val="000B2A68"/>
    <w:rsid w:val="000B2B69"/>
    <w:rsid w:val="000B2C7E"/>
    <w:rsid w:val="000B2DF4"/>
    <w:rsid w:val="000B37A4"/>
    <w:rsid w:val="000B3D0A"/>
    <w:rsid w:val="000B46A8"/>
    <w:rsid w:val="000B46D8"/>
    <w:rsid w:val="000B4841"/>
    <w:rsid w:val="000B4935"/>
    <w:rsid w:val="000B4997"/>
    <w:rsid w:val="000B52CF"/>
    <w:rsid w:val="000B5CC5"/>
    <w:rsid w:val="000B6D8E"/>
    <w:rsid w:val="000B6F3E"/>
    <w:rsid w:val="000B73E0"/>
    <w:rsid w:val="000B7F0B"/>
    <w:rsid w:val="000C00D5"/>
    <w:rsid w:val="000C0B65"/>
    <w:rsid w:val="000C0E18"/>
    <w:rsid w:val="000C0F09"/>
    <w:rsid w:val="000C1EB4"/>
    <w:rsid w:val="000C2A8E"/>
    <w:rsid w:val="000C334C"/>
    <w:rsid w:val="000C3375"/>
    <w:rsid w:val="000C3514"/>
    <w:rsid w:val="000C3DDA"/>
    <w:rsid w:val="000C44F4"/>
    <w:rsid w:val="000C5A10"/>
    <w:rsid w:val="000C6883"/>
    <w:rsid w:val="000C6B9D"/>
    <w:rsid w:val="000D0690"/>
    <w:rsid w:val="000D1255"/>
    <w:rsid w:val="000D1B35"/>
    <w:rsid w:val="000D4C47"/>
    <w:rsid w:val="000D4EE4"/>
    <w:rsid w:val="000D5342"/>
    <w:rsid w:val="000D5417"/>
    <w:rsid w:val="000D65DD"/>
    <w:rsid w:val="000E009A"/>
    <w:rsid w:val="000E05FE"/>
    <w:rsid w:val="000E1CAF"/>
    <w:rsid w:val="000E2FF8"/>
    <w:rsid w:val="000E3D42"/>
    <w:rsid w:val="000E48E4"/>
    <w:rsid w:val="000E71CA"/>
    <w:rsid w:val="000F070A"/>
    <w:rsid w:val="000F1BFA"/>
    <w:rsid w:val="000F23DE"/>
    <w:rsid w:val="000F2AE6"/>
    <w:rsid w:val="000F5666"/>
    <w:rsid w:val="000F6065"/>
    <w:rsid w:val="000F64C0"/>
    <w:rsid w:val="000F6749"/>
    <w:rsid w:val="000F6819"/>
    <w:rsid w:val="000F69D5"/>
    <w:rsid w:val="000F6AB0"/>
    <w:rsid w:val="000F7303"/>
    <w:rsid w:val="000F7663"/>
    <w:rsid w:val="001010FD"/>
    <w:rsid w:val="00101153"/>
    <w:rsid w:val="0010171A"/>
    <w:rsid w:val="00101B6D"/>
    <w:rsid w:val="001023F4"/>
    <w:rsid w:val="00103165"/>
    <w:rsid w:val="0010341A"/>
    <w:rsid w:val="001037C7"/>
    <w:rsid w:val="001055B8"/>
    <w:rsid w:val="00106307"/>
    <w:rsid w:val="00106E26"/>
    <w:rsid w:val="0010706C"/>
    <w:rsid w:val="00107E9B"/>
    <w:rsid w:val="00110431"/>
    <w:rsid w:val="00110D8B"/>
    <w:rsid w:val="00110F50"/>
    <w:rsid w:val="001117D1"/>
    <w:rsid w:val="00111B31"/>
    <w:rsid w:val="001122CF"/>
    <w:rsid w:val="001137A1"/>
    <w:rsid w:val="00115470"/>
    <w:rsid w:val="0011562A"/>
    <w:rsid w:val="00115E9A"/>
    <w:rsid w:val="001163FA"/>
    <w:rsid w:val="0011643B"/>
    <w:rsid w:val="00116AC8"/>
    <w:rsid w:val="00116D2C"/>
    <w:rsid w:val="0012056B"/>
    <w:rsid w:val="00120A8D"/>
    <w:rsid w:val="00120C74"/>
    <w:rsid w:val="00120E2E"/>
    <w:rsid w:val="001226A2"/>
    <w:rsid w:val="00122BD5"/>
    <w:rsid w:val="00122CAB"/>
    <w:rsid w:val="001230F7"/>
    <w:rsid w:val="001230FA"/>
    <w:rsid w:val="00123620"/>
    <w:rsid w:val="00123790"/>
    <w:rsid w:val="00123D65"/>
    <w:rsid w:val="00124993"/>
    <w:rsid w:val="00124D1E"/>
    <w:rsid w:val="00125321"/>
    <w:rsid w:val="001254EE"/>
    <w:rsid w:val="001258D5"/>
    <w:rsid w:val="001261D6"/>
    <w:rsid w:val="00126E20"/>
    <w:rsid w:val="00127347"/>
    <w:rsid w:val="001302A4"/>
    <w:rsid w:val="00132E00"/>
    <w:rsid w:val="00132E8C"/>
    <w:rsid w:val="00132ED1"/>
    <w:rsid w:val="0013326E"/>
    <w:rsid w:val="00133732"/>
    <w:rsid w:val="00133F79"/>
    <w:rsid w:val="0013490D"/>
    <w:rsid w:val="001351AA"/>
    <w:rsid w:val="00135A93"/>
    <w:rsid w:val="00136B94"/>
    <w:rsid w:val="00137EFF"/>
    <w:rsid w:val="001401DE"/>
    <w:rsid w:val="00141274"/>
    <w:rsid w:val="00141D64"/>
    <w:rsid w:val="0014286E"/>
    <w:rsid w:val="00142B16"/>
    <w:rsid w:val="00142BEF"/>
    <w:rsid w:val="001433FB"/>
    <w:rsid w:val="00143A5E"/>
    <w:rsid w:val="00144049"/>
    <w:rsid w:val="00144C44"/>
    <w:rsid w:val="00144CD9"/>
    <w:rsid w:val="00145830"/>
    <w:rsid w:val="00146386"/>
    <w:rsid w:val="0014640C"/>
    <w:rsid w:val="001465A4"/>
    <w:rsid w:val="00146DFE"/>
    <w:rsid w:val="00146E72"/>
    <w:rsid w:val="0015000A"/>
    <w:rsid w:val="00151057"/>
    <w:rsid w:val="00151115"/>
    <w:rsid w:val="00151831"/>
    <w:rsid w:val="001522B8"/>
    <w:rsid w:val="00152CDC"/>
    <w:rsid w:val="00152DED"/>
    <w:rsid w:val="00153332"/>
    <w:rsid w:val="00155394"/>
    <w:rsid w:val="001558AF"/>
    <w:rsid w:val="00155BC4"/>
    <w:rsid w:val="00157527"/>
    <w:rsid w:val="001604DD"/>
    <w:rsid w:val="0016137C"/>
    <w:rsid w:val="00162EC8"/>
    <w:rsid w:val="001636B6"/>
    <w:rsid w:val="00163B29"/>
    <w:rsid w:val="00164126"/>
    <w:rsid w:val="00164B82"/>
    <w:rsid w:val="0016534C"/>
    <w:rsid w:val="00165688"/>
    <w:rsid w:val="00165BAC"/>
    <w:rsid w:val="001660B1"/>
    <w:rsid w:val="00167302"/>
    <w:rsid w:val="00167542"/>
    <w:rsid w:val="001676B0"/>
    <w:rsid w:val="00167D75"/>
    <w:rsid w:val="0017015E"/>
    <w:rsid w:val="001710FB"/>
    <w:rsid w:val="0017184F"/>
    <w:rsid w:val="00171973"/>
    <w:rsid w:val="00172059"/>
    <w:rsid w:val="00172187"/>
    <w:rsid w:val="00172AFF"/>
    <w:rsid w:val="001750D9"/>
    <w:rsid w:val="00175E46"/>
    <w:rsid w:val="0017649F"/>
    <w:rsid w:val="001776DA"/>
    <w:rsid w:val="00180D79"/>
    <w:rsid w:val="00181596"/>
    <w:rsid w:val="00182D98"/>
    <w:rsid w:val="0018428B"/>
    <w:rsid w:val="00187929"/>
    <w:rsid w:val="00190575"/>
    <w:rsid w:val="00191885"/>
    <w:rsid w:val="00191A6A"/>
    <w:rsid w:val="0019318F"/>
    <w:rsid w:val="00194708"/>
    <w:rsid w:val="00194A66"/>
    <w:rsid w:val="0019504A"/>
    <w:rsid w:val="00195055"/>
    <w:rsid w:val="0019510D"/>
    <w:rsid w:val="00195627"/>
    <w:rsid w:val="001956D9"/>
    <w:rsid w:val="00196E08"/>
    <w:rsid w:val="00197359"/>
    <w:rsid w:val="0019735D"/>
    <w:rsid w:val="001976B9"/>
    <w:rsid w:val="00197D6D"/>
    <w:rsid w:val="001A07BA"/>
    <w:rsid w:val="001A0A1D"/>
    <w:rsid w:val="001A0E39"/>
    <w:rsid w:val="001A1706"/>
    <w:rsid w:val="001A17E9"/>
    <w:rsid w:val="001A22B7"/>
    <w:rsid w:val="001A22D8"/>
    <w:rsid w:val="001A332F"/>
    <w:rsid w:val="001A393A"/>
    <w:rsid w:val="001A4DBB"/>
    <w:rsid w:val="001A53FB"/>
    <w:rsid w:val="001A544D"/>
    <w:rsid w:val="001A5731"/>
    <w:rsid w:val="001A586F"/>
    <w:rsid w:val="001A59F0"/>
    <w:rsid w:val="001A6B11"/>
    <w:rsid w:val="001A7642"/>
    <w:rsid w:val="001A7F99"/>
    <w:rsid w:val="001B03DF"/>
    <w:rsid w:val="001B0ADF"/>
    <w:rsid w:val="001B0C1A"/>
    <w:rsid w:val="001B1336"/>
    <w:rsid w:val="001B1356"/>
    <w:rsid w:val="001B28DA"/>
    <w:rsid w:val="001B37FB"/>
    <w:rsid w:val="001B3E2E"/>
    <w:rsid w:val="001B430F"/>
    <w:rsid w:val="001B43C6"/>
    <w:rsid w:val="001B528E"/>
    <w:rsid w:val="001B5707"/>
    <w:rsid w:val="001B5C4D"/>
    <w:rsid w:val="001B6177"/>
    <w:rsid w:val="001B7363"/>
    <w:rsid w:val="001C21B7"/>
    <w:rsid w:val="001C26E1"/>
    <w:rsid w:val="001C2B53"/>
    <w:rsid w:val="001C36CF"/>
    <w:rsid w:val="001C38D6"/>
    <w:rsid w:val="001C39E4"/>
    <w:rsid w:val="001C3B40"/>
    <w:rsid w:val="001C5555"/>
    <w:rsid w:val="001C58CE"/>
    <w:rsid w:val="001C6EA8"/>
    <w:rsid w:val="001C7509"/>
    <w:rsid w:val="001D02D5"/>
    <w:rsid w:val="001D06F8"/>
    <w:rsid w:val="001D0800"/>
    <w:rsid w:val="001D0A15"/>
    <w:rsid w:val="001D1DFF"/>
    <w:rsid w:val="001D1EC5"/>
    <w:rsid w:val="001D2472"/>
    <w:rsid w:val="001D3B8D"/>
    <w:rsid w:val="001D43B0"/>
    <w:rsid w:val="001D4A69"/>
    <w:rsid w:val="001D5255"/>
    <w:rsid w:val="001D5280"/>
    <w:rsid w:val="001D550A"/>
    <w:rsid w:val="001D5C28"/>
    <w:rsid w:val="001D698B"/>
    <w:rsid w:val="001D6BCF"/>
    <w:rsid w:val="001D7784"/>
    <w:rsid w:val="001E01CA"/>
    <w:rsid w:val="001E1958"/>
    <w:rsid w:val="001E1A79"/>
    <w:rsid w:val="001E25D0"/>
    <w:rsid w:val="001E39B8"/>
    <w:rsid w:val="001E5061"/>
    <w:rsid w:val="001E60A4"/>
    <w:rsid w:val="001E61EF"/>
    <w:rsid w:val="001E660C"/>
    <w:rsid w:val="001E74CF"/>
    <w:rsid w:val="001E7886"/>
    <w:rsid w:val="001E7CCF"/>
    <w:rsid w:val="001F00F9"/>
    <w:rsid w:val="001F1420"/>
    <w:rsid w:val="001F2E8C"/>
    <w:rsid w:val="001F2F63"/>
    <w:rsid w:val="001F453F"/>
    <w:rsid w:val="001F6273"/>
    <w:rsid w:val="001F7E39"/>
    <w:rsid w:val="00202C44"/>
    <w:rsid w:val="00203D8D"/>
    <w:rsid w:val="00204389"/>
    <w:rsid w:val="00204761"/>
    <w:rsid w:val="00204AB4"/>
    <w:rsid w:val="00205054"/>
    <w:rsid w:val="002054E9"/>
    <w:rsid w:val="00205515"/>
    <w:rsid w:val="0020586D"/>
    <w:rsid w:val="00205FE5"/>
    <w:rsid w:val="00206C63"/>
    <w:rsid w:val="00206F3C"/>
    <w:rsid w:val="00210EC7"/>
    <w:rsid w:val="00211B3D"/>
    <w:rsid w:val="00211CE3"/>
    <w:rsid w:val="00211D58"/>
    <w:rsid w:val="002120FC"/>
    <w:rsid w:val="0021252C"/>
    <w:rsid w:val="0021290E"/>
    <w:rsid w:val="0021296F"/>
    <w:rsid w:val="002137C6"/>
    <w:rsid w:val="00213E6A"/>
    <w:rsid w:val="00215A3D"/>
    <w:rsid w:val="00216603"/>
    <w:rsid w:val="00216604"/>
    <w:rsid w:val="002169C4"/>
    <w:rsid w:val="002169D2"/>
    <w:rsid w:val="00216BA8"/>
    <w:rsid w:val="00220625"/>
    <w:rsid w:val="002209FF"/>
    <w:rsid w:val="00221ACB"/>
    <w:rsid w:val="00221FA6"/>
    <w:rsid w:val="00222416"/>
    <w:rsid w:val="002233A1"/>
    <w:rsid w:val="00224A3B"/>
    <w:rsid w:val="00225C81"/>
    <w:rsid w:val="0022672B"/>
    <w:rsid w:val="0022673D"/>
    <w:rsid w:val="00227045"/>
    <w:rsid w:val="00227484"/>
    <w:rsid w:val="00227D33"/>
    <w:rsid w:val="00231031"/>
    <w:rsid w:val="00232E40"/>
    <w:rsid w:val="002347DF"/>
    <w:rsid w:val="00234EFD"/>
    <w:rsid w:val="0023609E"/>
    <w:rsid w:val="00236BC0"/>
    <w:rsid w:val="00236EF9"/>
    <w:rsid w:val="002371E0"/>
    <w:rsid w:val="00237D76"/>
    <w:rsid w:val="002404C5"/>
    <w:rsid w:val="00240608"/>
    <w:rsid w:val="002421F8"/>
    <w:rsid w:val="002423D2"/>
    <w:rsid w:val="002426AF"/>
    <w:rsid w:val="00242870"/>
    <w:rsid w:val="00243148"/>
    <w:rsid w:val="00243951"/>
    <w:rsid w:val="00243A33"/>
    <w:rsid w:val="0024411A"/>
    <w:rsid w:val="00244D47"/>
    <w:rsid w:val="00244E6C"/>
    <w:rsid w:val="002454C0"/>
    <w:rsid w:val="00245627"/>
    <w:rsid w:val="002475E8"/>
    <w:rsid w:val="002500BC"/>
    <w:rsid w:val="002501B3"/>
    <w:rsid w:val="00251A8B"/>
    <w:rsid w:val="002524CD"/>
    <w:rsid w:val="002525E7"/>
    <w:rsid w:val="00252624"/>
    <w:rsid w:val="00253754"/>
    <w:rsid w:val="00253DDC"/>
    <w:rsid w:val="0025577E"/>
    <w:rsid w:val="0025598F"/>
    <w:rsid w:val="00255CCF"/>
    <w:rsid w:val="002569CF"/>
    <w:rsid w:val="002573F9"/>
    <w:rsid w:val="002574AC"/>
    <w:rsid w:val="002610A2"/>
    <w:rsid w:val="00261860"/>
    <w:rsid w:val="00262090"/>
    <w:rsid w:val="00262D23"/>
    <w:rsid w:val="002631F9"/>
    <w:rsid w:val="002641CE"/>
    <w:rsid w:val="0026428A"/>
    <w:rsid w:val="00266BAB"/>
    <w:rsid w:val="00267304"/>
    <w:rsid w:val="002675E5"/>
    <w:rsid w:val="00267FC7"/>
    <w:rsid w:val="002704AE"/>
    <w:rsid w:val="0027054D"/>
    <w:rsid w:val="00270B56"/>
    <w:rsid w:val="00270D27"/>
    <w:rsid w:val="002721D1"/>
    <w:rsid w:val="00272F40"/>
    <w:rsid w:val="0027369A"/>
    <w:rsid w:val="002739F6"/>
    <w:rsid w:val="0027483C"/>
    <w:rsid w:val="00274947"/>
    <w:rsid w:val="00275551"/>
    <w:rsid w:val="00275CF5"/>
    <w:rsid w:val="00277434"/>
    <w:rsid w:val="00277733"/>
    <w:rsid w:val="00277B3C"/>
    <w:rsid w:val="00281CC5"/>
    <w:rsid w:val="00281E44"/>
    <w:rsid w:val="0028301F"/>
    <w:rsid w:val="0028320E"/>
    <w:rsid w:val="0028418B"/>
    <w:rsid w:val="002842DC"/>
    <w:rsid w:val="00284B03"/>
    <w:rsid w:val="00284B82"/>
    <w:rsid w:val="00284D69"/>
    <w:rsid w:val="00285017"/>
    <w:rsid w:val="0028535E"/>
    <w:rsid w:val="00286164"/>
    <w:rsid w:val="00287DCC"/>
    <w:rsid w:val="00287F43"/>
    <w:rsid w:val="00287F8E"/>
    <w:rsid w:val="00290A68"/>
    <w:rsid w:val="00291635"/>
    <w:rsid w:val="00291FA9"/>
    <w:rsid w:val="00292688"/>
    <w:rsid w:val="002927D5"/>
    <w:rsid w:val="0029445F"/>
    <w:rsid w:val="0029528C"/>
    <w:rsid w:val="002962EE"/>
    <w:rsid w:val="00296763"/>
    <w:rsid w:val="00297949"/>
    <w:rsid w:val="002A0035"/>
    <w:rsid w:val="002A0645"/>
    <w:rsid w:val="002A101D"/>
    <w:rsid w:val="002A12BA"/>
    <w:rsid w:val="002A1A07"/>
    <w:rsid w:val="002A2D2E"/>
    <w:rsid w:val="002A4404"/>
    <w:rsid w:val="002A46A9"/>
    <w:rsid w:val="002A496B"/>
    <w:rsid w:val="002A4D23"/>
    <w:rsid w:val="002A5D48"/>
    <w:rsid w:val="002A76C9"/>
    <w:rsid w:val="002B04B5"/>
    <w:rsid w:val="002B0837"/>
    <w:rsid w:val="002B0CF2"/>
    <w:rsid w:val="002B235A"/>
    <w:rsid w:val="002B34C8"/>
    <w:rsid w:val="002B36B2"/>
    <w:rsid w:val="002B4DA4"/>
    <w:rsid w:val="002B5163"/>
    <w:rsid w:val="002B5F18"/>
    <w:rsid w:val="002B640D"/>
    <w:rsid w:val="002B76BA"/>
    <w:rsid w:val="002C00E8"/>
    <w:rsid w:val="002C0E34"/>
    <w:rsid w:val="002C1955"/>
    <w:rsid w:val="002C1D7D"/>
    <w:rsid w:val="002C1E82"/>
    <w:rsid w:val="002C33AC"/>
    <w:rsid w:val="002C378A"/>
    <w:rsid w:val="002C3AB2"/>
    <w:rsid w:val="002C3DAA"/>
    <w:rsid w:val="002C4D7E"/>
    <w:rsid w:val="002C53F7"/>
    <w:rsid w:val="002C5791"/>
    <w:rsid w:val="002C57BA"/>
    <w:rsid w:val="002C680A"/>
    <w:rsid w:val="002C6DE7"/>
    <w:rsid w:val="002C7056"/>
    <w:rsid w:val="002C7960"/>
    <w:rsid w:val="002D0849"/>
    <w:rsid w:val="002D12AB"/>
    <w:rsid w:val="002D2C2E"/>
    <w:rsid w:val="002D3131"/>
    <w:rsid w:val="002D321E"/>
    <w:rsid w:val="002D373C"/>
    <w:rsid w:val="002D39A4"/>
    <w:rsid w:val="002D3BB1"/>
    <w:rsid w:val="002D3C8A"/>
    <w:rsid w:val="002D500A"/>
    <w:rsid w:val="002D5D09"/>
    <w:rsid w:val="002D6554"/>
    <w:rsid w:val="002E0AA3"/>
    <w:rsid w:val="002E1BAE"/>
    <w:rsid w:val="002E20CB"/>
    <w:rsid w:val="002E25DF"/>
    <w:rsid w:val="002E33D4"/>
    <w:rsid w:val="002E3C58"/>
    <w:rsid w:val="002E3CEB"/>
    <w:rsid w:val="002E3F06"/>
    <w:rsid w:val="002E4366"/>
    <w:rsid w:val="002E5522"/>
    <w:rsid w:val="002E5673"/>
    <w:rsid w:val="002E74E3"/>
    <w:rsid w:val="002E785D"/>
    <w:rsid w:val="002E7FAC"/>
    <w:rsid w:val="002F0744"/>
    <w:rsid w:val="002F1F2B"/>
    <w:rsid w:val="002F456B"/>
    <w:rsid w:val="002F593E"/>
    <w:rsid w:val="002F6C13"/>
    <w:rsid w:val="002F7308"/>
    <w:rsid w:val="00300601"/>
    <w:rsid w:val="00300B1C"/>
    <w:rsid w:val="00301391"/>
    <w:rsid w:val="00301F76"/>
    <w:rsid w:val="00303726"/>
    <w:rsid w:val="003051BA"/>
    <w:rsid w:val="003067A6"/>
    <w:rsid w:val="00307947"/>
    <w:rsid w:val="00307FC5"/>
    <w:rsid w:val="003104CB"/>
    <w:rsid w:val="00310582"/>
    <w:rsid w:val="0031106D"/>
    <w:rsid w:val="003125CE"/>
    <w:rsid w:val="00312AF5"/>
    <w:rsid w:val="00314128"/>
    <w:rsid w:val="00315014"/>
    <w:rsid w:val="00315430"/>
    <w:rsid w:val="00315A96"/>
    <w:rsid w:val="00316600"/>
    <w:rsid w:val="00316CF4"/>
    <w:rsid w:val="003203B0"/>
    <w:rsid w:val="00320633"/>
    <w:rsid w:val="00320710"/>
    <w:rsid w:val="003208E2"/>
    <w:rsid w:val="003213E6"/>
    <w:rsid w:val="00321421"/>
    <w:rsid w:val="00321F29"/>
    <w:rsid w:val="003224E2"/>
    <w:rsid w:val="0032307F"/>
    <w:rsid w:val="0032666F"/>
    <w:rsid w:val="003273F4"/>
    <w:rsid w:val="00327631"/>
    <w:rsid w:val="0032775E"/>
    <w:rsid w:val="003302ED"/>
    <w:rsid w:val="0033051A"/>
    <w:rsid w:val="0033135C"/>
    <w:rsid w:val="003313AD"/>
    <w:rsid w:val="00331987"/>
    <w:rsid w:val="00331F1B"/>
    <w:rsid w:val="00332117"/>
    <w:rsid w:val="00332CF0"/>
    <w:rsid w:val="003347F8"/>
    <w:rsid w:val="00335A3D"/>
    <w:rsid w:val="0033656E"/>
    <w:rsid w:val="00336627"/>
    <w:rsid w:val="0033771C"/>
    <w:rsid w:val="003410AF"/>
    <w:rsid w:val="003418A4"/>
    <w:rsid w:val="00341C81"/>
    <w:rsid w:val="003433BB"/>
    <w:rsid w:val="00343749"/>
    <w:rsid w:val="0034443E"/>
    <w:rsid w:val="0034463A"/>
    <w:rsid w:val="0034482A"/>
    <w:rsid w:val="00345A27"/>
    <w:rsid w:val="0034615B"/>
    <w:rsid w:val="0034643B"/>
    <w:rsid w:val="0034707E"/>
    <w:rsid w:val="003476ED"/>
    <w:rsid w:val="00347975"/>
    <w:rsid w:val="003502BA"/>
    <w:rsid w:val="00350808"/>
    <w:rsid w:val="00353EF9"/>
    <w:rsid w:val="003547D4"/>
    <w:rsid w:val="00354990"/>
    <w:rsid w:val="0035534A"/>
    <w:rsid w:val="003555E3"/>
    <w:rsid w:val="003557D4"/>
    <w:rsid w:val="0035587E"/>
    <w:rsid w:val="003558AC"/>
    <w:rsid w:val="00357D50"/>
    <w:rsid w:val="00357F33"/>
    <w:rsid w:val="00357F9B"/>
    <w:rsid w:val="003607BA"/>
    <w:rsid w:val="00360F9E"/>
    <w:rsid w:val="00361062"/>
    <w:rsid w:val="00362371"/>
    <w:rsid w:val="00362611"/>
    <w:rsid w:val="00362942"/>
    <w:rsid w:val="0036300B"/>
    <w:rsid w:val="00363EB1"/>
    <w:rsid w:val="003640C9"/>
    <w:rsid w:val="003660ED"/>
    <w:rsid w:val="003661B5"/>
    <w:rsid w:val="003665B8"/>
    <w:rsid w:val="00366EB9"/>
    <w:rsid w:val="00367080"/>
    <w:rsid w:val="003706D6"/>
    <w:rsid w:val="00371009"/>
    <w:rsid w:val="003722B1"/>
    <w:rsid w:val="0037299F"/>
    <w:rsid w:val="0037403A"/>
    <w:rsid w:val="0037442C"/>
    <w:rsid w:val="0037560F"/>
    <w:rsid w:val="00375885"/>
    <w:rsid w:val="003760DC"/>
    <w:rsid w:val="00376687"/>
    <w:rsid w:val="00381333"/>
    <w:rsid w:val="003819A1"/>
    <w:rsid w:val="00383E0E"/>
    <w:rsid w:val="003848B0"/>
    <w:rsid w:val="0038503E"/>
    <w:rsid w:val="00385714"/>
    <w:rsid w:val="003859B8"/>
    <w:rsid w:val="003861BC"/>
    <w:rsid w:val="00386284"/>
    <w:rsid w:val="00386B4E"/>
    <w:rsid w:val="00387EA3"/>
    <w:rsid w:val="00391457"/>
    <w:rsid w:val="0039190B"/>
    <w:rsid w:val="00391C90"/>
    <w:rsid w:val="00392165"/>
    <w:rsid w:val="003938AB"/>
    <w:rsid w:val="00394213"/>
    <w:rsid w:val="00395256"/>
    <w:rsid w:val="003955BE"/>
    <w:rsid w:val="00395D91"/>
    <w:rsid w:val="003961CC"/>
    <w:rsid w:val="00396C59"/>
    <w:rsid w:val="003A05BE"/>
    <w:rsid w:val="003A30A5"/>
    <w:rsid w:val="003A374E"/>
    <w:rsid w:val="003A396C"/>
    <w:rsid w:val="003A4BE0"/>
    <w:rsid w:val="003A680F"/>
    <w:rsid w:val="003A6820"/>
    <w:rsid w:val="003A6927"/>
    <w:rsid w:val="003A7DE1"/>
    <w:rsid w:val="003A7FBA"/>
    <w:rsid w:val="003B048C"/>
    <w:rsid w:val="003B0550"/>
    <w:rsid w:val="003B05E9"/>
    <w:rsid w:val="003B14EC"/>
    <w:rsid w:val="003B2034"/>
    <w:rsid w:val="003B2345"/>
    <w:rsid w:val="003B2B05"/>
    <w:rsid w:val="003B4316"/>
    <w:rsid w:val="003B484B"/>
    <w:rsid w:val="003B4B65"/>
    <w:rsid w:val="003B4ECF"/>
    <w:rsid w:val="003B5E1F"/>
    <w:rsid w:val="003B608D"/>
    <w:rsid w:val="003B60CB"/>
    <w:rsid w:val="003B6108"/>
    <w:rsid w:val="003B62D9"/>
    <w:rsid w:val="003B6525"/>
    <w:rsid w:val="003B694F"/>
    <w:rsid w:val="003B7FEE"/>
    <w:rsid w:val="003C0A79"/>
    <w:rsid w:val="003C0AFD"/>
    <w:rsid w:val="003C3093"/>
    <w:rsid w:val="003C3667"/>
    <w:rsid w:val="003C4ACB"/>
    <w:rsid w:val="003C576D"/>
    <w:rsid w:val="003C7A0B"/>
    <w:rsid w:val="003D01AE"/>
    <w:rsid w:val="003D2EE3"/>
    <w:rsid w:val="003D4C66"/>
    <w:rsid w:val="003D4F1E"/>
    <w:rsid w:val="003D5AE2"/>
    <w:rsid w:val="003D75F4"/>
    <w:rsid w:val="003D7BDF"/>
    <w:rsid w:val="003E00FE"/>
    <w:rsid w:val="003E1382"/>
    <w:rsid w:val="003E183A"/>
    <w:rsid w:val="003E1AFE"/>
    <w:rsid w:val="003E2325"/>
    <w:rsid w:val="003E256E"/>
    <w:rsid w:val="003E2DCC"/>
    <w:rsid w:val="003E2EBF"/>
    <w:rsid w:val="003E302E"/>
    <w:rsid w:val="003E36CF"/>
    <w:rsid w:val="003E5BCA"/>
    <w:rsid w:val="003E612D"/>
    <w:rsid w:val="003E6210"/>
    <w:rsid w:val="003E7230"/>
    <w:rsid w:val="003E7786"/>
    <w:rsid w:val="003E7ADD"/>
    <w:rsid w:val="003E7D7C"/>
    <w:rsid w:val="003E7DD9"/>
    <w:rsid w:val="003E7F24"/>
    <w:rsid w:val="003F0C41"/>
    <w:rsid w:val="003F150A"/>
    <w:rsid w:val="003F171C"/>
    <w:rsid w:val="003F1BF3"/>
    <w:rsid w:val="003F297B"/>
    <w:rsid w:val="003F338D"/>
    <w:rsid w:val="003F3D05"/>
    <w:rsid w:val="003F3EB6"/>
    <w:rsid w:val="003F4A54"/>
    <w:rsid w:val="003F4C8F"/>
    <w:rsid w:val="003F5093"/>
    <w:rsid w:val="003F53FD"/>
    <w:rsid w:val="003F5BDB"/>
    <w:rsid w:val="003F633C"/>
    <w:rsid w:val="003F6CE5"/>
    <w:rsid w:val="003F7160"/>
    <w:rsid w:val="003F7D94"/>
    <w:rsid w:val="00401A40"/>
    <w:rsid w:val="00401C18"/>
    <w:rsid w:val="00401E0B"/>
    <w:rsid w:val="004057C0"/>
    <w:rsid w:val="00406DF0"/>
    <w:rsid w:val="00411982"/>
    <w:rsid w:val="00411D47"/>
    <w:rsid w:val="00412FC5"/>
    <w:rsid w:val="00413A85"/>
    <w:rsid w:val="00413E9A"/>
    <w:rsid w:val="00414EDC"/>
    <w:rsid w:val="00415CE5"/>
    <w:rsid w:val="00415EA6"/>
    <w:rsid w:val="00416BCE"/>
    <w:rsid w:val="00416D29"/>
    <w:rsid w:val="00417B58"/>
    <w:rsid w:val="00420980"/>
    <w:rsid w:val="004209D3"/>
    <w:rsid w:val="00422276"/>
    <w:rsid w:val="004226C1"/>
    <w:rsid w:val="00422DD8"/>
    <w:rsid w:val="0042349D"/>
    <w:rsid w:val="00423890"/>
    <w:rsid w:val="004240E3"/>
    <w:rsid w:val="004242F1"/>
    <w:rsid w:val="0042570A"/>
    <w:rsid w:val="0042602A"/>
    <w:rsid w:val="0042647E"/>
    <w:rsid w:val="00426544"/>
    <w:rsid w:val="004268E1"/>
    <w:rsid w:val="00426E86"/>
    <w:rsid w:val="004271BE"/>
    <w:rsid w:val="00430536"/>
    <w:rsid w:val="0043056F"/>
    <w:rsid w:val="00430BB3"/>
    <w:rsid w:val="0043221B"/>
    <w:rsid w:val="00432332"/>
    <w:rsid w:val="0043236F"/>
    <w:rsid w:val="00432ECC"/>
    <w:rsid w:val="004342BC"/>
    <w:rsid w:val="004349A5"/>
    <w:rsid w:val="00435254"/>
    <w:rsid w:val="00436CC0"/>
    <w:rsid w:val="00437145"/>
    <w:rsid w:val="004412DB"/>
    <w:rsid w:val="00441799"/>
    <w:rsid w:val="0044284F"/>
    <w:rsid w:val="00442E95"/>
    <w:rsid w:val="004442BD"/>
    <w:rsid w:val="00445A00"/>
    <w:rsid w:val="004469B2"/>
    <w:rsid w:val="00446B48"/>
    <w:rsid w:val="00446ED9"/>
    <w:rsid w:val="004470C0"/>
    <w:rsid w:val="00447104"/>
    <w:rsid w:val="00447230"/>
    <w:rsid w:val="00447B37"/>
    <w:rsid w:val="00447D74"/>
    <w:rsid w:val="004507CF"/>
    <w:rsid w:val="00450DF9"/>
    <w:rsid w:val="00450F99"/>
    <w:rsid w:val="004518C7"/>
    <w:rsid w:val="00451B0F"/>
    <w:rsid w:val="00451B33"/>
    <w:rsid w:val="004524B5"/>
    <w:rsid w:val="004528C9"/>
    <w:rsid w:val="0045295B"/>
    <w:rsid w:val="0045296F"/>
    <w:rsid w:val="004555AD"/>
    <w:rsid w:val="00456306"/>
    <w:rsid w:val="00456A7F"/>
    <w:rsid w:val="00457339"/>
    <w:rsid w:val="004605D2"/>
    <w:rsid w:val="00460F95"/>
    <w:rsid w:val="004612F9"/>
    <w:rsid w:val="00461430"/>
    <w:rsid w:val="0046199A"/>
    <w:rsid w:val="00461ABB"/>
    <w:rsid w:val="0046356B"/>
    <w:rsid w:val="00464064"/>
    <w:rsid w:val="00464556"/>
    <w:rsid w:val="004668CF"/>
    <w:rsid w:val="004672EC"/>
    <w:rsid w:val="00471552"/>
    <w:rsid w:val="004718FF"/>
    <w:rsid w:val="00471A54"/>
    <w:rsid w:val="0047227F"/>
    <w:rsid w:val="00472575"/>
    <w:rsid w:val="004731F4"/>
    <w:rsid w:val="004737BB"/>
    <w:rsid w:val="004752AC"/>
    <w:rsid w:val="00475BD1"/>
    <w:rsid w:val="00476D63"/>
    <w:rsid w:val="00476F42"/>
    <w:rsid w:val="00477B6D"/>
    <w:rsid w:val="0048130B"/>
    <w:rsid w:val="004813CA"/>
    <w:rsid w:val="00481480"/>
    <w:rsid w:val="00481913"/>
    <w:rsid w:val="00481DD9"/>
    <w:rsid w:val="004825E0"/>
    <w:rsid w:val="00484014"/>
    <w:rsid w:val="004843F9"/>
    <w:rsid w:val="0048490F"/>
    <w:rsid w:val="004856A6"/>
    <w:rsid w:val="004868A9"/>
    <w:rsid w:val="0048762A"/>
    <w:rsid w:val="00490418"/>
    <w:rsid w:val="0049109C"/>
    <w:rsid w:val="004916AD"/>
    <w:rsid w:val="00492147"/>
    <w:rsid w:val="0049267E"/>
    <w:rsid w:val="0049274D"/>
    <w:rsid w:val="00492B1F"/>
    <w:rsid w:val="004932BD"/>
    <w:rsid w:val="00493766"/>
    <w:rsid w:val="00493D33"/>
    <w:rsid w:val="00494295"/>
    <w:rsid w:val="00494B51"/>
    <w:rsid w:val="00495074"/>
    <w:rsid w:val="00495117"/>
    <w:rsid w:val="004966FD"/>
    <w:rsid w:val="00496A8C"/>
    <w:rsid w:val="00496CB2"/>
    <w:rsid w:val="00496D67"/>
    <w:rsid w:val="00496F74"/>
    <w:rsid w:val="00497CA6"/>
    <w:rsid w:val="004A06EF"/>
    <w:rsid w:val="004A11FF"/>
    <w:rsid w:val="004A1AC5"/>
    <w:rsid w:val="004A1C17"/>
    <w:rsid w:val="004A2275"/>
    <w:rsid w:val="004A3179"/>
    <w:rsid w:val="004A3C63"/>
    <w:rsid w:val="004A4092"/>
    <w:rsid w:val="004A51A6"/>
    <w:rsid w:val="004A52C5"/>
    <w:rsid w:val="004A6A52"/>
    <w:rsid w:val="004A767E"/>
    <w:rsid w:val="004A7A4B"/>
    <w:rsid w:val="004A7DEA"/>
    <w:rsid w:val="004A7EA1"/>
    <w:rsid w:val="004B0197"/>
    <w:rsid w:val="004B0F0B"/>
    <w:rsid w:val="004B1318"/>
    <w:rsid w:val="004B1E17"/>
    <w:rsid w:val="004B2E39"/>
    <w:rsid w:val="004B3D3F"/>
    <w:rsid w:val="004B494D"/>
    <w:rsid w:val="004B4EA0"/>
    <w:rsid w:val="004B4FB1"/>
    <w:rsid w:val="004B62DA"/>
    <w:rsid w:val="004C0ABE"/>
    <w:rsid w:val="004C0C76"/>
    <w:rsid w:val="004C1269"/>
    <w:rsid w:val="004C1496"/>
    <w:rsid w:val="004C1B63"/>
    <w:rsid w:val="004C224F"/>
    <w:rsid w:val="004C27D5"/>
    <w:rsid w:val="004C2EE3"/>
    <w:rsid w:val="004C3D0D"/>
    <w:rsid w:val="004C3E43"/>
    <w:rsid w:val="004C3FE6"/>
    <w:rsid w:val="004C6B54"/>
    <w:rsid w:val="004C7016"/>
    <w:rsid w:val="004C74EA"/>
    <w:rsid w:val="004D225B"/>
    <w:rsid w:val="004D23C1"/>
    <w:rsid w:val="004D2F0E"/>
    <w:rsid w:val="004D31DC"/>
    <w:rsid w:val="004D3BE6"/>
    <w:rsid w:val="004D40EE"/>
    <w:rsid w:val="004D45E9"/>
    <w:rsid w:val="004D4BE3"/>
    <w:rsid w:val="004D4FAA"/>
    <w:rsid w:val="004D684F"/>
    <w:rsid w:val="004D6DB8"/>
    <w:rsid w:val="004D6EDD"/>
    <w:rsid w:val="004E04D9"/>
    <w:rsid w:val="004E26A2"/>
    <w:rsid w:val="004E27C0"/>
    <w:rsid w:val="004E38D4"/>
    <w:rsid w:val="004E42BA"/>
    <w:rsid w:val="004E4486"/>
    <w:rsid w:val="004E4A22"/>
    <w:rsid w:val="004E5007"/>
    <w:rsid w:val="004E5E5A"/>
    <w:rsid w:val="004E61C8"/>
    <w:rsid w:val="004E684A"/>
    <w:rsid w:val="004E6BE6"/>
    <w:rsid w:val="004E6EDB"/>
    <w:rsid w:val="004E738E"/>
    <w:rsid w:val="004E746C"/>
    <w:rsid w:val="004F040F"/>
    <w:rsid w:val="004F065B"/>
    <w:rsid w:val="004F08A0"/>
    <w:rsid w:val="004F1480"/>
    <w:rsid w:val="004F1995"/>
    <w:rsid w:val="004F1FC4"/>
    <w:rsid w:val="004F22AE"/>
    <w:rsid w:val="004F2658"/>
    <w:rsid w:val="004F3A1E"/>
    <w:rsid w:val="004F3A82"/>
    <w:rsid w:val="004F3E2B"/>
    <w:rsid w:val="004F54DA"/>
    <w:rsid w:val="004F7FF4"/>
    <w:rsid w:val="005003A1"/>
    <w:rsid w:val="0050066F"/>
    <w:rsid w:val="005018A4"/>
    <w:rsid w:val="00503F23"/>
    <w:rsid w:val="00504094"/>
    <w:rsid w:val="005055F0"/>
    <w:rsid w:val="00505B12"/>
    <w:rsid w:val="00506976"/>
    <w:rsid w:val="00506E4F"/>
    <w:rsid w:val="00510270"/>
    <w:rsid w:val="0051037E"/>
    <w:rsid w:val="0051047A"/>
    <w:rsid w:val="00510501"/>
    <w:rsid w:val="0051156E"/>
    <w:rsid w:val="00511968"/>
    <w:rsid w:val="005125CB"/>
    <w:rsid w:val="00513E90"/>
    <w:rsid w:val="005143A4"/>
    <w:rsid w:val="00514ED5"/>
    <w:rsid w:val="0051542E"/>
    <w:rsid w:val="00515437"/>
    <w:rsid w:val="005159D0"/>
    <w:rsid w:val="00515D82"/>
    <w:rsid w:val="0051754D"/>
    <w:rsid w:val="0051793E"/>
    <w:rsid w:val="00517D65"/>
    <w:rsid w:val="00517D6F"/>
    <w:rsid w:val="00520099"/>
    <w:rsid w:val="00520B05"/>
    <w:rsid w:val="00520B42"/>
    <w:rsid w:val="00520DA3"/>
    <w:rsid w:val="005214FA"/>
    <w:rsid w:val="00521D8E"/>
    <w:rsid w:val="00522E9E"/>
    <w:rsid w:val="00522EE3"/>
    <w:rsid w:val="00523073"/>
    <w:rsid w:val="00523327"/>
    <w:rsid w:val="00523F75"/>
    <w:rsid w:val="00524186"/>
    <w:rsid w:val="00525084"/>
    <w:rsid w:val="0052755A"/>
    <w:rsid w:val="0053082C"/>
    <w:rsid w:val="00531381"/>
    <w:rsid w:val="0053150D"/>
    <w:rsid w:val="0053171D"/>
    <w:rsid w:val="00531A5B"/>
    <w:rsid w:val="005320EB"/>
    <w:rsid w:val="00532E03"/>
    <w:rsid w:val="0053605B"/>
    <w:rsid w:val="00536BFA"/>
    <w:rsid w:val="00541071"/>
    <w:rsid w:val="0054250A"/>
    <w:rsid w:val="0054268F"/>
    <w:rsid w:val="0054347E"/>
    <w:rsid w:val="00543D2A"/>
    <w:rsid w:val="00544D64"/>
    <w:rsid w:val="00544EE2"/>
    <w:rsid w:val="0054537A"/>
    <w:rsid w:val="005463BF"/>
    <w:rsid w:val="00546975"/>
    <w:rsid w:val="0054766F"/>
    <w:rsid w:val="00547A2C"/>
    <w:rsid w:val="00547DA1"/>
    <w:rsid w:val="00550262"/>
    <w:rsid w:val="00550DC1"/>
    <w:rsid w:val="00552666"/>
    <w:rsid w:val="0055465E"/>
    <w:rsid w:val="005557F9"/>
    <w:rsid w:val="00555B08"/>
    <w:rsid w:val="00555C67"/>
    <w:rsid w:val="0055614C"/>
    <w:rsid w:val="005574B0"/>
    <w:rsid w:val="005575B2"/>
    <w:rsid w:val="00557CC6"/>
    <w:rsid w:val="00557DE1"/>
    <w:rsid w:val="00562421"/>
    <w:rsid w:val="005624EF"/>
    <w:rsid w:val="00563F24"/>
    <w:rsid w:val="00565FFD"/>
    <w:rsid w:val="00566207"/>
    <w:rsid w:val="00566D11"/>
    <w:rsid w:val="005674F2"/>
    <w:rsid w:val="00570464"/>
    <w:rsid w:val="00571492"/>
    <w:rsid w:val="0057295B"/>
    <w:rsid w:val="0057316C"/>
    <w:rsid w:val="00573674"/>
    <w:rsid w:val="005744E4"/>
    <w:rsid w:val="005745BC"/>
    <w:rsid w:val="00574C7A"/>
    <w:rsid w:val="005751E6"/>
    <w:rsid w:val="0057573D"/>
    <w:rsid w:val="00576583"/>
    <w:rsid w:val="00576F41"/>
    <w:rsid w:val="005779A0"/>
    <w:rsid w:val="00580324"/>
    <w:rsid w:val="00580622"/>
    <w:rsid w:val="00580D53"/>
    <w:rsid w:val="00581BA8"/>
    <w:rsid w:val="0058256E"/>
    <w:rsid w:val="0058351B"/>
    <w:rsid w:val="00584C3D"/>
    <w:rsid w:val="00584D65"/>
    <w:rsid w:val="0058550F"/>
    <w:rsid w:val="0058709D"/>
    <w:rsid w:val="005913B3"/>
    <w:rsid w:val="00591A44"/>
    <w:rsid w:val="0059251D"/>
    <w:rsid w:val="005925AF"/>
    <w:rsid w:val="00592DF3"/>
    <w:rsid w:val="00593709"/>
    <w:rsid w:val="0059374A"/>
    <w:rsid w:val="005945AC"/>
    <w:rsid w:val="0059495E"/>
    <w:rsid w:val="005950B3"/>
    <w:rsid w:val="005958E7"/>
    <w:rsid w:val="00596B9F"/>
    <w:rsid w:val="00596BFE"/>
    <w:rsid w:val="0059769E"/>
    <w:rsid w:val="00597E2F"/>
    <w:rsid w:val="005A020E"/>
    <w:rsid w:val="005A030F"/>
    <w:rsid w:val="005A1329"/>
    <w:rsid w:val="005A1CBD"/>
    <w:rsid w:val="005A1EC4"/>
    <w:rsid w:val="005A251B"/>
    <w:rsid w:val="005A26BE"/>
    <w:rsid w:val="005A2A9B"/>
    <w:rsid w:val="005A2E64"/>
    <w:rsid w:val="005A39DF"/>
    <w:rsid w:val="005A50E8"/>
    <w:rsid w:val="005A5512"/>
    <w:rsid w:val="005A580F"/>
    <w:rsid w:val="005A5CE9"/>
    <w:rsid w:val="005A7F50"/>
    <w:rsid w:val="005B0158"/>
    <w:rsid w:val="005B0E3E"/>
    <w:rsid w:val="005B0F00"/>
    <w:rsid w:val="005B17FE"/>
    <w:rsid w:val="005B1AFB"/>
    <w:rsid w:val="005B2049"/>
    <w:rsid w:val="005B2080"/>
    <w:rsid w:val="005B272B"/>
    <w:rsid w:val="005B3DCE"/>
    <w:rsid w:val="005B421A"/>
    <w:rsid w:val="005B4AEE"/>
    <w:rsid w:val="005B68FB"/>
    <w:rsid w:val="005B701A"/>
    <w:rsid w:val="005B7050"/>
    <w:rsid w:val="005C0CC0"/>
    <w:rsid w:val="005C1FA8"/>
    <w:rsid w:val="005C235A"/>
    <w:rsid w:val="005C28B0"/>
    <w:rsid w:val="005C2D07"/>
    <w:rsid w:val="005C2E48"/>
    <w:rsid w:val="005C3571"/>
    <w:rsid w:val="005C3C16"/>
    <w:rsid w:val="005C4EF7"/>
    <w:rsid w:val="005C5D24"/>
    <w:rsid w:val="005C7135"/>
    <w:rsid w:val="005D0C4B"/>
    <w:rsid w:val="005D0D3F"/>
    <w:rsid w:val="005D1761"/>
    <w:rsid w:val="005D2539"/>
    <w:rsid w:val="005D25BF"/>
    <w:rsid w:val="005D308C"/>
    <w:rsid w:val="005D3566"/>
    <w:rsid w:val="005D4974"/>
    <w:rsid w:val="005D6FC2"/>
    <w:rsid w:val="005E0778"/>
    <w:rsid w:val="005E14C2"/>
    <w:rsid w:val="005E1D51"/>
    <w:rsid w:val="005E357E"/>
    <w:rsid w:val="005E358C"/>
    <w:rsid w:val="005E3E7D"/>
    <w:rsid w:val="005E513F"/>
    <w:rsid w:val="005E58CC"/>
    <w:rsid w:val="005E63DF"/>
    <w:rsid w:val="005E6AFF"/>
    <w:rsid w:val="005E7636"/>
    <w:rsid w:val="005E7F9F"/>
    <w:rsid w:val="005F1232"/>
    <w:rsid w:val="005F335F"/>
    <w:rsid w:val="005F3C84"/>
    <w:rsid w:val="005F46E9"/>
    <w:rsid w:val="005F479B"/>
    <w:rsid w:val="005F4A5F"/>
    <w:rsid w:val="005F4AC8"/>
    <w:rsid w:val="005F5724"/>
    <w:rsid w:val="005F5CA7"/>
    <w:rsid w:val="005F5D31"/>
    <w:rsid w:val="005F5E06"/>
    <w:rsid w:val="005F6603"/>
    <w:rsid w:val="005F7008"/>
    <w:rsid w:val="00600CB8"/>
    <w:rsid w:val="00600DCD"/>
    <w:rsid w:val="0060343F"/>
    <w:rsid w:val="00604434"/>
    <w:rsid w:val="00604C25"/>
    <w:rsid w:val="006056B3"/>
    <w:rsid w:val="00606064"/>
    <w:rsid w:val="006060D5"/>
    <w:rsid w:val="00606592"/>
    <w:rsid w:val="00607BA5"/>
    <w:rsid w:val="0061062B"/>
    <w:rsid w:val="0061113F"/>
    <w:rsid w:val="0061180A"/>
    <w:rsid w:val="00612BA9"/>
    <w:rsid w:val="00614319"/>
    <w:rsid w:val="006146CB"/>
    <w:rsid w:val="006149F2"/>
    <w:rsid w:val="00615A25"/>
    <w:rsid w:val="006169A0"/>
    <w:rsid w:val="00620DAF"/>
    <w:rsid w:val="0062104D"/>
    <w:rsid w:val="006216D3"/>
    <w:rsid w:val="00622D93"/>
    <w:rsid w:val="00623B55"/>
    <w:rsid w:val="006247F4"/>
    <w:rsid w:val="00625131"/>
    <w:rsid w:val="006255B3"/>
    <w:rsid w:val="00625BA1"/>
    <w:rsid w:val="0062665A"/>
    <w:rsid w:val="00626EB6"/>
    <w:rsid w:val="00626F62"/>
    <w:rsid w:val="00627ABF"/>
    <w:rsid w:val="00627F07"/>
    <w:rsid w:val="00630797"/>
    <w:rsid w:val="00631297"/>
    <w:rsid w:val="0063321D"/>
    <w:rsid w:val="006332BB"/>
    <w:rsid w:val="006337D8"/>
    <w:rsid w:val="0063467D"/>
    <w:rsid w:val="0063497E"/>
    <w:rsid w:val="00637CD2"/>
    <w:rsid w:val="00640607"/>
    <w:rsid w:val="0064064A"/>
    <w:rsid w:val="00640750"/>
    <w:rsid w:val="006412D7"/>
    <w:rsid w:val="00642260"/>
    <w:rsid w:val="00643BFE"/>
    <w:rsid w:val="00644E17"/>
    <w:rsid w:val="00646273"/>
    <w:rsid w:val="006464A8"/>
    <w:rsid w:val="006464A9"/>
    <w:rsid w:val="00647845"/>
    <w:rsid w:val="00647C19"/>
    <w:rsid w:val="006501E7"/>
    <w:rsid w:val="00650331"/>
    <w:rsid w:val="006509D0"/>
    <w:rsid w:val="006510FD"/>
    <w:rsid w:val="00651591"/>
    <w:rsid w:val="00651622"/>
    <w:rsid w:val="00652126"/>
    <w:rsid w:val="00652E71"/>
    <w:rsid w:val="0065421C"/>
    <w:rsid w:val="006548A1"/>
    <w:rsid w:val="006551F8"/>
    <w:rsid w:val="00655375"/>
    <w:rsid w:val="00655427"/>
    <w:rsid w:val="00655D03"/>
    <w:rsid w:val="00656025"/>
    <w:rsid w:val="006578E5"/>
    <w:rsid w:val="00661A6C"/>
    <w:rsid w:val="006655AD"/>
    <w:rsid w:val="00665638"/>
    <w:rsid w:val="0066589B"/>
    <w:rsid w:val="0066590D"/>
    <w:rsid w:val="00670BE3"/>
    <w:rsid w:val="00670F33"/>
    <w:rsid w:val="006726AB"/>
    <w:rsid w:val="006739A7"/>
    <w:rsid w:val="00673EAE"/>
    <w:rsid w:val="0067435F"/>
    <w:rsid w:val="00675FF7"/>
    <w:rsid w:val="006762BB"/>
    <w:rsid w:val="006767C9"/>
    <w:rsid w:val="00676A10"/>
    <w:rsid w:val="0067703F"/>
    <w:rsid w:val="00677641"/>
    <w:rsid w:val="0068065B"/>
    <w:rsid w:val="00681A16"/>
    <w:rsid w:val="00682AEE"/>
    <w:rsid w:val="00682FA2"/>
    <w:rsid w:val="00683388"/>
    <w:rsid w:val="00683501"/>
    <w:rsid w:val="00683AD0"/>
    <w:rsid w:val="00683F84"/>
    <w:rsid w:val="00684259"/>
    <w:rsid w:val="00684468"/>
    <w:rsid w:val="0068674B"/>
    <w:rsid w:val="00687799"/>
    <w:rsid w:val="006905EC"/>
    <w:rsid w:val="0069130B"/>
    <w:rsid w:val="00691C2B"/>
    <w:rsid w:val="00691DEB"/>
    <w:rsid w:val="00692201"/>
    <w:rsid w:val="00692292"/>
    <w:rsid w:val="00693B2E"/>
    <w:rsid w:val="0069552A"/>
    <w:rsid w:val="00695BB6"/>
    <w:rsid w:val="00696401"/>
    <w:rsid w:val="00696957"/>
    <w:rsid w:val="00697444"/>
    <w:rsid w:val="006A0D62"/>
    <w:rsid w:val="006A11DB"/>
    <w:rsid w:val="006A16FE"/>
    <w:rsid w:val="006A1707"/>
    <w:rsid w:val="006A1E25"/>
    <w:rsid w:val="006A2797"/>
    <w:rsid w:val="006A316F"/>
    <w:rsid w:val="006A4FC4"/>
    <w:rsid w:val="006A5A2A"/>
    <w:rsid w:val="006A5C19"/>
    <w:rsid w:val="006A6A81"/>
    <w:rsid w:val="006A755C"/>
    <w:rsid w:val="006B1162"/>
    <w:rsid w:val="006B2A0B"/>
    <w:rsid w:val="006B3124"/>
    <w:rsid w:val="006B3544"/>
    <w:rsid w:val="006B35DB"/>
    <w:rsid w:val="006B4CC5"/>
    <w:rsid w:val="006B53D0"/>
    <w:rsid w:val="006B586F"/>
    <w:rsid w:val="006B608C"/>
    <w:rsid w:val="006B60BB"/>
    <w:rsid w:val="006B68AC"/>
    <w:rsid w:val="006C07D0"/>
    <w:rsid w:val="006C0C93"/>
    <w:rsid w:val="006C16BF"/>
    <w:rsid w:val="006C19EE"/>
    <w:rsid w:val="006C22C7"/>
    <w:rsid w:val="006C2913"/>
    <w:rsid w:val="006C443C"/>
    <w:rsid w:val="006C46F8"/>
    <w:rsid w:val="006C4EF4"/>
    <w:rsid w:val="006C5A5D"/>
    <w:rsid w:val="006C70A7"/>
    <w:rsid w:val="006C7BEF"/>
    <w:rsid w:val="006D05F3"/>
    <w:rsid w:val="006D0AEE"/>
    <w:rsid w:val="006D0E99"/>
    <w:rsid w:val="006D1F83"/>
    <w:rsid w:val="006D20A0"/>
    <w:rsid w:val="006D2171"/>
    <w:rsid w:val="006D2219"/>
    <w:rsid w:val="006D3297"/>
    <w:rsid w:val="006D46C0"/>
    <w:rsid w:val="006D50EC"/>
    <w:rsid w:val="006D5BE7"/>
    <w:rsid w:val="006D61E0"/>
    <w:rsid w:val="006D6EEA"/>
    <w:rsid w:val="006D7521"/>
    <w:rsid w:val="006D7533"/>
    <w:rsid w:val="006D77A0"/>
    <w:rsid w:val="006E000A"/>
    <w:rsid w:val="006E3759"/>
    <w:rsid w:val="006E585D"/>
    <w:rsid w:val="006E6953"/>
    <w:rsid w:val="006E7868"/>
    <w:rsid w:val="006E7C41"/>
    <w:rsid w:val="006E7C4C"/>
    <w:rsid w:val="006F08CA"/>
    <w:rsid w:val="006F0DAA"/>
    <w:rsid w:val="006F0DDE"/>
    <w:rsid w:val="006F0EAD"/>
    <w:rsid w:val="006F13DA"/>
    <w:rsid w:val="006F1D4D"/>
    <w:rsid w:val="006F205C"/>
    <w:rsid w:val="006F3A27"/>
    <w:rsid w:val="006F4D4C"/>
    <w:rsid w:val="006F5570"/>
    <w:rsid w:val="006F5E45"/>
    <w:rsid w:val="006F6640"/>
    <w:rsid w:val="006F7001"/>
    <w:rsid w:val="006F7075"/>
    <w:rsid w:val="006F7393"/>
    <w:rsid w:val="006F7E53"/>
    <w:rsid w:val="00700926"/>
    <w:rsid w:val="00700ACF"/>
    <w:rsid w:val="00700ADC"/>
    <w:rsid w:val="00701595"/>
    <w:rsid w:val="00701932"/>
    <w:rsid w:val="00701F80"/>
    <w:rsid w:val="0070224F"/>
    <w:rsid w:val="00702E28"/>
    <w:rsid w:val="00704B81"/>
    <w:rsid w:val="00704E97"/>
    <w:rsid w:val="00705A61"/>
    <w:rsid w:val="00705CFA"/>
    <w:rsid w:val="00705D6B"/>
    <w:rsid w:val="007063D7"/>
    <w:rsid w:val="00706C60"/>
    <w:rsid w:val="00706D32"/>
    <w:rsid w:val="007074F2"/>
    <w:rsid w:val="007075A4"/>
    <w:rsid w:val="00710784"/>
    <w:rsid w:val="00710894"/>
    <w:rsid w:val="007115F7"/>
    <w:rsid w:val="00713CFD"/>
    <w:rsid w:val="007144C4"/>
    <w:rsid w:val="00715249"/>
    <w:rsid w:val="00715307"/>
    <w:rsid w:val="0071562B"/>
    <w:rsid w:val="007164CB"/>
    <w:rsid w:val="007165D5"/>
    <w:rsid w:val="00716913"/>
    <w:rsid w:val="007171B1"/>
    <w:rsid w:val="007178D1"/>
    <w:rsid w:val="00721169"/>
    <w:rsid w:val="007214CA"/>
    <w:rsid w:val="00721612"/>
    <w:rsid w:val="00721A3D"/>
    <w:rsid w:val="0072265F"/>
    <w:rsid w:val="00722EF4"/>
    <w:rsid w:val="00723447"/>
    <w:rsid w:val="00723598"/>
    <w:rsid w:val="00723BD3"/>
    <w:rsid w:val="00723F2E"/>
    <w:rsid w:val="0072403F"/>
    <w:rsid w:val="00724449"/>
    <w:rsid w:val="0072476E"/>
    <w:rsid w:val="00724AAC"/>
    <w:rsid w:val="00727804"/>
    <w:rsid w:val="007306C9"/>
    <w:rsid w:val="00730B04"/>
    <w:rsid w:val="007327AA"/>
    <w:rsid w:val="00732DF5"/>
    <w:rsid w:val="0073367F"/>
    <w:rsid w:val="0073399A"/>
    <w:rsid w:val="00734D02"/>
    <w:rsid w:val="007354E3"/>
    <w:rsid w:val="00735878"/>
    <w:rsid w:val="00736813"/>
    <w:rsid w:val="00736828"/>
    <w:rsid w:val="00737785"/>
    <w:rsid w:val="00737E65"/>
    <w:rsid w:val="007418E8"/>
    <w:rsid w:val="00742308"/>
    <w:rsid w:val="00743735"/>
    <w:rsid w:val="00745A22"/>
    <w:rsid w:val="00745C1D"/>
    <w:rsid w:val="00746FBF"/>
    <w:rsid w:val="00747F2E"/>
    <w:rsid w:val="00750A89"/>
    <w:rsid w:val="007526EA"/>
    <w:rsid w:val="00752F31"/>
    <w:rsid w:val="00752FA5"/>
    <w:rsid w:val="00754CA7"/>
    <w:rsid w:val="00755197"/>
    <w:rsid w:val="00755556"/>
    <w:rsid w:val="00755872"/>
    <w:rsid w:val="00755FC0"/>
    <w:rsid w:val="0075690A"/>
    <w:rsid w:val="00757856"/>
    <w:rsid w:val="00761A44"/>
    <w:rsid w:val="00761F69"/>
    <w:rsid w:val="00763C2F"/>
    <w:rsid w:val="00763DBA"/>
    <w:rsid w:val="00764A6E"/>
    <w:rsid w:val="00765ECF"/>
    <w:rsid w:val="007670B0"/>
    <w:rsid w:val="00767A6C"/>
    <w:rsid w:val="00771452"/>
    <w:rsid w:val="00771862"/>
    <w:rsid w:val="007722EC"/>
    <w:rsid w:val="007734FC"/>
    <w:rsid w:val="007743AA"/>
    <w:rsid w:val="007748E3"/>
    <w:rsid w:val="00774E8E"/>
    <w:rsid w:val="00775BB3"/>
    <w:rsid w:val="0077625B"/>
    <w:rsid w:val="0078025F"/>
    <w:rsid w:val="00780374"/>
    <w:rsid w:val="0078062E"/>
    <w:rsid w:val="0078192A"/>
    <w:rsid w:val="00782A3E"/>
    <w:rsid w:val="00785689"/>
    <w:rsid w:val="00785954"/>
    <w:rsid w:val="00786896"/>
    <w:rsid w:val="00786905"/>
    <w:rsid w:val="0078711F"/>
    <w:rsid w:val="007875A7"/>
    <w:rsid w:val="00787B79"/>
    <w:rsid w:val="00787C37"/>
    <w:rsid w:val="00792BA7"/>
    <w:rsid w:val="00792F93"/>
    <w:rsid w:val="00792FDD"/>
    <w:rsid w:val="00793FCB"/>
    <w:rsid w:val="00794A7B"/>
    <w:rsid w:val="00794FAE"/>
    <w:rsid w:val="00795D51"/>
    <w:rsid w:val="007970A1"/>
    <w:rsid w:val="0079754B"/>
    <w:rsid w:val="007A0959"/>
    <w:rsid w:val="007A0F64"/>
    <w:rsid w:val="007A1E6D"/>
    <w:rsid w:val="007A24A4"/>
    <w:rsid w:val="007A2B98"/>
    <w:rsid w:val="007A3227"/>
    <w:rsid w:val="007A3682"/>
    <w:rsid w:val="007A5A30"/>
    <w:rsid w:val="007A6D2B"/>
    <w:rsid w:val="007A6E63"/>
    <w:rsid w:val="007B0EB2"/>
    <w:rsid w:val="007B0F2C"/>
    <w:rsid w:val="007B11F8"/>
    <w:rsid w:val="007B141E"/>
    <w:rsid w:val="007B18AA"/>
    <w:rsid w:val="007B1E04"/>
    <w:rsid w:val="007B246E"/>
    <w:rsid w:val="007B2559"/>
    <w:rsid w:val="007B2934"/>
    <w:rsid w:val="007B294D"/>
    <w:rsid w:val="007B29E6"/>
    <w:rsid w:val="007B3CFF"/>
    <w:rsid w:val="007B5D05"/>
    <w:rsid w:val="007B604E"/>
    <w:rsid w:val="007B67BA"/>
    <w:rsid w:val="007B7695"/>
    <w:rsid w:val="007B7B63"/>
    <w:rsid w:val="007C0A44"/>
    <w:rsid w:val="007C2112"/>
    <w:rsid w:val="007C22EE"/>
    <w:rsid w:val="007C25F2"/>
    <w:rsid w:val="007C268F"/>
    <w:rsid w:val="007C3947"/>
    <w:rsid w:val="007C3CEC"/>
    <w:rsid w:val="007C4742"/>
    <w:rsid w:val="007C4DC3"/>
    <w:rsid w:val="007C526F"/>
    <w:rsid w:val="007C6D76"/>
    <w:rsid w:val="007C6E0D"/>
    <w:rsid w:val="007C6E1A"/>
    <w:rsid w:val="007C7139"/>
    <w:rsid w:val="007C72F4"/>
    <w:rsid w:val="007C7496"/>
    <w:rsid w:val="007C7EF5"/>
    <w:rsid w:val="007D0A7F"/>
    <w:rsid w:val="007D0C4D"/>
    <w:rsid w:val="007D15B1"/>
    <w:rsid w:val="007D221A"/>
    <w:rsid w:val="007D2A67"/>
    <w:rsid w:val="007D2E8D"/>
    <w:rsid w:val="007D3EEC"/>
    <w:rsid w:val="007D428D"/>
    <w:rsid w:val="007D4457"/>
    <w:rsid w:val="007D4488"/>
    <w:rsid w:val="007D48B2"/>
    <w:rsid w:val="007D52D7"/>
    <w:rsid w:val="007D5554"/>
    <w:rsid w:val="007D6619"/>
    <w:rsid w:val="007D6A33"/>
    <w:rsid w:val="007D7059"/>
    <w:rsid w:val="007E07D4"/>
    <w:rsid w:val="007E0E1A"/>
    <w:rsid w:val="007E1584"/>
    <w:rsid w:val="007E187F"/>
    <w:rsid w:val="007E23F5"/>
    <w:rsid w:val="007E24D4"/>
    <w:rsid w:val="007E2C33"/>
    <w:rsid w:val="007E38D7"/>
    <w:rsid w:val="007E43CA"/>
    <w:rsid w:val="007E4B39"/>
    <w:rsid w:val="007E6497"/>
    <w:rsid w:val="007E6D0B"/>
    <w:rsid w:val="007F029B"/>
    <w:rsid w:val="007F02C2"/>
    <w:rsid w:val="007F0330"/>
    <w:rsid w:val="007F1F07"/>
    <w:rsid w:val="007F2BDE"/>
    <w:rsid w:val="007F2BED"/>
    <w:rsid w:val="007F336B"/>
    <w:rsid w:val="007F3FB2"/>
    <w:rsid w:val="007F45F4"/>
    <w:rsid w:val="007F4D7B"/>
    <w:rsid w:val="007F5286"/>
    <w:rsid w:val="007F575F"/>
    <w:rsid w:val="007F5B1F"/>
    <w:rsid w:val="007F62B1"/>
    <w:rsid w:val="007F6BAD"/>
    <w:rsid w:val="007F7FCB"/>
    <w:rsid w:val="00800C3E"/>
    <w:rsid w:val="00800D50"/>
    <w:rsid w:val="0080158D"/>
    <w:rsid w:val="00801DFD"/>
    <w:rsid w:val="00802655"/>
    <w:rsid w:val="0080281F"/>
    <w:rsid w:val="00802A85"/>
    <w:rsid w:val="00802B24"/>
    <w:rsid w:val="008040EB"/>
    <w:rsid w:val="0080428D"/>
    <w:rsid w:val="00804C0E"/>
    <w:rsid w:val="00805F1F"/>
    <w:rsid w:val="00806771"/>
    <w:rsid w:val="00810044"/>
    <w:rsid w:val="008100E6"/>
    <w:rsid w:val="00810B6F"/>
    <w:rsid w:val="00810EB5"/>
    <w:rsid w:val="008120F0"/>
    <w:rsid w:val="00812285"/>
    <w:rsid w:val="00813751"/>
    <w:rsid w:val="008137B2"/>
    <w:rsid w:val="00814BE3"/>
    <w:rsid w:val="00815903"/>
    <w:rsid w:val="00816E45"/>
    <w:rsid w:val="00817809"/>
    <w:rsid w:val="0081786E"/>
    <w:rsid w:val="00820848"/>
    <w:rsid w:val="0082125C"/>
    <w:rsid w:val="0082224B"/>
    <w:rsid w:val="008229BE"/>
    <w:rsid w:val="00822CE0"/>
    <w:rsid w:val="0082473A"/>
    <w:rsid w:val="00824763"/>
    <w:rsid w:val="00824955"/>
    <w:rsid w:val="00825828"/>
    <w:rsid w:val="00827428"/>
    <w:rsid w:val="00827CD5"/>
    <w:rsid w:val="00832EF3"/>
    <w:rsid w:val="00833005"/>
    <w:rsid w:val="008337D0"/>
    <w:rsid w:val="008346E7"/>
    <w:rsid w:val="00834AAB"/>
    <w:rsid w:val="008361A3"/>
    <w:rsid w:val="008361CD"/>
    <w:rsid w:val="008375F6"/>
    <w:rsid w:val="008408E3"/>
    <w:rsid w:val="008408F0"/>
    <w:rsid w:val="00841AB1"/>
    <w:rsid w:val="00841D02"/>
    <w:rsid w:val="00842E21"/>
    <w:rsid w:val="00842E83"/>
    <w:rsid w:val="00843EE0"/>
    <w:rsid w:val="00843FEE"/>
    <w:rsid w:val="0084443C"/>
    <w:rsid w:val="008471CA"/>
    <w:rsid w:val="0084793D"/>
    <w:rsid w:val="00850B04"/>
    <w:rsid w:val="00851FEB"/>
    <w:rsid w:val="00852321"/>
    <w:rsid w:val="00853FA9"/>
    <w:rsid w:val="008544F6"/>
    <w:rsid w:val="0085551D"/>
    <w:rsid w:val="00855524"/>
    <w:rsid w:val="00856191"/>
    <w:rsid w:val="00857FE1"/>
    <w:rsid w:val="0086133D"/>
    <w:rsid w:val="00861428"/>
    <w:rsid w:val="00861DE7"/>
    <w:rsid w:val="008627D5"/>
    <w:rsid w:val="00863470"/>
    <w:rsid w:val="008647B0"/>
    <w:rsid w:val="0086518E"/>
    <w:rsid w:val="008654D1"/>
    <w:rsid w:val="00865B83"/>
    <w:rsid w:val="00866BC4"/>
    <w:rsid w:val="00867468"/>
    <w:rsid w:val="00867646"/>
    <w:rsid w:val="00871561"/>
    <w:rsid w:val="00871E16"/>
    <w:rsid w:val="008725D4"/>
    <w:rsid w:val="00872A6B"/>
    <w:rsid w:val="0087422B"/>
    <w:rsid w:val="008752E9"/>
    <w:rsid w:val="0087572F"/>
    <w:rsid w:val="00876562"/>
    <w:rsid w:val="008768F8"/>
    <w:rsid w:val="008769C2"/>
    <w:rsid w:val="0087796E"/>
    <w:rsid w:val="00877F03"/>
    <w:rsid w:val="00877F6F"/>
    <w:rsid w:val="00880E82"/>
    <w:rsid w:val="008815DA"/>
    <w:rsid w:val="00881936"/>
    <w:rsid w:val="00881AE0"/>
    <w:rsid w:val="00881FAD"/>
    <w:rsid w:val="00882D9D"/>
    <w:rsid w:val="0088329D"/>
    <w:rsid w:val="008837D8"/>
    <w:rsid w:val="00883838"/>
    <w:rsid w:val="008839A8"/>
    <w:rsid w:val="00883ED6"/>
    <w:rsid w:val="00884B94"/>
    <w:rsid w:val="00884D70"/>
    <w:rsid w:val="00884F48"/>
    <w:rsid w:val="00886E4C"/>
    <w:rsid w:val="00887FB3"/>
    <w:rsid w:val="00890B1C"/>
    <w:rsid w:val="0089154C"/>
    <w:rsid w:val="008919B3"/>
    <w:rsid w:val="00891A80"/>
    <w:rsid w:val="008920C5"/>
    <w:rsid w:val="00892F55"/>
    <w:rsid w:val="008972EA"/>
    <w:rsid w:val="00897CA7"/>
    <w:rsid w:val="00897D13"/>
    <w:rsid w:val="00897FD3"/>
    <w:rsid w:val="008A0D69"/>
    <w:rsid w:val="008A1DC5"/>
    <w:rsid w:val="008A20B0"/>
    <w:rsid w:val="008A2381"/>
    <w:rsid w:val="008A2CF1"/>
    <w:rsid w:val="008A3342"/>
    <w:rsid w:val="008A35D9"/>
    <w:rsid w:val="008A3854"/>
    <w:rsid w:val="008A3868"/>
    <w:rsid w:val="008A4267"/>
    <w:rsid w:val="008A74D1"/>
    <w:rsid w:val="008B0868"/>
    <w:rsid w:val="008B0DD9"/>
    <w:rsid w:val="008B2B1F"/>
    <w:rsid w:val="008B2E36"/>
    <w:rsid w:val="008B40DB"/>
    <w:rsid w:val="008B40E4"/>
    <w:rsid w:val="008B5FF0"/>
    <w:rsid w:val="008B6B66"/>
    <w:rsid w:val="008B79DA"/>
    <w:rsid w:val="008C0D37"/>
    <w:rsid w:val="008C1935"/>
    <w:rsid w:val="008C2654"/>
    <w:rsid w:val="008C32E1"/>
    <w:rsid w:val="008C3972"/>
    <w:rsid w:val="008C3A75"/>
    <w:rsid w:val="008C4BCC"/>
    <w:rsid w:val="008C5798"/>
    <w:rsid w:val="008C64E7"/>
    <w:rsid w:val="008C65DF"/>
    <w:rsid w:val="008C670D"/>
    <w:rsid w:val="008C68F1"/>
    <w:rsid w:val="008C6A43"/>
    <w:rsid w:val="008C75CC"/>
    <w:rsid w:val="008C796E"/>
    <w:rsid w:val="008D0526"/>
    <w:rsid w:val="008D0803"/>
    <w:rsid w:val="008D0A3A"/>
    <w:rsid w:val="008D1B36"/>
    <w:rsid w:val="008D341A"/>
    <w:rsid w:val="008D3868"/>
    <w:rsid w:val="008D446B"/>
    <w:rsid w:val="008D4B2C"/>
    <w:rsid w:val="008D4CC1"/>
    <w:rsid w:val="008D5436"/>
    <w:rsid w:val="008D567D"/>
    <w:rsid w:val="008D57AF"/>
    <w:rsid w:val="008D6110"/>
    <w:rsid w:val="008D67B1"/>
    <w:rsid w:val="008D694F"/>
    <w:rsid w:val="008D7843"/>
    <w:rsid w:val="008E2446"/>
    <w:rsid w:val="008E3283"/>
    <w:rsid w:val="008E3A60"/>
    <w:rsid w:val="008E43B6"/>
    <w:rsid w:val="008E5855"/>
    <w:rsid w:val="008E59AB"/>
    <w:rsid w:val="008E5A9C"/>
    <w:rsid w:val="008E5ADC"/>
    <w:rsid w:val="008E6786"/>
    <w:rsid w:val="008E69F2"/>
    <w:rsid w:val="008E6F05"/>
    <w:rsid w:val="008F0804"/>
    <w:rsid w:val="008F0D94"/>
    <w:rsid w:val="008F106F"/>
    <w:rsid w:val="008F204C"/>
    <w:rsid w:val="008F268C"/>
    <w:rsid w:val="008F35BA"/>
    <w:rsid w:val="008F7A26"/>
    <w:rsid w:val="008F7C50"/>
    <w:rsid w:val="009013E7"/>
    <w:rsid w:val="00902449"/>
    <w:rsid w:val="0090264D"/>
    <w:rsid w:val="00902712"/>
    <w:rsid w:val="00903440"/>
    <w:rsid w:val="00903AE9"/>
    <w:rsid w:val="00903E6D"/>
    <w:rsid w:val="009052D8"/>
    <w:rsid w:val="00906396"/>
    <w:rsid w:val="0090705E"/>
    <w:rsid w:val="009078B9"/>
    <w:rsid w:val="00910F8B"/>
    <w:rsid w:val="00911822"/>
    <w:rsid w:val="009119F0"/>
    <w:rsid w:val="00912A0B"/>
    <w:rsid w:val="00913661"/>
    <w:rsid w:val="00913810"/>
    <w:rsid w:val="009138F4"/>
    <w:rsid w:val="009142FB"/>
    <w:rsid w:val="009167DC"/>
    <w:rsid w:val="00916AFC"/>
    <w:rsid w:val="00916E50"/>
    <w:rsid w:val="00920113"/>
    <w:rsid w:val="009202FE"/>
    <w:rsid w:val="009204AD"/>
    <w:rsid w:val="0092160F"/>
    <w:rsid w:val="00921803"/>
    <w:rsid w:val="00922116"/>
    <w:rsid w:val="00922BB1"/>
    <w:rsid w:val="00922C51"/>
    <w:rsid w:val="00922FFA"/>
    <w:rsid w:val="00923132"/>
    <w:rsid w:val="00924472"/>
    <w:rsid w:val="00924C7D"/>
    <w:rsid w:val="009254BE"/>
    <w:rsid w:val="0092588E"/>
    <w:rsid w:val="00926503"/>
    <w:rsid w:val="00926567"/>
    <w:rsid w:val="00926BCC"/>
    <w:rsid w:val="009275FD"/>
    <w:rsid w:val="00927B3D"/>
    <w:rsid w:val="00927CBB"/>
    <w:rsid w:val="009307C0"/>
    <w:rsid w:val="0093131C"/>
    <w:rsid w:val="00931523"/>
    <w:rsid w:val="009327C1"/>
    <w:rsid w:val="00932C23"/>
    <w:rsid w:val="0093359F"/>
    <w:rsid w:val="00933861"/>
    <w:rsid w:val="00936D0A"/>
    <w:rsid w:val="00937199"/>
    <w:rsid w:val="00937834"/>
    <w:rsid w:val="009406C2"/>
    <w:rsid w:val="00940746"/>
    <w:rsid w:val="009408E8"/>
    <w:rsid w:val="00940C53"/>
    <w:rsid w:val="00941095"/>
    <w:rsid w:val="00941A9B"/>
    <w:rsid w:val="00941FEC"/>
    <w:rsid w:val="0094225A"/>
    <w:rsid w:val="009423E5"/>
    <w:rsid w:val="00942C43"/>
    <w:rsid w:val="00942FB8"/>
    <w:rsid w:val="00944A5C"/>
    <w:rsid w:val="009460C2"/>
    <w:rsid w:val="00946462"/>
    <w:rsid w:val="00946747"/>
    <w:rsid w:val="00946761"/>
    <w:rsid w:val="00946B27"/>
    <w:rsid w:val="00946FB1"/>
    <w:rsid w:val="009471C3"/>
    <w:rsid w:val="00947E2E"/>
    <w:rsid w:val="009509FB"/>
    <w:rsid w:val="00952577"/>
    <w:rsid w:val="009525A0"/>
    <w:rsid w:val="00952829"/>
    <w:rsid w:val="009528D0"/>
    <w:rsid w:val="00953384"/>
    <w:rsid w:val="00953A43"/>
    <w:rsid w:val="00953F1D"/>
    <w:rsid w:val="009546C6"/>
    <w:rsid w:val="00954B4A"/>
    <w:rsid w:val="009555CC"/>
    <w:rsid w:val="00955AFA"/>
    <w:rsid w:val="00955BDF"/>
    <w:rsid w:val="0096062A"/>
    <w:rsid w:val="00960643"/>
    <w:rsid w:val="009611F5"/>
    <w:rsid w:val="009612DB"/>
    <w:rsid w:val="00961DA8"/>
    <w:rsid w:val="009622B2"/>
    <w:rsid w:val="00963F57"/>
    <w:rsid w:val="009650C3"/>
    <w:rsid w:val="009658C3"/>
    <w:rsid w:val="0096754D"/>
    <w:rsid w:val="009679A5"/>
    <w:rsid w:val="00970B88"/>
    <w:rsid w:val="00971237"/>
    <w:rsid w:val="009717E7"/>
    <w:rsid w:val="009723F1"/>
    <w:rsid w:val="009726D8"/>
    <w:rsid w:val="00973BD6"/>
    <w:rsid w:val="00974701"/>
    <w:rsid w:val="009751D3"/>
    <w:rsid w:val="00975ABE"/>
    <w:rsid w:val="00975BB4"/>
    <w:rsid w:val="00976009"/>
    <w:rsid w:val="0097631E"/>
    <w:rsid w:val="00976A38"/>
    <w:rsid w:val="00976EE1"/>
    <w:rsid w:val="009772C4"/>
    <w:rsid w:val="0097793C"/>
    <w:rsid w:val="00980580"/>
    <w:rsid w:val="009811A0"/>
    <w:rsid w:val="00981AED"/>
    <w:rsid w:val="00981C82"/>
    <w:rsid w:val="00981D9B"/>
    <w:rsid w:val="009821D9"/>
    <w:rsid w:val="00982605"/>
    <w:rsid w:val="00982A6C"/>
    <w:rsid w:val="00982D25"/>
    <w:rsid w:val="00982D8E"/>
    <w:rsid w:val="00982DD2"/>
    <w:rsid w:val="0098333E"/>
    <w:rsid w:val="00983D97"/>
    <w:rsid w:val="00984069"/>
    <w:rsid w:val="009845F0"/>
    <w:rsid w:val="009848BA"/>
    <w:rsid w:val="0098571D"/>
    <w:rsid w:val="0098609C"/>
    <w:rsid w:val="009861F8"/>
    <w:rsid w:val="00986B24"/>
    <w:rsid w:val="00987F19"/>
    <w:rsid w:val="009902F2"/>
    <w:rsid w:val="00990B99"/>
    <w:rsid w:val="00991314"/>
    <w:rsid w:val="00991CA0"/>
    <w:rsid w:val="00991DB7"/>
    <w:rsid w:val="00992868"/>
    <w:rsid w:val="00994164"/>
    <w:rsid w:val="00994DF2"/>
    <w:rsid w:val="00995DD4"/>
    <w:rsid w:val="009970E7"/>
    <w:rsid w:val="009973FC"/>
    <w:rsid w:val="00997790"/>
    <w:rsid w:val="009A0ECC"/>
    <w:rsid w:val="009A1CD8"/>
    <w:rsid w:val="009A2323"/>
    <w:rsid w:val="009A23B2"/>
    <w:rsid w:val="009A417E"/>
    <w:rsid w:val="009A47B6"/>
    <w:rsid w:val="009A49F6"/>
    <w:rsid w:val="009A54C4"/>
    <w:rsid w:val="009A55A6"/>
    <w:rsid w:val="009A56D8"/>
    <w:rsid w:val="009A5E98"/>
    <w:rsid w:val="009A6735"/>
    <w:rsid w:val="009A7004"/>
    <w:rsid w:val="009A71D5"/>
    <w:rsid w:val="009A71D8"/>
    <w:rsid w:val="009B0831"/>
    <w:rsid w:val="009B08F9"/>
    <w:rsid w:val="009B1298"/>
    <w:rsid w:val="009B3C14"/>
    <w:rsid w:val="009B4670"/>
    <w:rsid w:val="009B5102"/>
    <w:rsid w:val="009B582C"/>
    <w:rsid w:val="009B60B4"/>
    <w:rsid w:val="009B7D73"/>
    <w:rsid w:val="009C17BD"/>
    <w:rsid w:val="009C1BF5"/>
    <w:rsid w:val="009C1E87"/>
    <w:rsid w:val="009C2060"/>
    <w:rsid w:val="009C2254"/>
    <w:rsid w:val="009C279E"/>
    <w:rsid w:val="009C4478"/>
    <w:rsid w:val="009C4949"/>
    <w:rsid w:val="009C4CD5"/>
    <w:rsid w:val="009C517E"/>
    <w:rsid w:val="009C6033"/>
    <w:rsid w:val="009C734D"/>
    <w:rsid w:val="009D11BE"/>
    <w:rsid w:val="009D1D7E"/>
    <w:rsid w:val="009D20E1"/>
    <w:rsid w:val="009D2226"/>
    <w:rsid w:val="009D241F"/>
    <w:rsid w:val="009D2C66"/>
    <w:rsid w:val="009D3649"/>
    <w:rsid w:val="009D446F"/>
    <w:rsid w:val="009D523F"/>
    <w:rsid w:val="009D5749"/>
    <w:rsid w:val="009D582D"/>
    <w:rsid w:val="009D59C8"/>
    <w:rsid w:val="009D5E4F"/>
    <w:rsid w:val="009D6077"/>
    <w:rsid w:val="009D632F"/>
    <w:rsid w:val="009D781B"/>
    <w:rsid w:val="009E01A8"/>
    <w:rsid w:val="009E1A00"/>
    <w:rsid w:val="009E2107"/>
    <w:rsid w:val="009E27B0"/>
    <w:rsid w:val="009E2D04"/>
    <w:rsid w:val="009E3B02"/>
    <w:rsid w:val="009E43BB"/>
    <w:rsid w:val="009E471D"/>
    <w:rsid w:val="009E49CA"/>
    <w:rsid w:val="009E5B2A"/>
    <w:rsid w:val="009E5B9D"/>
    <w:rsid w:val="009E5DE4"/>
    <w:rsid w:val="009E5F35"/>
    <w:rsid w:val="009E62D4"/>
    <w:rsid w:val="009E7E0E"/>
    <w:rsid w:val="009F0A6F"/>
    <w:rsid w:val="009F0B4E"/>
    <w:rsid w:val="009F0B63"/>
    <w:rsid w:val="009F1395"/>
    <w:rsid w:val="009F3F9C"/>
    <w:rsid w:val="009F58F1"/>
    <w:rsid w:val="009F6E2F"/>
    <w:rsid w:val="009F76DB"/>
    <w:rsid w:val="00A0003D"/>
    <w:rsid w:val="00A002F1"/>
    <w:rsid w:val="00A0097A"/>
    <w:rsid w:val="00A00AE4"/>
    <w:rsid w:val="00A013B7"/>
    <w:rsid w:val="00A01767"/>
    <w:rsid w:val="00A01DC2"/>
    <w:rsid w:val="00A05422"/>
    <w:rsid w:val="00A06A2F"/>
    <w:rsid w:val="00A06E13"/>
    <w:rsid w:val="00A07EE4"/>
    <w:rsid w:val="00A10131"/>
    <w:rsid w:val="00A113BF"/>
    <w:rsid w:val="00A11606"/>
    <w:rsid w:val="00A11CAA"/>
    <w:rsid w:val="00A11EE3"/>
    <w:rsid w:val="00A128FF"/>
    <w:rsid w:val="00A13C03"/>
    <w:rsid w:val="00A1528F"/>
    <w:rsid w:val="00A15A18"/>
    <w:rsid w:val="00A16BED"/>
    <w:rsid w:val="00A2001B"/>
    <w:rsid w:val="00A202DD"/>
    <w:rsid w:val="00A2062D"/>
    <w:rsid w:val="00A20DCB"/>
    <w:rsid w:val="00A21064"/>
    <w:rsid w:val="00A212C1"/>
    <w:rsid w:val="00A23248"/>
    <w:rsid w:val="00A23249"/>
    <w:rsid w:val="00A24039"/>
    <w:rsid w:val="00A24F77"/>
    <w:rsid w:val="00A2554B"/>
    <w:rsid w:val="00A2686E"/>
    <w:rsid w:val="00A2711F"/>
    <w:rsid w:val="00A27A5E"/>
    <w:rsid w:val="00A27AFB"/>
    <w:rsid w:val="00A30E69"/>
    <w:rsid w:val="00A3101A"/>
    <w:rsid w:val="00A31F9F"/>
    <w:rsid w:val="00A3286D"/>
    <w:rsid w:val="00A32C3B"/>
    <w:rsid w:val="00A33F51"/>
    <w:rsid w:val="00A34068"/>
    <w:rsid w:val="00A352C3"/>
    <w:rsid w:val="00A360A5"/>
    <w:rsid w:val="00A361BA"/>
    <w:rsid w:val="00A372F2"/>
    <w:rsid w:val="00A3740A"/>
    <w:rsid w:val="00A40728"/>
    <w:rsid w:val="00A40E69"/>
    <w:rsid w:val="00A41334"/>
    <w:rsid w:val="00A415E8"/>
    <w:rsid w:val="00A41A17"/>
    <w:rsid w:val="00A424CE"/>
    <w:rsid w:val="00A425F0"/>
    <w:rsid w:val="00A42738"/>
    <w:rsid w:val="00A43213"/>
    <w:rsid w:val="00A43B8D"/>
    <w:rsid w:val="00A44A91"/>
    <w:rsid w:val="00A45014"/>
    <w:rsid w:val="00A450BB"/>
    <w:rsid w:val="00A45F4F"/>
    <w:rsid w:val="00A46A4B"/>
    <w:rsid w:val="00A471AF"/>
    <w:rsid w:val="00A500A9"/>
    <w:rsid w:val="00A52EC2"/>
    <w:rsid w:val="00A5480B"/>
    <w:rsid w:val="00A54E3F"/>
    <w:rsid w:val="00A55EE5"/>
    <w:rsid w:val="00A56EAE"/>
    <w:rsid w:val="00A5744F"/>
    <w:rsid w:val="00A600A9"/>
    <w:rsid w:val="00A61765"/>
    <w:rsid w:val="00A617C4"/>
    <w:rsid w:val="00A62AAE"/>
    <w:rsid w:val="00A63EA4"/>
    <w:rsid w:val="00A64031"/>
    <w:rsid w:val="00A64454"/>
    <w:rsid w:val="00A64641"/>
    <w:rsid w:val="00A648A9"/>
    <w:rsid w:val="00A64C85"/>
    <w:rsid w:val="00A64FC6"/>
    <w:rsid w:val="00A66960"/>
    <w:rsid w:val="00A67448"/>
    <w:rsid w:val="00A6782C"/>
    <w:rsid w:val="00A67CC6"/>
    <w:rsid w:val="00A67D6C"/>
    <w:rsid w:val="00A70347"/>
    <w:rsid w:val="00A705BF"/>
    <w:rsid w:val="00A70AC0"/>
    <w:rsid w:val="00A714A8"/>
    <w:rsid w:val="00A71C07"/>
    <w:rsid w:val="00A722D9"/>
    <w:rsid w:val="00A73D74"/>
    <w:rsid w:val="00A75E12"/>
    <w:rsid w:val="00A76D15"/>
    <w:rsid w:val="00A773F4"/>
    <w:rsid w:val="00A774AF"/>
    <w:rsid w:val="00A80051"/>
    <w:rsid w:val="00A8005F"/>
    <w:rsid w:val="00A807CF"/>
    <w:rsid w:val="00A80AA3"/>
    <w:rsid w:val="00A819A5"/>
    <w:rsid w:val="00A82537"/>
    <w:rsid w:val="00A8254C"/>
    <w:rsid w:val="00A82AA4"/>
    <w:rsid w:val="00A82CDC"/>
    <w:rsid w:val="00A831D6"/>
    <w:rsid w:val="00A83701"/>
    <w:rsid w:val="00A8422B"/>
    <w:rsid w:val="00A85108"/>
    <w:rsid w:val="00A85452"/>
    <w:rsid w:val="00A85A91"/>
    <w:rsid w:val="00A863B8"/>
    <w:rsid w:val="00A86544"/>
    <w:rsid w:val="00A866AC"/>
    <w:rsid w:val="00A86866"/>
    <w:rsid w:val="00A869F1"/>
    <w:rsid w:val="00A86EBD"/>
    <w:rsid w:val="00A87214"/>
    <w:rsid w:val="00A8722C"/>
    <w:rsid w:val="00A9177B"/>
    <w:rsid w:val="00A91B80"/>
    <w:rsid w:val="00A92098"/>
    <w:rsid w:val="00A9276F"/>
    <w:rsid w:val="00A939DB"/>
    <w:rsid w:val="00A95DDC"/>
    <w:rsid w:val="00A96D04"/>
    <w:rsid w:val="00AA0961"/>
    <w:rsid w:val="00AA2062"/>
    <w:rsid w:val="00AA2F90"/>
    <w:rsid w:val="00AA3671"/>
    <w:rsid w:val="00AA4E83"/>
    <w:rsid w:val="00AA55B7"/>
    <w:rsid w:val="00AA5B9E"/>
    <w:rsid w:val="00AA62D4"/>
    <w:rsid w:val="00AA68E1"/>
    <w:rsid w:val="00AA6EED"/>
    <w:rsid w:val="00AA76FE"/>
    <w:rsid w:val="00AA7DD4"/>
    <w:rsid w:val="00AB1023"/>
    <w:rsid w:val="00AB1E69"/>
    <w:rsid w:val="00AB2407"/>
    <w:rsid w:val="00AB3344"/>
    <w:rsid w:val="00AB42F2"/>
    <w:rsid w:val="00AB47A8"/>
    <w:rsid w:val="00AB5325"/>
    <w:rsid w:val="00AB53DF"/>
    <w:rsid w:val="00AB6C74"/>
    <w:rsid w:val="00AB6E53"/>
    <w:rsid w:val="00AC043C"/>
    <w:rsid w:val="00AC10FC"/>
    <w:rsid w:val="00AC11C9"/>
    <w:rsid w:val="00AC203C"/>
    <w:rsid w:val="00AC38B2"/>
    <w:rsid w:val="00AC40E4"/>
    <w:rsid w:val="00AC5FDF"/>
    <w:rsid w:val="00AC78BB"/>
    <w:rsid w:val="00AC7CE7"/>
    <w:rsid w:val="00AD16F8"/>
    <w:rsid w:val="00AD1891"/>
    <w:rsid w:val="00AD22A3"/>
    <w:rsid w:val="00AD34F7"/>
    <w:rsid w:val="00AD3913"/>
    <w:rsid w:val="00AD4023"/>
    <w:rsid w:val="00AD5412"/>
    <w:rsid w:val="00AD6230"/>
    <w:rsid w:val="00AD66E6"/>
    <w:rsid w:val="00AD6837"/>
    <w:rsid w:val="00AD6AB9"/>
    <w:rsid w:val="00AD7EC7"/>
    <w:rsid w:val="00AE026C"/>
    <w:rsid w:val="00AE0FDD"/>
    <w:rsid w:val="00AE13FF"/>
    <w:rsid w:val="00AE140C"/>
    <w:rsid w:val="00AE23AD"/>
    <w:rsid w:val="00AE25BB"/>
    <w:rsid w:val="00AE26AA"/>
    <w:rsid w:val="00AE325D"/>
    <w:rsid w:val="00AE355E"/>
    <w:rsid w:val="00AE38F5"/>
    <w:rsid w:val="00AE3C59"/>
    <w:rsid w:val="00AE45A8"/>
    <w:rsid w:val="00AE4646"/>
    <w:rsid w:val="00AE4BB0"/>
    <w:rsid w:val="00AE4E25"/>
    <w:rsid w:val="00AE4F82"/>
    <w:rsid w:val="00AE5F40"/>
    <w:rsid w:val="00AE605F"/>
    <w:rsid w:val="00AE60B6"/>
    <w:rsid w:val="00AE6B72"/>
    <w:rsid w:val="00AE7088"/>
    <w:rsid w:val="00AE729D"/>
    <w:rsid w:val="00AF09CA"/>
    <w:rsid w:val="00AF0D3E"/>
    <w:rsid w:val="00AF0FDC"/>
    <w:rsid w:val="00AF164B"/>
    <w:rsid w:val="00AF1DA5"/>
    <w:rsid w:val="00AF22BF"/>
    <w:rsid w:val="00AF3258"/>
    <w:rsid w:val="00AF3A07"/>
    <w:rsid w:val="00AF3B62"/>
    <w:rsid w:val="00AF4023"/>
    <w:rsid w:val="00AF5AC8"/>
    <w:rsid w:val="00AF7022"/>
    <w:rsid w:val="00AF763E"/>
    <w:rsid w:val="00AF779D"/>
    <w:rsid w:val="00AF7F0B"/>
    <w:rsid w:val="00B00B6E"/>
    <w:rsid w:val="00B00E52"/>
    <w:rsid w:val="00B0320A"/>
    <w:rsid w:val="00B03A5F"/>
    <w:rsid w:val="00B056A5"/>
    <w:rsid w:val="00B06AE1"/>
    <w:rsid w:val="00B07E5C"/>
    <w:rsid w:val="00B10180"/>
    <w:rsid w:val="00B101F5"/>
    <w:rsid w:val="00B10E64"/>
    <w:rsid w:val="00B13066"/>
    <w:rsid w:val="00B1336E"/>
    <w:rsid w:val="00B13658"/>
    <w:rsid w:val="00B13740"/>
    <w:rsid w:val="00B14905"/>
    <w:rsid w:val="00B175C1"/>
    <w:rsid w:val="00B20FBE"/>
    <w:rsid w:val="00B21702"/>
    <w:rsid w:val="00B22663"/>
    <w:rsid w:val="00B22B59"/>
    <w:rsid w:val="00B22CA2"/>
    <w:rsid w:val="00B2322D"/>
    <w:rsid w:val="00B23511"/>
    <w:rsid w:val="00B23DFA"/>
    <w:rsid w:val="00B24753"/>
    <w:rsid w:val="00B24C04"/>
    <w:rsid w:val="00B26E24"/>
    <w:rsid w:val="00B270FB"/>
    <w:rsid w:val="00B301BF"/>
    <w:rsid w:val="00B309A5"/>
    <w:rsid w:val="00B309DF"/>
    <w:rsid w:val="00B30B7A"/>
    <w:rsid w:val="00B314C1"/>
    <w:rsid w:val="00B3157F"/>
    <w:rsid w:val="00B31610"/>
    <w:rsid w:val="00B31B7B"/>
    <w:rsid w:val="00B31BAF"/>
    <w:rsid w:val="00B3405B"/>
    <w:rsid w:val="00B342EB"/>
    <w:rsid w:val="00B34487"/>
    <w:rsid w:val="00B35260"/>
    <w:rsid w:val="00B35990"/>
    <w:rsid w:val="00B35BD0"/>
    <w:rsid w:val="00B36324"/>
    <w:rsid w:val="00B37289"/>
    <w:rsid w:val="00B3749B"/>
    <w:rsid w:val="00B403E6"/>
    <w:rsid w:val="00B414DE"/>
    <w:rsid w:val="00B4184C"/>
    <w:rsid w:val="00B41D4B"/>
    <w:rsid w:val="00B41F9D"/>
    <w:rsid w:val="00B421FC"/>
    <w:rsid w:val="00B42363"/>
    <w:rsid w:val="00B4432B"/>
    <w:rsid w:val="00B44F05"/>
    <w:rsid w:val="00B45B86"/>
    <w:rsid w:val="00B46305"/>
    <w:rsid w:val="00B46781"/>
    <w:rsid w:val="00B46ABE"/>
    <w:rsid w:val="00B46E66"/>
    <w:rsid w:val="00B5230F"/>
    <w:rsid w:val="00B523D9"/>
    <w:rsid w:val="00B52EDC"/>
    <w:rsid w:val="00B530DD"/>
    <w:rsid w:val="00B53426"/>
    <w:rsid w:val="00B541C4"/>
    <w:rsid w:val="00B54349"/>
    <w:rsid w:val="00B5489A"/>
    <w:rsid w:val="00B5555C"/>
    <w:rsid w:val="00B55877"/>
    <w:rsid w:val="00B5621C"/>
    <w:rsid w:val="00B56362"/>
    <w:rsid w:val="00B56A76"/>
    <w:rsid w:val="00B57AF6"/>
    <w:rsid w:val="00B6185D"/>
    <w:rsid w:val="00B6202A"/>
    <w:rsid w:val="00B62160"/>
    <w:rsid w:val="00B62CD7"/>
    <w:rsid w:val="00B634C1"/>
    <w:rsid w:val="00B64297"/>
    <w:rsid w:val="00B645F9"/>
    <w:rsid w:val="00B65BBD"/>
    <w:rsid w:val="00B666F5"/>
    <w:rsid w:val="00B67CF1"/>
    <w:rsid w:val="00B70F5E"/>
    <w:rsid w:val="00B71D4C"/>
    <w:rsid w:val="00B71FBD"/>
    <w:rsid w:val="00B72996"/>
    <w:rsid w:val="00B72E4A"/>
    <w:rsid w:val="00B72E85"/>
    <w:rsid w:val="00B74340"/>
    <w:rsid w:val="00B7495E"/>
    <w:rsid w:val="00B74D2B"/>
    <w:rsid w:val="00B756DB"/>
    <w:rsid w:val="00B762B8"/>
    <w:rsid w:val="00B76DC2"/>
    <w:rsid w:val="00B77284"/>
    <w:rsid w:val="00B77488"/>
    <w:rsid w:val="00B7756A"/>
    <w:rsid w:val="00B77A07"/>
    <w:rsid w:val="00B77C6F"/>
    <w:rsid w:val="00B80058"/>
    <w:rsid w:val="00B803E9"/>
    <w:rsid w:val="00B811F7"/>
    <w:rsid w:val="00B8162E"/>
    <w:rsid w:val="00B82A1F"/>
    <w:rsid w:val="00B82BEA"/>
    <w:rsid w:val="00B83E6D"/>
    <w:rsid w:val="00B84559"/>
    <w:rsid w:val="00B85541"/>
    <w:rsid w:val="00B85F6E"/>
    <w:rsid w:val="00B8684E"/>
    <w:rsid w:val="00B87C2C"/>
    <w:rsid w:val="00B901A3"/>
    <w:rsid w:val="00B905CE"/>
    <w:rsid w:val="00B90D02"/>
    <w:rsid w:val="00B936AD"/>
    <w:rsid w:val="00B93B02"/>
    <w:rsid w:val="00B94F5C"/>
    <w:rsid w:val="00B95047"/>
    <w:rsid w:val="00B95130"/>
    <w:rsid w:val="00B95170"/>
    <w:rsid w:val="00B95674"/>
    <w:rsid w:val="00B96537"/>
    <w:rsid w:val="00B969AE"/>
    <w:rsid w:val="00B96C58"/>
    <w:rsid w:val="00B96E5F"/>
    <w:rsid w:val="00B9741C"/>
    <w:rsid w:val="00B97865"/>
    <w:rsid w:val="00B97B07"/>
    <w:rsid w:val="00B97EA7"/>
    <w:rsid w:val="00BA024F"/>
    <w:rsid w:val="00BA14F8"/>
    <w:rsid w:val="00BA1901"/>
    <w:rsid w:val="00BA1BF9"/>
    <w:rsid w:val="00BA1BFD"/>
    <w:rsid w:val="00BA3261"/>
    <w:rsid w:val="00BA35D0"/>
    <w:rsid w:val="00BA5DC6"/>
    <w:rsid w:val="00BA5FDF"/>
    <w:rsid w:val="00BA6196"/>
    <w:rsid w:val="00BA7AF9"/>
    <w:rsid w:val="00BA7B1C"/>
    <w:rsid w:val="00BB0599"/>
    <w:rsid w:val="00BB1CD7"/>
    <w:rsid w:val="00BB1EEC"/>
    <w:rsid w:val="00BB20DB"/>
    <w:rsid w:val="00BB26B5"/>
    <w:rsid w:val="00BB293E"/>
    <w:rsid w:val="00BB2DCC"/>
    <w:rsid w:val="00BB42D6"/>
    <w:rsid w:val="00BB51D8"/>
    <w:rsid w:val="00BB56DB"/>
    <w:rsid w:val="00BB5791"/>
    <w:rsid w:val="00BB67BA"/>
    <w:rsid w:val="00BB685B"/>
    <w:rsid w:val="00BB6F6F"/>
    <w:rsid w:val="00BB7C73"/>
    <w:rsid w:val="00BC0F1B"/>
    <w:rsid w:val="00BC1071"/>
    <w:rsid w:val="00BC1EB6"/>
    <w:rsid w:val="00BC2787"/>
    <w:rsid w:val="00BC2886"/>
    <w:rsid w:val="00BC483B"/>
    <w:rsid w:val="00BC4C26"/>
    <w:rsid w:val="00BC5214"/>
    <w:rsid w:val="00BC5397"/>
    <w:rsid w:val="00BC53CD"/>
    <w:rsid w:val="00BC56D3"/>
    <w:rsid w:val="00BC6D8C"/>
    <w:rsid w:val="00BD0696"/>
    <w:rsid w:val="00BD0849"/>
    <w:rsid w:val="00BD0D0B"/>
    <w:rsid w:val="00BD12F3"/>
    <w:rsid w:val="00BD2CA5"/>
    <w:rsid w:val="00BD3372"/>
    <w:rsid w:val="00BD34FF"/>
    <w:rsid w:val="00BD4938"/>
    <w:rsid w:val="00BD51EF"/>
    <w:rsid w:val="00BD5FD0"/>
    <w:rsid w:val="00BD6B28"/>
    <w:rsid w:val="00BE342B"/>
    <w:rsid w:val="00BE348D"/>
    <w:rsid w:val="00BE4DEB"/>
    <w:rsid w:val="00BE5CE5"/>
    <w:rsid w:val="00BE66BE"/>
    <w:rsid w:val="00BE71FE"/>
    <w:rsid w:val="00BF0856"/>
    <w:rsid w:val="00BF135C"/>
    <w:rsid w:val="00BF13CC"/>
    <w:rsid w:val="00BF2B79"/>
    <w:rsid w:val="00BF3437"/>
    <w:rsid w:val="00BF35B5"/>
    <w:rsid w:val="00BF4410"/>
    <w:rsid w:val="00BF4D5F"/>
    <w:rsid w:val="00BF583E"/>
    <w:rsid w:val="00BF68F4"/>
    <w:rsid w:val="00C0085F"/>
    <w:rsid w:val="00C00FBE"/>
    <w:rsid w:val="00C03BB3"/>
    <w:rsid w:val="00C03F80"/>
    <w:rsid w:val="00C04093"/>
    <w:rsid w:val="00C04498"/>
    <w:rsid w:val="00C04B4C"/>
    <w:rsid w:val="00C04C6F"/>
    <w:rsid w:val="00C05025"/>
    <w:rsid w:val="00C070E6"/>
    <w:rsid w:val="00C10CDC"/>
    <w:rsid w:val="00C116B3"/>
    <w:rsid w:val="00C11C33"/>
    <w:rsid w:val="00C133A0"/>
    <w:rsid w:val="00C1352D"/>
    <w:rsid w:val="00C13CF1"/>
    <w:rsid w:val="00C150E7"/>
    <w:rsid w:val="00C1533D"/>
    <w:rsid w:val="00C15435"/>
    <w:rsid w:val="00C207B6"/>
    <w:rsid w:val="00C209E3"/>
    <w:rsid w:val="00C21B1C"/>
    <w:rsid w:val="00C21DE5"/>
    <w:rsid w:val="00C2285D"/>
    <w:rsid w:val="00C23462"/>
    <w:rsid w:val="00C248E4"/>
    <w:rsid w:val="00C2742D"/>
    <w:rsid w:val="00C27610"/>
    <w:rsid w:val="00C27845"/>
    <w:rsid w:val="00C306E0"/>
    <w:rsid w:val="00C30A68"/>
    <w:rsid w:val="00C31851"/>
    <w:rsid w:val="00C31C01"/>
    <w:rsid w:val="00C31D47"/>
    <w:rsid w:val="00C325E7"/>
    <w:rsid w:val="00C32B05"/>
    <w:rsid w:val="00C34006"/>
    <w:rsid w:val="00C34203"/>
    <w:rsid w:val="00C34370"/>
    <w:rsid w:val="00C34893"/>
    <w:rsid w:val="00C358B1"/>
    <w:rsid w:val="00C35A29"/>
    <w:rsid w:val="00C36323"/>
    <w:rsid w:val="00C363D4"/>
    <w:rsid w:val="00C363E2"/>
    <w:rsid w:val="00C36789"/>
    <w:rsid w:val="00C36847"/>
    <w:rsid w:val="00C37973"/>
    <w:rsid w:val="00C40572"/>
    <w:rsid w:val="00C4111C"/>
    <w:rsid w:val="00C4260E"/>
    <w:rsid w:val="00C426B1"/>
    <w:rsid w:val="00C42822"/>
    <w:rsid w:val="00C445C7"/>
    <w:rsid w:val="00C45216"/>
    <w:rsid w:val="00C45B94"/>
    <w:rsid w:val="00C4658A"/>
    <w:rsid w:val="00C466E2"/>
    <w:rsid w:val="00C50134"/>
    <w:rsid w:val="00C5075C"/>
    <w:rsid w:val="00C50F9D"/>
    <w:rsid w:val="00C51415"/>
    <w:rsid w:val="00C51838"/>
    <w:rsid w:val="00C51CAE"/>
    <w:rsid w:val="00C51F70"/>
    <w:rsid w:val="00C52AE4"/>
    <w:rsid w:val="00C54716"/>
    <w:rsid w:val="00C55158"/>
    <w:rsid w:val="00C56876"/>
    <w:rsid w:val="00C56D57"/>
    <w:rsid w:val="00C60499"/>
    <w:rsid w:val="00C6056A"/>
    <w:rsid w:val="00C60D69"/>
    <w:rsid w:val="00C624F9"/>
    <w:rsid w:val="00C629DD"/>
    <w:rsid w:val="00C62A2E"/>
    <w:rsid w:val="00C62C3A"/>
    <w:rsid w:val="00C62DFA"/>
    <w:rsid w:val="00C643D9"/>
    <w:rsid w:val="00C64615"/>
    <w:rsid w:val="00C66160"/>
    <w:rsid w:val="00C6622B"/>
    <w:rsid w:val="00C677D4"/>
    <w:rsid w:val="00C7077D"/>
    <w:rsid w:val="00C721AC"/>
    <w:rsid w:val="00C72A21"/>
    <w:rsid w:val="00C730EC"/>
    <w:rsid w:val="00C73C52"/>
    <w:rsid w:val="00C742FE"/>
    <w:rsid w:val="00C7640C"/>
    <w:rsid w:val="00C76A03"/>
    <w:rsid w:val="00C77632"/>
    <w:rsid w:val="00C801FF"/>
    <w:rsid w:val="00C80C55"/>
    <w:rsid w:val="00C81142"/>
    <w:rsid w:val="00C81B20"/>
    <w:rsid w:val="00C83705"/>
    <w:rsid w:val="00C85009"/>
    <w:rsid w:val="00C8544D"/>
    <w:rsid w:val="00C85B8C"/>
    <w:rsid w:val="00C86D43"/>
    <w:rsid w:val="00C87203"/>
    <w:rsid w:val="00C903E4"/>
    <w:rsid w:val="00C906B8"/>
    <w:rsid w:val="00C90D6A"/>
    <w:rsid w:val="00C9299A"/>
    <w:rsid w:val="00C92FD4"/>
    <w:rsid w:val="00C930B5"/>
    <w:rsid w:val="00C93486"/>
    <w:rsid w:val="00C93977"/>
    <w:rsid w:val="00C96104"/>
    <w:rsid w:val="00C963B1"/>
    <w:rsid w:val="00C97538"/>
    <w:rsid w:val="00C97CE3"/>
    <w:rsid w:val="00CA0202"/>
    <w:rsid w:val="00CA0EE2"/>
    <w:rsid w:val="00CA1CD1"/>
    <w:rsid w:val="00CA247E"/>
    <w:rsid w:val="00CA2725"/>
    <w:rsid w:val="00CA36A7"/>
    <w:rsid w:val="00CA37B3"/>
    <w:rsid w:val="00CA3C80"/>
    <w:rsid w:val="00CA44AA"/>
    <w:rsid w:val="00CA55EB"/>
    <w:rsid w:val="00CA7E28"/>
    <w:rsid w:val="00CB0807"/>
    <w:rsid w:val="00CB0B73"/>
    <w:rsid w:val="00CB1838"/>
    <w:rsid w:val="00CB1FE3"/>
    <w:rsid w:val="00CB38BE"/>
    <w:rsid w:val="00CB3B3F"/>
    <w:rsid w:val="00CB420C"/>
    <w:rsid w:val="00CB4F8D"/>
    <w:rsid w:val="00CB53BC"/>
    <w:rsid w:val="00CB54ED"/>
    <w:rsid w:val="00CB5B37"/>
    <w:rsid w:val="00CB757B"/>
    <w:rsid w:val="00CC02D6"/>
    <w:rsid w:val="00CC2992"/>
    <w:rsid w:val="00CC3B6C"/>
    <w:rsid w:val="00CC50A9"/>
    <w:rsid w:val="00CC525C"/>
    <w:rsid w:val="00CC55CE"/>
    <w:rsid w:val="00CC5B14"/>
    <w:rsid w:val="00CC5C1C"/>
    <w:rsid w:val="00CC6551"/>
    <w:rsid w:val="00CC691E"/>
    <w:rsid w:val="00CC72B6"/>
    <w:rsid w:val="00CD006F"/>
    <w:rsid w:val="00CD0231"/>
    <w:rsid w:val="00CD1991"/>
    <w:rsid w:val="00CD34F6"/>
    <w:rsid w:val="00CD4DEF"/>
    <w:rsid w:val="00CD5104"/>
    <w:rsid w:val="00CD58DA"/>
    <w:rsid w:val="00CD6338"/>
    <w:rsid w:val="00CD652C"/>
    <w:rsid w:val="00CD6936"/>
    <w:rsid w:val="00CD786B"/>
    <w:rsid w:val="00CE0AAF"/>
    <w:rsid w:val="00CE16BA"/>
    <w:rsid w:val="00CE194B"/>
    <w:rsid w:val="00CE2A13"/>
    <w:rsid w:val="00CE2CAA"/>
    <w:rsid w:val="00CE4CB4"/>
    <w:rsid w:val="00CE6D9A"/>
    <w:rsid w:val="00CE7D00"/>
    <w:rsid w:val="00CF2E43"/>
    <w:rsid w:val="00CF3008"/>
    <w:rsid w:val="00CF758F"/>
    <w:rsid w:val="00CF7CAF"/>
    <w:rsid w:val="00D00D24"/>
    <w:rsid w:val="00D00FF5"/>
    <w:rsid w:val="00D015F7"/>
    <w:rsid w:val="00D01CD4"/>
    <w:rsid w:val="00D0218D"/>
    <w:rsid w:val="00D029D0"/>
    <w:rsid w:val="00D033CA"/>
    <w:rsid w:val="00D03C3F"/>
    <w:rsid w:val="00D069B3"/>
    <w:rsid w:val="00D07199"/>
    <w:rsid w:val="00D07369"/>
    <w:rsid w:val="00D0765A"/>
    <w:rsid w:val="00D100DF"/>
    <w:rsid w:val="00D10EC9"/>
    <w:rsid w:val="00D11B28"/>
    <w:rsid w:val="00D12024"/>
    <w:rsid w:val="00D122B6"/>
    <w:rsid w:val="00D134AA"/>
    <w:rsid w:val="00D137CC"/>
    <w:rsid w:val="00D13EFC"/>
    <w:rsid w:val="00D170B6"/>
    <w:rsid w:val="00D207FF"/>
    <w:rsid w:val="00D216CD"/>
    <w:rsid w:val="00D2325F"/>
    <w:rsid w:val="00D23F76"/>
    <w:rsid w:val="00D24937"/>
    <w:rsid w:val="00D25EFE"/>
    <w:rsid w:val="00D25FB5"/>
    <w:rsid w:val="00D265F4"/>
    <w:rsid w:val="00D26B4E"/>
    <w:rsid w:val="00D26EE5"/>
    <w:rsid w:val="00D27215"/>
    <w:rsid w:val="00D2741C"/>
    <w:rsid w:val="00D27ECC"/>
    <w:rsid w:val="00D316EE"/>
    <w:rsid w:val="00D319D9"/>
    <w:rsid w:val="00D3201A"/>
    <w:rsid w:val="00D32418"/>
    <w:rsid w:val="00D3325A"/>
    <w:rsid w:val="00D33EC5"/>
    <w:rsid w:val="00D340C2"/>
    <w:rsid w:val="00D34377"/>
    <w:rsid w:val="00D3552D"/>
    <w:rsid w:val="00D361EF"/>
    <w:rsid w:val="00D368F9"/>
    <w:rsid w:val="00D3776E"/>
    <w:rsid w:val="00D40382"/>
    <w:rsid w:val="00D40C3A"/>
    <w:rsid w:val="00D418D9"/>
    <w:rsid w:val="00D425B4"/>
    <w:rsid w:val="00D426E5"/>
    <w:rsid w:val="00D42B4E"/>
    <w:rsid w:val="00D43645"/>
    <w:rsid w:val="00D43AD8"/>
    <w:rsid w:val="00D44029"/>
    <w:rsid w:val="00D4402D"/>
    <w:rsid w:val="00D44223"/>
    <w:rsid w:val="00D448C9"/>
    <w:rsid w:val="00D44919"/>
    <w:rsid w:val="00D452FA"/>
    <w:rsid w:val="00D4554A"/>
    <w:rsid w:val="00D46A35"/>
    <w:rsid w:val="00D47A54"/>
    <w:rsid w:val="00D509F4"/>
    <w:rsid w:val="00D50AC3"/>
    <w:rsid w:val="00D50BB9"/>
    <w:rsid w:val="00D514D8"/>
    <w:rsid w:val="00D52E6C"/>
    <w:rsid w:val="00D53599"/>
    <w:rsid w:val="00D53C66"/>
    <w:rsid w:val="00D5482C"/>
    <w:rsid w:val="00D54EF6"/>
    <w:rsid w:val="00D563E8"/>
    <w:rsid w:val="00D602A5"/>
    <w:rsid w:val="00D6047B"/>
    <w:rsid w:val="00D604C8"/>
    <w:rsid w:val="00D61A7E"/>
    <w:rsid w:val="00D64D51"/>
    <w:rsid w:val="00D65CDC"/>
    <w:rsid w:val="00D65D1F"/>
    <w:rsid w:val="00D66CF5"/>
    <w:rsid w:val="00D67076"/>
    <w:rsid w:val="00D67992"/>
    <w:rsid w:val="00D71A3F"/>
    <w:rsid w:val="00D728B4"/>
    <w:rsid w:val="00D72E32"/>
    <w:rsid w:val="00D736FD"/>
    <w:rsid w:val="00D73BED"/>
    <w:rsid w:val="00D73C7B"/>
    <w:rsid w:val="00D741B1"/>
    <w:rsid w:val="00D74C78"/>
    <w:rsid w:val="00D7709F"/>
    <w:rsid w:val="00D77E03"/>
    <w:rsid w:val="00D80DFD"/>
    <w:rsid w:val="00D8182E"/>
    <w:rsid w:val="00D83F67"/>
    <w:rsid w:val="00D85C31"/>
    <w:rsid w:val="00D86732"/>
    <w:rsid w:val="00D86FD3"/>
    <w:rsid w:val="00D87023"/>
    <w:rsid w:val="00D87DE3"/>
    <w:rsid w:val="00D904CF"/>
    <w:rsid w:val="00D9115D"/>
    <w:rsid w:val="00D91B07"/>
    <w:rsid w:val="00D91F75"/>
    <w:rsid w:val="00D93424"/>
    <w:rsid w:val="00D9542A"/>
    <w:rsid w:val="00D95C22"/>
    <w:rsid w:val="00D971E4"/>
    <w:rsid w:val="00D9765E"/>
    <w:rsid w:val="00D97B6F"/>
    <w:rsid w:val="00DA0199"/>
    <w:rsid w:val="00DA0C4A"/>
    <w:rsid w:val="00DA1122"/>
    <w:rsid w:val="00DA114A"/>
    <w:rsid w:val="00DA2529"/>
    <w:rsid w:val="00DA3DC0"/>
    <w:rsid w:val="00DA47A2"/>
    <w:rsid w:val="00DA4B1C"/>
    <w:rsid w:val="00DA5A85"/>
    <w:rsid w:val="00DA608D"/>
    <w:rsid w:val="00DA63BA"/>
    <w:rsid w:val="00DB130A"/>
    <w:rsid w:val="00DB155D"/>
    <w:rsid w:val="00DB1E1F"/>
    <w:rsid w:val="00DB254E"/>
    <w:rsid w:val="00DB2EBB"/>
    <w:rsid w:val="00DB2ECF"/>
    <w:rsid w:val="00DB348F"/>
    <w:rsid w:val="00DB3C03"/>
    <w:rsid w:val="00DB4DEC"/>
    <w:rsid w:val="00DB53FB"/>
    <w:rsid w:val="00DB57A0"/>
    <w:rsid w:val="00DB627C"/>
    <w:rsid w:val="00DB767E"/>
    <w:rsid w:val="00DB7A02"/>
    <w:rsid w:val="00DC0370"/>
    <w:rsid w:val="00DC0600"/>
    <w:rsid w:val="00DC071E"/>
    <w:rsid w:val="00DC0B6E"/>
    <w:rsid w:val="00DC0C56"/>
    <w:rsid w:val="00DC10A1"/>
    <w:rsid w:val="00DC1301"/>
    <w:rsid w:val="00DC1BCC"/>
    <w:rsid w:val="00DC25C3"/>
    <w:rsid w:val="00DC4136"/>
    <w:rsid w:val="00DC4968"/>
    <w:rsid w:val="00DC5371"/>
    <w:rsid w:val="00DC53CD"/>
    <w:rsid w:val="00DC5CD6"/>
    <w:rsid w:val="00DC655F"/>
    <w:rsid w:val="00DC75CD"/>
    <w:rsid w:val="00DC7BE1"/>
    <w:rsid w:val="00DC7F16"/>
    <w:rsid w:val="00DD053C"/>
    <w:rsid w:val="00DD0B59"/>
    <w:rsid w:val="00DD1D88"/>
    <w:rsid w:val="00DD2A2B"/>
    <w:rsid w:val="00DD3342"/>
    <w:rsid w:val="00DD3D2E"/>
    <w:rsid w:val="00DD5350"/>
    <w:rsid w:val="00DD538E"/>
    <w:rsid w:val="00DD5BA5"/>
    <w:rsid w:val="00DD5CCE"/>
    <w:rsid w:val="00DD6212"/>
    <w:rsid w:val="00DD645B"/>
    <w:rsid w:val="00DD6558"/>
    <w:rsid w:val="00DD70D1"/>
    <w:rsid w:val="00DD7EBD"/>
    <w:rsid w:val="00DE0D9C"/>
    <w:rsid w:val="00DE2643"/>
    <w:rsid w:val="00DE41BB"/>
    <w:rsid w:val="00DE4E6E"/>
    <w:rsid w:val="00DE4FAC"/>
    <w:rsid w:val="00DE5024"/>
    <w:rsid w:val="00DE5CFA"/>
    <w:rsid w:val="00DE5DED"/>
    <w:rsid w:val="00DE797E"/>
    <w:rsid w:val="00DF0E3C"/>
    <w:rsid w:val="00DF1891"/>
    <w:rsid w:val="00DF3837"/>
    <w:rsid w:val="00DF4DC2"/>
    <w:rsid w:val="00DF5E79"/>
    <w:rsid w:val="00DF62B6"/>
    <w:rsid w:val="00DF66F9"/>
    <w:rsid w:val="00DF73D9"/>
    <w:rsid w:val="00DF76F4"/>
    <w:rsid w:val="00DF7A5C"/>
    <w:rsid w:val="00E000B3"/>
    <w:rsid w:val="00E00219"/>
    <w:rsid w:val="00E00706"/>
    <w:rsid w:val="00E00D41"/>
    <w:rsid w:val="00E016A0"/>
    <w:rsid w:val="00E017AC"/>
    <w:rsid w:val="00E020A9"/>
    <w:rsid w:val="00E0397F"/>
    <w:rsid w:val="00E0538D"/>
    <w:rsid w:val="00E054BC"/>
    <w:rsid w:val="00E054DF"/>
    <w:rsid w:val="00E0616A"/>
    <w:rsid w:val="00E07225"/>
    <w:rsid w:val="00E1111F"/>
    <w:rsid w:val="00E11C83"/>
    <w:rsid w:val="00E12AE8"/>
    <w:rsid w:val="00E134C1"/>
    <w:rsid w:val="00E1388B"/>
    <w:rsid w:val="00E139AB"/>
    <w:rsid w:val="00E13C52"/>
    <w:rsid w:val="00E14B82"/>
    <w:rsid w:val="00E154F6"/>
    <w:rsid w:val="00E157C7"/>
    <w:rsid w:val="00E20E9C"/>
    <w:rsid w:val="00E214D5"/>
    <w:rsid w:val="00E21624"/>
    <w:rsid w:val="00E231C8"/>
    <w:rsid w:val="00E23F10"/>
    <w:rsid w:val="00E241AA"/>
    <w:rsid w:val="00E241E7"/>
    <w:rsid w:val="00E24563"/>
    <w:rsid w:val="00E246C1"/>
    <w:rsid w:val="00E2596F"/>
    <w:rsid w:val="00E26409"/>
    <w:rsid w:val="00E26B62"/>
    <w:rsid w:val="00E2749F"/>
    <w:rsid w:val="00E322FA"/>
    <w:rsid w:val="00E32627"/>
    <w:rsid w:val="00E338E3"/>
    <w:rsid w:val="00E33E11"/>
    <w:rsid w:val="00E34B42"/>
    <w:rsid w:val="00E356D5"/>
    <w:rsid w:val="00E3775A"/>
    <w:rsid w:val="00E413F1"/>
    <w:rsid w:val="00E4255A"/>
    <w:rsid w:val="00E432B0"/>
    <w:rsid w:val="00E43FB5"/>
    <w:rsid w:val="00E441B6"/>
    <w:rsid w:val="00E45E03"/>
    <w:rsid w:val="00E47018"/>
    <w:rsid w:val="00E5096C"/>
    <w:rsid w:val="00E50EAB"/>
    <w:rsid w:val="00E5200E"/>
    <w:rsid w:val="00E522DD"/>
    <w:rsid w:val="00E53261"/>
    <w:rsid w:val="00E534CF"/>
    <w:rsid w:val="00E5409F"/>
    <w:rsid w:val="00E54AC3"/>
    <w:rsid w:val="00E55179"/>
    <w:rsid w:val="00E551A8"/>
    <w:rsid w:val="00E551FD"/>
    <w:rsid w:val="00E55AEC"/>
    <w:rsid w:val="00E626B3"/>
    <w:rsid w:val="00E638AB"/>
    <w:rsid w:val="00E64B71"/>
    <w:rsid w:val="00E64C3B"/>
    <w:rsid w:val="00E65AE1"/>
    <w:rsid w:val="00E66991"/>
    <w:rsid w:val="00E66F3D"/>
    <w:rsid w:val="00E70189"/>
    <w:rsid w:val="00E70708"/>
    <w:rsid w:val="00E70856"/>
    <w:rsid w:val="00E709DC"/>
    <w:rsid w:val="00E719E5"/>
    <w:rsid w:val="00E72E31"/>
    <w:rsid w:val="00E7325D"/>
    <w:rsid w:val="00E733CE"/>
    <w:rsid w:val="00E74CDC"/>
    <w:rsid w:val="00E74F02"/>
    <w:rsid w:val="00E758C2"/>
    <w:rsid w:val="00E759C4"/>
    <w:rsid w:val="00E8007F"/>
    <w:rsid w:val="00E80AE0"/>
    <w:rsid w:val="00E812FE"/>
    <w:rsid w:val="00E812FF"/>
    <w:rsid w:val="00E82844"/>
    <w:rsid w:val="00E83269"/>
    <w:rsid w:val="00E83C53"/>
    <w:rsid w:val="00E84239"/>
    <w:rsid w:val="00E84A13"/>
    <w:rsid w:val="00E84DAA"/>
    <w:rsid w:val="00E85EDB"/>
    <w:rsid w:val="00E87370"/>
    <w:rsid w:val="00E87F8C"/>
    <w:rsid w:val="00E90701"/>
    <w:rsid w:val="00E9259D"/>
    <w:rsid w:val="00E929EE"/>
    <w:rsid w:val="00E94DEB"/>
    <w:rsid w:val="00E95530"/>
    <w:rsid w:val="00E95C06"/>
    <w:rsid w:val="00E96E67"/>
    <w:rsid w:val="00EA0792"/>
    <w:rsid w:val="00EA1380"/>
    <w:rsid w:val="00EA1469"/>
    <w:rsid w:val="00EA1A36"/>
    <w:rsid w:val="00EA2534"/>
    <w:rsid w:val="00EA3037"/>
    <w:rsid w:val="00EA3947"/>
    <w:rsid w:val="00EA4DFE"/>
    <w:rsid w:val="00EA5BD6"/>
    <w:rsid w:val="00EA68DB"/>
    <w:rsid w:val="00EA7111"/>
    <w:rsid w:val="00EA7C28"/>
    <w:rsid w:val="00EB24B2"/>
    <w:rsid w:val="00EB25BB"/>
    <w:rsid w:val="00EB37C5"/>
    <w:rsid w:val="00EB4ED6"/>
    <w:rsid w:val="00EB588E"/>
    <w:rsid w:val="00EB5E3C"/>
    <w:rsid w:val="00EB6023"/>
    <w:rsid w:val="00EB61DA"/>
    <w:rsid w:val="00EB625C"/>
    <w:rsid w:val="00EB71B9"/>
    <w:rsid w:val="00EB7D9C"/>
    <w:rsid w:val="00EC03B6"/>
    <w:rsid w:val="00EC0AFB"/>
    <w:rsid w:val="00EC1373"/>
    <w:rsid w:val="00EC1528"/>
    <w:rsid w:val="00EC3920"/>
    <w:rsid w:val="00EC3EE5"/>
    <w:rsid w:val="00EC4383"/>
    <w:rsid w:val="00EC589E"/>
    <w:rsid w:val="00EC6CE2"/>
    <w:rsid w:val="00EC6FF1"/>
    <w:rsid w:val="00ED02C8"/>
    <w:rsid w:val="00ED1CD2"/>
    <w:rsid w:val="00ED239C"/>
    <w:rsid w:val="00ED24AC"/>
    <w:rsid w:val="00ED346A"/>
    <w:rsid w:val="00ED36DA"/>
    <w:rsid w:val="00ED3A5A"/>
    <w:rsid w:val="00ED3B26"/>
    <w:rsid w:val="00ED407E"/>
    <w:rsid w:val="00ED42E1"/>
    <w:rsid w:val="00ED4607"/>
    <w:rsid w:val="00ED4742"/>
    <w:rsid w:val="00ED499B"/>
    <w:rsid w:val="00ED4D3E"/>
    <w:rsid w:val="00ED51C9"/>
    <w:rsid w:val="00ED53BE"/>
    <w:rsid w:val="00ED580C"/>
    <w:rsid w:val="00ED6EAF"/>
    <w:rsid w:val="00ED6FBC"/>
    <w:rsid w:val="00ED7961"/>
    <w:rsid w:val="00EE0770"/>
    <w:rsid w:val="00EE0BD4"/>
    <w:rsid w:val="00EE0F4E"/>
    <w:rsid w:val="00EE1AD7"/>
    <w:rsid w:val="00EE206B"/>
    <w:rsid w:val="00EE317D"/>
    <w:rsid w:val="00EE3348"/>
    <w:rsid w:val="00EE3682"/>
    <w:rsid w:val="00EE436B"/>
    <w:rsid w:val="00EE474D"/>
    <w:rsid w:val="00EE5A7E"/>
    <w:rsid w:val="00EE5B68"/>
    <w:rsid w:val="00EE608A"/>
    <w:rsid w:val="00EE63C1"/>
    <w:rsid w:val="00EE6488"/>
    <w:rsid w:val="00EE6520"/>
    <w:rsid w:val="00EE65DE"/>
    <w:rsid w:val="00EE7F79"/>
    <w:rsid w:val="00EF015A"/>
    <w:rsid w:val="00EF04A5"/>
    <w:rsid w:val="00EF0F72"/>
    <w:rsid w:val="00EF1163"/>
    <w:rsid w:val="00EF1264"/>
    <w:rsid w:val="00EF150D"/>
    <w:rsid w:val="00EF315C"/>
    <w:rsid w:val="00EF329B"/>
    <w:rsid w:val="00EF3756"/>
    <w:rsid w:val="00EF44AF"/>
    <w:rsid w:val="00EF4895"/>
    <w:rsid w:val="00EF5920"/>
    <w:rsid w:val="00EF6824"/>
    <w:rsid w:val="00EF6F8C"/>
    <w:rsid w:val="00EF796E"/>
    <w:rsid w:val="00EF7CB7"/>
    <w:rsid w:val="00F00FC5"/>
    <w:rsid w:val="00F010B7"/>
    <w:rsid w:val="00F021FA"/>
    <w:rsid w:val="00F02546"/>
    <w:rsid w:val="00F025E9"/>
    <w:rsid w:val="00F02A1C"/>
    <w:rsid w:val="00F02AF5"/>
    <w:rsid w:val="00F03C67"/>
    <w:rsid w:val="00F0641F"/>
    <w:rsid w:val="00F06C03"/>
    <w:rsid w:val="00F06DFA"/>
    <w:rsid w:val="00F06E4F"/>
    <w:rsid w:val="00F0712B"/>
    <w:rsid w:val="00F07BD8"/>
    <w:rsid w:val="00F07D86"/>
    <w:rsid w:val="00F1011A"/>
    <w:rsid w:val="00F1038A"/>
    <w:rsid w:val="00F104E8"/>
    <w:rsid w:val="00F10739"/>
    <w:rsid w:val="00F1109D"/>
    <w:rsid w:val="00F11A10"/>
    <w:rsid w:val="00F122CA"/>
    <w:rsid w:val="00F12E4C"/>
    <w:rsid w:val="00F13403"/>
    <w:rsid w:val="00F14221"/>
    <w:rsid w:val="00F14E43"/>
    <w:rsid w:val="00F16723"/>
    <w:rsid w:val="00F16810"/>
    <w:rsid w:val="00F16A63"/>
    <w:rsid w:val="00F16C35"/>
    <w:rsid w:val="00F16E7B"/>
    <w:rsid w:val="00F172C4"/>
    <w:rsid w:val="00F20D92"/>
    <w:rsid w:val="00F21AC8"/>
    <w:rsid w:val="00F21DA7"/>
    <w:rsid w:val="00F224BB"/>
    <w:rsid w:val="00F236C8"/>
    <w:rsid w:val="00F2502C"/>
    <w:rsid w:val="00F26274"/>
    <w:rsid w:val="00F26CE5"/>
    <w:rsid w:val="00F3130A"/>
    <w:rsid w:val="00F318C7"/>
    <w:rsid w:val="00F3262D"/>
    <w:rsid w:val="00F3308D"/>
    <w:rsid w:val="00F33B4A"/>
    <w:rsid w:val="00F33FE6"/>
    <w:rsid w:val="00F34D37"/>
    <w:rsid w:val="00F351CA"/>
    <w:rsid w:val="00F35931"/>
    <w:rsid w:val="00F35C39"/>
    <w:rsid w:val="00F35FFC"/>
    <w:rsid w:val="00F376AE"/>
    <w:rsid w:val="00F37C47"/>
    <w:rsid w:val="00F42084"/>
    <w:rsid w:val="00F4328E"/>
    <w:rsid w:val="00F4355B"/>
    <w:rsid w:val="00F442AA"/>
    <w:rsid w:val="00F4509D"/>
    <w:rsid w:val="00F455B4"/>
    <w:rsid w:val="00F45E47"/>
    <w:rsid w:val="00F470CB"/>
    <w:rsid w:val="00F478DB"/>
    <w:rsid w:val="00F47EF1"/>
    <w:rsid w:val="00F50278"/>
    <w:rsid w:val="00F513FA"/>
    <w:rsid w:val="00F51E28"/>
    <w:rsid w:val="00F52055"/>
    <w:rsid w:val="00F5308C"/>
    <w:rsid w:val="00F548FC"/>
    <w:rsid w:val="00F54AE9"/>
    <w:rsid w:val="00F54FA6"/>
    <w:rsid w:val="00F5730C"/>
    <w:rsid w:val="00F57A03"/>
    <w:rsid w:val="00F57EA4"/>
    <w:rsid w:val="00F61426"/>
    <w:rsid w:val="00F6176B"/>
    <w:rsid w:val="00F62DD6"/>
    <w:rsid w:val="00F62E97"/>
    <w:rsid w:val="00F63C0F"/>
    <w:rsid w:val="00F64209"/>
    <w:rsid w:val="00F658AC"/>
    <w:rsid w:val="00F66533"/>
    <w:rsid w:val="00F66562"/>
    <w:rsid w:val="00F667A2"/>
    <w:rsid w:val="00F66B68"/>
    <w:rsid w:val="00F66FBD"/>
    <w:rsid w:val="00F67715"/>
    <w:rsid w:val="00F67DD1"/>
    <w:rsid w:val="00F71078"/>
    <w:rsid w:val="00F73C47"/>
    <w:rsid w:val="00F74534"/>
    <w:rsid w:val="00F74B45"/>
    <w:rsid w:val="00F7519D"/>
    <w:rsid w:val="00F75763"/>
    <w:rsid w:val="00F75F3F"/>
    <w:rsid w:val="00F76E36"/>
    <w:rsid w:val="00F7703D"/>
    <w:rsid w:val="00F804D8"/>
    <w:rsid w:val="00F8164D"/>
    <w:rsid w:val="00F819F3"/>
    <w:rsid w:val="00F82418"/>
    <w:rsid w:val="00F82807"/>
    <w:rsid w:val="00F82B90"/>
    <w:rsid w:val="00F82EF0"/>
    <w:rsid w:val="00F830D2"/>
    <w:rsid w:val="00F84D43"/>
    <w:rsid w:val="00F84EDC"/>
    <w:rsid w:val="00F84F4F"/>
    <w:rsid w:val="00F84F8F"/>
    <w:rsid w:val="00F85012"/>
    <w:rsid w:val="00F8563A"/>
    <w:rsid w:val="00F861ED"/>
    <w:rsid w:val="00F86740"/>
    <w:rsid w:val="00F86E67"/>
    <w:rsid w:val="00F87341"/>
    <w:rsid w:val="00F873CA"/>
    <w:rsid w:val="00F87A85"/>
    <w:rsid w:val="00F87D7C"/>
    <w:rsid w:val="00F905D4"/>
    <w:rsid w:val="00F90FAE"/>
    <w:rsid w:val="00F91BDD"/>
    <w:rsid w:val="00F91E97"/>
    <w:rsid w:val="00F92EE2"/>
    <w:rsid w:val="00F93BF5"/>
    <w:rsid w:val="00F9421B"/>
    <w:rsid w:val="00F96D6A"/>
    <w:rsid w:val="00F972C1"/>
    <w:rsid w:val="00FA1886"/>
    <w:rsid w:val="00FA2CAC"/>
    <w:rsid w:val="00FA36FB"/>
    <w:rsid w:val="00FA3CC3"/>
    <w:rsid w:val="00FA3DD1"/>
    <w:rsid w:val="00FA479A"/>
    <w:rsid w:val="00FA6977"/>
    <w:rsid w:val="00FA6FB4"/>
    <w:rsid w:val="00FA7268"/>
    <w:rsid w:val="00FA73BC"/>
    <w:rsid w:val="00FA7ACA"/>
    <w:rsid w:val="00FB0549"/>
    <w:rsid w:val="00FB0BB5"/>
    <w:rsid w:val="00FB1146"/>
    <w:rsid w:val="00FB194E"/>
    <w:rsid w:val="00FB1986"/>
    <w:rsid w:val="00FB1BEB"/>
    <w:rsid w:val="00FB25DB"/>
    <w:rsid w:val="00FB2EDA"/>
    <w:rsid w:val="00FB2F81"/>
    <w:rsid w:val="00FB3249"/>
    <w:rsid w:val="00FB3AE2"/>
    <w:rsid w:val="00FB3C20"/>
    <w:rsid w:val="00FB4F86"/>
    <w:rsid w:val="00FB5220"/>
    <w:rsid w:val="00FB5515"/>
    <w:rsid w:val="00FB6994"/>
    <w:rsid w:val="00FB6CAE"/>
    <w:rsid w:val="00FB7C95"/>
    <w:rsid w:val="00FC0163"/>
    <w:rsid w:val="00FC0498"/>
    <w:rsid w:val="00FC0772"/>
    <w:rsid w:val="00FC0978"/>
    <w:rsid w:val="00FC09BC"/>
    <w:rsid w:val="00FC10FD"/>
    <w:rsid w:val="00FC1640"/>
    <w:rsid w:val="00FC38C9"/>
    <w:rsid w:val="00FC45AE"/>
    <w:rsid w:val="00FC4D94"/>
    <w:rsid w:val="00FC586E"/>
    <w:rsid w:val="00FC5A93"/>
    <w:rsid w:val="00FC6062"/>
    <w:rsid w:val="00FD050E"/>
    <w:rsid w:val="00FD0DF0"/>
    <w:rsid w:val="00FD1D93"/>
    <w:rsid w:val="00FD1E3E"/>
    <w:rsid w:val="00FD1F88"/>
    <w:rsid w:val="00FD2256"/>
    <w:rsid w:val="00FD263E"/>
    <w:rsid w:val="00FD26D0"/>
    <w:rsid w:val="00FD2807"/>
    <w:rsid w:val="00FD2B3E"/>
    <w:rsid w:val="00FD3292"/>
    <w:rsid w:val="00FD39D8"/>
    <w:rsid w:val="00FD7376"/>
    <w:rsid w:val="00FD7D35"/>
    <w:rsid w:val="00FE01C6"/>
    <w:rsid w:val="00FE0227"/>
    <w:rsid w:val="00FE0C01"/>
    <w:rsid w:val="00FE0D7A"/>
    <w:rsid w:val="00FE0F5F"/>
    <w:rsid w:val="00FE2778"/>
    <w:rsid w:val="00FE2E92"/>
    <w:rsid w:val="00FE2ED0"/>
    <w:rsid w:val="00FE3974"/>
    <w:rsid w:val="00FE420E"/>
    <w:rsid w:val="00FE45D8"/>
    <w:rsid w:val="00FE486B"/>
    <w:rsid w:val="00FE5A91"/>
    <w:rsid w:val="00FE5D56"/>
    <w:rsid w:val="00FE65D2"/>
    <w:rsid w:val="00FE716B"/>
    <w:rsid w:val="00FE7832"/>
    <w:rsid w:val="00FF0E53"/>
    <w:rsid w:val="00FF0F79"/>
    <w:rsid w:val="00FF182D"/>
    <w:rsid w:val="00FF19ED"/>
    <w:rsid w:val="00FF1C2D"/>
    <w:rsid w:val="00FF2C4B"/>
    <w:rsid w:val="00FF483A"/>
    <w:rsid w:val="00FF6161"/>
    <w:rsid w:val="00FF6D6A"/>
    <w:rsid w:val="6D69B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701932"/>
    <w:pPr>
      <w:keepNext/>
      <w:numPr>
        <w:ilvl w:val="1"/>
        <w:numId w:val="3"/>
      </w:numPr>
      <w:spacing w:before="120"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character" w:customStyle="1" w:styleId="ParaNumCharChar1">
    <w:name w:val="ParaNum Char Char1"/>
    <w:link w:val="ParaNum"/>
    <w:locked/>
    <w:rsid w:val="002454C0"/>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2454C0"/>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701932"/>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2454C0"/>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2454C0"/>
    <w:rPr>
      <w:b/>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rsid w:val="002454C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2454C0"/>
    <w:rPr>
      <w:b/>
      <w:snapToGrid w:val="0"/>
      <w:kern w:val="28"/>
      <w:sz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454C0"/>
    <w:rPr>
      <w:snapToGrid w:val="0"/>
      <w:kern w:val="28"/>
      <w:sz w:val="22"/>
    </w:rPr>
  </w:style>
  <w:style w:type="character" w:styleId="PageNumber">
    <w:name w:val="page number"/>
    <w:basedOn w:val="DefaultParagraphFont"/>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2454C0"/>
    <w:rPr>
      <w:rFonts w:ascii="Segoe UI" w:hAnsi="Segoe UI" w:cs="Segoe UI"/>
      <w:sz w:val="18"/>
      <w:szCs w:val="18"/>
    </w:rPr>
  </w:style>
  <w:style w:type="character" w:customStyle="1" w:styleId="BalloonTextChar">
    <w:name w:val="Balloon Text Char"/>
    <w:link w:val="BalloonText"/>
    <w:rsid w:val="002454C0"/>
    <w:rPr>
      <w:rFonts w:ascii="Segoe UI" w:hAnsi="Segoe UI" w:cs="Segoe UI"/>
      <w:snapToGrid w:val="0"/>
      <w:kern w:val="28"/>
      <w:sz w:val="18"/>
      <w:szCs w:val="18"/>
    </w:rPr>
  </w:style>
  <w:style w:type="character" w:customStyle="1" w:styleId="ParaNumChar">
    <w:name w:val="ParaNum Char"/>
    <w:locked/>
    <w:rsid w:val="002454C0"/>
    <w:rPr>
      <w:snapToGrid w:val="0"/>
      <w:kern w:val="28"/>
      <w:sz w:val="22"/>
    </w:rPr>
  </w:style>
  <w:style w:type="paragraph" w:customStyle="1" w:styleId="paranum0">
    <w:name w:val="paranum"/>
    <w:basedOn w:val="Normal"/>
    <w:uiPriority w:val="99"/>
    <w:rsid w:val="002454C0"/>
    <w:pPr>
      <w:widowControl/>
      <w:numPr>
        <w:numId w:val="7"/>
      </w:numPr>
      <w:spacing w:after="220"/>
      <w:jc w:val="both"/>
    </w:pPr>
    <w:rPr>
      <w:snapToGrid/>
      <w:kern w:val="0"/>
      <w:szCs w:val="22"/>
    </w:rPr>
  </w:style>
  <w:style w:type="paragraph" w:styleId="ListParagraph">
    <w:name w:val="List Paragraph"/>
    <w:basedOn w:val="Normal"/>
    <w:uiPriority w:val="34"/>
    <w:qFormat/>
    <w:rsid w:val="002454C0"/>
    <w:pPr>
      <w:widowControl/>
      <w:ind w:left="720"/>
    </w:pPr>
    <w:rPr>
      <w:rFonts w:ascii="Calibri" w:hAnsi="Calibri" w:cs="Calibri"/>
      <w:snapToGrid/>
      <w:kern w:val="0"/>
      <w:szCs w:val="22"/>
    </w:rPr>
  </w:style>
  <w:style w:type="character" w:customStyle="1" w:styleId="FootnoteTextChar1Char1">
    <w:name w:val="Footnote Text Char1 Char1"/>
    <w:aliases w:val="ALTS FOOTNOTE Char Char Char Char Char1,ALTS FOOTNOTE Char Char Char1,Footnote Text Char Char Char Char Char1,Footnote Text Char Char Char1,Footnote Text Char1 Char Char Char1,fn Char Char Char1,fn Char1 Char"/>
    <w:rsid w:val="002454C0"/>
  </w:style>
  <w:style w:type="character" w:styleId="CommentReference">
    <w:name w:val="annotation reference"/>
    <w:uiPriority w:val="99"/>
    <w:rsid w:val="002454C0"/>
    <w:rPr>
      <w:sz w:val="16"/>
      <w:szCs w:val="16"/>
    </w:rPr>
  </w:style>
  <w:style w:type="paragraph" w:styleId="CommentText">
    <w:name w:val="annotation text"/>
    <w:basedOn w:val="Normal"/>
    <w:link w:val="CommentTextChar"/>
    <w:uiPriority w:val="99"/>
    <w:rsid w:val="002454C0"/>
    <w:rPr>
      <w:sz w:val="20"/>
    </w:rPr>
  </w:style>
  <w:style w:type="character" w:customStyle="1" w:styleId="CommentTextChar">
    <w:name w:val="Comment Text Char"/>
    <w:link w:val="CommentText"/>
    <w:uiPriority w:val="99"/>
    <w:rsid w:val="002454C0"/>
    <w:rPr>
      <w:snapToGrid w:val="0"/>
      <w:kern w:val="28"/>
    </w:rPr>
  </w:style>
  <w:style w:type="paragraph" w:styleId="CommentSubject">
    <w:name w:val="annotation subject"/>
    <w:basedOn w:val="CommentText"/>
    <w:next w:val="CommentText"/>
    <w:link w:val="CommentSubjectChar"/>
    <w:rsid w:val="002454C0"/>
    <w:rPr>
      <w:b/>
      <w:bCs/>
    </w:rPr>
  </w:style>
  <w:style w:type="character" w:customStyle="1" w:styleId="CommentSubjectChar">
    <w:name w:val="Comment Subject Char"/>
    <w:link w:val="CommentSubject"/>
    <w:rsid w:val="002454C0"/>
    <w:rPr>
      <w:b/>
      <w:bCs/>
      <w:snapToGrid w:val="0"/>
      <w:kern w:val="28"/>
    </w:rPr>
  </w:style>
  <w:style w:type="character" w:customStyle="1" w:styleId="Footnote">
    <w:name w:val="Footnote"/>
    <w:rsid w:val="002454C0"/>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454C0"/>
    <w:rPr>
      <w:lang w:val="en-US" w:eastAsia="en-US" w:bidi="ar-SA"/>
    </w:rPr>
  </w:style>
  <w:style w:type="character" w:customStyle="1" w:styleId="StyleFootnoteReferenceStyle13Style12NECGFootnoteReferenc">
    <w:name w:val="Style Footnote ReferenceStyle 13Style 12(NECG) Footnote Referenc..."/>
    <w:rsid w:val="002454C0"/>
    <w:rPr>
      <w:rFonts w:ascii="Times New Roman" w:hAnsi="Times New Roman" w:cs="Times New Roman"/>
      <w:dstrike w:val="0"/>
      <w:color w:val="auto"/>
      <w:sz w:val="20"/>
      <w:vertAlign w:val="superscript"/>
    </w:rPr>
  </w:style>
  <w:style w:type="paragraph" w:styleId="NormalWeb">
    <w:name w:val="Normal (Web)"/>
    <w:basedOn w:val="Normal"/>
    <w:uiPriority w:val="99"/>
    <w:rsid w:val="002454C0"/>
    <w:pPr>
      <w:widowControl/>
    </w:pPr>
    <w:rPr>
      <w:kern w:val="0"/>
      <w:sz w:val="24"/>
      <w:szCs w:val="24"/>
    </w:rPr>
  </w:style>
  <w:style w:type="character" w:customStyle="1" w:styleId="Heading2CharChar2">
    <w:name w:val="Heading 2 Char Char2"/>
    <w:rsid w:val="002454C0"/>
    <w:rPr>
      <w:rFonts w:cs="Times New Roman"/>
      <w:b/>
      <w:snapToGrid w:val="0"/>
      <w:kern w:val="28"/>
      <w:sz w:val="24"/>
      <w:lang w:val="en-US" w:eastAsia="en-US" w:bidi="ar-SA"/>
    </w:rPr>
  </w:style>
  <w:style w:type="paragraph" w:customStyle="1" w:styleId="BulletCharChar">
    <w:name w:val="Bullet Char Char"/>
    <w:basedOn w:val="Normal"/>
    <w:link w:val="BulletCharCharChar"/>
    <w:rsid w:val="002454C0"/>
    <w:pPr>
      <w:tabs>
        <w:tab w:val="left" w:pos="2160"/>
        <w:tab w:val="num" w:pos="2520"/>
      </w:tabs>
      <w:spacing w:after="220"/>
      <w:ind w:left="2520" w:hanging="360"/>
    </w:pPr>
  </w:style>
  <w:style w:type="character" w:customStyle="1" w:styleId="BulletCharCharChar">
    <w:name w:val="Bullet Char Char Char"/>
    <w:link w:val="BulletCharChar"/>
    <w:rsid w:val="002454C0"/>
    <w:rPr>
      <w:snapToGrid w:val="0"/>
      <w:kern w:val="28"/>
      <w:sz w:val="22"/>
    </w:rPr>
  </w:style>
  <w:style w:type="character" w:styleId="FollowedHyperlink">
    <w:name w:val="FollowedHyperlink"/>
    <w:unhideWhenUsed/>
    <w:rsid w:val="002454C0"/>
    <w:rPr>
      <w:color w:val="954F72"/>
      <w:u w:val="single"/>
    </w:rPr>
  </w:style>
  <w:style w:type="table" w:styleId="TableGrid">
    <w:name w:val="Table Grid"/>
    <w:basedOn w:val="TableNormal"/>
    <w:uiPriority w:val="39"/>
    <w:rsid w:val="002454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483A"/>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UnresolvedMention">
    <w:name w:val="Unresolved Mention"/>
    <w:uiPriority w:val="99"/>
    <w:semiHidden/>
    <w:unhideWhenUsed/>
    <w:rsid w:val="00FF483A"/>
    <w:rPr>
      <w:color w:val="605E5C"/>
      <w:shd w:val="clear" w:color="auto" w:fill="E1DFDD"/>
    </w:rPr>
  </w:style>
  <w:style w:type="character" w:customStyle="1" w:styleId="ALTSFOOTNOTEChar1">
    <w:name w:val="ALTS FOOTNOTE Char1"/>
    <w:aliases w:val="ALTS FOOTNOTE Char Char,Footnote Text Char2 Char Char,Footnote Text Char2 Char1 Char1 Char Char,Footnote Text Char2 Char1 Char1 Char Char Char Char,Footnote Text Char3 Char1 Char Char,f Char,fn  Char,fn Char2"/>
    <w:rsid w:val="00386284"/>
  </w:style>
  <w:style w:type="paragraph" w:customStyle="1" w:styleId="Default">
    <w:name w:val="Default"/>
    <w:rsid w:val="00691C2B"/>
    <w:pPr>
      <w:autoSpaceDE w:val="0"/>
      <w:autoSpaceDN w:val="0"/>
      <w:adjustRightInd w:val="0"/>
      <w:spacing w:after="120"/>
    </w:pPr>
    <w:rPr>
      <w:rFonts w:eastAsia="Calibri"/>
      <w:color w:val="000000"/>
      <w:szCs w:val="24"/>
    </w:rPr>
  </w:style>
  <w:style w:type="paragraph" w:styleId="BodyText">
    <w:name w:val="Body Text"/>
    <w:basedOn w:val="Normal"/>
    <w:link w:val="BodyTextChar"/>
    <w:rsid w:val="00571492"/>
    <w:pPr>
      <w:spacing w:after="120"/>
    </w:pPr>
  </w:style>
  <w:style w:type="character" w:customStyle="1" w:styleId="BodyTextChar">
    <w:name w:val="Body Text Char"/>
    <w:link w:val="BodyText"/>
    <w:rsid w:val="00571492"/>
    <w:rPr>
      <w:snapToGrid w:val="0"/>
      <w:kern w:val="28"/>
      <w:sz w:val="22"/>
    </w:rPr>
  </w:style>
  <w:style w:type="paragraph" w:styleId="BodyTextIndent2">
    <w:name w:val="Body Text Indent 2"/>
    <w:basedOn w:val="Normal"/>
    <w:link w:val="BodyTextIndent2Char"/>
    <w:rsid w:val="00571492"/>
    <w:pPr>
      <w:spacing w:after="120" w:line="480" w:lineRule="auto"/>
      <w:ind w:left="360"/>
    </w:pPr>
  </w:style>
  <w:style w:type="character" w:customStyle="1" w:styleId="BodyTextIndent2Char">
    <w:name w:val="Body Text Indent 2 Char"/>
    <w:link w:val="BodyTextIndent2"/>
    <w:rsid w:val="00571492"/>
    <w:rPr>
      <w:snapToGrid w:val="0"/>
      <w:kern w:val="28"/>
      <w:sz w:val="22"/>
    </w:rPr>
  </w:style>
  <w:style w:type="paragraph" w:styleId="BodyTextIndent3">
    <w:name w:val="Body Text Indent 3"/>
    <w:basedOn w:val="Normal"/>
    <w:link w:val="BodyTextIndent3Char"/>
    <w:rsid w:val="00571492"/>
    <w:pPr>
      <w:spacing w:after="120"/>
      <w:ind w:left="360"/>
    </w:pPr>
    <w:rPr>
      <w:sz w:val="16"/>
      <w:szCs w:val="16"/>
    </w:rPr>
  </w:style>
  <w:style w:type="character" w:customStyle="1" w:styleId="BodyTextIndent3Char">
    <w:name w:val="Body Text Indent 3 Char"/>
    <w:link w:val="BodyTextIndent3"/>
    <w:rsid w:val="00571492"/>
    <w:rPr>
      <w:snapToGrid w:val="0"/>
      <w:kern w:val="28"/>
      <w:sz w:val="16"/>
      <w:szCs w:val="16"/>
    </w:rPr>
  </w:style>
  <w:style w:type="paragraph" w:styleId="Revision">
    <w:name w:val="Revision"/>
    <w:hidden/>
    <w:uiPriority w:val="99"/>
    <w:semiHidden/>
    <w:rsid w:val="005B3DC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www.fcc.gov/formpage.html" TargetMode="External" /><Relationship Id="rId12" Type="http://schemas.openxmlformats.org/officeDocument/2006/relationships/hyperlink" Target="mailto:fcc504@fcc.gov" TargetMode="External" /><Relationship Id="rId13" Type="http://schemas.openxmlformats.org/officeDocument/2006/relationships/hyperlink" Target="http://www.fcc.gov/ocbo/"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903@fcc.gov" TargetMode="External" /><Relationship Id="rId6" Type="http://schemas.openxmlformats.org/officeDocument/2006/relationships/hyperlink" Target="https://www.fcc.gov/summary-listing-documents-addressing-application-rule-prohibiting-certain-communications" TargetMode="External" /><Relationship Id="rId7" Type="http://schemas.openxmlformats.org/officeDocument/2006/relationships/hyperlink" Target="http://www.fcc.gov/redlight/" TargetMode="External" /><Relationship Id="rId8" Type="http://schemas.openxmlformats.org/officeDocument/2006/relationships/hyperlink" Target="https://www.fcc.gov/debt_collection/" TargetMode="External" /><Relationship Id="rId9" Type="http://schemas.openxmlformats.org/officeDocument/2006/relationships/hyperlink" Target="mailto:ConnectAmerica@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reports-research/data/staff-block-estimates" TargetMode="External" /><Relationship Id="rId2" Type="http://schemas.openxmlformats.org/officeDocument/2006/relationships/hyperlink" Target="https://www.fcc.gov/document/reserve-prices-and-location-counts-announced-prusvi-fund-stage-2" TargetMode="External" /><Relationship Id="rId3" Type="http://schemas.openxmlformats.org/officeDocument/2006/relationships/hyperlink" Target="https://www.fcc.gov/general/disaster-information-reporting-system-dirs-0" TargetMode="External" /><Relationship Id="rId4" Type="http://schemas.openxmlformats.org/officeDocument/2006/relationships/hyperlink" Target="https://transition.fcc.gov/pshs/disaster/disaster_manual.pdf" TargetMode="External" /><Relationship Id="rId5" Type="http://schemas.openxmlformats.org/officeDocument/2006/relationships/hyperlink" Target="https://www.atis.org/01_committ_forums/nrsc/documents/" TargetMode="External" /><Relationship Id="rId6" Type="http://schemas.openxmlformats.org/officeDocument/2006/relationships/hyperlink" Target="https://opendata.fcc.gov/Public-Safety/CSRIC-Best-Practices/qb45-rw2t/data"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