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191C8B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0CCDCD4" w14:textId="77777777">
      <w:pPr>
        <w:pStyle w:val="StyleBoldCentered"/>
      </w:pPr>
      <w:r>
        <w:t>F</w:t>
      </w:r>
      <w:r>
        <w:rPr>
          <w:caps w:val="0"/>
        </w:rPr>
        <w:t>ederal Communications Commission</w:t>
      </w:r>
    </w:p>
    <w:p w:rsidR="004C2EE3" w:rsidP="00096D8C" w14:paraId="2E40A980" w14:textId="77777777">
      <w:pPr>
        <w:pStyle w:val="StyleBoldCentered"/>
      </w:pPr>
      <w:r>
        <w:rPr>
          <w:caps w:val="0"/>
        </w:rPr>
        <w:t>Washington, D.C. 20554</w:t>
      </w:r>
    </w:p>
    <w:p w:rsidR="004C2EE3" w:rsidP="0070224F" w14:paraId="01B37057" w14:textId="77777777"/>
    <w:p w:rsidR="004C2EE3" w:rsidP="0070224F" w14:paraId="5BE96F1A" w14:textId="77777777"/>
    <w:tbl>
      <w:tblPr>
        <w:tblW w:w="0" w:type="auto"/>
        <w:tblLayout w:type="fixed"/>
        <w:tblLook w:val="0000"/>
      </w:tblPr>
      <w:tblGrid>
        <w:gridCol w:w="4698"/>
        <w:gridCol w:w="630"/>
        <w:gridCol w:w="4248"/>
      </w:tblGrid>
      <w:tr w14:paraId="7B5DBD9B" w14:textId="77777777">
        <w:tblPrEx>
          <w:tblW w:w="0" w:type="auto"/>
          <w:tblLayout w:type="fixed"/>
          <w:tblLook w:val="0000"/>
        </w:tblPrEx>
        <w:tc>
          <w:tcPr>
            <w:tcW w:w="4698" w:type="dxa"/>
          </w:tcPr>
          <w:p w:rsidR="004C2EE3" w14:paraId="25582CD0" w14:textId="77777777">
            <w:pPr>
              <w:tabs>
                <w:tab w:val="center" w:pos="4680"/>
              </w:tabs>
              <w:suppressAutoHyphens/>
              <w:rPr>
                <w:spacing w:val="-2"/>
              </w:rPr>
            </w:pPr>
            <w:r>
              <w:rPr>
                <w:spacing w:val="-2"/>
              </w:rPr>
              <w:t>In the Matter of</w:t>
            </w:r>
          </w:p>
          <w:p w:rsidR="004C2EE3" w14:paraId="42BBF56A" w14:textId="77777777">
            <w:pPr>
              <w:tabs>
                <w:tab w:val="center" w:pos="4680"/>
              </w:tabs>
              <w:suppressAutoHyphens/>
              <w:rPr>
                <w:spacing w:val="-2"/>
              </w:rPr>
            </w:pPr>
          </w:p>
          <w:p w:rsidR="004C2EE3" w:rsidP="007115F7" w14:paraId="76390D1E" w14:textId="77777777">
            <w:pPr>
              <w:tabs>
                <w:tab w:val="center" w:pos="4680"/>
              </w:tabs>
              <w:suppressAutoHyphens/>
              <w:rPr>
                <w:spacing w:val="-2"/>
              </w:rPr>
            </w:pPr>
            <w:r w:rsidRPr="00843EF1">
              <w:rPr>
                <w:spacing w:val="-2"/>
              </w:rPr>
              <w:t>KAUMANA HAWAIIAN HOMES COMMUNITY ASSOCIATION</w:t>
            </w:r>
          </w:p>
          <w:p w:rsidR="00D747E7" w:rsidP="007115F7" w14:paraId="2C3A1FBF" w14:textId="77777777">
            <w:pPr>
              <w:tabs>
                <w:tab w:val="center" w:pos="4680"/>
              </w:tabs>
              <w:suppressAutoHyphens/>
              <w:rPr>
                <w:spacing w:val="-2"/>
              </w:rPr>
            </w:pPr>
          </w:p>
          <w:p w:rsidR="00D747E7" w:rsidRPr="00D747E7" w:rsidP="00D747E7" w14:paraId="3FC2B2C8" w14:textId="3FF75AFE">
            <w:r>
              <w:t>Request for Waiver to File as an Eligible Entity in the 2.5 GHz Tribal Priority Window</w:t>
            </w:r>
          </w:p>
        </w:tc>
        <w:tc>
          <w:tcPr>
            <w:tcW w:w="630" w:type="dxa"/>
          </w:tcPr>
          <w:p w:rsidR="004C2EE3" w14:paraId="2B51833E" w14:textId="77777777">
            <w:pPr>
              <w:tabs>
                <w:tab w:val="center" w:pos="4680"/>
              </w:tabs>
              <w:suppressAutoHyphens/>
              <w:rPr>
                <w:b/>
                <w:spacing w:val="-2"/>
              </w:rPr>
            </w:pPr>
            <w:r>
              <w:rPr>
                <w:b/>
                <w:spacing w:val="-2"/>
              </w:rPr>
              <w:t>)</w:t>
            </w:r>
          </w:p>
          <w:p w:rsidR="004C2EE3" w14:paraId="71249A2B" w14:textId="77777777">
            <w:pPr>
              <w:tabs>
                <w:tab w:val="center" w:pos="4680"/>
              </w:tabs>
              <w:suppressAutoHyphens/>
              <w:rPr>
                <w:b/>
                <w:spacing w:val="-2"/>
              </w:rPr>
            </w:pPr>
            <w:r>
              <w:rPr>
                <w:b/>
                <w:spacing w:val="-2"/>
              </w:rPr>
              <w:t>)</w:t>
            </w:r>
          </w:p>
          <w:p w:rsidR="004C2EE3" w14:paraId="243B49C0" w14:textId="77777777">
            <w:pPr>
              <w:tabs>
                <w:tab w:val="center" w:pos="4680"/>
              </w:tabs>
              <w:suppressAutoHyphens/>
              <w:rPr>
                <w:b/>
                <w:spacing w:val="-2"/>
              </w:rPr>
            </w:pPr>
            <w:r>
              <w:rPr>
                <w:b/>
                <w:spacing w:val="-2"/>
              </w:rPr>
              <w:t>)</w:t>
            </w:r>
          </w:p>
          <w:p w:rsidR="004C2EE3" w14:paraId="11891468" w14:textId="77777777">
            <w:pPr>
              <w:tabs>
                <w:tab w:val="center" w:pos="4680"/>
              </w:tabs>
              <w:suppressAutoHyphens/>
              <w:rPr>
                <w:b/>
                <w:spacing w:val="-2"/>
              </w:rPr>
            </w:pPr>
            <w:r>
              <w:rPr>
                <w:b/>
                <w:spacing w:val="-2"/>
              </w:rPr>
              <w:t>)</w:t>
            </w:r>
          </w:p>
          <w:p w:rsidR="004C2EE3" w14:paraId="52E0A276" w14:textId="77777777">
            <w:pPr>
              <w:tabs>
                <w:tab w:val="center" w:pos="4680"/>
              </w:tabs>
              <w:suppressAutoHyphens/>
              <w:rPr>
                <w:b/>
                <w:spacing w:val="-2"/>
              </w:rPr>
            </w:pPr>
            <w:r>
              <w:rPr>
                <w:b/>
                <w:spacing w:val="-2"/>
              </w:rPr>
              <w:t>)</w:t>
            </w:r>
          </w:p>
          <w:p w:rsidR="004C2EE3" w14:paraId="0EC56A0D" w14:textId="77777777">
            <w:pPr>
              <w:tabs>
                <w:tab w:val="center" w:pos="4680"/>
              </w:tabs>
              <w:suppressAutoHyphens/>
              <w:rPr>
                <w:b/>
                <w:spacing w:val="-2"/>
              </w:rPr>
            </w:pPr>
            <w:r>
              <w:rPr>
                <w:b/>
                <w:spacing w:val="-2"/>
              </w:rPr>
              <w:t>)</w:t>
            </w:r>
          </w:p>
          <w:p w:rsidR="004C2EE3" w14:paraId="46823EC0" w14:textId="77777777">
            <w:pPr>
              <w:tabs>
                <w:tab w:val="center" w:pos="4680"/>
              </w:tabs>
              <w:suppressAutoHyphens/>
              <w:rPr>
                <w:b/>
                <w:spacing w:val="-2"/>
              </w:rPr>
            </w:pPr>
            <w:r>
              <w:rPr>
                <w:b/>
                <w:spacing w:val="-2"/>
              </w:rPr>
              <w:t>)</w:t>
            </w:r>
          </w:p>
          <w:p w:rsidR="004C2EE3" w14:paraId="0DAE3747" w14:textId="77777777">
            <w:pPr>
              <w:tabs>
                <w:tab w:val="center" w:pos="4680"/>
              </w:tabs>
              <w:suppressAutoHyphens/>
              <w:rPr>
                <w:b/>
                <w:spacing w:val="-2"/>
              </w:rPr>
            </w:pPr>
            <w:r>
              <w:rPr>
                <w:b/>
                <w:spacing w:val="-2"/>
              </w:rPr>
              <w:t>)</w:t>
            </w:r>
          </w:p>
          <w:p w:rsidR="004C2EE3" w14:paraId="6F8B4501" w14:textId="77777777">
            <w:pPr>
              <w:tabs>
                <w:tab w:val="center" w:pos="4680"/>
              </w:tabs>
              <w:suppressAutoHyphens/>
              <w:rPr>
                <w:spacing w:val="-2"/>
              </w:rPr>
            </w:pPr>
            <w:r>
              <w:rPr>
                <w:b/>
                <w:spacing w:val="-2"/>
              </w:rPr>
              <w:t>)</w:t>
            </w:r>
          </w:p>
        </w:tc>
        <w:tc>
          <w:tcPr>
            <w:tcW w:w="4248" w:type="dxa"/>
          </w:tcPr>
          <w:p w:rsidR="004C2EE3" w14:paraId="4CE329A1" w14:textId="77777777">
            <w:pPr>
              <w:tabs>
                <w:tab w:val="center" w:pos="4680"/>
              </w:tabs>
              <w:suppressAutoHyphens/>
              <w:rPr>
                <w:spacing w:val="-2"/>
              </w:rPr>
            </w:pPr>
          </w:p>
          <w:p w:rsidR="004C2EE3" w14:paraId="41C0DF7A" w14:textId="77777777">
            <w:pPr>
              <w:pStyle w:val="TOAHeading"/>
              <w:tabs>
                <w:tab w:val="center" w:pos="4680"/>
                <w:tab w:val="clear" w:pos="9360"/>
              </w:tabs>
              <w:rPr>
                <w:spacing w:val="-2"/>
              </w:rPr>
            </w:pPr>
          </w:p>
          <w:p w:rsidR="004C2EE3" w14:paraId="1F4A2AEE" w14:textId="24EA041D">
            <w:pPr>
              <w:tabs>
                <w:tab w:val="center" w:pos="4680"/>
              </w:tabs>
              <w:suppressAutoHyphens/>
              <w:rPr>
                <w:spacing w:val="-2"/>
              </w:rPr>
            </w:pPr>
            <w:r>
              <w:rPr>
                <w:spacing w:val="-2"/>
              </w:rPr>
              <w:t>ULS File No.</w:t>
            </w:r>
            <w:r w:rsidR="00C231C9">
              <w:rPr>
                <w:spacing w:val="-2"/>
              </w:rPr>
              <w:t xml:space="preserve"> 0009209312</w:t>
            </w:r>
          </w:p>
        </w:tc>
      </w:tr>
    </w:tbl>
    <w:p w:rsidR="004C2EE3" w:rsidP="0070224F" w14:paraId="563FD8A5" w14:textId="77777777"/>
    <w:p w:rsidR="00841AB1" w:rsidP="00F021FA" w14:paraId="6A671D29" w14:textId="5F8B1AB0">
      <w:pPr>
        <w:pStyle w:val="StyleBoldCentered"/>
      </w:pPr>
      <w:r>
        <w:t>Memorandum Opinion and Order</w:t>
      </w:r>
    </w:p>
    <w:p w:rsidR="004C2EE3" w14:paraId="10D6AB54" w14:textId="77777777">
      <w:pPr>
        <w:tabs>
          <w:tab w:val="left" w:pos="-720"/>
        </w:tabs>
        <w:suppressAutoHyphens/>
        <w:spacing w:line="227" w:lineRule="auto"/>
        <w:rPr>
          <w:spacing w:val="-2"/>
        </w:rPr>
      </w:pPr>
    </w:p>
    <w:p w:rsidR="004C2EE3" w:rsidP="00133F79" w14:paraId="16776B8B" w14:textId="7F195395">
      <w:pPr>
        <w:tabs>
          <w:tab w:val="left" w:pos="720"/>
          <w:tab w:val="right" w:pos="9360"/>
        </w:tabs>
        <w:suppressAutoHyphens/>
        <w:spacing w:line="227" w:lineRule="auto"/>
        <w:rPr>
          <w:spacing w:val="-2"/>
        </w:rPr>
      </w:pPr>
      <w:r>
        <w:rPr>
          <w:b/>
          <w:spacing w:val="-2"/>
        </w:rPr>
        <w:t xml:space="preserve">Adopted:  </w:t>
      </w:r>
      <w:r w:rsidR="00DD5BD4">
        <w:rPr>
          <w:b/>
          <w:spacing w:val="-2"/>
        </w:rPr>
        <w:t xml:space="preserve">November </w:t>
      </w:r>
      <w:r w:rsidRPr="0084013F" w:rsidR="0084013F">
        <w:rPr>
          <w:b/>
          <w:spacing w:val="-2"/>
        </w:rPr>
        <w:t>12</w:t>
      </w:r>
      <w:r w:rsidR="00585301">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D5BD4">
        <w:rPr>
          <w:b/>
          <w:spacing w:val="-2"/>
        </w:rPr>
        <w:t xml:space="preserve">November </w:t>
      </w:r>
      <w:r w:rsidRPr="0084013F" w:rsidR="0084013F">
        <w:rPr>
          <w:b/>
          <w:spacing w:val="-2"/>
        </w:rPr>
        <w:t>12</w:t>
      </w:r>
      <w:r w:rsidRPr="0084013F" w:rsidR="00585301">
        <w:rPr>
          <w:b/>
          <w:spacing w:val="-2"/>
        </w:rPr>
        <w:t>,</w:t>
      </w:r>
      <w:r w:rsidR="00585301">
        <w:rPr>
          <w:b/>
          <w:spacing w:val="-2"/>
        </w:rPr>
        <w:t xml:space="preserve"> 2020</w:t>
      </w:r>
    </w:p>
    <w:p w:rsidR="00822CE0" w14:paraId="7E65658B" w14:textId="77777777"/>
    <w:p w:rsidR="004C2EE3" w14:paraId="12F59297" w14:textId="26EF44F0">
      <w:pPr>
        <w:rPr>
          <w:spacing w:val="-2"/>
        </w:rPr>
      </w:pPr>
      <w:r>
        <w:t xml:space="preserve">By </w:t>
      </w:r>
      <w:r w:rsidR="004E4A22">
        <w:t>the</w:t>
      </w:r>
      <w:r w:rsidR="002A2D2E">
        <w:t xml:space="preserve"> </w:t>
      </w:r>
      <w:r w:rsidR="001077D3">
        <w:rPr>
          <w:spacing w:val="-2"/>
        </w:rPr>
        <w:t>Chief, Wireless Telecommunications Bureau</w:t>
      </w:r>
      <w:r>
        <w:rPr>
          <w:spacing w:val="-2"/>
        </w:rPr>
        <w:t>:</w:t>
      </w:r>
    </w:p>
    <w:p w:rsidR="00822CE0" w14:paraId="72055F87" w14:textId="77777777">
      <w:pPr>
        <w:rPr>
          <w:spacing w:val="-2"/>
        </w:rPr>
      </w:pPr>
    </w:p>
    <w:p w:rsidR="00412FC5" w:rsidP="00C36B4C" w14:paraId="532EB27B" w14:textId="5CAEE9D0">
      <w:pPr>
        <w:pStyle w:val="Heading1"/>
      </w:pPr>
      <w:r>
        <w:t>Introduction</w:t>
      </w:r>
    </w:p>
    <w:p w:rsidR="005B0BF6" w:rsidP="005B0BF6" w14:paraId="3D4CB08C" w14:textId="7B6A9596">
      <w:pPr>
        <w:pStyle w:val="ParaNum"/>
      </w:pPr>
      <w:r>
        <w:t xml:space="preserve">On </w:t>
      </w:r>
      <w:r w:rsidR="00221722">
        <w:t>September 1</w:t>
      </w:r>
      <w:r>
        <w:t xml:space="preserve">, 2020, the </w:t>
      </w:r>
      <w:r>
        <w:t>Kaumana</w:t>
      </w:r>
      <w:r>
        <w:t xml:space="preserve"> Hawaiian Homes Community Association (</w:t>
      </w:r>
      <w:r>
        <w:t>Kaumana</w:t>
      </w:r>
      <w:r>
        <w:t>)</w:t>
      </w:r>
      <w:r w:rsidR="00A36044">
        <w:t xml:space="preserve"> submitted</w:t>
      </w:r>
      <w:r w:rsidR="009862E0">
        <w:t xml:space="preserve"> a </w:t>
      </w:r>
      <w:r w:rsidR="001F2CB9">
        <w:t>Petition</w:t>
      </w:r>
      <w:r w:rsidR="009862E0">
        <w:t xml:space="preserve"> for </w:t>
      </w:r>
      <w:r w:rsidR="001F2CB9">
        <w:t>W</w:t>
      </w:r>
      <w:r w:rsidR="009862E0">
        <w:t xml:space="preserve">aiver of the Commission’s rules regarding </w:t>
      </w:r>
      <w:r w:rsidR="00F442FE">
        <w:t xml:space="preserve">those Tribal entities that are eligible </w:t>
      </w:r>
      <w:r w:rsidR="009862E0">
        <w:t xml:space="preserve">for the </w:t>
      </w:r>
      <w:r w:rsidR="00E03C17">
        <w:t>2.5 GHz</w:t>
      </w:r>
      <w:r w:rsidR="00E26B76">
        <w:t xml:space="preserve"> </w:t>
      </w:r>
      <w:r w:rsidR="001B728F">
        <w:t xml:space="preserve">Rural </w:t>
      </w:r>
      <w:r w:rsidR="00C93DE1">
        <w:t>Tribal Priority Window</w:t>
      </w:r>
      <w:r w:rsidR="00A36044">
        <w:t xml:space="preserve"> so that it could be considered eligible to apply for </w:t>
      </w:r>
      <w:r w:rsidR="009F05B2">
        <w:t xml:space="preserve">an </w:t>
      </w:r>
      <w:r w:rsidR="00A36044">
        <w:t>overlay license covering specified Tribal lands in Hawai’i</w:t>
      </w:r>
      <w:r w:rsidR="00C93DE1">
        <w:t>.</w:t>
      </w:r>
      <w:r>
        <w:rPr>
          <w:rStyle w:val="FootnoteReference"/>
        </w:rPr>
        <w:footnoteReference w:id="3"/>
      </w:r>
      <w:r w:rsidR="00DD5BD4">
        <w:t xml:space="preserve">  </w:t>
      </w:r>
      <w:r w:rsidR="00563780">
        <w:t xml:space="preserve">In this </w:t>
      </w:r>
      <w:r w:rsidR="00563780">
        <w:rPr>
          <w:i/>
          <w:iCs/>
        </w:rPr>
        <w:t>Memorandum Opinion and Order</w:t>
      </w:r>
      <w:r w:rsidR="00563780">
        <w:t xml:space="preserve">, we deny </w:t>
      </w:r>
      <w:r w:rsidR="00B220B6">
        <w:t>Kaumana’s</w:t>
      </w:r>
      <w:r w:rsidR="00563780">
        <w:t xml:space="preserve"> </w:t>
      </w:r>
      <w:r w:rsidR="001F2CB9">
        <w:t xml:space="preserve">Petition </w:t>
      </w:r>
      <w:r w:rsidR="00A36044">
        <w:t xml:space="preserve">for </w:t>
      </w:r>
      <w:r w:rsidR="001F2CB9">
        <w:t>W</w:t>
      </w:r>
      <w:r w:rsidR="00A36044">
        <w:t xml:space="preserve">aiver </w:t>
      </w:r>
      <w:r w:rsidR="00B220B6">
        <w:t xml:space="preserve">because it </w:t>
      </w:r>
      <w:r w:rsidR="001D28CD">
        <w:t xml:space="preserve">fails to </w:t>
      </w:r>
      <w:r w:rsidR="00A36044">
        <w:t>meet the Commission’s waiver standard.</w:t>
      </w:r>
      <w:r>
        <w:rPr>
          <w:rStyle w:val="FootnoteReference"/>
        </w:rPr>
        <w:footnoteReference w:id="4"/>
      </w:r>
      <w:r w:rsidR="00A36044">
        <w:t xml:space="preserve"> </w:t>
      </w:r>
      <w:r w:rsidR="001B728F">
        <w:t xml:space="preserve"> </w:t>
      </w:r>
      <w:r w:rsidR="008247A2">
        <w:t xml:space="preserve">We also direct </w:t>
      </w:r>
      <w:r w:rsidR="00E24C56">
        <w:t xml:space="preserve">the Broadband Division of the Wireless Telecommunications Bureau to </w:t>
      </w:r>
      <w:r w:rsidR="008247A2">
        <w:t xml:space="preserve">dismiss </w:t>
      </w:r>
      <w:r w:rsidR="008247A2">
        <w:t>Kaumana’s</w:t>
      </w:r>
      <w:r w:rsidR="008247A2">
        <w:t xml:space="preserve"> application.</w:t>
      </w:r>
      <w:r w:rsidR="00DD5BD4">
        <w:t xml:space="preserve">  </w:t>
      </w:r>
    </w:p>
    <w:p w:rsidR="00C1480C" w:rsidP="00C1480C" w14:paraId="28C1A532" w14:textId="08F444A9">
      <w:pPr>
        <w:pStyle w:val="Heading1"/>
      </w:pPr>
      <w:r>
        <w:t>Background</w:t>
      </w:r>
    </w:p>
    <w:p w:rsidR="001101B9" w:rsidRPr="00EE144A" w:rsidP="002949DD" w14:paraId="24E499F6" w14:textId="42F9879D">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5"/>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 xml:space="preserve">Tribe or Alaska Native Village; or an entity that is owned and </w:t>
      </w:r>
      <w:r>
        <w:t>controlled by a federally-recognized Tribe</w:t>
      </w:r>
      <w:r w:rsidR="003D6D8A">
        <w:t xml:space="preserve"> </w:t>
      </w:r>
      <w:r>
        <w:t>or a consortium of federally-recognized Tribes.”</w:t>
      </w:r>
      <w:r>
        <w:rPr>
          <w:rStyle w:val="FootnoteReference"/>
        </w:rPr>
        <w:footnoteReference w:id="6"/>
      </w:r>
      <w:r w:rsidR="003D6D8A">
        <w:t xml:space="preserve"> </w:t>
      </w:r>
      <w:r>
        <w:t xml:space="preserve"> Second, the applicant must apply for eligible Tribal</w:t>
      </w:r>
      <w:r w:rsidR="00D450E8">
        <w:t xml:space="preserve"> </w:t>
      </w:r>
      <w:r>
        <w:t xml:space="preserve">lands, which are defined, in relevant part, as </w:t>
      </w:r>
      <w:r w:rsidR="00A36044">
        <w:t>“</w:t>
      </w:r>
      <w:r>
        <w:t>any federally recognized Indian Tribe’s reservation, pueblo</w:t>
      </w:r>
      <w:r w:rsidR="00D450E8">
        <w:t xml:space="preserve"> </w:t>
      </w:r>
      <w:r>
        <w:t>or colony, including former reservations in Oklahoma, Alaska Native regions established pursuant to the</w:t>
      </w:r>
      <w:r w:rsidR="00D450E8">
        <w:t xml:space="preserve"> </w:t>
      </w:r>
      <w:r>
        <w:t>Alaska Native Claims Settlement Act (85 Stat. 688) and Indian Allotments, see §</w:t>
      </w:r>
      <w:r w:rsidR="009463AD">
        <w:t xml:space="preserve"> </w:t>
      </w:r>
      <w:r>
        <w:t>54.400(e) of this chapter,</w:t>
      </w:r>
      <w:r w:rsidR="00D450E8">
        <w:t xml:space="preserve"> </w:t>
      </w:r>
      <w:r>
        <w:t>as well as Hawaiian Home Lands—areas held in trust for native Hawaiians by the State of Hawaii,</w:t>
      </w:r>
      <w:r w:rsidR="00A3333D">
        <w:t xml:space="preserve"> </w:t>
      </w:r>
      <w:r>
        <w:t>pursuant to the Hawaiian Homes Commission Act, 1920, July 9, 1921, 42 Stat 108, et seq., as amended.</w:t>
      </w:r>
      <w:r w:rsidR="00A36044">
        <w:t>”</w:t>
      </w:r>
      <w:r>
        <w:rPr>
          <w:rStyle w:val="FootnoteReference"/>
        </w:rPr>
        <w:footnoteReference w:id="7"/>
      </w:r>
      <w:r w:rsidR="006A20C0">
        <w:t xml:space="preserve"> </w:t>
      </w:r>
      <w:r w:rsidR="00A36044">
        <w:t xml:space="preserve"> </w:t>
      </w:r>
      <w:r w:rsidR="00284E94">
        <w:t xml:space="preserve">Third, the eligible Tribal land must be in a rural area, which is defined as </w:t>
      </w:r>
      <w:r w:rsidR="00E00466">
        <w:t>“</w:t>
      </w:r>
      <w:r w:rsidR="00284E94">
        <w:t xml:space="preserve">lands that are not part of an </w:t>
      </w:r>
      <w:r w:rsidR="006A20C0">
        <w:t>urbanized area or urban cluster area with a population equal to or greater than 50,000.</w:t>
      </w:r>
      <w:r w:rsidR="00E00466">
        <w:t>”</w:t>
      </w:r>
      <w:r>
        <w:rPr>
          <w:rStyle w:val="FootnoteReference"/>
        </w:rPr>
        <w:footnoteReference w:id="8"/>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 xml:space="preserve">and for which </w:t>
      </w:r>
      <w:r w:rsidR="009463AD">
        <w:t>it is</w:t>
      </w:r>
      <w:r w:rsidR="006A20C0">
        <w:t xml:space="preserve"> applying.</w:t>
      </w:r>
      <w:r>
        <w:rPr>
          <w:rStyle w:val="FootnoteReference"/>
        </w:rPr>
        <w:footnoteReference w:id="9"/>
      </w:r>
      <w:r w:rsidR="000652F1">
        <w:t xml:space="preserve">  </w:t>
      </w:r>
    </w:p>
    <w:p w:rsidR="00C46CBA" w:rsidP="00166880" w14:paraId="680BC31D" w14:textId="2E634882">
      <w:pPr>
        <w:pStyle w:val="ParaNum"/>
      </w:pPr>
      <w:r>
        <w:t>Kaumana</w:t>
      </w:r>
      <w:r>
        <w:t xml:space="preserve"> </w:t>
      </w:r>
      <w:r w:rsidR="00730ED4">
        <w:t xml:space="preserve">is </w:t>
      </w:r>
      <w:r w:rsidRPr="00DB4CC8" w:rsidR="00730ED4">
        <w:t>a Hawaiian Homestead Association (HHA)</w:t>
      </w:r>
      <w:r w:rsidR="00730ED4">
        <w:t xml:space="preserve"> </w:t>
      </w:r>
      <w:r>
        <w:t>seek</w:t>
      </w:r>
      <w:r w:rsidR="00730ED4">
        <w:t>ing</w:t>
      </w:r>
      <w:r>
        <w:t xml:space="preserve"> a waiver o</w:t>
      </w:r>
      <w:r w:rsidR="00B96030">
        <w:t xml:space="preserve">f </w:t>
      </w:r>
      <w:r>
        <w:t xml:space="preserve">section 27.1204(b)(1) of the Commission’s rules to grant it eligibility to apply for an overlay license covering </w:t>
      </w:r>
      <w:r w:rsidR="00B96030">
        <w:t xml:space="preserve">certain </w:t>
      </w:r>
      <w:r>
        <w:t>specified Tribal lands in Hawai’i.</w:t>
      </w:r>
      <w:r>
        <w:rPr>
          <w:rStyle w:val="FootnoteReference"/>
        </w:rPr>
        <w:footnoteReference w:id="10"/>
      </w:r>
      <w:r>
        <w:t xml:space="preserve">  </w:t>
      </w:r>
      <w:r w:rsidR="00A36044">
        <w:t>A</w:t>
      </w:r>
      <w:r w:rsidRPr="00EE144A" w:rsidR="00166880">
        <w:t>ccording</w:t>
      </w:r>
      <w:r w:rsidR="00A36044">
        <w:t xml:space="preserve"> to the Bureau of Indian Affairs’</w:t>
      </w:r>
      <w:r w:rsidR="0035393E">
        <w:t xml:space="preserve"> </w:t>
      </w:r>
      <w:r w:rsidRPr="00EE144A" w:rsidR="00166880">
        <w:t xml:space="preserve">current list of federally recognized </w:t>
      </w:r>
      <w:r w:rsidRPr="00DB4CC8" w:rsidR="00166880">
        <w:t>Trib</w:t>
      </w:r>
      <w:r w:rsidRPr="00DB4CC8" w:rsidR="00AE3776">
        <w:t>es</w:t>
      </w:r>
      <w:r w:rsidR="00A36044">
        <w:t xml:space="preserve">, there are </w:t>
      </w:r>
      <w:r w:rsidRPr="00DB4CC8" w:rsidR="00A36044">
        <w:t>no</w:t>
      </w:r>
      <w:r w:rsidRPr="00DB4CC8" w:rsidR="00AE3776">
        <w:t>ne</w:t>
      </w:r>
      <w:r w:rsidR="00A36044">
        <w:t xml:space="preserve"> </w:t>
      </w:r>
      <w:r w:rsidRPr="00EE144A" w:rsidR="00166880">
        <w:t>in Hawai’i.</w:t>
      </w:r>
      <w:r>
        <w:rPr>
          <w:rStyle w:val="FootnoteReference"/>
        </w:rPr>
        <w:footnoteReference w:id="11"/>
      </w:r>
      <w:r w:rsidRPr="00EE144A" w:rsidR="00166880">
        <w:t xml:space="preserve">  Therefore, </w:t>
      </w:r>
      <w:r w:rsidRPr="00EE144A" w:rsidR="005E103B">
        <w:t xml:space="preserve">under the eligibility requirements adopted in the </w:t>
      </w:r>
      <w:r w:rsidRPr="002D50BA" w:rsidR="009F05B2">
        <w:rPr>
          <w:i/>
          <w:iCs/>
        </w:rPr>
        <w:t>2.5 GHz</w:t>
      </w:r>
      <w:r w:rsidR="009F05B2">
        <w:t xml:space="preserve"> </w:t>
      </w:r>
      <w:r w:rsidRPr="00853E61" w:rsidR="005E103B">
        <w:rPr>
          <w:i/>
          <w:iCs/>
        </w:rPr>
        <w:t>Report and Order</w:t>
      </w:r>
      <w:r w:rsidRPr="00EE144A" w:rsidR="005E103B">
        <w:t>,</w:t>
      </w:r>
      <w:r w:rsidRPr="00853E61" w:rsidR="005E103B">
        <w:rPr>
          <w:i/>
          <w:iCs/>
        </w:rPr>
        <w:t xml:space="preserve"> </w:t>
      </w:r>
      <w:r w:rsidRPr="00EE144A" w:rsidR="00166880">
        <w:t>t</w:t>
      </w:r>
      <w:bookmarkStart w:id="0" w:name="_GoBack"/>
      <w:bookmarkEnd w:id="0"/>
      <w:r w:rsidRPr="00EE144A" w:rsidR="00166880">
        <w:t xml:space="preserve">here </w:t>
      </w:r>
      <w:r w:rsidR="0053202E">
        <w:t>were</w:t>
      </w:r>
      <w:r w:rsidRPr="00EE144A" w:rsidR="00166880">
        <w:t xml:space="preserve"> no entities eligible to </w:t>
      </w:r>
      <w:r w:rsidR="000B5DCB">
        <w:t>apply for</w:t>
      </w:r>
      <w:r w:rsidRPr="00EE144A" w:rsidR="00166880">
        <w:t xml:space="preserve"> the available spectrum in that state</w:t>
      </w:r>
      <w:r w:rsidR="00811C65">
        <w:t xml:space="preserve">, despite the explicit </w:t>
      </w:r>
      <w:r w:rsidR="002C6641">
        <w:t xml:space="preserve">recognition of </w:t>
      </w:r>
      <w:r w:rsidR="009F05B2">
        <w:t xml:space="preserve">certain </w:t>
      </w:r>
      <w:r w:rsidR="002C6641">
        <w:t>Hawaiian Home Lands as eligible Tribal Lands</w:t>
      </w:r>
      <w:r w:rsidRPr="00EE144A" w:rsidR="00166880">
        <w:t>.</w:t>
      </w:r>
      <w:r w:rsidR="006B5087">
        <w:t xml:space="preserve">  We recognized this fact </w:t>
      </w:r>
      <w:r w:rsidR="00B1660A">
        <w:t>w</w:t>
      </w:r>
      <w:r w:rsidR="006B5087">
        <w:t>hen, o</w:t>
      </w:r>
      <w:r w:rsidRPr="00EE144A" w:rsidR="00D31247">
        <w:t xml:space="preserve">n March 20, 2020, </w:t>
      </w:r>
      <w:r w:rsidRPr="00EE144A" w:rsidR="00CE4BA0">
        <w:t xml:space="preserve">we adopted a </w:t>
      </w:r>
      <w:r w:rsidRPr="00853E61" w:rsidR="00CE4BA0">
        <w:rPr>
          <w:i/>
          <w:iCs/>
        </w:rPr>
        <w:t>Memorandum Opinion and Order</w:t>
      </w:r>
      <w:r w:rsidR="008F79C4">
        <w:t xml:space="preserve"> that</w:t>
      </w:r>
      <w:r w:rsidR="00174992">
        <w:t xml:space="preserve"> </w:t>
      </w:r>
      <w:r w:rsidRPr="00EE144A" w:rsidR="00CE4BA0">
        <w:t>grant</w:t>
      </w:r>
      <w:r w:rsidR="001D28CD">
        <w:t>ed</w:t>
      </w:r>
      <w:r w:rsidRPr="00EE144A" w:rsidR="00CE4BA0">
        <w:t xml:space="preserve"> a Department of Hawaiian Homelands (DHHL) request for waiver of the Commission’s rules regarding eligibility for the </w:t>
      </w:r>
      <w:r w:rsidR="00B1660A">
        <w:t>Tribal Priority Window</w:t>
      </w:r>
      <w:r w:rsidR="007A0C9B">
        <w:t xml:space="preserve"> so as to allow DHHL to participate in the Tribal Priority Window</w:t>
      </w:r>
      <w:r w:rsidRPr="00EE144A" w:rsidR="00294F81">
        <w:t>.</w:t>
      </w:r>
      <w:r>
        <w:rPr>
          <w:rStyle w:val="FootnoteReference"/>
        </w:rPr>
        <w:footnoteReference w:id="12"/>
      </w:r>
      <w:r w:rsidRPr="00EE144A" w:rsidR="00A630EA">
        <w:t xml:space="preserve">  </w:t>
      </w:r>
      <w:r w:rsidR="00376E52">
        <w:t xml:space="preserve">DHHL subsequently submitted five timely applications to participate in the </w:t>
      </w:r>
      <w:r w:rsidR="00B1660A">
        <w:t>Tribal Priority Window</w:t>
      </w:r>
      <w:r w:rsidR="00376E52">
        <w:t xml:space="preserve">, which cover eligible rural Tribal areas </w:t>
      </w:r>
      <w:r w:rsidR="00853E61">
        <w:t xml:space="preserve">with unassigned frequencies on five </w:t>
      </w:r>
      <w:r w:rsidR="00376E52">
        <w:t>Hawaii</w:t>
      </w:r>
      <w:r w:rsidR="00853E61">
        <w:t>an islands</w:t>
      </w:r>
      <w:r w:rsidR="00376E52">
        <w:t>.</w:t>
      </w:r>
      <w:r>
        <w:rPr>
          <w:rStyle w:val="FootnoteReference"/>
        </w:rPr>
        <w:footnoteReference w:id="13"/>
      </w:r>
    </w:p>
    <w:p w:rsidR="005A057D" w:rsidP="005A057D" w14:paraId="25DC3DD0" w14:textId="2C8EBF70">
      <w:pPr>
        <w:pStyle w:val="Heading1"/>
      </w:pPr>
      <w:r>
        <w:t>Discussion</w:t>
      </w:r>
    </w:p>
    <w:p w:rsidR="00CE7D95" w:rsidP="00CE7D95" w14:paraId="5F92E98E" w14:textId="732C2580">
      <w:pPr>
        <w:pStyle w:val="ParaNum"/>
      </w:pPr>
      <w:r>
        <w:t>The Commission may grant a request for a waiver if it is shown that: (</w:t>
      </w:r>
      <w:r>
        <w:t>i</w:t>
      </w:r>
      <w:r>
        <w:t xml:space="preserve">)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w:t>
      </w:r>
      <w:r>
        <w:t>burdensome or contrary to the public interest, or the applicant has no reasonable alternative.</w:t>
      </w:r>
      <w:r>
        <w:rPr>
          <w:rStyle w:val="FootnoteReference"/>
        </w:rPr>
        <w:footnoteReference w:id="14"/>
      </w:r>
      <w:r w:rsidR="00376E52">
        <w:t xml:space="preserve">  Here, we </w:t>
      </w:r>
      <w:r w:rsidR="003E7714">
        <w:t xml:space="preserve">find that </w:t>
      </w:r>
      <w:r w:rsidR="00376E52">
        <w:t>Kaumana’s</w:t>
      </w:r>
      <w:r w:rsidR="00376E52">
        <w:t xml:space="preserve"> </w:t>
      </w:r>
      <w:r w:rsidR="003E7714">
        <w:t>showing</w:t>
      </w:r>
      <w:r w:rsidR="00BD3E61">
        <w:t xml:space="preserve"> </w:t>
      </w:r>
      <w:r w:rsidR="009E3520">
        <w:t xml:space="preserve">does not meet </w:t>
      </w:r>
      <w:r w:rsidR="008247A2">
        <w:t xml:space="preserve">either prong </w:t>
      </w:r>
      <w:r w:rsidR="009E3520">
        <w:t>of the Commission’s waiver standard</w:t>
      </w:r>
      <w:r w:rsidR="003E7714">
        <w:t xml:space="preserve"> and according</w:t>
      </w:r>
      <w:r w:rsidR="00BD3E61">
        <w:t>ly</w:t>
      </w:r>
      <w:r w:rsidR="003E7714">
        <w:t xml:space="preserve"> deny its request</w:t>
      </w:r>
      <w:r w:rsidR="009E3520">
        <w:t xml:space="preserve">.  </w:t>
      </w:r>
    </w:p>
    <w:p w:rsidR="009243FC" w:rsidP="001E7912" w14:paraId="6983AC15" w14:textId="612F8471">
      <w:pPr>
        <w:pStyle w:val="ParaNum"/>
      </w:pPr>
      <w:r>
        <w:t xml:space="preserve">Although </w:t>
      </w:r>
      <w:r>
        <w:t>Kaumana</w:t>
      </w:r>
      <w:r>
        <w:t xml:space="preserve"> ma</w:t>
      </w:r>
      <w:r w:rsidR="00856943">
        <w:t>k</w:t>
      </w:r>
      <w:r>
        <w:t>e</w:t>
      </w:r>
      <w:r w:rsidR="00856943">
        <w:t>s</w:t>
      </w:r>
      <w:r>
        <w:t xml:space="preserve"> a single reference to Section 1.925 of the Commission’s rules in its </w:t>
      </w:r>
      <w:r w:rsidR="001F2CB9">
        <w:t>Petition</w:t>
      </w:r>
      <w:r>
        <w:t xml:space="preserve"> for Waiver, it </w:t>
      </w:r>
      <w:r w:rsidR="003E7714">
        <w:t xml:space="preserve">provides no </w:t>
      </w:r>
      <w:r w:rsidR="0026338D">
        <w:t xml:space="preserve">rationale </w:t>
      </w:r>
      <w:r w:rsidR="003E7714">
        <w:t xml:space="preserve">or explanation </w:t>
      </w:r>
      <w:r w:rsidR="00856943">
        <w:t>for</w:t>
      </w:r>
      <w:r w:rsidR="0026338D">
        <w:t xml:space="preserve"> why it warrants waiver of the Commission’s </w:t>
      </w:r>
      <w:r w:rsidR="00AD77AD">
        <w:t xml:space="preserve">Rural </w:t>
      </w:r>
      <w:r w:rsidR="0026338D">
        <w:t xml:space="preserve">Tribal </w:t>
      </w:r>
      <w:r w:rsidR="00A82B62">
        <w:t xml:space="preserve">Priority </w:t>
      </w:r>
      <w:r w:rsidR="0026338D">
        <w:t xml:space="preserve">Window </w:t>
      </w:r>
      <w:r w:rsidRPr="00DB4CC8" w:rsidR="00A006BA">
        <w:t>rule</w:t>
      </w:r>
      <w:r w:rsidRPr="00DB4CC8" w:rsidR="00730ED4">
        <w:t xml:space="preserve"> defining eligible entities</w:t>
      </w:r>
      <w:r w:rsidR="0026338D">
        <w:t>.</w:t>
      </w:r>
      <w:r>
        <w:rPr>
          <w:rStyle w:val="FootnoteReference"/>
        </w:rPr>
        <w:footnoteReference w:id="15"/>
      </w:r>
      <w:r w:rsidR="0026338D">
        <w:t xml:space="preserve">  </w:t>
      </w:r>
      <w:r w:rsidR="00C522D0">
        <w:t xml:space="preserve">First, </w:t>
      </w:r>
      <w:r w:rsidR="0026338D">
        <w:t>Kaumana</w:t>
      </w:r>
      <w:r w:rsidR="0026338D">
        <w:t xml:space="preserve"> </w:t>
      </w:r>
      <w:r w:rsidR="00177280">
        <w:t>does</w:t>
      </w:r>
      <w:r w:rsidR="0026338D">
        <w:t xml:space="preserve"> not assert that the purpose of </w:t>
      </w:r>
      <w:r w:rsidRPr="00DB4CC8" w:rsidR="00A82B62">
        <w:t>th</w:t>
      </w:r>
      <w:r w:rsidRPr="00DB4CC8" w:rsidR="00AE3776">
        <w:t>at</w:t>
      </w:r>
      <w:r w:rsidRPr="00DB4CC8" w:rsidR="0026338D">
        <w:t xml:space="preserve"> rule</w:t>
      </w:r>
      <w:r w:rsidR="0026338D">
        <w:t xml:space="preserve"> would be frustrated absent a waiver</w:t>
      </w:r>
      <w:r w:rsidR="000D7146">
        <w:t xml:space="preserve"> </w:t>
      </w:r>
      <w:r w:rsidR="009E04D2">
        <w:t xml:space="preserve">nor </w:t>
      </w:r>
      <w:r w:rsidR="000D7146">
        <w:t>that grant of a waiver would be in the public interest</w:t>
      </w:r>
      <w:r w:rsidR="0026338D">
        <w:t>.  S</w:t>
      </w:r>
      <w:r w:rsidR="00C522D0">
        <w:t>econd</w:t>
      </w:r>
      <w:r w:rsidR="0026338D">
        <w:t xml:space="preserve">, </w:t>
      </w:r>
      <w:r w:rsidR="0026338D">
        <w:t>Kaumana</w:t>
      </w:r>
      <w:r w:rsidR="0026338D">
        <w:t xml:space="preserve"> </w:t>
      </w:r>
      <w:r w:rsidR="00177280">
        <w:t>makes</w:t>
      </w:r>
      <w:r w:rsidR="0026338D">
        <w:t xml:space="preserve"> no assertion that it was subject to unique factual circumstances that would make application of </w:t>
      </w:r>
      <w:r w:rsidRPr="00DB4CC8" w:rsidR="0026338D">
        <w:t>the</w:t>
      </w:r>
      <w:r w:rsidRPr="00DB4CC8" w:rsidR="009E04D2">
        <w:t xml:space="preserve"> </w:t>
      </w:r>
      <w:r w:rsidRPr="00DB4CC8" w:rsidR="00AC3EC5">
        <w:t>eligible entity</w:t>
      </w:r>
      <w:r w:rsidR="00AC3EC5">
        <w:t xml:space="preserve"> </w:t>
      </w:r>
      <w:r w:rsidR="00A006BA">
        <w:t xml:space="preserve">rule </w:t>
      </w:r>
      <w:r w:rsidR="0026338D">
        <w:t xml:space="preserve">to </w:t>
      </w:r>
      <w:r w:rsidR="0026338D">
        <w:t>Kaumana</w:t>
      </w:r>
      <w:r w:rsidR="0026338D">
        <w:t xml:space="preserve"> inequitable or contrary to the public interest.  Indeed, </w:t>
      </w:r>
      <w:r w:rsidR="0026338D">
        <w:t>Kaumana</w:t>
      </w:r>
      <w:r w:rsidR="0026338D">
        <w:t xml:space="preserve"> </w:t>
      </w:r>
      <w:bookmarkStart w:id="1" w:name="_Hlk55812466"/>
      <w:r w:rsidR="0026338D">
        <w:t>is identically situated to all HHAs</w:t>
      </w:r>
      <w:r w:rsidR="001E7912">
        <w:t xml:space="preserve">, none </w:t>
      </w:r>
      <w:r w:rsidR="0026338D">
        <w:t>of which are eligible for participation in the Tribal Priority Window</w:t>
      </w:r>
      <w:bookmarkEnd w:id="1"/>
      <w:r w:rsidR="0026338D">
        <w:t xml:space="preserve">.  </w:t>
      </w:r>
    </w:p>
    <w:p w:rsidR="0086047D" w:rsidP="001E7912" w14:paraId="49FC2CD5" w14:textId="649B44BD">
      <w:pPr>
        <w:pStyle w:val="ParaNum"/>
      </w:pPr>
      <w:r>
        <w:t>Finally,</w:t>
      </w:r>
      <w:r w:rsidR="0026338D">
        <w:t xml:space="preserve"> </w:t>
      </w:r>
      <w:r w:rsidR="0026338D">
        <w:t>Kaumana</w:t>
      </w:r>
      <w:r w:rsidR="000D7146">
        <w:t xml:space="preserve"> </w:t>
      </w:r>
      <w:r>
        <w:t xml:space="preserve">does not assert that it </w:t>
      </w:r>
      <w:r w:rsidR="009306D4">
        <w:t xml:space="preserve">is </w:t>
      </w:r>
      <w:r w:rsidR="009E04D2">
        <w:t>without any</w:t>
      </w:r>
      <w:r>
        <w:t xml:space="preserve"> reasonable alternative</w:t>
      </w:r>
      <w:r w:rsidR="000D7146">
        <w:t xml:space="preserve"> to gain the benefits of access to the 2.5 GHz spectrum</w:t>
      </w:r>
      <w:r>
        <w:t>.  In fact,</w:t>
      </w:r>
      <w:r w:rsidR="0026338D">
        <w:t xml:space="preserve"> like all HHAs, </w:t>
      </w:r>
      <w:r>
        <w:t>Kaumana</w:t>
      </w:r>
      <w:r>
        <w:t xml:space="preserve"> </w:t>
      </w:r>
      <w:r w:rsidR="0026338D">
        <w:t xml:space="preserve">has an opportunity </w:t>
      </w:r>
      <w:r w:rsidR="009E04D2">
        <w:t xml:space="preserve">to </w:t>
      </w:r>
      <w:r w:rsidR="001E7912">
        <w:t>access this spectrum through cooperation with DHHL</w:t>
      </w:r>
      <w:r w:rsidR="009E04D2">
        <w:t>, which has applied</w:t>
      </w:r>
      <w:r>
        <w:t xml:space="preserve"> </w:t>
      </w:r>
      <w:r w:rsidR="009E04D2">
        <w:t>in its capacity as an eligible entity</w:t>
      </w:r>
      <w:r>
        <w:t xml:space="preserve"> for the benefit of all HHAs</w:t>
      </w:r>
      <w:r w:rsidR="009E04D2">
        <w:t xml:space="preserve"> statewide</w:t>
      </w:r>
      <w:r w:rsidR="001E7912">
        <w:t xml:space="preserve">.  In the </w:t>
      </w:r>
      <w:r w:rsidRPr="009243FC" w:rsidR="001E7912">
        <w:rPr>
          <w:i/>
          <w:iCs/>
        </w:rPr>
        <w:t>DHHL Waiver Order</w:t>
      </w:r>
      <w:r w:rsidR="008247A2">
        <w:t>,</w:t>
      </w:r>
      <w:r w:rsidR="001E7912">
        <w:t xml:space="preserve"> we </w:t>
      </w:r>
      <w:r w:rsidR="00C70DBE">
        <w:t xml:space="preserve">found </w:t>
      </w:r>
      <w:r w:rsidR="001E7912">
        <w:t>that “DHHL is uniquely suited to administer resources on behalf of the Hawaiian Homesteads, due to its designation by the State of Hawai’i as the entity responsible for managing Hawaiian Home Lands, including trust resources, and because of its capabilities and operational history with regard to ‘managing and licensing utilities for expansion and service to rural Homestead communities.’”</w:t>
      </w:r>
      <w:r>
        <w:rPr>
          <w:rStyle w:val="FootnoteReference"/>
        </w:rPr>
        <w:footnoteReference w:id="16"/>
      </w:r>
      <w:r w:rsidR="001E7912">
        <w:t xml:space="preserve">  We also noted the existence of a Memorandum of Understanding among DHHL, the Office of Hawaiian Affairs and the Department of Business, Economic Development, and Tourism, as well as the absence of any objections to DHHL’s suitability to administer this spectrum resource on behalf of native Hawaiians.</w:t>
      </w:r>
      <w:r>
        <w:rPr>
          <w:rStyle w:val="FootnoteReference"/>
        </w:rPr>
        <w:footnoteReference w:id="17"/>
      </w:r>
      <w:r w:rsidR="001E7912">
        <w:t xml:space="preserve">  </w:t>
      </w:r>
      <w:r w:rsidR="00C70DBE">
        <w:t>Indeed,</w:t>
      </w:r>
      <w:r>
        <w:t xml:space="preserve"> t</w:t>
      </w:r>
      <w:r w:rsidR="00177280">
        <w:t xml:space="preserve">he areas and frequencies </w:t>
      </w:r>
      <w:r w:rsidR="00177280">
        <w:t>Kaumana</w:t>
      </w:r>
      <w:r w:rsidR="00177280">
        <w:t xml:space="preserve"> included in its </w:t>
      </w:r>
      <w:r w:rsidR="001F0FF0">
        <w:t xml:space="preserve">Rural </w:t>
      </w:r>
      <w:r w:rsidR="00177280">
        <w:t xml:space="preserve">Tribal Priority Window application </w:t>
      </w:r>
      <w:r w:rsidR="009243FC">
        <w:t>are</w:t>
      </w:r>
      <w:r w:rsidR="00177280">
        <w:t xml:space="preserve"> included in one of the applications filed by DHHL.</w:t>
      </w:r>
      <w:r>
        <w:rPr>
          <w:rStyle w:val="FootnoteReference"/>
        </w:rPr>
        <w:footnoteReference w:id="18"/>
      </w:r>
      <w:r w:rsidR="00177280">
        <w:t xml:space="preserve">  </w:t>
      </w:r>
      <w:r w:rsidR="000D7146">
        <w:t>Kaumana</w:t>
      </w:r>
      <w:r w:rsidR="000D7146">
        <w:t xml:space="preserve">, like other HHAs, is encouraged to </w:t>
      </w:r>
      <w:r w:rsidR="001E7912">
        <w:t>work with DHHL to see that the spectrum is deployed in a way that is suited to its needs.</w:t>
      </w:r>
      <w:r>
        <w:rPr>
          <w:rStyle w:val="FootnoteReference"/>
        </w:rPr>
        <w:footnoteReference w:id="19"/>
      </w:r>
    </w:p>
    <w:p w:rsidR="001E7912" w:rsidP="001E7912" w14:paraId="3E883BD2" w14:textId="372D3F05">
      <w:pPr>
        <w:pStyle w:val="ParaNum"/>
      </w:pPr>
      <w:r>
        <w:t xml:space="preserve">Put simply, </w:t>
      </w:r>
      <w:r>
        <w:t>Kaumana</w:t>
      </w:r>
      <w:r>
        <w:t xml:space="preserve"> ma</w:t>
      </w:r>
      <w:r w:rsidR="00177280">
        <w:t>k</w:t>
      </w:r>
      <w:r>
        <w:t>e</w:t>
      </w:r>
      <w:r w:rsidR="00177280">
        <w:t>s</w:t>
      </w:r>
      <w:r>
        <w:t xml:space="preserve"> no attempt in its </w:t>
      </w:r>
      <w:r w:rsidR="001F2CB9">
        <w:t>Petition</w:t>
      </w:r>
      <w:r>
        <w:t xml:space="preserve"> for Waiver to </w:t>
      </w:r>
      <w:r w:rsidR="001F2CB9">
        <w:t xml:space="preserve">address the Commission’s waiver standard, nor </w:t>
      </w:r>
      <w:r>
        <w:t xml:space="preserve">does it advance </w:t>
      </w:r>
      <w:r w:rsidR="001F2CB9">
        <w:t xml:space="preserve">any </w:t>
      </w:r>
      <w:r w:rsidR="00DF2B29">
        <w:t xml:space="preserve">justification for </w:t>
      </w:r>
      <w:r w:rsidR="001F2CB9">
        <w:t>a waiver</w:t>
      </w:r>
      <w:r w:rsidR="00FC46FA">
        <w:t xml:space="preserve"> or explain why a waiver is warranted </w:t>
      </w:r>
      <w:r w:rsidR="00FC46FA">
        <w:t>in light of</w:t>
      </w:r>
      <w:r w:rsidR="00FC46FA">
        <w:t xml:space="preserve"> the grant of a waiver to DHHL</w:t>
      </w:r>
      <w:r w:rsidR="001F2CB9">
        <w:t xml:space="preserve">.  </w:t>
      </w:r>
      <w:r>
        <w:t xml:space="preserve">Therefore, we cannot find that </w:t>
      </w:r>
      <w:r w:rsidR="000D7146">
        <w:t xml:space="preserve">granting </w:t>
      </w:r>
      <w:r>
        <w:t>a wa</w:t>
      </w:r>
      <w:r w:rsidR="00BD3E61">
        <w:t>i</w:t>
      </w:r>
      <w:r>
        <w:t xml:space="preserve">ver is </w:t>
      </w:r>
      <w:r w:rsidR="000D7146">
        <w:t xml:space="preserve">in the public interest </w:t>
      </w:r>
      <w:r>
        <w:t xml:space="preserve">in this instance.  </w:t>
      </w:r>
      <w:r w:rsidR="001F2CB9">
        <w:t xml:space="preserve">The only argument </w:t>
      </w:r>
      <w:r w:rsidR="001F2CB9">
        <w:t>Kaumana</w:t>
      </w:r>
      <w:r w:rsidR="001F2CB9">
        <w:t xml:space="preserve"> </w:t>
      </w:r>
      <w:r w:rsidR="00DF2B29">
        <w:t xml:space="preserve">presents </w:t>
      </w:r>
      <w:r w:rsidR="001F2CB9">
        <w:t xml:space="preserve">in its Petition is that “the Commission’s omission of HHA eligibility may be a matter of inadvertent oversight due to the unfamiliarity with the unique </w:t>
      </w:r>
      <w:r w:rsidR="00B220B6">
        <w:t>relationship</w:t>
      </w:r>
      <w:r w:rsidR="001F2CB9">
        <w:t xml:space="preserve"> of the federal government in its administration of the Hawaiian Home Lands, the native Hawaiians, and the HHAs.”</w:t>
      </w:r>
      <w:r>
        <w:rPr>
          <w:rStyle w:val="FootnoteReference"/>
        </w:rPr>
        <w:footnoteReference w:id="20"/>
      </w:r>
      <w:r w:rsidR="001F2CB9">
        <w:t xml:space="preserve">  In short, </w:t>
      </w:r>
      <w:r w:rsidR="001F2CB9">
        <w:t>Kaumana</w:t>
      </w:r>
      <w:r w:rsidR="001F2CB9">
        <w:t xml:space="preserve"> argues that the Commission erred in adopting </w:t>
      </w:r>
      <w:r w:rsidR="00A006BA">
        <w:t xml:space="preserve">an </w:t>
      </w:r>
      <w:r w:rsidRPr="00DB4CC8" w:rsidR="00AC3EC5">
        <w:t>eligible entity</w:t>
      </w:r>
      <w:r w:rsidR="00AC3EC5">
        <w:t xml:space="preserve"> </w:t>
      </w:r>
      <w:r w:rsidR="00A006BA">
        <w:t xml:space="preserve">rule </w:t>
      </w:r>
      <w:r w:rsidR="001F2CB9">
        <w:t xml:space="preserve">that </w:t>
      </w:r>
      <w:r w:rsidR="00A006BA">
        <w:t xml:space="preserve">excludes </w:t>
      </w:r>
      <w:r w:rsidR="001F2CB9">
        <w:t xml:space="preserve">HHAs.  This argument would have been more appropriately included in a Petition for Reconsideration of the </w:t>
      </w:r>
      <w:r w:rsidRPr="002D50BA" w:rsidR="00C70DBE">
        <w:rPr>
          <w:i/>
          <w:iCs/>
        </w:rPr>
        <w:t>2.5 GHz</w:t>
      </w:r>
      <w:r w:rsidR="00C70DBE">
        <w:t xml:space="preserve"> </w:t>
      </w:r>
      <w:r w:rsidR="001F2CB9">
        <w:rPr>
          <w:i/>
          <w:iCs/>
        </w:rPr>
        <w:t>Report and Order</w:t>
      </w:r>
      <w:r w:rsidR="00C70DBE">
        <w:rPr>
          <w:i/>
          <w:iCs/>
        </w:rPr>
        <w:t>,</w:t>
      </w:r>
      <w:r w:rsidR="001F2CB9">
        <w:t xml:space="preserve"> </w:t>
      </w:r>
      <w:r w:rsidR="00174992">
        <w:t xml:space="preserve">but such </w:t>
      </w:r>
      <w:r w:rsidR="00174992">
        <w:t xml:space="preserve">petitions </w:t>
      </w:r>
      <w:r w:rsidR="00734150">
        <w:t>were due to be filed with the Commission by November 2</w:t>
      </w:r>
      <w:r w:rsidR="00856943">
        <w:t>5</w:t>
      </w:r>
      <w:r w:rsidR="00734150">
        <w:t>, 2019</w:t>
      </w:r>
      <w:r w:rsidR="00C70DBE">
        <w:t>.</w:t>
      </w:r>
      <w:r>
        <w:rPr>
          <w:rStyle w:val="FootnoteReference"/>
        </w:rPr>
        <w:footnoteReference w:id="21"/>
      </w:r>
      <w:r w:rsidR="00734150">
        <w:t xml:space="preserve"> </w:t>
      </w:r>
      <w:r w:rsidR="00C70DBE">
        <w:t xml:space="preserve"> T</w:t>
      </w:r>
      <w:r w:rsidR="00734150">
        <w:t xml:space="preserve">o the extent </w:t>
      </w:r>
      <w:r w:rsidR="00734150">
        <w:t>Kaumana’s</w:t>
      </w:r>
      <w:r w:rsidR="00734150">
        <w:t xml:space="preserve"> Petition </w:t>
      </w:r>
      <w:r w:rsidR="00885E97">
        <w:t xml:space="preserve">could </w:t>
      </w:r>
      <w:r w:rsidR="007F7C8F">
        <w:t>be construed as</w:t>
      </w:r>
      <w:r w:rsidR="00734150">
        <w:t xml:space="preserve"> a Petition for Reconsideration, i</w:t>
      </w:r>
      <w:r w:rsidR="00856943">
        <w:t xml:space="preserve">t </w:t>
      </w:r>
      <w:r w:rsidR="00885E97">
        <w:t xml:space="preserve">thus </w:t>
      </w:r>
      <w:r w:rsidR="00856943">
        <w:t>was not timely filed.</w:t>
      </w:r>
      <w:r w:rsidR="003B556A">
        <w:t xml:space="preserve">  </w:t>
      </w:r>
      <w:r w:rsidR="00E31A3F">
        <w:t>In sum, s</w:t>
      </w:r>
      <w:r w:rsidR="003B556A">
        <w:t xml:space="preserve">ince we deny the Petition for Waiver, and </w:t>
      </w:r>
      <w:r w:rsidR="003B556A">
        <w:t>Kaumana</w:t>
      </w:r>
      <w:r w:rsidR="003B556A">
        <w:t xml:space="preserve"> </w:t>
      </w:r>
      <w:r w:rsidR="00E31A3F">
        <w:t>seek</w:t>
      </w:r>
      <w:r w:rsidR="00DF2B29">
        <w:t>s no</w:t>
      </w:r>
      <w:r w:rsidR="003B556A">
        <w:t xml:space="preserve"> alternative </w:t>
      </w:r>
      <w:r w:rsidR="00E31A3F">
        <w:t>relief</w:t>
      </w:r>
      <w:r w:rsidR="003B556A">
        <w:t xml:space="preserve"> that complies with our rules, its application must be dismissed.</w:t>
      </w:r>
      <w:r>
        <w:rPr>
          <w:rStyle w:val="FootnoteReference"/>
        </w:rPr>
        <w:footnoteReference w:id="22"/>
      </w:r>
    </w:p>
    <w:p w:rsidR="00F506B1" w:rsidP="00F506B1" w14:paraId="2D202331" w14:textId="6973D47F">
      <w:pPr>
        <w:pStyle w:val="Heading1"/>
      </w:pPr>
      <w:r>
        <w:t>Ordering Clause</w:t>
      </w:r>
    </w:p>
    <w:p w:rsidR="00F506B1" w:rsidP="00F506B1" w14:paraId="1BABF783" w14:textId="109CDDA5">
      <w:pPr>
        <w:pStyle w:val="ParaNum"/>
      </w:pPr>
      <w:r>
        <w:t>Accordingly, IT IS ORDERED, pursuant to Section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w:t>
      </w:r>
      <w:r w:rsidR="00B6739B">
        <w:t>i</w:t>
      </w:r>
      <w:r w:rsidRPr="00DB4CC8" w:rsidR="00B6739B">
        <w:t xml:space="preserve">), </w:t>
      </w:r>
      <w:r w:rsidRPr="00DB4CC8" w:rsidR="00BE268B">
        <w:t>303(c), 309(a),</w:t>
      </w:r>
      <w:r w:rsidR="00BE268B">
        <w:t xml:space="preserve"> </w:t>
      </w:r>
      <w:r w:rsidR="00B6739B">
        <w:t>and Section 1.925(b)(3) of the Commission’s Rules, 47 CFR § 1.925(b)(3), that the waiver request filed by the</w:t>
      </w:r>
      <w:r w:rsidRPr="00DD481B" w:rsidR="00DD481B">
        <w:t xml:space="preserve"> </w:t>
      </w:r>
      <w:r w:rsidR="00DD481B">
        <w:t>Kaumana</w:t>
      </w:r>
      <w:r w:rsidR="00DD481B">
        <w:t xml:space="preserve"> Hawaiian Homes Community Association on </w:t>
      </w:r>
      <w:r w:rsidR="00E60829">
        <w:t>September 1</w:t>
      </w:r>
      <w:r w:rsidR="00DD481B">
        <w:t>, 2020 IS DENIED</w:t>
      </w:r>
      <w:r w:rsidR="00D34AE4">
        <w:t>.</w:t>
      </w:r>
    </w:p>
    <w:p w:rsidR="00221722" w:rsidP="00F506B1" w14:paraId="66C4A3E7" w14:textId="6759D0D9">
      <w:pPr>
        <w:pStyle w:val="ParaNum"/>
      </w:pPr>
      <w:r>
        <w:t>IT IS FURTHER ORDERED, pursuant to Sections 4(</w:t>
      </w:r>
      <w:r>
        <w:t>i</w:t>
      </w:r>
      <w:r>
        <w:t>) and 309 of the Communications Act of 1934, as amended, 47 U.S.C. §</w:t>
      </w:r>
      <w:r w:rsidR="00F96984">
        <w:t>§</w:t>
      </w:r>
      <w:r>
        <w:t xml:space="preserve"> 154(</w:t>
      </w:r>
      <w:r>
        <w:t>i</w:t>
      </w:r>
      <w:r>
        <w:t>)</w:t>
      </w:r>
      <w:r w:rsidR="00F96984">
        <w:t>, 309</w:t>
      </w:r>
      <w:r>
        <w:t>, and Section</w:t>
      </w:r>
      <w:r w:rsidR="002D3DF7">
        <w:t>s 1.925(c)(ii) and</w:t>
      </w:r>
      <w:r>
        <w:t xml:space="preserve"> 1.934(d)(2) of the Commission’s Rules, 47 CFR §</w:t>
      </w:r>
      <w:r w:rsidR="002D3DF7">
        <w:t>§ 1.925(c)(ii),</w:t>
      </w:r>
      <w:r>
        <w:t xml:space="preserve"> 1.934(d)(2), that the Broadband Division of the Wireless Telecommunications Bureau SHALL DISMISS the application filed by the </w:t>
      </w:r>
      <w:r>
        <w:t>Kaumana</w:t>
      </w:r>
      <w:r>
        <w:t xml:space="preserve"> Hawaiian Homes Community Association on September 1, 2020 (File No. </w:t>
      </w:r>
      <w:r>
        <w:rPr>
          <w:spacing w:val="-2"/>
        </w:rPr>
        <w:t>0009209312).</w:t>
      </w:r>
    </w:p>
    <w:p w:rsidR="00D34AE4" w:rsidRPr="00F506B1" w:rsidP="00F506B1" w14:paraId="5422266D" w14:textId="0E1A8891">
      <w:pPr>
        <w:pStyle w:val="ParaNum"/>
      </w:pPr>
      <w:r>
        <w:t>This action is taken under delegated authority pursuant to Sections 0.131 and 0.331 of the Commission’s Rules, 47 CFR §§ 0.131, 0.331.</w:t>
      </w:r>
    </w:p>
    <w:p w:rsidR="008940B7" w:rsidP="00534983" w14:paraId="56E26C6E" w14:textId="77777777">
      <w:pPr>
        <w:rPr>
          <w:szCs w:val="22"/>
        </w:rPr>
      </w:pPr>
      <w:r>
        <w:rPr>
          <w:szCs w:val="22"/>
        </w:rPr>
        <w:tab/>
      </w:r>
      <w:r>
        <w:rPr>
          <w:szCs w:val="22"/>
        </w:rPr>
        <w:tab/>
      </w:r>
      <w:r>
        <w:rPr>
          <w:szCs w:val="22"/>
        </w:rPr>
        <w:tab/>
      </w:r>
      <w:r>
        <w:rPr>
          <w:szCs w:val="22"/>
        </w:rPr>
        <w:tab/>
      </w:r>
      <w:r>
        <w:rPr>
          <w:szCs w:val="22"/>
        </w:rPr>
        <w:tab/>
      </w:r>
    </w:p>
    <w:p w:rsidR="00534983" w:rsidP="008940B7" w14:paraId="012E4733" w14:textId="54E456CA">
      <w:pPr>
        <w:ind w:left="2880" w:firstLine="720"/>
        <w:rPr>
          <w:szCs w:val="22"/>
        </w:rPr>
      </w:pPr>
      <w:r>
        <w:rPr>
          <w:szCs w:val="22"/>
        </w:rPr>
        <w:t>FEDERAL COMMUNICATIONS COMMISSION</w:t>
      </w:r>
    </w:p>
    <w:p w:rsidR="00534983" w:rsidP="00534983" w14:paraId="676E1F08" w14:textId="77777777">
      <w:pPr>
        <w:rPr>
          <w:szCs w:val="22"/>
        </w:rPr>
      </w:pPr>
    </w:p>
    <w:p w:rsidR="00534983" w:rsidP="00534983" w14:paraId="06A955E5" w14:textId="77777777">
      <w:pPr>
        <w:rPr>
          <w:szCs w:val="22"/>
        </w:rPr>
      </w:pPr>
      <w:r>
        <w:rPr>
          <w:szCs w:val="22"/>
        </w:rPr>
        <w:tab/>
      </w:r>
    </w:p>
    <w:p w:rsidR="00534983" w:rsidP="00534983" w14:paraId="2950E4EB" w14:textId="77777777">
      <w:pPr>
        <w:rPr>
          <w:szCs w:val="22"/>
        </w:rPr>
      </w:pPr>
    </w:p>
    <w:p w:rsidR="00534983" w:rsidP="00534983" w14:paraId="1F6AE417" w14:textId="77777777">
      <w:pPr>
        <w:rPr>
          <w:szCs w:val="22"/>
        </w:rPr>
      </w:pPr>
      <w:r>
        <w:rPr>
          <w:szCs w:val="22"/>
        </w:rPr>
        <w:tab/>
      </w:r>
      <w:r>
        <w:rPr>
          <w:szCs w:val="22"/>
        </w:rPr>
        <w:tab/>
      </w:r>
      <w:r>
        <w:rPr>
          <w:szCs w:val="22"/>
        </w:rPr>
        <w:tab/>
      </w:r>
      <w:r>
        <w:rPr>
          <w:szCs w:val="22"/>
        </w:rPr>
        <w:tab/>
      </w:r>
      <w:r>
        <w:rPr>
          <w:szCs w:val="22"/>
        </w:rPr>
        <w:tab/>
        <w:t>Donald K. Stockdale, Jr.</w:t>
      </w:r>
    </w:p>
    <w:p w:rsidR="00534983" w:rsidP="00534983" w14:paraId="62BCFC3A" w14:textId="77777777">
      <w:pPr>
        <w:rPr>
          <w:szCs w:val="22"/>
        </w:rPr>
      </w:pPr>
      <w:r>
        <w:rPr>
          <w:szCs w:val="22"/>
        </w:rPr>
        <w:tab/>
      </w:r>
      <w:r>
        <w:rPr>
          <w:szCs w:val="22"/>
        </w:rPr>
        <w:tab/>
      </w:r>
      <w:r>
        <w:rPr>
          <w:szCs w:val="22"/>
        </w:rPr>
        <w:tab/>
      </w:r>
      <w:r>
        <w:rPr>
          <w:szCs w:val="22"/>
        </w:rPr>
        <w:tab/>
      </w:r>
      <w:r>
        <w:rPr>
          <w:szCs w:val="22"/>
        </w:rPr>
        <w:tab/>
        <w:t>Chief, Wireless Telecommunications Bureau</w:t>
      </w:r>
    </w:p>
    <w:p w:rsidR="006C3263" w:rsidP="00856943" w14:paraId="3B33EA21" w14:textId="323B4457">
      <w:pPr>
        <w:pStyle w:val="ParaNum"/>
        <w:numPr>
          <w:ilvl w:val="0"/>
          <w:numId w:val="0"/>
        </w:numPr>
      </w:pPr>
    </w:p>
    <w:p w:rsidR="006C3263" w:rsidRPr="005B0BF6" w:rsidP="00AD0CC4" w14:paraId="40E7613F"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35A3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DD1A9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0DF56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31498E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9B02F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2160" w14:paraId="22A4C9DC" w14:textId="77777777">
      <w:r>
        <w:separator/>
      </w:r>
    </w:p>
  </w:footnote>
  <w:footnote w:type="continuationSeparator" w:id="1">
    <w:p w:rsidR="00DA2160" w:rsidP="00C721AC" w14:paraId="149CCD93" w14:textId="77777777">
      <w:pPr>
        <w:spacing w:before="120"/>
        <w:rPr>
          <w:sz w:val="20"/>
        </w:rPr>
      </w:pPr>
      <w:r>
        <w:rPr>
          <w:sz w:val="20"/>
        </w:rPr>
        <w:t xml:space="preserve">(Continued from previous page)  </w:t>
      </w:r>
      <w:r>
        <w:rPr>
          <w:sz w:val="20"/>
        </w:rPr>
        <w:separator/>
      </w:r>
    </w:p>
  </w:footnote>
  <w:footnote w:type="continuationNotice" w:id="2">
    <w:p w:rsidR="00DA2160" w:rsidP="00C721AC" w14:paraId="05E37923" w14:textId="77777777">
      <w:pPr>
        <w:jc w:val="right"/>
        <w:rPr>
          <w:sz w:val="20"/>
        </w:rPr>
      </w:pPr>
      <w:r>
        <w:rPr>
          <w:sz w:val="20"/>
        </w:rPr>
        <w:t>(continued….)</w:t>
      </w:r>
    </w:p>
  </w:footnote>
  <w:footnote w:id="3">
    <w:p w:rsidR="00DD5BD4" w:rsidRPr="00DD5BD4" w14:paraId="09421828" w14:textId="6FC531BB">
      <w:pPr>
        <w:pStyle w:val="FootnoteText"/>
      </w:pPr>
      <w:r>
        <w:rPr>
          <w:rStyle w:val="FootnoteReference"/>
        </w:rPr>
        <w:footnoteRef/>
      </w:r>
      <w:r>
        <w:t xml:space="preserve"> </w:t>
      </w:r>
      <w:r w:rsidRPr="00BC7D1C" w:rsidR="00A33C7D">
        <w:rPr>
          <w:i/>
          <w:iCs/>
        </w:rPr>
        <w:t>See</w:t>
      </w:r>
      <w:r w:rsidR="00A33C7D">
        <w:t xml:space="preserve"> ULS File No. </w:t>
      </w:r>
      <w:r w:rsidR="00A33C7D">
        <w:rPr>
          <w:spacing w:val="-2"/>
        </w:rPr>
        <w:t>0009209312 (filed Sep. 1, 2020), Waiver Request (</w:t>
      </w:r>
      <w:r w:rsidRPr="009243FC" w:rsidR="00A33C7D">
        <w:rPr>
          <w:i/>
          <w:iCs/>
          <w:spacing w:val="-2"/>
        </w:rPr>
        <w:t>Kaumana</w:t>
      </w:r>
      <w:r w:rsidRPr="009243FC" w:rsidR="00A33C7D">
        <w:rPr>
          <w:i/>
          <w:iCs/>
          <w:spacing w:val="-2"/>
        </w:rPr>
        <w:t xml:space="preserve"> Petition</w:t>
      </w:r>
      <w:r w:rsidR="00A33C7D">
        <w:rPr>
          <w:spacing w:val="-2"/>
        </w:rPr>
        <w:t xml:space="preserve">).  </w:t>
      </w:r>
      <w:r w:rsidR="00A33C7D">
        <w:t xml:space="preserve">On October 28, 2020, the </w:t>
      </w:r>
      <w:r w:rsidRPr="00EE144A" w:rsidR="00A33C7D">
        <w:t>Department of Hawaiian Homelands (DHHL)</w:t>
      </w:r>
      <w:r w:rsidR="00A33C7D">
        <w:t xml:space="preserve"> filed a Motion to Dismiss </w:t>
      </w:r>
      <w:r w:rsidR="00A33C7D">
        <w:t>Kaumana’s</w:t>
      </w:r>
      <w:r w:rsidR="00A33C7D">
        <w:t xml:space="preserve"> application.  </w:t>
      </w:r>
      <w:r>
        <w:rPr>
          <w:i/>
          <w:iCs/>
        </w:rPr>
        <w:t>See</w:t>
      </w:r>
      <w:r>
        <w:t xml:space="preserve"> ULS File No. 0009209312, </w:t>
      </w:r>
      <w:r w:rsidR="00E52581">
        <w:t>Motion to Dismiss</w:t>
      </w:r>
      <w:r>
        <w:t xml:space="preserve"> of Department of Hawaiian Homelands (filed Oct. </w:t>
      </w:r>
      <w:r w:rsidR="00E52581">
        <w:t>28</w:t>
      </w:r>
      <w:r>
        <w:t>, 2020)</w:t>
      </w:r>
      <w:r w:rsidR="003E7D5F">
        <w:t xml:space="preserve"> (</w:t>
      </w:r>
      <w:r w:rsidR="003E7D5F">
        <w:rPr>
          <w:i/>
          <w:iCs/>
        </w:rPr>
        <w:t xml:space="preserve">DHHL </w:t>
      </w:r>
      <w:r w:rsidR="00E52581">
        <w:rPr>
          <w:i/>
          <w:iCs/>
        </w:rPr>
        <w:t>Motion</w:t>
      </w:r>
      <w:r w:rsidR="003E7D5F">
        <w:t>)</w:t>
      </w:r>
      <w:r>
        <w:t>.</w:t>
      </w:r>
      <w:r w:rsidR="0069736B">
        <w:t xml:space="preserve"> </w:t>
      </w:r>
      <w:r w:rsidR="00A33C7D">
        <w:t xml:space="preserve"> </w:t>
      </w:r>
      <w:r w:rsidR="0069736B">
        <w:t xml:space="preserve">In its </w:t>
      </w:r>
      <w:r w:rsidR="00E52581">
        <w:t>Motion to Dismiss</w:t>
      </w:r>
      <w:r w:rsidR="0069736B">
        <w:t xml:space="preserve">, DHHL argues that the Bureau should dismiss </w:t>
      </w:r>
      <w:r w:rsidR="0069736B">
        <w:t>Kaumana’s</w:t>
      </w:r>
      <w:r w:rsidR="0069736B">
        <w:t xml:space="preserve"> application in light of the previous determination that DHHL is uniquely qualified to file on behalf of the Hawaiian Homelands during the Tribal Priority Window, that </w:t>
      </w:r>
      <w:r w:rsidR="0069736B">
        <w:t>Kaumana</w:t>
      </w:r>
      <w:r w:rsidR="0069736B">
        <w:t xml:space="preserve"> lacks standing to participate in the Tribal Priority Window, that the application lacked a sufficient waiver request, and that dismissing the application is in the public interest.  </w:t>
      </w:r>
      <w:r w:rsidR="00585C43">
        <w:t>DHHL Motion at 3, 5-8.</w:t>
      </w:r>
      <w:r w:rsidR="00A33C7D">
        <w:t xml:space="preserve">  As discussed below, however, because this </w:t>
      </w:r>
      <w:r w:rsidR="00A33C7D">
        <w:rPr>
          <w:i/>
          <w:iCs/>
        </w:rPr>
        <w:t>Memorandum Opinion and Order</w:t>
      </w:r>
      <w:r w:rsidR="00A33C7D">
        <w:t xml:space="preserve"> denies </w:t>
      </w:r>
      <w:r w:rsidR="00A33C7D">
        <w:t>Kaumana’s</w:t>
      </w:r>
      <w:r w:rsidR="00A33C7D">
        <w:t xml:space="preserve"> waiver request and </w:t>
      </w:r>
      <w:r w:rsidR="00E24C56">
        <w:t>directs the dismissal of</w:t>
      </w:r>
      <w:r w:rsidR="00A33C7D">
        <w:t xml:space="preserve"> </w:t>
      </w:r>
      <w:r w:rsidR="00A33C7D">
        <w:t>Kaumana’s</w:t>
      </w:r>
      <w:r w:rsidR="00A33C7D">
        <w:t xml:space="preserve"> application, it also renders the </w:t>
      </w:r>
      <w:r w:rsidR="00A33C7D">
        <w:rPr>
          <w:i/>
          <w:iCs/>
        </w:rPr>
        <w:t>DHHL Motion</w:t>
      </w:r>
      <w:r w:rsidR="00A33C7D">
        <w:t xml:space="preserve"> moot, and we need not address the merits of DHHL’s motion.</w:t>
      </w:r>
    </w:p>
  </w:footnote>
  <w:footnote w:id="4">
    <w:p w:rsidR="00B220B6" w:rsidRPr="00B220B6" w14:paraId="47FD8578" w14:textId="067CACE3">
      <w:pPr>
        <w:pStyle w:val="FootnoteText"/>
      </w:pPr>
      <w:r>
        <w:rPr>
          <w:rStyle w:val="FootnoteReference"/>
        </w:rPr>
        <w:footnoteRef/>
      </w:r>
      <w:r>
        <w:t xml:space="preserve"> </w:t>
      </w:r>
      <w:r>
        <w:rPr>
          <w:i/>
          <w:iCs/>
        </w:rPr>
        <w:t xml:space="preserve">See </w:t>
      </w:r>
      <w:r>
        <w:t>47 CFR § 1.925(b)(3).</w:t>
      </w:r>
    </w:p>
  </w:footnote>
  <w:footnote w:id="5">
    <w:p w:rsidR="00D04871" w14:paraId="4CE4D4B5" w14:textId="652EC650">
      <w:pPr>
        <w:pStyle w:val="FootnoteText"/>
      </w:pPr>
      <w:r>
        <w:rPr>
          <w:rStyle w:val="FootnoteReference"/>
        </w:rPr>
        <w:footnoteRef/>
      </w:r>
      <w:r>
        <w:t xml:space="preserve"> </w:t>
      </w:r>
      <w:r w:rsidRPr="007F285E" w:rsidR="00782BE3">
        <w:rPr>
          <w:i/>
          <w:iCs/>
        </w:rPr>
        <w:t>Transforming the 2.5 GHz Band</w:t>
      </w:r>
      <w:r w:rsidR="00782BE3">
        <w:t xml:space="preserve">, Report &amp; Order, 34 FCC </w:t>
      </w:r>
      <w:r w:rsidR="00782BE3">
        <w:t>Rcd</w:t>
      </w:r>
      <w:r w:rsidR="00782BE3">
        <w:t xml:space="preserve"> 5447 (2019) (</w:t>
      </w:r>
      <w:r w:rsidRPr="002D50BA" w:rsidR="009F05B2">
        <w:rPr>
          <w:i/>
          <w:iCs/>
        </w:rPr>
        <w:t>2.5 GHz</w:t>
      </w:r>
      <w:r w:rsidR="009F05B2">
        <w:t xml:space="preserve"> </w:t>
      </w:r>
      <w:r w:rsidRPr="007F285E" w:rsidR="00782BE3">
        <w:rPr>
          <w:i/>
          <w:iCs/>
        </w:rPr>
        <w:t>Report &amp; Order</w:t>
      </w:r>
      <w:r w:rsidR="00782BE3">
        <w:t>).</w:t>
      </w:r>
    </w:p>
  </w:footnote>
  <w:footnote w:id="6">
    <w:p w:rsidR="003D6D8A" w14:paraId="3ECBEDE4" w14:textId="32B9B24A">
      <w:pPr>
        <w:pStyle w:val="FootnoteText"/>
      </w:pPr>
      <w:r>
        <w:rPr>
          <w:rStyle w:val="FootnoteReference"/>
        </w:rPr>
        <w:footnoteRef/>
      </w:r>
      <w:r>
        <w:t xml:space="preserve"> </w:t>
      </w:r>
      <w:r w:rsidRPr="007F285E">
        <w:rPr>
          <w:i/>
          <w:iCs/>
        </w:rPr>
        <w:t>See</w:t>
      </w:r>
      <w:r>
        <w:t xml:space="preserve"> 47 CFR § 27.1204(b)(1). </w:t>
      </w:r>
      <w:r w:rsidR="00E00466">
        <w:t xml:space="preserve"> </w:t>
      </w:r>
      <w:r>
        <w:t xml:space="preserve">This limitation to federally recognized Tribes is consistent with Commission precedent in other contexts. </w:t>
      </w:r>
      <w:r w:rsidR="00E00466">
        <w:t xml:space="preserve"> </w:t>
      </w:r>
      <w:r w:rsidRPr="00F92A7A">
        <w:rPr>
          <w:i/>
          <w:iCs/>
        </w:rPr>
        <w:t>See</w:t>
      </w:r>
      <w:r>
        <w:t xml:space="preserve"> </w:t>
      </w:r>
      <w:r w:rsidRPr="002D50BA" w:rsidR="009F05B2">
        <w:rPr>
          <w:i/>
          <w:iCs/>
        </w:rPr>
        <w:t xml:space="preserve">2.5 GHz </w:t>
      </w:r>
      <w:r w:rsidRPr="002D50BA">
        <w:rPr>
          <w:i/>
          <w:iCs/>
        </w:rPr>
        <w:t>Report &amp; Order</w:t>
      </w:r>
      <w:r>
        <w:t xml:space="preserve">, 34 FCC </w:t>
      </w:r>
      <w:r>
        <w:t>Rcd</w:t>
      </w:r>
      <w:r>
        <w:t xml:space="preserve"> at 5464, para. 49.</w:t>
      </w:r>
      <w:r w:rsidR="00730ED4">
        <w:t xml:space="preserve">  </w:t>
      </w:r>
    </w:p>
  </w:footnote>
  <w:footnote w:id="7">
    <w:p w:rsidR="00167709" w14:paraId="36D0F35D" w14:textId="01A4158E">
      <w:pPr>
        <w:pStyle w:val="FootnoteText"/>
      </w:pPr>
      <w:r>
        <w:rPr>
          <w:rStyle w:val="FootnoteReference"/>
        </w:rPr>
        <w:footnoteRef/>
      </w:r>
      <w:r>
        <w:t xml:space="preserve"> </w:t>
      </w:r>
      <w:r w:rsidRPr="00621BA8">
        <w:rPr>
          <w:i/>
          <w:iCs/>
        </w:rPr>
        <w:t>See</w:t>
      </w:r>
      <w:r>
        <w:t xml:space="preserve"> 47 CFR § 27.1204(b)(2).</w:t>
      </w:r>
    </w:p>
  </w:footnote>
  <w:footnote w:id="8">
    <w:p w:rsidR="00284E94" w14:paraId="0F6B1C70" w14:textId="06B7EB46">
      <w:pPr>
        <w:pStyle w:val="FootnoteText"/>
      </w:pPr>
      <w:r>
        <w:rPr>
          <w:rStyle w:val="FootnoteReference"/>
        </w:rPr>
        <w:footnoteRef/>
      </w:r>
      <w:r>
        <w:t xml:space="preserve"> </w:t>
      </w:r>
      <w:r w:rsidR="005A71F9">
        <w:t>47 CFR § 27.1204(b)(3).</w:t>
      </w:r>
    </w:p>
  </w:footnote>
  <w:footnote w:id="9">
    <w:p w:rsidR="005A71F9" w14:paraId="35EA674A" w14:textId="47914AAB">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Tribal Priority Window, including details regarding demonstrating compliance with the eligibility requirements and 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w:t>
      </w:r>
      <w:r w:rsidRPr="00A05089" w:rsidR="00853E61">
        <w:t>Rcd</w:t>
      </w:r>
      <w:r w:rsidRPr="00A05089" w:rsidR="00853E61">
        <w:t xml:space="preserve"> 308</w:t>
      </w:r>
      <w:r w:rsidR="00853E61">
        <w:t xml:space="preserve"> (2020) (</w:t>
      </w:r>
      <w:r w:rsidR="00853E61">
        <w:rPr>
          <w:i/>
          <w:iCs/>
        </w:rPr>
        <w:t>Window Procedures Public Notice</w:t>
      </w:r>
      <w:r w:rsidR="00853E61">
        <w:t>).</w:t>
      </w:r>
    </w:p>
  </w:footnote>
  <w:footnote w:id="10">
    <w:p w:rsidR="00B96030" w14:paraId="363201DC" w14:textId="49DBC558">
      <w:pPr>
        <w:pStyle w:val="FootnoteText"/>
      </w:pPr>
      <w:r>
        <w:rPr>
          <w:rStyle w:val="FootnoteReference"/>
        </w:rPr>
        <w:footnoteRef/>
      </w:r>
      <w:r>
        <w:t xml:space="preserve"> </w:t>
      </w:r>
      <w:r w:rsidRPr="009243FC">
        <w:rPr>
          <w:i/>
          <w:iCs/>
          <w:spacing w:val="-2"/>
        </w:rPr>
        <w:t>Kaumana</w:t>
      </w:r>
      <w:r w:rsidRPr="009243FC">
        <w:rPr>
          <w:i/>
          <w:iCs/>
          <w:spacing w:val="-2"/>
        </w:rPr>
        <w:t xml:space="preserve"> Petition</w:t>
      </w:r>
      <w:r>
        <w:t xml:space="preserve"> at 1.</w:t>
      </w:r>
      <w:r w:rsidR="003D744F">
        <w:t xml:space="preserve">  </w:t>
      </w:r>
      <w:r w:rsidRPr="00DB4CC8" w:rsidR="003D744F">
        <w:t xml:space="preserve">The Department </w:t>
      </w:r>
      <w:r w:rsidRPr="00DB4CC8" w:rsidR="00AE3776">
        <w:t xml:space="preserve">of the Interior </w:t>
      </w:r>
      <w:r w:rsidRPr="00DB4CC8" w:rsidR="003D744F">
        <w:t>defines an HHA as a “beneficiary controlled organization that represents and serves the interests of its homestead community; has as a stated primary purpose the representation of, and provision of services to, its homestead community; and filed with the Secretary</w:t>
      </w:r>
      <w:r w:rsidRPr="00DB4CC8" w:rsidR="00133407">
        <w:t xml:space="preserve"> [of the Interior]</w:t>
      </w:r>
      <w:r w:rsidRPr="00DB4CC8" w:rsidR="003D744F">
        <w:t xml:space="preserve"> a statement, signed by the governing body, of governing procedures and a description of the territory it represents.”  </w:t>
      </w:r>
      <w:r w:rsidRPr="00DB4CC8" w:rsidR="003D744F">
        <w:rPr>
          <w:i/>
          <w:iCs/>
        </w:rPr>
        <w:t>See</w:t>
      </w:r>
      <w:r w:rsidRPr="00DB4CC8" w:rsidR="003D744F">
        <w:t xml:space="preserve"> 43 CFR §§ 47.10, 48.6.</w:t>
      </w:r>
      <w:r w:rsidR="003D744F">
        <w:t xml:space="preserve">  </w:t>
      </w:r>
    </w:p>
  </w:footnote>
  <w:footnote w:id="11">
    <w:p w:rsidR="00166880" w14:paraId="17ACD883" w14:textId="7B11D66E">
      <w:pPr>
        <w:pStyle w:val="FootnoteText"/>
      </w:pPr>
      <w:r>
        <w:rPr>
          <w:rStyle w:val="FootnoteReference"/>
        </w:rPr>
        <w:footnoteRef/>
      </w:r>
      <w:r>
        <w:t xml:space="preserve"> </w:t>
      </w:r>
      <w:r w:rsidRPr="00B36557" w:rsidR="00C21177">
        <w:rPr>
          <w:i/>
          <w:iCs/>
        </w:rPr>
        <w:t>See</w:t>
      </w:r>
      <w:r w:rsidR="00C21177">
        <w:t xml:space="preserve"> Indian Entities Recognized by and Eligible </w:t>
      </w:r>
      <w:r w:rsidR="00C21177">
        <w:t>To</w:t>
      </w:r>
      <w:r w:rsidR="00C21177">
        <w:t xml:space="preserve"> Receive Services From the United States Bureau of Indian Affairs, 85 </w:t>
      </w:r>
      <w:r w:rsidR="00AF5B01">
        <w:t xml:space="preserve">Fed. Reg. </w:t>
      </w:r>
      <w:r w:rsidR="00C21177">
        <w:t>5462</w:t>
      </w:r>
      <w:r w:rsidR="00AF5B01">
        <w:t>, 5462-66</w:t>
      </w:r>
      <w:r w:rsidR="00C21177">
        <w:t xml:space="preserve"> (</w:t>
      </w:r>
      <w:r w:rsidR="00AF5B01">
        <w:t xml:space="preserve">Jan. 30, </w:t>
      </w:r>
      <w:r w:rsidR="00C21177">
        <w:t>2020) (BIA 2020 Eligible Entities List).</w:t>
      </w:r>
      <w:r w:rsidR="003D744F">
        <w:t xml:space="preserve">  </w:t>
      </w:r>
      <w:r w:rsidRPr="00DB4CC8" w:rsidR="003D744F">
        <w:t>HHAs do not appear on the list as they are not considered federally recognized Tribes by the Bureau of Indian Affairs.</w:t>
      </w:r>
    </w:p>
  </w:footnote>
  <w:footnote w:id="12">
    <w:p w:rsidR="00294F81" w14:paraId="68D4411D" w14:textId="70D67F7E">
      <w:pPr>
        <w:pStyle w:val="FootnoteText"/>
      </w:pPr>
      <w:r>
        <w:rPr>
          <w:rStyle w:val="FootnoteReference"/>
        </w:rPr>
        <w:footnoteRef/>
      </w:r>
      <w:r>
        <w:t xml:space="preserve"> </w:t>
      </w:r>
      <w:r w:rsidR="00993FBC">
        <w:rPr>
          <w:i/>
          <w:iCs/>
        </w:rPr>
        <w:t>Department of Hawaiian Homelands Request for Waiver to File as an Eligible Entity in the 2.5 GHz Rural Tribal Priority Window</w:t>
      </w:r>
      <w:r w:rsidR="00993FBC">
        <w:t>,</w:t>
      </w:r>
      <w:r w:rsidR="00EE5797">
        <w:t xml:space="preserve"> Memorandum Opinion and Order, </w:t>
      </w:r>
      <w:r w:rsidR="00DB3734">
        <w:t xml:space="preserve">35 FCC </w:t>
      </w:r>
      <w:r w:rsidR="00DB3734">
        <w:t>Rcd</w:t>
      </w:r>
      <w:r w:rsidR="00DB3734">
        <w:t xml:space="preserve"> 2820 (2020) (</w:t>
      </w:r>
      <w:r w:rsidR="00DB3734">
        <w:rPr>
          <w:i/>
          <w:iCs/>
        </w:rPr>
        <w:t>DHHL Waiver Order</w:t>
      </w:r>
      <w:r w:rsidR="00DB3734">
        <w:t>).</w:t>
      </w:r>
      <w:r w:rsidR="00993FBC">
        <w:rPr>
          <w:i/>
          <w:iCs/>
        </w:rPr>
        <w:t xml:space="preserve"> </w:t>
      </w:r>
    </w:p>
  </w:footnote>
  <w:footnote w:id="13">
    <w:p w:rsidR="00376E52" w:rsidRPr="00376E52" w14:paraId="1AD971B2" w14:textId="13B6C172">
      <w:pPr>
        <w:pStyle w:val="FootnoteText"/>
      </w:pPr>
      <w:r>
        <w:rPr>
          <w:rStyle w:val="FootnoteReference"/>
        </w:rPr>
        <w:footnoteRef/>
      </w:r>
      <w:r>
        <w:t xml:space="preserve"> </w:t>
      </w:r>
      <w:r>
        <w:rPr>
          <w:i/>
          <w:iCs/>
        </w:rPr>
        <w:t xml:space="preserve">See </w:t>
      </w:r>
      <w:r>
        <w:t>ULS File Nos. 0009166854, 0009166908, 0009166944, 0009168749, 0009168908.</w:t>
      </w:r>
    </w:p>
  </w:footnote>
  <w:footnote w:id="14">
    <w:p w:rsidR="003F2839" w14:paraId="393CBD33" w14:textId="75C4C332">
      <w:pPr>
        <w:pStyle w:val="FootnoteText"/>
      </w:pPr>
      <w:r>
        <w:rPr>
          <w:rStyle w:val="FootnoteReference"/>
        </w:rPr>
        <w:footnoteRef/>
      </w:r>
      <w:r>
        <w:t xml:space="preserve"> 47 CFR § 1.925(b)(3).</w:t>
      </w:r>
    </w:p>
  </w:footnote>
  <w:footnote w:id="15">
    <w:p w:rsidR="009243FC" w14:paraId="620BF950" w14:textId="4BD6FEC4">
      <w:pPr>
        <w:pStyle w:val="FootnoteText"/>
      </w:pPr>
      <w:r>
        <w:rPr>
          <w:rStyle w:val="FootnoteReference"/>
        </w:rPr>
        <w:footnoteRef/>
      </w:r>
      <w:r>
        <w:t xml:space="preserve"> </w:t>
      </w:r>
      <w:r w:rsidRPr="009243FC">
        <w:rPr>
          <w:i/>
          <w:iCs/>
        </w:rPr>
        <w:t>Kaumana</w:t>
      </w:r>
      <w:r w:rsidRPr="009243FC">
        <w:rPr>
          <w:i/>
          <w:iCs/>
        </w:rPr>
        <w:t xml:space="preserve"> Petition</w:t>
      </w:r>
      <w:r>
        <w:t xml:space="preserve"> at 1</w:t>
      </w:r>
      <w:r w:rsidR="003B556A">
        <w:t>.</w:t>
      </w:r>
    </w:p>
  </w:footnote>
  <w:footnote w:id="16">
    <w:p w:rsidR="001E7912" w:rsidP="001E7912" w14:paraId="756C20B8" w14:textId="295B481A">
      <w:pPr>
        <w:pStyle w:val="FootnoteText"/>
      </w:pPr>
      <w:r>
        <w:rPr>
          <w:rStyle w:val="FootnoteReference"/>
        </w:rPr>
        <w:footnoteRef/>
      </w:r>
      <w:r>
        <w:t xml:space="preserve"> </w:t>
      </w:r>
      <w:r w:rsidRPr="006604AC">
        <w:rPr>
          <w:i/>
          <w:iCs/>
        </w:rPr>
        <w:t>DHHL Waiver Order</w:t>
      </w:r>
      <w:r>
        <w:t xml:space="preserve">, </w:t>
      </w:r>
      <w:r w:rsidR="00AD77AD">
        <w:t xml:space="preserve">35 FCC </w:t>
      </w:r>
      <w:r w:rsidR="00AD77AD">
        <w:t>Rcd</w:t>
      </w:r>
      <w:r w:rsidR="00AD77AD">
        <w:t xml:space="preserve"> at 2822, </w:t>
      </w:r>
      <w:r>
        <w:t>para. 9.</w:t>
      </w:r>
    </w:p>
  </w:footnote>
  <w:footnote w:id="17">
    <w:p w:rsidR="001E7912" w:rsidRPr="00CB5B3F" w:rsidP="001E7912" w14:paraId="50302D5A" w14:textId="77777777">
      <w:pPr>
        <w:pStyle w:val="FootnoteText"/>
      </w:pPr>
      <w:r>
        <w:rPr>
          <w:rStyle w:val="FootnoteReference"/>
        </w:rPr>
        <w:footnoteRef/>
      </w:r>
      <w:r>
        <w:t xml:space="preserve"> </w:t>
      </w:r>
      <w:r>
        <w:rPr>
          <w:i/>
          <w:iCs/>
        </w:rPr>
        <w:t>Id.</w:t>
      </w:r>
    </w:p>
  </w:footnote>
  <w:footnote w:id="18">
    <w:p w:rsidR="00177280" w:rsidRPr="00177280" w14:paraId="258B5091" w14:textId="20BBE2AD">
      <w:pPr>
        <w:pStyle w:val="FootnoteText"/>
      </w:pPr>
      <w:r>
        <w:rPr>
          <w:rStyle w:val="FootnoteReference"/>
        </w:rPr>
        <w:footnoteRef/>
      </w:r>
      <w:r>
        <w:t xml:space="preserve"> </w:t>
      </w:r>
      <w:r>
        <w:rPr>
          <w:i/>
          <w:iCs/>
        </w:rPr>
        <w:t xml:space="preserve">See </w:t>
      </w:r>
      <w:r>
        <w:t xml:space="preserve">ULS File No. </w:t>
      </w:r>
      <w:r w:rsidRPr="00B9295E">
        <w:t>0009166908</w:t>
      </w:r>
      <w:r>
        <w:t>.</w:t>
      </w:r>
    </w:p>
  </w:footnote>
  <w:footnote w:id="19">
    <w:p w:rsidR="001E7912" w:rsidP="001E7912" w14:paraId="6348AEEF" w14:textId="18EF617A">
      <w:pPr>
        <w:pStyle w:val="FootnoteText"/>
      </w:pPr>
      <w:r>
        <w:rPr>
          <w:rStyle w:val="FootnoteReference"/>
        </w:rPr>
        <w:footnoteRef/>
      </w:r>
      <w:r>
        <w:t xml:space="preserve">  In its Request for Waiver, DHHL described itself as a trustee on behalf of the native Hawaiians.  </w:t>
      </w:r>
      <w:r>
        <w:rPr>
          <w:i/>
          <w:iCs/>
        </w:rPr>
        <w:t>DHHL Waiver Request</w:t>
      </w:r>
      <w:r>
        <w:t xml:space="preserve"> at 9.  “The HHCA delegates to the DHHL the authority ‘to grant licenses as easements for railroads, telephone lines, electric power and light lines, gas mains, and the like.’ </w:t>
      </w:r>
      <w:r w:rsidR="00B350A1">
        <w:t xml:space="preserve"> </w:t>
      </w:r>
      <w:r>
        <w:t xml:space="preserve">The Department also is authorized to grant licenses ‘to the United States for reservations, roads, and other rights-of-way, water storage and distribution facilities, and practice target ranges.’” </w:t>
      </w:r>
      <w:r w:rsidR="0071628A">
        <w:t xml:space="preserve"> </w:t>
      </w:r>
      <w:r w:rsidRPr="00E455E7" w:rsidR="0071628A">
        <w:t>Department of Hawaiian Homelands Petition for Waiver</w:t>
      </w:r>
      <w:r w:rsidR="0071628A">
        <w:t xml:space="preserve"> at 5-6, WT Docket No. 20-21</w:t>
      </w:r>
      <w:r w:rsidRPr="00E455E7" w:rsidR="0071628A">
        <w:t xml:space="preserve"> (filed Jan</w:t>
      </w:r>
      <w:r w:rsidR="00B350A1">
        <w:t>.</w:t>
      </w:r>
      <w:r w:rsidRPr="00E455E7" w:rsidR="0071628A">
        <w:t xml:space="preserve"> 14, 2020)</w:t>
      </w:r>
      <w:r>
        <w:t xml:space="preserve"> (</w:t>
      </w:r>
      <w:r w:rsidR="00A006BA">
        <w:t>citation</w:t>
      </w:r>
      <w:r>
        <w:t xml:space="preserve"> omitted).</w:t>
      </w:r>
    </w:p>
  </w:footnote>
  <w:footnote w:id="20">
    <w:p w:rsidR="001F2CB9" w:rsidRPr="001F2CB9" w14:paraId="243CE4F9" w14:textId="07C11800">
      <w:pPr>
        <w:pStyle w:val="FootnoteText"/>
      </w:pPr>
      <w:r>
        <w:rPr>
          <w:rStyle w:val="FootnoteReference"/>
        </w:rPr>
        <w:footnoteRef/>
      </w:r>
      <w:r>
        <w:t xml:space="preserve"> </w:t>
      </w:r>
      <w:r>
        <w:rPr>
          <w:i/>
          <w:iCs/>
        </w:rPr>
        <w:t>Kaumana</w:t>
      </w:r>
      <w:r>
        <w:rPr>
          <w:i/>
          <w:iCs/>
        </w:rPr>
        <w:t xml:space="preserve"> Petition</w:t>
      </w:r>
      <w:r>
        <w:t xml:space="preserve"> at 1.</w:t>
      </w:r>
    </w:p>
  </w:footnote>
  <w:footnote w:id="21">
    <w:p w:rsidR="00824E09" w:rsidRPr="005C1F9A" w14:paraId="3BB52AB2" w14:textId="647B13C0">
      <w:pPr>
        <w:pStyle w:val="FootnoteText"/>
      </w:pPr>
      <w:r>
        <w:rPr>
          <w:rStyle w:val="FootnoteReference"/>
        </w:rPr>
        <w:footnoteRef/>
      </w:r>
      <w:r>
        <w:t xml:space="preserve"> </w:t>
      </w:r>
      <w:r w:rsidR="005C1F9A">
        <w:rPr>
          <w:i/>
          <w:iCs/>
        </w:rPr>
        <w:t>See Transforming the 2.5 GHz Band</w:t>
      </w:r>
      <w:r w:rsidR="005C1F9A">
        <w:t>, 84 Fed. Reg. 57343 (Oct. 25, 2020)</w:t>
      </w:r>
      <w:r w:rsidR="00C70DBE">
        <w:t>; 47 U.S.C. § 405</w:t>
      </w:r>
      <w:r w:rsidR="00A006BA">
        <w:t>(a)</w:t>
      </w:r>
      <w:r w:rsidR="00C70DBE">
        <w:t>; 47 CFR § 1.429</w:t>
      </w:r>
      <w:r w:rsidR="00A006BA">
        <w:t>(d)</w:t>
      </w:r>
      <w:r w:rsidR="00C70DBE">
        <w:t>.</w:t>
      </w:r>
    </w:p>
  </w:footnote>
  <w:footnote w:id="22">
    <w:p w:rsidR="003B556A" w:rsidRPr="003E7D5F" w14:paraId="2299EB09" w14:textId="76CF7986">
      <w:pPr>
        <w:pStyle w:val="FootnoteText"/>
      </w:pPr>
      <w:r>
        <w:rPr>
          <w:rStyle w:val="FootnoteReference"/>
        </w:rPr>
        <w:footnoteRef/>
      </w:r>
      <w:r>
        <w:t xml:space="preserve"> </w:t>
      </w:r>
      <w:r>
        <w:rPr>
          <w:i/>
          <w:iCs/>
        </w:rPr>
        <w:t>See</w:t>
      </w:r>
      <w:r>
        <w:t xml:space="preserve"> 47 CFR §</w:t>
      </w:r>
      <w:r w:rsidR="00A006BA">
        <w:t>§</w:t>
      </w:r>
      <w:r>
        <w:t xml:space="preserve"> </w:t>
      </w:r>
      <w:r w:rsidR="00A006BA">
        <w:t xml:space="preserve">1.925(c)(ii), </w:t>
      </w:r>
      <w:r>
        <w:t>1.934(d)(2).</w:t>
      </w:r>
      <w:r w:rsidR="003E7D5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269FC" w14:textId="1E1FAEE8">
    <w:pPr>
      <w:pStyle w:val="Header"/>
      <w:rPr>
        <w:b w:val="0"/>
      </w:rPr>
    </w:pPr>
    <w:r>
      <w:tab/>
      <w:t>Federal Communications Commission</w:t>
    </w:r>
    <w:r>
      <w:tab/>
    </w:r>
    <w:r w:rsidR="0024130E">
      <w:t>DA 20-</w:t>
    </w:r>
    <w:r w:rsidR="0084013F">
      <w:t>1340</w:t>
    </w:r>
  </w:p>
  <w:p w:rsidR="00D25FB5" w14:paraId="56B8C3E2" w14:textId="74D5F44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93F9F0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0DD7E5" w14:textId="4085B52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20-</w:t>
    </w:r>
    <w:r w:rsidRPr="005D3818" w:rsidR="0084013F">
      <w:rPr>
        <w:spacing w:val="-2"/>
      </w:rPr>
      <w:t>1340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40C2"/>
    <w:rsid w:val="00030BDF"/>
    <w:rsid w:val="00032D2B"/>
    <w:rsid w:val="00036039"/>
    <w:rsid w:val="0003761B"/>
    <w:rsid w:val="00037F90"/>
    <w:rsid w:val="0004018D"/>
    <w:rsid w:val="00050E4D"/>
    <w:rsid w:val="0005345C"/>
    <w:rsid w:val="00060D95"/>
    <w:rsid w:val="00060FCF"/>
    <w:rsid w:val="0006177E"/>
    <w:rsid w:val="000652F1"/>
    <w:rsid w:val="00065FA4"/>
    <w:rsid w:val="0006672D"/>
    <w:rsid w:val="00066C37"/>
    <w:rsid w:val="00070C90"/>
    <w:rsid w:val="000718FA"/>
    <w:rsid w:val="00076C7F"/>
    <w:rsid w:val="000875BF"/>
    <w:rsid w:val="00093C8D"/>
    <w:rsid w:val="00093D3B"/>
    <w:rsid w:val="000954EC"/>
    <w:rsid w:val="00096D8C"/>
    <w:rsid w:val="000A2DF0"/>
    <w:rsid w:val="000A2FCC"/>
    <w:rsid w:val="000B0DD8"/>
    <w:rsid w:val="000B169B"/>
    <w:rsid w:val="000B31AC"/>
    <w:rsid w:val="000B4E60"/>
    <w:rsid w:val="000B5DCB"/>
    <w:rsid w:val="000C0B65"/>
    <w:rsid w:val="000C6D02"/>
    <w:rsid w:val="000D0955"/>
    <w:rsid w:val="000D7146"/>
    <w:rsid w:val="000E05FE"/>
    <w:rsid w:val="000E3A66"/>
    <w:rsid w:val="000E3D42"/>
    <w:rsid w:val="000F568D"/>
    <w:rsid w:val="000F7C45"/>
    <w:rsid w:val="001042D5"/>
    <w:rsid w:val="001077D3"/>
    <w:rsid w:val="001101B9"/>
    <w:rsid w:val="00112DFE"/>
    <w:rsid w:val="00115A8B"/>
    <w:rsid w:val="00117317"/>
    <w:rsid w:val="00122BD5"/>
    <w:rsid w:val="00127D94"/>
    <w:rsid w:val="00133407"/>
    <w:rsid w:val="00133F79"/>
    <w:rsid w:val="00137A41"/>
    <w:rsid w:val="001548C2"/>
    <w:rsid w:val="0016058E"/>
    <w:rsid w:val="00160E42"/>
    <w:rsid w:val="00166880"/>
    <w:rsid w:val="00167709"/>
    <w:rsid w:val="00172DA3"/>
    <w:rsid w:val="00174992"/>
    <w:rsid w:val="001751C9"/>
    <w:rsid w:val="00177280"/>
    <w:rsid w:val="001900CC"/>
    <w:rsid w:val="001906BA"/>
    <w:rsid w:val="001918DC"/>
    <w:rsid w:val="00191EB2"/>
    <w:rsid w:val="00194A66"/>
    <w:rsid w:val="001A5CF3"/>
    <w:rsid w:val="001B5EF6"/>
    <w:rsid w:val="001B728F"/>
    <w:rsid w:val="001C021B"/>
    <w:rsid w:val="001C3C44"/>
    <w:rsid w:val="001D1156"/>
    <w:rsid w:val="001D28CD"/>
    <w:rsid w:val="001D2953"/>
    <w:rsid w:val="001D2CD6"/>
    <w:rsid w:val="001D4655"/>
    <w:rsid w:val="001D6B6C"/>
    <w:rsid w:val="001D6BCF"/>
    <w:rsid w:val="001E01CA"/>
    <w:rsid w:val="001E7912"/>
    <w:rsid w:val="001F0FF0"/>
    <w:rsid w:val="001F2CB9"/>
    <w:rsid w:val="001F4394"/>
    <w:rsid w:val="00201DEC"/>
    <w:rsid w:val="00205B8B"/>
    <w:rsid w:val="00213C1C"/>
    <w:rsid w:val="00214B36"/>
    <w:rsid w:val="00221637"/>
    <w:rsid w:val="00221722"/>
    <w:rsid w:val="00233A69"/>
    <w:rsid w:val="00237A22"/>
    <w:rsid w:val="0024130E"/>
    <w:rsid w:val="00251526"/>
    <w:rsid w:val="00257E0A"/>
    <w:rsid w:val="00263233"/>
    <w:rsid w:val="0026338D"/>
    <w:rsid w:val="00275CF5"/>
    <w:rsid w:val="002829AE"/>
    <w:rsid w:val="0028301F"/>
    <w:rsid w:val="00284629"/>
    <w:rsid w:val="00284E94"/>
    <w:rsid w:val="00285017"/>
    <w:rsid w:val="00290F71"/>
    <w:rsid w:val="002949DD"/>
    <w:rsid w:val="00294F81"/>
    <w:rsid w:val="002A2D2E"/>
    <w:rsid w:val="002A3448"/>
    <w:rsid w:val="002A4607"/>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300829"/>
    <w:rsid w:val="00302592"/>
    <w:rsid w:val="00311083"/>
    <w:rsid w:val="003215C8"/>
    <w:rsid w:val="00321A3C"/>
    <w:rsid w:val="003245B5"/>
    <w:rsid w:val="00332EBD"/>
    <w:rsid w:val="003376DB"/>
    <w:rsid w:val="00343749"/>
    <w:rsid w:val="00346BF0"/>
    <w:rsid w:val="0034743D"/>
    <w:rsid w:val="0035393E"/>
    <w:rsid w:val="00353A90"/>
    <w:rsid w:val="00354389"/>
    <w:rsid w:val="003660ED"/>
    <w:rsid w:val="00374758"/>
    <w:rsid w:val="00376E52"/>
    <w:rsid w:val="00381517"/>
    <w:rsid w:val="00391F35"/>
    <w:rsid w:val="00396FBB"/>
    <w:rsid w:val="003A4FB9"/>
    <w:rsid w:val="003B0550"/>
    <w:rsid w:val="003B1E4D"/>
    <w:rsid w:val="003B556A"/>
    <w:rsid w:val="003B694F"/>
    <w:rsid w:val="003C339F"/>
    <w:rsid w:val="003C46B9"/>
    <w:rsid w:val="003D0562"/>
    <w:rsid w:val="003D05E3"/>
    <w:rsid w:val="003D25E6"/>
    <w:rsid w:val="003D6D8A"/>
    <w:rsid w:val="003D744F"/>
    <w:rsid w:val="003E4B51"/>
    <w:rsid w:val="003E6340"/>
    <w:rsid w:val="003E7714"/>
    <w:rsid w:val="003E7D5F"/>
    <w:rsid w:val="003F0942"/>
    <w:rsid w:val="003F1683"/>
    <w:rsid w:val="003F171C"/>
    <w:rsid w:val="003F1CAF"/>
    <w:rsid w:val="003F2839"/>
    <w:rsid w:val="003F563E"/>
    <w:rsid w:val="00400196"/>
    <w:rsid w:val="00412FC5"/>
    <w:rsid w:val="00422078"/>
    <w:rsid w:val="00422276"/>
    <w:rsid w:val="00423370"/>
    <w:rsid w:val="004242F1"/>
    <w:rsid w:val="0043693A"/>
    <w:rsid w:val="004400BF"/>
    <w:rsid w:val="00440182"/>
    <w:rsid w:val="00445A00"/>
    <w:rsid w:val="00446DE2"/>
    <w:rsid w:val="00450D8B"/>
    <w:rsid w:val="00451B0F"/>
    <w:rsid w:val="00453C66"/>
    <w:rsid w:val="004659B3"/>
    <w:rsid w:val="00466AC9"/>
    <w:rsid w:val="00471A61"/>
    <w:rsid w:val="00476ACA"/>
    <w:rsid w:val="004839EC"/>
    <w:rsid w:val="0048478B"/>
    <w:rsid w:val="00485256"/>
    <w:rsid w:val="00492F28"/>
    <w:rsid w:val="00494752"/>
    <w:rsid w:val="004A351B"/>
    <w:rsid w:val="004A5D6A"/>
    <w:rsid w:val="004B0899"/>
    <w:rsid w:val="004B7D12"/>
    <w:rsid w:val="004C2EE3"/>
    <w:rsid w:val="004D0166"/>
    <w:rsid w:val="004D5267"/>
    <w:rsid w:val="004E106D"/>
    <w:rsid w:val="004E35EC"/>
    <w:rsid w:val="004E4A22"/>
    <w:rsid w:val="004E5EA2"/>
    <w:rsid w:val="004F1B69"/>
    <w:rsid w:val="004F6E42"/>
    <w:rsid w:val="00507B5B"/>
    <w:rsid w:val="00511968"/>
    <w:rsid w:val="005153FB"/>
    <w:rsid w:val="0052514D"/>
    <w:rsid w:val="0053202E"/>
    <w:rsid w:val="005321C3"/>
    <w:rsid w:val="00532B68"/>
    <w:rsid w:val="00534983"/>
    <w:rsid w:val="00540BBC"/>
    <w:rsid w:val="00545E96"/>
    <w:rsid w:val="00552554"/>
    <w:rsid w:val="0055393A"/>
    <w:rsid w:val="0055614C"/>
    <w:rsid w:val="00563780"/>
    <w:rsid w:val="00566D06"/>
    <w:rsid w:val="00575854"/>
    <w:rsid w:val="00582FF3"/>
    <w:rsid w:val="0058444B"/>
    <w:rsid w:val="00585301"/>
    <w:rsid w:val="00585C43"/>
    <w:rsid w:val="005A057D"/>
    <w:rsid w:val="005A3233"/>
    <w:rsid w:val="005A395B"/>
    <w:rsid w:val="005A71F9"/>
    <w:rsid w:val="005B0BF6"/>
    <w:rsid w:val="005B2004"/>
    <w:rsid w:val="005B7B7F"/>
    <w:rsid w:val="005C0BA2"/>
    <w:rsid w:val="005C1F9A"/>
    <w:rsid w:val="005C55A9"/>
    <w:rsid w:val="005D1879"/>
    <w:rsid w:val="005D2452"/>
    <w:rsid w:val="005D3818"/>
    <w:rsid w:val="005D3AC0"/>
    <w:rsid w:val="005E103B"/>
    <w:rsid w:val="005E14C2"/>
    <w:rsid w:val="005E5F2D"/>
    <w:rsid w:val="005F6A41"/>
    <w:rsid w:val="005F7D78"/>
    <w:rsid w:val="00604490"/>
    <w:rsid w:val="00607BA5"/>
    <w:rsid w:val="0061180A"/>
    <w:rsid w:val="0061637F"/>
    <w:rsid w:val="00620A15"/>
    <w:rsid w:val="00621BA8"/>
    <w:rsid w:val="00622B97"/>
    <w:rsid w:val="00622E7C"/>
    <w:rsid w:val="006242EF"/>
    <w:rsid w:val="00626EB6"/>
    <w:rsid w:val="00633EA2"/>
    <w:rsid w:val="006433B1"/>
    <w:rsid w:val="00643675"/>
    <w:rsid w:val="0064625B"/>
    <w:rsid w:val="00646F1B"/>
    <w:rsid w:val="006539FB"/>
    <w:rsid w:val="00655619"/>
    <w:rsid w:val="00655D03"/>
    <w:rsid w:val="0065628B"/>
    <w:rsid w:val="006604AC"/>
    <w:rsid w:val="006630C8"/>
    <w:rsid w:val="00673C09"/>
    <w:rsid w:val="0068314B"/>
    <w:rsid w:val="00683388"/>
    <w:rsid w:val="00683F84"/>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115F7"/>
    <w:rsid w:val="0071265F"/>
    <w:rsid w:val="007154D5"/>
    <w:rsid w:val="0071623F"/>
    <w:rsid w:val="0071628A"/>
    <w:rsid w:val="007260E5"/>
    <w:rsid w:val="00727935"/>
    <w:rsid w:val="00727B75"/>
    <w:rsid w:val="00730394"/>
    <w:rsid w:val="00730ED4"/>
    <w:rsid w:val="00733947"/>
    <w:rsid w:val="00734150"/>
    <w:rsid w:val="00762237"/>
    <w:rsid w:val="00766481"/>
    <w:rsid w:val="00782BE3"/>
    <w:rsid w:val="00785689"/>
    <w:rsid w:val="00791886"/>
    <w:rsid w:val="0079754B"/>
    <w:rsid w:val="007A0C9B"/>
    <w:rsid w:val="007A1E6D"/>
    <w:rsid w:val="007B0EB2"/>
    <w:rsid w:val="007B57BC"/>
    <w:rsid w:val="007C51BA"/>
    <w:rsid w:val="007D2A17"/>
    <w:rsid w:val="007E0CAB"/>
    <w:rsid w:val="007E35B0"/>
    <w:rsid w:val="007E3C3D"/>
    <w:rsid w:val="007F285E"/>
    <w:rsid w:val="007F7C8F"/>
    <w:rsid w:val="008010D0"/>
    <w:rsid w:val="008011B7"/>
    <w:rsid w:val="008035D2"/>
    <w:rsid w:val="0080694A"/>
    <w:rsid w:val="00810B6F"/>
    <w:rsid w:val="00811C65"/>
    <w:rsid w:val="00822CE0"/>
    <w:rsid w:val="008247A2"/>
    <w:rsid w:val="00824E09"/>
    <w:rsid w:val="00825B25"/>
    <w:rsid w:val="008348C7"/>
    <w:rsid w:val="0084013F"/>
    <w:rsid w:val="00841AB1"/>
    <w:rsid w:val="00843EF1"/>
    <w:rsid w:val="00847B79"/>
    <w:rsid w:val="00853E61"/>
    <w:rsid w:val="00856659"/>
    <w:rsid w:val="00856943"/>
    <w:rsid w:val="00857FB5"/>
    <w:rsid w:val="0086047D"/>
    <w:rsid w:val="00866CF4"/>
    <w:rsid w:val="00871873"/>
    <w:rsid w:val="00885E97"/>
    <w:rsid w:val="0089219D"/>
    <w:rsid w:val="008940B7"/>
    <w:rsid w:val="00895BF0"/>
    <w:rsid w:val="008C68F1"/>
    <w:rsid w:val="008D73F7"/>
    <w:rsid w:val="008F4AC2"/>
    <w:rsid w:val="008F79C4"/>
    <w:rsid w:val="0090058D"/>
    <w:rsid w:val="00905F1F"/>
    <w:rsid w:val="0092162B"/>
    <w:rsid w:val="00921803"/>
    <w:rsid w:val="00921D4C"/>
    <w:rsid w:val="009243FC"/>
    <w:rsid w:val="00926503"/>
    <w:rsid w:val="00927513"/>
    <w:rsid w:val="009306D4"/>
    <w:rsid w:val="00936FC5"/>
    <w:rsid w:val="009463AD"/>
    <w:rsid w:val="00964145"/>
    <w:rsid w:val="0097219B"/>
    <w:rsid w:val="009726D8"/>
    <w:rsid w:val="00973032"/>
    <w:rsid w:val="0097387E"/>
    <w:rsid w:val="00975D52"/>
    <w:rsid w:val="00977BF7"/>
    <w:rsid w:val="00982EF0"/>
    <w:rsid w:val="00985517"/>
    <w:rsid w:val="009862E0"/>
    <w:rsid w:val="00993257"/>
    <w:rsid w:val="00993FBC"/>
    <w:rsid w:val="0099423F"/>
    <w:rsid w:val="009A19B0"/>
    <w:rsid w:val="009A2212"/>
    <w:rsid w:val="009B28D6"/>
    <w:rsid w:val="009B70FB"/>
    <w:rsid w:val="009B7F58"/>
    <w:rsid w:val="009D2B82"/>
    <w:rsid w:val="009D6F88"/>
    <w:rsid w:val="009D7308"/>
    <w:rsid w:val="009E04D2"/>
    <w:rsid w:val="009E3520"/>
    <w:rsid w:val="009F05B2"/>
    <w:rsid w:val="009F76DB"/>
    <w:rsid w:val="009F78A8"/>
    <w:rsid w:val="00A006BA"/>
    <w:rsid w:val="00A05089"/>
    <w:rsid w:val="00A117E8"/>
    <w:rsid w:val="00A17F49"/>
    <w:rsid w:val="00A251EE"/>
    <w:rsid w:val="00A25A57"/>
    <w:rsid w:val="00A32C3B"/>
    <w:rsid w:val="00A3333D"/>
    <w:rsid w:val="00A33C7D"/>
    <w:rsid w:val="00A36044"/>
    <w:rsid w:val="00A403EA"/>
    <w:rsid w:val="00A45F4F"/>
    <w:rsid w:val="00A468EA"/>
    <w:rsid w:val="00A53069"/>
    <w:rsid w:val="00A600A9"/>
    <w:rsid w:val="00A62B9F"/>
    <w:rsid w:val="00A630EA"/>
    <w:rsid w:val="00A66198"/>
    <w:rsid w:val="00A70139"/>
    <w:rsid w:val="00A72727"/>
    <w:rsid w:val="00A751F1"/>
    <w:rsid w:val="00A763CF"/>
    <w:rsid w:val="00A82B62"/>
    <w:rsid w:val="00A878CF"/>
    <w:rsid w:val="00A938C8"/>
    <w:rsid w:val="00A97E55"/>
    <w:rsid w:val="00AA0E1F"/>
    <w:rsid w:val="00AA429D"/>
    <w:rsid w:val="00AA55B7"/>
    <w:rsid w:val="00AA5B9E"/>
    <w:rsid w:val="00AB0500"/>
    <w:rsid w:val="00AB185F"/>
    <w:rsid w:val="00AB2407"/>
    <w:rsid w:val="00AB53DF"/>
    <w:rsid w:val="00AB5551"/>
    <w:rsid w:val="00AC36D1"/>
    <w:rsid w:val="00AC3EC5"/>
    <w:rsid w:val="00AC6913"/>
    <w:rsid w:val="00AC7A07"/>
    <w:rsid w:val="00AD0CC4"/>
    <w:rsid w:val="00AD1E0B"/>
    <w:rsid w:val="00AD4E78"/>
    <w:rsid w:val="00AD77AD"/>
    <w:rsid w:val="00AE3776"/>
    <w:rsid w:val="00AE71E1"/>
    <w:rsid w:val="00AF5B01"/>
    <w:rsid w:val="00B07E5C"/>
    <w:rsid w:val="00B12FAE"/>
    <w:rsid w:val="00B151FD"/>
    <w:rsid w:val="00B1660A"/>
    <w:rsid w:val="00B167EE"/>
    <w:rsid w:val="00B220B6"/>
    <w:rsid w:val="00B30A15"/>
    <w:rsid w:val="00B350A1"/>
    <w:rsid w:val="00B36557"/>
    <w:rsid w:val="00B45107"/>
    <w:rsid w:val="00B5162A"/>
    <w:rsid w:val="00B51C20"/>
    <w:rsid w:val="00B64485"/>
    <w:rsid w:val="00B65A21"/>
    <w:rsid w:val="00B6739B"/>
    <w:rsid w:val="00B67AAB"/>
    <w:rsid w:val="00B76939"/>
    <w:rsid w:val="00B77FE7"/>
    <w:rsid w:val="00B80311"/>
    <w:rsid w:val="00B811F7"/>
    <w:rsid w:val="00B81978"/>
    <w:rsid w:val="00B82023"/>
    <w:rsid w:val="00B835C7"/>
    <w:rsid w:val="00B9295E"/>
    <w:rsid w:val="00B93507"/>
    <w:rsid w:val="00B943EE"/>
    <w:rsid w:val="00B96030"/>
    <w:rsid w:val="00BA0D4D"/>
    <w:rsid w:val="00BA167B"/>
    <w:rsid w:val="00BA27ED"/>
    <w:rsid w:val="00BA3795"/>
    <w:rsid w:val="00BA5DC6"/>
    <w:rsid w:val="00BA6196"/>
    <w:rsid w:val="00BB1078"/>
    <w:rsid w:val="00BC6D8C"/>
    <w:rsid w:val="00BC795D"/>
    <w:rsid w:val="00BC7D1C"/>
    <w:rsid w:val="00BD3E61"/>
    <w:rsid w:val="00BD47BD"/>
    <w:rsid w:val="00BE268B"/>
    <w:rsid w:val="00BE405C"/>
    <w:rsid w:val="00BE7601"/>
    <w:rsid w:val="00BF6804"/>
    <w:rsid w:val="00C03F63"/>
    <w:rsid w:val="00C05CC9"/>
    <w:rsid w:val="00C132D8"/>
    <w:rsid w:val="00C1480C"/>
    <w:rsid w:val="00C21177"/>
    <w:rsid w:val="00C231C9"/>
    <w:rsid w:val="00C2328F"/>
    <w:rsid w:val="00C273B7"/>
    <w:rsid w:val="00C27608"/>
    <w:rsid w:val="00C32674"/>
    <w:rsid w:val="00C32FAE"/>
    <w:rsid w:val="00C34006"/>
    <w:rsid w:val="00C3575A"/>
    <w:rsid w:val="00C36B4C"/>
    <w:rsid w:val="00C426B1"/>
    <w:rsid w:val="00C44FC0"/>
    <w:rsid w:val="00C4674B"/>
    <w:rsid w:val="00C46CBA"/>
    <w:rsid w:val="00C522D0"/>
    <w:rsid w:val="00C528DD"/>
    <w:rsid w:val="00C56D50"/>
    <w:rsid w:val="00C65A79"/>
    <w:rsid w:val="00C66160"/>
    <w:rsid w:val="00C70A08"/>
    <w:rsid w:val="00C70DBE"/>
    <w:rsid w:val="00C721AC"/>
    <w:rsid w:val="00C90B0B"/>
    <w:rsid w:val="00C90D6A"/>
    <w:rsid w:val="00C93DE1"/>
    <w:rsid w:val="00C97B2F"/>
    <w:rsid w:val="00CA152D"/>
    <w:rsid w:val="00CA247E"/>
    <w:rsid w:val="00CA46B2"/>
    <w:rsid w:val="00CA63F3"/>
    <w:rsid w:val="00CA6D21"/>
    <w:rsid w:val="00CB1F36"/>
    <w:rsid w:val="00CB3FE6"/>
    <w:rsid w:val="00CB5B3F"/>
    <w:rsid w:val="00CC6BE4"/>
    <w:rsid w:val="00CC72B6"/>
    <w:rsid w:val="00CD4E8C"/>
    <w:rsid w:val="00CE1581"/>
    <w:rsid w:val="00CE4BA0"/>
    <w:rsid w:val="00CE67F6"/>
    <w:rsid w:val="00CE7D95"/>
    <w:rsid w:val="00CF2727"/>
    <w:rsid w:val="00D01885"/>
    <w:rsid w:val="00D0218D"/>
    <w:rsid w:val="00D04871"/>
    <w:rsid w:val="00D14C2E"/>
    <w:rsid w:val="00D1553C"/>
    <w:rsid w:val="00D17D07"/>
    <w:rsid w:val="00D25FB5"/>
    <w:rsid w:val="00D31247"/>
    <w:rsid w:val="00D316AA"/>
    <w:rsid w:val="00D34AE4"/>
    <w:rsid w:val="00D44223"/>
    <w:rsid w:val="00D450E8"/>
    <w:rsid w:val="00D475B6"/>
    <w:rsid w:val="00D52365"/>
    <w:rsid w:val="00D62F53"/>
    <w:rsid w:val="00D700EA"/>
    <w:rsid w:val="00D70437"/>
    <w:rsid w:val="00D712E8"/>
    <w:rsid w:val="00D715EB"/>
    <w:rsid w:val="00D73F7C"/>
    <w:rsid w:val="00D747E7"/>
    <w:rsid w:val="00D8114C"/>
    <w:rsid w:val="00D834BA"/>
    <w:rsid w:val="00D845EE"/>
    <w:rsid w:val="00D94111"/>
    <w:rsid w:val="00D96B6C"/>
    <w:rsid w:val="00DA2160"/>
    <w:rsid w:val="00DA2529"/>
    <w:rsid w:val="00DA4BB9"/>
    <w:rsid w:val="00DA739A"/>
    <w:rsid w:val="00DB0FB2"/>
    <w:rsid w:val="00DB130A"/>
    <w:rsid w:val="00DB2EBB"/>
    <w:rsid w:val="00DB3734"/>
    <w:rsid w:val="00DB4CC8"/>
    <w:rsid w:val="00DC02B2"/>
    <w:rsid w:val="00DC0DD5"/>
    <w:rsid w:val="00DC10A1"/>
    <w:rsid w:val="00DC655F"/>
    <w:rsid w:val="00DC7B59"/>
    <w:rsid w:val="00DD000E"/>
    <w:rsid w:val="00DD0B59"/>
    <w:rsid w:val="00DD210E"/>
    <w:rsid w:val="00DD481B"/>
    <w:rsid w:val="00DD5BD4"/>
    <w:rsid w:val="00DD7EBD"/>
    <w:rsid w:val="00DF0B32"/>
    <w:rsid w:val="00DF2B29"/>
    <w:rsid w:val="00DF62B6"/>
    <w:rsid w:val="00DF703B"/>
    <w:rsid w:val="00E00466"/>
    <w:rsid w:val="00E03C17"/>
    <w:rsid w:val="00E07225"/>
    <w:rsid w:val="00E13757"/>
    <w:rsid w:val="00E14A9C"/>
    <w:rsid w:val="00E14CEB"/>
    <w:rsid w:val="00E163F5"/>
    <w:rsid w:val="00E24C56"/>
    <w:rsid w:val="00E2600D"/>
    <w:rsid w:val="00E269B0"/>
    <w:rsid w:val="00E26B76"/>
    <w:rsid w:val="00E31A3F"/>
    <w:rsid w:val="00E32962"/>
    <w:rsid w:val="00E3425C"/>
    <w:rsid w:val="00E414A9"/>
    <w:rsid w:val="00E455E7"/>
    <w:rsid w:val="00E47BC5"/>
    <w:rsid w:val="00E52581"/>
    <w:rsid w:val="00E5316A"/>
    <w:rsid w:val="00E5409F"/>
    <w:rsid w:val="00E55FE6"/>
    <w:rsid w:val="00E56DDB"/>
    <w:rsid w:val="00E60829"/>
    <w:rsid w:val="00E60F63"/>
    <w:rsid w:val="00E66B21"/>
    <w:rsid w:val="00E74384"/>
    <w:rsid w:val="00E750CD"/>
    <w:rsid w:val="00E842E8"/>
    <w:rsid w:val="00E8573C"/>
    <w:rsid w:val="00E920E8"/>
    <w:rsid w:val="00E92B2E"/>
    <w:rsid w:val="00E94BED"/>
    <w:rsid w:val="00E94C69"/>
    <w:rsid w:val="00EA74B4"/>
    <w:rsid w:val="00EB6FF8"/>
    <w:rsid w:val="00EC34B0"/>
    <w:rsid w:val="00EC61D3"/>
    <w:rsid w:val="00ED176E"/>
    <w:rsid w:val="00ED4039"/>
    <w:rsid w:val="00ED4964"/>
    <w:rsid w:val="00EE144A"/>
    <w:rsid w:val="00EE317C"/>
    <w:rsid w:val="00EE4AE0"/>
    <w:rsid w:val="00EE5797"/>
    <w:rsid w:val="00EE6488"/>
    <w:rsid w:val="00EF140A"/>
    <w:rsid w:val="00F00D13"/>
    <w:rsid w:val="00F021FA"/>
    <w:rsid w:val="00F0527E"/>
    <w:rsid w:val="00F07DBD"/>
    <w:rsid w:val="00F11625"/>
    <w:rsid w:val="00F128C0"/>
    <w:rsid w:val="00F12CE5"/>
    <w:rsid w:val="00F13B38"/>
    <w:rsid w:val="00F1423F"/>
    <w:rsid w:val="00F1513C"/>
    <w:rsid w:val="00F21619"/>
    <w:rsid w:val="00F24031"/>
    <w:rsid w:val="00F24894"/>
    <w:rsid w:val="00F24E4E"/>
    <w:rsid w:val="00F30B21"/>
    <w:rsid w:val="00F30EB4"/>
    <w:rsid w:val="00F367AB"/>
    <w:rsid w:val="00F442FE"/>
    <w:rsid w:val="00F4463E"/>
    <w:rsid w:val="00F506B1"/>
    <w:rsid w:val="00F5117E"/>
    <w:rsid w:val="00F52B26"/>
    <w:rsid w:val="00F56134"/>
    <w:rsid w:val="00F62E97"/>
    <w:rsid w:val="00F64209"/>
    <w:rsid w:val="00F75EA2"/>
    <w:rsid w:val="00F76B48"/>
    <w:rsid w:val="00F81A55"/>
    <w:rsid w:val="00F8491E"/>
    <w:rsid w:val="00F92A7A"/>
    <w:rsid w:val="00F93BF5"/>
    <w:rsid w:val="00F94A27"/>
    <w:rsid w:val="00F94D4B"/>
    <w:rsid w:val="00F96984"/>
    <w:rsid w:val="00FA0425"/>
    <w:rsid w:val="00FA3C9A"/>
    <w:rsid w:val="00FA7830"/>
    <w:rsid w:val="00FB3403"/>
    <w:rsid w:val="00FC46FA"/>
    <w:rsid w:val="00FC711C"/>
    <w:rsid w:val="00FD24CD"/>
    <w:rsid w:val="00FE0F1C"/>
    <w:rsid w:val="00FE2B5B"/>
    <w:rsid w:val="00FE3B93"/>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