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49F8" w:rsidP="00C76AAD" w14:paraId="322931AF" w14:textId="77777777">
      <w:pPr>
        <w:rPr>
          <w:sz w:val="22"/>
          <w:szCs w:val="22"/>
        </w:rPr>
      </w:pPr>
    </w:p>
    <w:p w:rsidR="00C76AAD" w:rsidP="00C76AAD" w14:paraId="5816FB0C" w14:textId="77777777">
      <w:pPr>
        <w:rPr>
          <w:sz w:val="22"/>
          <w:szCs w:val="22"/>
        </w:rPr>
      </w:pPr>
    </w:p>
    <w:p w:rsidR="00C76AAD" w:rsidP="00C76AAD" w14:paraId="04A9F07A" w14:textId="77777777">
      <w:pPr>
        <w:rPr>
          <w:i/>
          <w:iCs/>
          <w:sz w:val="22"/>
          <w:szCs w:val="22"/>
        </w:rPr>
      </w:pPr>
      <w:r>
        <w:rPr>
          <w:i/>
          <w:iCs/>
          <w:sz w:val="22"/>
          <w:szCs w:val="22"/>
        </w:rPr>
        <w:t>Via Electronic Mail</w:t>
      </w:r>
    </w:p>
    <w:p w:rsidR="00C76AAD" w:rsidRPr="00043783" w:rsidP="00C76AAD" w14:paraId="067B3398" w14:textId="0345C0AA">
      <w:pPr>
        <w:jc w:val="right"/>
        <w:rPr>
          <w:b/>
          <w:bCs/>
          <w:sz w:val="22"/>
          <w:szCs w:val="22"/>
        </w:rPr>
      </w:pPr>
      <w:r>
        <w:rPr>
          <w:b/>
          <w:bCs/>
          <w:sz w:val="22"/>
          <w:szCs w:val="22"/>
        </w:rPr>
        <w:t xml:space="preserve">DA </w:t>
      </w:r>
      <w:r w:rsidR="00E528ED">
        <w:rPr>
          <w:b/>
          <w:bCs/>
          <w:sz w:val="22"/>
          <w:szCs w:val="22"/>
        </w:rPr>
        <w:t>20-1344</w:t>
      </w:r>
    </w:p>
    <w:p w:rsidR="00C76AAD" w:rsidP="00C76AAD" w14:paraId="3F76F555" w14:textId="6C5DDE78">
      <w:pPr>
        <w:rPr>
          <w:sz w:val="22"/>
          <w:szCs w:val="22"/>
        </w:rPr>
      </w:pPr>
      <w:r>
        <w:rPr>
          <w:sz w:val="22"/>
          <w:szCs w:val="22"/>
        </w:rPr>
        <w:t>Chérie R. Kiser</w:t>
      </w:r>
      <w:r w:rsidR="00CB73E7">
        <w:rPr>
          <w:sz w:val="22"/>
          <w:szCs w:val="22"/>
        </w:rPr>
        <w:t xml:space="preserve"> and Angela F. Collins</w:t>
      </w:r>
    </w:p>
    <w:p w:rsidR="00C76AAD" w:rsidP="00C76AAD" w14:paraId="51AE90AD" w14:textId="4D251A91">
      <w:pPr>
        <w:rPr>
          <w:sz w:val="22"/>
          <w:szCs w:val="22"/>
        </w:rPr>
      </w:pPr>
      <w:r>
        <w:rPr>
          <w:sz w:val="22"/>
          <w:szCs w:val="22"/>
        </w:rPr>
        <w:t xml:space="preserve">Counsel </w:t>
      </w:r>
      <w:r w:rsidR="007B5776">
        <w:rPr>
          <w:sz w:val="22"/>
          <w:szCs w:val="22"/>
        </w:rPr>
        <w:t>to</w:t>
      </w:r>
      <w:r>
        <w:rPr>
          <w:sz w:val="22"/>
          <w:szCs w:val="22"/>
        </w:rPr>
        <w:t xml:space="preserve"> Global Tel*Link Corporation</w:t>
      </w:r>
    </w:p>
    <w:p w:rsidR="00C76AAD" w:rsidP="00C76AAD" w14:paraId="2A59A29F" w14:textId="77777777">
      <w:pPr>
        <w:rPr>
          <w:sz w:val="22"/>
          <w:szCs w:val="22"/>
        </w:rPr>
      </w:pPr>
      <w:r>
        <w:rPr>
          <w:sz w:val="22"/>
          <w:szCs w:val="22"/>
        </w:rPr>
        <w:t>Cahill Gordon &amp; Reindel LLP</w:t>
      </w:r>
    </w:p>
    <w:p w:rsidR="00C76AAD" w:rsidP="00C76AAD" w14:paraId="4BC07F22" w14:textId="77777777">
      <w:pPr>
        <w:rPr>
          <w:sz w:val="22"/>
          <w:szCs w:val="22"/>
        </w:rPr>
      </w:pPr>
      <w:r>
        <w:rPr>
          <w:sz w:val="22"/>
          <w:szCs w:val="22"/>
        </w:rPr>
        <w:t>1990 K Street, N.W.</w:t>
      </w:r>
    </w:p>
    <w:p w:rsidR="00C76AAD" w:rsidP="00C76AAD" w14:paraId="32DA1F3B" w14:textId="77777777">
      <w:pPr>
        <w:rPr>
          <w:sz w:val="22"/>
          <w:szCs w:val="22"/>
        </w:rPr>
      </w:pPr>
      <w:r>
        <w:rPr>
          <w:sz w:val="22"/>
          <w:szCs w:val="22"/>
        </w:rPr>
        <w:t>Washington, DC 20006</w:t>
      </w:r>
    </w:p>
    <w:p w:rsidR="00C76AAD" w:rsidP="00C76AAD" w14:paraId="74ECF924" w14:textId="77777777">
      <w:pPr>
        <w:rPr>
          <w:sz w:val="22"/>
          <w:szCs w:val="22"/>
        </w:rPr>
      </w:pPr>
    </w:p>
    <w:p w:rsidR="00C76AAD" w:rsidRPr="00F558F7" w:rsidP="00C76AAD" w14:paraId="421ECAB2" w14:textId="2957ECAD">
      <w:pPr>
        <w:ind w:left="1440" w:hanging="720"/>
        <w:rPr>
          <w:b/>
          <w:bCs/>
          <w:sz w:val="22"/>
          <w:szCs w:val="22"/>
        </w:rPr>
      </w:pPr>
      <w:r>
        <w:rPr>
          <w:b/>
          <w:bCs/>
          <w:sz w:val="22"/>
          <w:szCs w:val="22"/>
        </w:rPr>
        <w:t xml:space="preserve">Re:  </w:t>
      </w:r>
      <w:r>
        <w:rPr>
          <w:b/>
          <w:bCs/>
          <w:sz w:val="22"/>
          <w:szCs w:val="22"/>
        </w:rPr>
        <w:tab/>
      </w:r>
      <w:r w:rsidR="007D4690">
        <w:rPr>
          <w:b/>
          <w:bCs/>
          <w:sz w:val="22"/>
          <w:szCs w:val="22"/>
        </w:rPr>
        <w:t xml:space="preserve">GTL’s </w:t>
      </w:r>
      <w:r>
        <w:rPr>
          <w:b/>
          <w:bCs/>
          <w:sz w:val="22"/>
          <w:szCs w:val="22"/>
        </w:rPr>
        <w:t xml:space="preserve">Request for </w:t>
      </w:r>
      <w:r w:rsidR="007D4690">
        <w:rPr>
          <w:b/>
          <w:bCs/>
          <w:sz w:val="22"/>
          <w:szCs w:val="22"/>
        </w:rPr>
        <w:t xml:space="preserve">the Commission’s Work Papers </w:t>
      </w:r>
      <w:r w:rsidR="008E4195">
        <w:rPr>
          <w:b/>
          <w:bCs/>
          <w:sz w:val="22"/>
          <w:szCs w:val="22"/>
        </w:rPr>
        <w:t xml:space="preserve">and Other Documents </w:t>
      </w:r>
      <w:r w:rsidRPr="00F558F7">
        <w:rPr>
          <w:b/>
          <w:bCs/>
          <w:sz w:val="22"/>
          <w:szCs w:val="22"/>
        </w:rPr>
        <w:t>(</w:t>
      </w:r>
      <w:r w:rsidRPr="00043783">
        <w:rPr>
          <w:b/>
          <w:bCs/>
          <w:sz w:val="22"/>
          <w:szCs w:val="22"/>
        </w:rPr>
        <w:t>WC Docket No. 12-375</w:t>
      </w:r>
      <w:r>
        <w:rPr>
          <w:b/>
          <w:bCs/>
          <w:sz w:val="22"/>
          <w:szCs w:val="22"/>
        </w:rPr>
        <w:t>)</w:t>
      </w:r>
      <w:r w:rsidRPr="00F558F7">
        <w:rPr>
          <w:b/>
          <w:bCs/>
          <w:sz w:val="22"/>
          <w:szCs w:val="22"/>
        </w:rPr>
        <w:t xml:space="preserve"> </w:t>
      </w:r>
    </w:p>
    <w:p w:rsidR="00C76AAD" w:rsidRPr="00F558F7" w:rsidP="00C76AAD" w14:paraId="3252E8CE" w14:textId="77777777">
      <w:pPr>
        <w:ind w:left="1440" w:hanging="720"/>
        <w:rPr>
          <w:b/>
          <w:bCs/>
          <w:sz w:val="22"/>
          <w:szCs w:val="22"/>
        </w:rPr>
      </w:pPr>
    </w:p>
    <w:p w:rsidR="00C76AAD" w:rsidP="00C76AAD" w14:paraId="31B9EE05" w14:textId="7E9E4372">
      <w:pPr>
        <w:spacing w:after="240"/>
        <w:rPr>
          <w:sz w:val="22"/>
          <w:szCs w:val="22"/>
        </w:rPr>
      </w:pPr>
      <w:r w:rsidRPr="00714C71">
        <w:rPr>
          <w:sz w:val="22"/>
          <w:szCs w:val="22"/>
        </w:rPr>
        <w:t>Dear Ms. Kiser</w:t>
      </w:r>
      <w:r w:rsidR="00CB73E7">
        <w:rPr>
          <w:sz w:val="22"/>
          <w:szCs w:val="22"/>
        </w:rPr>
        <w:t xml:space="preserve"> and Ms. Collins</w:t>
      </w:r>
      <w:r w:rsidRPr="00714C71">
        <w:rPr>
          <w:sz w:val="22"/>
          <w:szCs w:val="22"/>
        </w:rPr>
        <w:t xml:space="preserve">: </w:t>
      </w:r>
    </w:p>
    <w:p w:rsidR="009921B9" w:rsidP="00C80970" w14:paraId="149630CF" w14:textId="3552D8B4">
      <w:pPr>
        <w:autoSpaceDE w:val="0"/>
        <w:autoSpaceDN w:val="0"/>
        <w:adjustRightInd w:val="0"/>
        <w:spacing w:after="120"/>
        <w:rPr>
          <w:sz w:val="22"/>
          <w:szCs w:val="22"/>
        </w:rPr>
      </w:pPr>
      <w:r>
        <w:rPr>
          <w:sz w:val="22"/>
          <w:szCs w:val="22"/>
        </w:rPr>
        <w:tab/>
      </w:r>
      <w:r w:rsidR="00694A60">
        <w:rPr>
          <w:sz w:val="22"/>
          <w:szCs w:val="22"/>
        </w:rPr>
        <w:t xml:space="preserve">The </w:t>
      </w:r>
      <w:r w:rsidR="009A4921">
        <w:rPr>
          <w:sz w:val="22"/>
          <w:szCs w:val="22"/>
        </w:rPr>
        <w:t xml:space="preserve">Wireline Competition </w:t>
      </w:r>
      <w:r w:rsidR="00646D2A">
        <w:rPr>
          <w:sz w:val="22"/>
          <w:szCs w:val="22"/>
        </w:rPr>
        <w:t>Bureau</w:t>
      </w:r>
      <w:r w:rsidR="00694A60">
        <w:rPr>
          <w:sz w:val="22"/>
          <w:szCs w:val="22"/>
        </w:rPr>
        <w:t xml:space="preserve"> </w:t>
      </w:r>
      <w:r w:rsidR="009A4921">
        <w:rPr>
          <w:sz w:val="22"/>
          <w:szCs w:val="22"/>
        </w:rPr>
        <w:t xml:space="preserve">(WCB) </w:t>
      </w:r>
      <w:r w:rsidR="00694A60">
        <w:rPr>
          <w:sz w:val="22"/>
          <w:szCs w:val="22"/>
        </w:rPr>
        <w:t xml:space="preserve">hereby denies </w:t>
      </w:r>
      <w:r w:rsidRPr="00714C71" w:rsidR="00427AFD">
        <w:rPr>
          <w:sz w:val="22"/>
          <w:szCs w:val="22"/>
        </w:rPr>
        <w:t>Global Tel*Link Corporation</w:t>
      </w:r>
      <w:r w:rsidR="00427AFD">
        <w:rPr>
          <w:sz w:val="22"/>
          <w:szCs w:val="22"/>
        </w:rPr>
        <w:t>’s</w:t>
      </w:r>
      <w:r w:rsidRPr="00714C71" w:rsidR="00427AFD">
        <w:rPr>
          <w:sz w:val="22"/>
          <w:szCs w:val="22"/>
        </w:rPr>
        <w:t xml:space="preserve"> (GTL)</w:t>
      </w:r>
      <w:r w:rsidR="00694A60">
        <w:rPr>
          <w:sz w:val="22"/>
          <w:szCs w:val="22"/>
        </w:rPr>
        <w:t xml:space="preserve"> request</w:t>
      </w:r>
      <w:r w:rsidR="006C76C6">
        <w:rPr>
          <w:sz w:val="22"/>
          <w:szCs w:val="22"/>
        </w:rPr>
        <w:t>s</w:t>
      </w:r>
      <w:r w:rsidR="00694A60">
        <w:rPr>
          <w:sz w:val="22"/>
          <w:szCs w:val="22"/>
        </w:rPr>
        <w:t xml:space="preserve"> for “work papers and other documentation” to the extent </w:t>
      </w:r>
      <w:r w:rsidR="00F32DCC">
        <w:rPr>
          <w:sz w:val="22"/>
          <w:szCs w:val="22"/>
        </w:rPr>
        <w:t>GTL</w:t>
      </w:r>
      <w:r w:rsidR="00CB73E7">
        <w:rPr>
          <w:sz w:val="22"/>
          <w:szCs w:val="22"/>
        </w:rPr>
        <w:t xml:space="preserve"> seeks </w:t>
      </w:r>
      <w:r w:rsidR="00D056FD">
        <w:rPr>
          <w:sz w:val="22"/>
          <w:szCs w:val="22"/>
        </w:rPr>
        <w:t xml:space="preserve">information </w:t>
      </w:r>
      <w:r w:rsidR="001F62C7">
        <w:rPr>
          <w:sz w:val="22"/>
          <w:szCs w:val="22"/>
        </w:rPr>
        <w:t xml:space="preserve">beyond what </w:t>
      </w:r>
      <w:r w:rsidR="00F32DCC">
        <w:rPr>
          <w:sz w:val="22"/>
          <w:szCs w:val="22"/>
        </w:rPr>
        <w:t>the</w:t>
      </w:r>
      <w:r w:rsidR="00694A60">
        <w:rPr>
          <w:sz w:val="22"/>
          <w:szCs w:val="22"/>
        </w:rPr>
        <w:t xml:space="preserve"> Commission</w:t>
      </w:r>
      <w:r w:rsidR="00D056FD">
        <w:rPr>
          <w:sz w:val="22"/>
          <w:szCs w:val="22"/>
        </w:rPr>
        <w:t xml:space="preserve"> has already made available in </w:t>
      </w:r>
      <w:r>
        <w:rPr>
          <w:sz w:val="22"/>
          <w:szCs w:val="22"/>
        </w:rPr>
        <w:t xml:space="preserve">its </w:t>
      </w:r>
      <w:r w:rsidR="00694A60">
        <w:rPr>
          <w:i/>
          <w:iCs/>
          <w:sz w:val="22"/>
          <w:szCs w:val="22"/>
        </w:rPr>
        <w:t>Inmate Calling Services</w:t>
      </w:r>
      <w:r w:rsidR="00694A60">
        <w:rPr>
          <w:sz w:val="22"/>
          <w:szCs w:val="22"/>
        </w:rPr>
        <w:t xml:space="preserve"> </w:t>
      </w:r>
      <w:r w:rsidR="005C669E">
        <w:rPr>
          <w:sz w:val="22"/>
          <w:szCs w:val="22"/>
        </w:rPr>
        <w:t xml:space="preserve">(ICS) </w:t>
      </w:r>
      <w:r w:rsidR="001F62C7">
        <w:rPr>
          <w:sz w:val="22"/>
          <w:szCs w:val="22"/>
        </w:rPr>
        <w:t>docket</w:t>
      </w:r>
      <w:r w:rsidR="00F6481F">
        <w:rPr>
          <w:sz w:val="22"/>
          <w:szCs w:val="22"/>
        </w:rPr>
        <w:t xml:space="preserve"> or this letter</w:t>
      </w:r>
      <w:r>
        <w:rPr>
          <w:sz w:val="22"/>
          <w:szCs w:val="22"/>
        </w:rPr>
        <w:t>.</w:t>
      </w:r>
      <w:r>
        <w:rPr>
          <w:rStyle w:val="FootnoteReference"/>
        </w:rPr>
        <w:footnoteReference w:id="3"/>
      </w:r>
      <w:r w:rsidR="00694A60">
        <w:rPr>
          <w:sz w:val="22"/>
          <w:szCs w:val="22"/>
        </w:rPr>
        <w:t xml:space="preserve">  </w:t>
      </w:r>
      <w:r w:rsidR="00963AA7">
        <w:rPr>
          <w:sz w:val="22"/>
          <w:szCs w:val="22"/>
        </w:rPr>
        <w:t>T</w:t>
      </w:r>
      <w:r>
        <w:rPr>
          <w:sz w:val="22"/>
          <w:szCs w:val="22"/>
        </w:rPr>
        <w:t xml:space="preserve">he </w:t>
      </w:r>
      <w:r w:rsidR="001F62C7">
        <w:rPr>
          <w:sz w:val="22"/>
          <w:szCs w:val="22"/>
        </w:rPr>
        <w:t>Commission has already provide</w:t>
      </w:r>
      <w:r w:rsidR="00A4170E">
        <w:rPr>
          <w:sz w:val="22"/>
          <w:szCs w:val="22"/>
        </w:rPr>
        <w:t>d</w:t>
      </w:r>
      <w:r w:rsidR="001F62C7">
        <w:rPr>
          <w:sz w:val="22"/>
          <w:szCs w:val="22"/>
        </w:rPr>
        <w:t xml:space="preserve"> GTL and other interested parties </w:t>
      </w:r>
      <w:r w:rsidR="00A4170E">
        <w:rPr>
          <w:sz w:val="22"/>
          <w:szCs w:val="22"/>
        </w:rPr>
        <w:t xml:space="preserve">an opportunity to </w:t>
      </w:r>
      <w:r w:rsidR="001F62C7">
        <w:rPr>
          <w:sz w:val="22"/>
          <w:szCs w:val="22"/>
        </w:rPr>
        <w:t xml:space="preserve">access all the information they need to be able to participate </w:t>
      </w:r>
      <w:r w:rsidR="00437EB1">
        <w:rPr>
          <w:sz w:val="22"/>
          <w:szCs w:val="22"/>
        </w:rPr>
        <w:t xml:space="preserve">fully </w:t>
      </w:r>
      <w:r w:rsidR="001F62C7">
        <w:rPr>
          <w:sz w:val="22"/>
          <w:szCs w:val="22"/>
        </w:rPr>
        <w:t>in the ICS rulemaking proceeding</w:t>
      </w:r>
      <w:r>
        <w:rPr>
          <w:sz w:val="22"/>
          <w:szCs w:val="22"/>
        </w:rPr>
        <w:t>.</w:t>
      </w:r>
      <w:r>
        <w:rPr>
          <w:rStyle w:val="FootnoteReference"/>
        </w:rPr>
        <w:footnoteReference w:id="4"/>
      </w:r>
    </w:p>
    <w:p w:rsidR="005379AF" w:rsidP="00C80970" w14:paraId="02FCAF7E" w14:textId="2E80DC95">
      <w:pPr>
        <w:spacing w:after="120"/>
        <w:ind w:firstLine="720"/>
        <w:rPr>
          <w:szCs w:val="22"/>
        </w:rPr>
      </w:pPr>
      <w:r>
        <w:rPr>
          <w:sz w:val="22"/>
          <w:szCs w:val="22"/>
        </w:rPr>
        <w:t xml:space="preserve">The </w:t>
      </w:r>
      <w:r w:rsidR="005C669E">
        <w:rPr>
          <w:i/>
          <w:iCs/>
          <w:sz w:val="22"/>
          <w:szCs w:val="22"/>
        </w:rPr>
        <w:t xml:space="preserve">2020 ICS </w:t>
      </w:r>
      <w:r w:rsidR="00D3073F">
        <w:rPr>
          <w:i/>
          <w:iCs/>
          <w:sz w:val="22"/>
          <w:szCs w:val="22"/>
        </w:rPr>
        <w:t xml:space="preserve">Further </w:t>
      </w:r>
      <w:r w:rsidR="005C669E">
        <w:rPr>
          <w:i/>
          <w:iCs/>
          <w:sz w:val="22"/>
          <w:szCs w:val="22"/>
        </w:rPr>
        <w:t>Notice</w:t>
      </w:r>
      <w:r>
        <w:rPr>
          <w:sz w:val="22"/>
          <w:szCs w:val="22"/>
        </w:rPr>
        <w:t xml:space="preserve"> </w:t>
      </w:r>
      <w:r w:rsidR="00437EB1">
        <w:rPr>
          <w:sz w:val="22"/>
          <w:szCs w:val="22"/>
        </w:rPr>
        <w:t>provided</w:t>
      </w:r>
      <w:r>
        <w:rPr>
          <w:sz w:val="22"/>
          <w:szCs w:val="22"/>
        </w:rPr>
        <w:t xml:space="preserve"> a detailed explanation of the methodology and analyses the Commission used in developing its proposals for new </w:t>
      </w:r>
      <w:r w:rsidR="00030E9B">
        <w:rPr>
          <w:sz w:val="22"/>
          <w:szCs w:val="22"/>
        </w:rPr>
        <w:t xml:space="preserve">rate caps </w:t>
      </w:r>
      <w:r>
        <w:rPr>
          <w:sz w:val="22"/>
          <w:szCs w:val="22"/>
        </w:rPr>
        <w:t xml:space="preserve">on interstate and </w:t>
      </w:r>
      <w:r w:rsidR="00A56EFE">
        <w:rPr>
          <w:sz w:val="22"/>
          <w:szCs w:val="22"/>
        </w:rPr>
        <w:t xml:space="preserve">international </w:t>
      </w:r>
      <w:r w:rsidR="00030E9B">
        <w:rPr>
          <w:sz w:val="22"/>
          <w:szCs w:val="22"/>
        </w:rPr>
        <w:t>calls placed from prisons or jails.</w:t>
      </w:r>
      <w:r>
        <w:rPr>
          <w:rStyle w:val="FootnoteReference"/>
        </w:rPr>
        <w:footnoteReference w:id="5"/>
      </w:r>
      <w:r w:rsidR="00030E9B">
        <w:rPr>
          <w:sz w:val="22"/>
          <w:szCs w:val="22"/>
        </w:rPr>
        <w:t xml:space="preserve">  </w:t>
      </w:r>
      <w:r w:rsidR="00755855">
        <w:rPr>
          <w:sz w:val="22"/>
          <w:szCs w:val="22"/>
        </w:rPr>
        <w:t>That explanation</w:t>
      </w:r>
      <w:r w:rsidRPr="00714C71" w:rsidR="00E92E2B">
        <w:rPr>
          <w:sz w:val="22"/>
          <w:szCs w:val="22"/>
        </w:rPr>
        <w:t xml:space="preserve"> </w:t>
      </w:r>
      <w:r w:rsidR="004F4FE3">
        <w:rPr>
          <w:sz w:val="22"/>
          <w:szCs w:val="22"/>
        </w:rPr>
        <w:t xml:space="preserve">includes </w:t>
      </w:r>
      <w:r w:rsidR="00EA2400">
        <w:rPr>
          <w:sz w:val="22"/>
          <w:szCs w:val="22"/>
        </w:rPr>
        <w:t xml:space="preserve">four </w:t>
      </w:r>
      <w:r w:rsidR="004F4FE3">
        <w:rPr>
          <w:sz w:val="22"/>
          <w:szCs w:val="22"/>
        </w:rPr>
        <w:t>appendices that</w:t>
      </w:r>
      <w:r>
        <w:rPr>
          <w:sz w:val="22"/>
          <w:szCs w:val="22"/>
        </w:rPr>
        <w:t>,</w:t>
      </w:r>
      <w:r w:rsidR="004F4FE3">
        <w:rPr>
          <w:sz w:val="22"/>
          <w:szCs w:val="22"/>
        </w:rPr>
        <w:t xml:space="preserve"> collectively</w:t>
      </w:r>
      <w:r>
        <w:rPr>
          <w:sz w:val="22"/>
          <w:szCs w:val="22"/>
        </w:rPr>
        <w:t>,</w:t>
      </w:r>
      <w:r w:rsidR="004F4FE3">
        <w:rPr>
          <w:sz w:val="22"/>
          <w:szCs w:val="22"/>
        </w:rPr>
        <w:t xml:space="preserve"> make clear </w:t>
      </w:r>
      <w:r w:rsidR="004A5F81">
        <w:rPr>
          <w:sz w:val="22"/>
          <w:szCs w:val="22"/>
        </w:rPr>
        <w:t>the full technical basis for the Commission’s proposals.</w:t>
      </w:r>
      <w:r>
        <w:rPr>
          <w:rStyle w:val="FootnoteReference"/>
        </w:rPr>
        <w:footnoteReference w:id="6"/>
      </w:r>
      <w:r w:rsidR="00437EB1">
        <w:rPr>
          <w:sz w:val="22"/>
          <w:szCs w:val="22"/>
        </w:rPr>
        <w:t xml:space="preserve">  After releasing the </w:t>
      </w:r>
      <w:r w:rsidR="00437EB1">
        <w:rPr>
          <w:i/>
          <w:iCs/>
          <w:sz w:val="22"/>
          <w:szCs w:val="22"/>
        </w:rPr>
        <w:t>Further Notice</w:t>
      </w:r>
      <w:r w:rsidRPr="00C80970" w:rsidR="00437EB1">
        <w:rPr>
          <w:sz w:val="22"/>
          <w:szCs w:val="22"/>
        </w:rPr>
        <w:t>,</w:t>
      </w:r>
      <w:r w:rsidR="00437EB1">
        <w:rPr>
          <w:i/>
          <w:iCs/>
          <w:sz w:val="22"/>
          <w:szCs w:val="22"/>
        </w:rPr>
        <w:t xml:space="preserve"> </w:t>
      </w:r>
      <w:r w:rsidRPr="001E29B3" w:rsidR="00437EB1">
        <w:rPr>
          <w:sz w:val="22"/>
          <w:szCs w:val="22"/>
        </w:rPr>
        <w:t>t</w:t>
      </w:r>
      <w:r w:rsidR="00437EB1">
        <w:rPr>
          <w:sz w:val="22"/>
          <w:szCs w:val="22"/>
        </w:rPr>
        <w:t xml:space="preserve">he Commission also </w:t>
      </w:r>
      <w:r w:rsidR="00FE69B3">
        <w:rPr>
          <w:sz w:val="22"/>
          <w:szCs w:val="22"/>
        </w:rPr>
        <w:t xml:space="preserve">provided the parties </w:t>
      </w:r>
      <w:r w:rsidR="004C6E40">
        <w:rPr>
          <w:sz w:val="22"/>
          <w:szCs w:val="22"/>
        </w:rPr>
        <w:t xml:space="preserve">the opportunity </w:t>
      </w:r>
      <w:r w:rsidR="00FE69B3">
        <w:rPr>
          <w:sz w:val="22"/>
          <w:szCs w:val="22"/>
        </w:rPr>
        <w:t xml:space="preserve">to access </w:t>
      </w:r>
      <w:r w:rsidR="009071F4">
        <w:rPr>
          <w:sz w:val="22"/>
          <w:szCs w:val="22"/>
        </w:rPr>
        <w:t xml:space="preserve">the </w:t>
      </w:r>
      <w:r w:rsidR="00437EB1">
        <w:rPr>
          <w:sz w:val="22"/>
          <w:szCs w:val="22"/>
        </w:rPr>
        <w:t>database that Commission staff had developed</w:t>
      </w:r>
      <w:r w:rsidR="00EA2400">
        <w:rPr>
          <w:sz w:val="22"/>
          <w:szCs w:val="22"/>
        </w:rPr>
        <w:t xml:space="preserve"> </w:t>
      </w:r>
      <w:r w:rsidR="007E7765">
        <w:rPr>
          <w:sz w:val="22"/>
          <w:szCs w:val="22"/>
        </w:rPr>
        <w:t xml:space="preserve">to </w:t>
      </w:r>
      <w:r w:rsidR="00437EB1">
        <w:rPr>
          <w:sz w:val="22"/>
          <w:szCs w:val="22"/>
        </w:rPr>
        <w:t xml:space="preserve">facilitate </w:t>
      </w:r>
      <w:r w:rsidR="007E7765">
        <w:rPr>
          <w:sz w:val="22"/>
          <w:szCs w:val="22"/>
        </w:rPr>
        <w:t>the Commission</w:t>
      </w:r>
      <w:r w:rsidR="00437EB1">
        <w:rPr>
          <w:sz w:val="22"/>
          <w:szCs w:val="22"/>
        </w:rPr>
        <w:t xml:space="preserve">’s ability </w:t>
      </w:r>
      <w:r w:rsidR="007E7765">
        <w:rPr>
          <w:sz w:val="22"/>
          <w:szCs w:val="22"/>
        </w:rPr>
        <w:t xml:space="preserve">to evaluate </w:t>
      </w:r>
      <w:r w:rsidR="00A457BE">
        <w:rPr>
          <w:sz w:val="22"/>
          <w:szCs w:val="22"/>
        </w:rPr>
        <w:t xml:space="preserve">the </w:t>
      </w:r>
      <w:r w:rsidR="007E7765">
        <w:rPr>
          <w:sz w:val="22"/>
          <w:szCs w:val="22"/>
        </w:rPr>
        <w:t>confidential</w:t>
      </w:r>
      <w:r w:rsidRPr="00F26788" w:rsidR="007E7765">
        <w:rPr>
          <w:sz w:val="22"/>
          <w:szCs w:val="22"/>
        </w:rPr>
        <w:t xml:space="preserve"> cost and revenue </w:t>
      </w:r>
      <w:r w:rsidR="007E7765">
        <w:rPr>
          <w:sz w:val="22"/>
          <w:szCs w:val="22"/>
        </w:rPr>
        <w:t>data</w:t>
      </w:r>
      <w:r w:rsidRPr="00F26788" w:rsidR="007E7765">
        <w:rPr>
          <w:sz w:val="22"/>
          <w:szCs w:val="22"/>
        </w:rPr>
        <w:t xml:space="preserve"> </w:t>
      </w:r>
      <w:r w:rsidR="007E7765">
        <w:rPr>
          <w:sz w:val="22"/>
          <w:szCs w:val="22"/>
        </w:rPr>
        <w:t xml:space="preserve">ICS </w:t>
      </w:r>
      <w:r w:rsidRPr="00F26788" w:rsidR="007E7765">
        <w:rPr>
          <w:sz w:val="22"/>
          <w:szCs w:val="22"/>
        </w:rPr>
        <w:t>provider</w:t>
      </w:r>
      <w:r w:rsidR="00A457BE">
        <w:rPr>
          <w:sz w:val="22"/>
          <w:szCs w:val="22"/>
        </w:rPr>
        <w:t>s</w:t>
      </w:r>
      <w:r w:rsidRPr="00F26788" w:rsidR="007E7765">
        <w:rPr>
          <w:sz w:val="22"/>
          <w:szCs w:val="22"/>
        </w:rPr>
        <w:t xml:space="preserve"> </w:t>
      </w:r>
      <w:r w:rsidR="007E7765">
        <w:rPr>
          <w:sz w:val="22"/>
          <w:szCs w:val="22"/>
        </w:rPr>
        <w:t>had</w:t>
      </w:r>
      <w:r w:rsidR="00A457BE">
        <w:rPr>
          <w:sz w:val="22"/>
          <w:szCs w:val="22"/>
        </w:rPr>
        <w:t xml:space="preserve"> </w:t>
      </w:r>
      <w:r w:rsidR="00A457BE">
        <w:rPr>
          <w:sz w:val="22"/>
          <w:szCs w:val="22"/>
        </w:rPr>
        <w:t>submitted</w:t>
      </w:r>
      <w:r w:rsidR="007E7765">
        <w:rPr>
          <w:sz w:val="22"/>
          <w:szCs w:val="22"/>
        </w:rPr>
        <w:t xml:space="preserve"> in response to the Commission’s Second Mandatory Data Collection</w:t>
      </w:r>
      <w:r w:rsidR="009071F4">
        <w:rPr>
          <w:sz w:val="22"/>
          <w:szCs w:val="22"/>
        </w:rPr>
        <w:t xml:space="preserve"> (the ICS Database)</w:t>
      </w:r>
      <w:r w:rsidR="007E7765">
        <w:rPr>
          <w:sz w:val="22"/>
          <w:szCs w:val="22"/>
        </w:rPr>
        <w:t>.</w:t>
      </w:r>
      <w:r>
        <w:rPr>
          <w:rStyle w:val="FootnoteReference"/>
        </w:rPr>
        <w:footnoteReference w:id="7"/>
      </w:r>
      <w:r w:rsidR="00A457BE">
        <w:rPr>
          <w:sz w:val="22"/>
          <w:szCs w:val="22"/>
        </w:rPr>
        <w:t xml:space="preserve"> </w:t>
      </w:r>
      <w:r w:rsidR="00AB5914">
        <w:rPr>
          <w:sz w:val="22"/>
          <w:szCs w:val="22"/>
        </w:rPr>
        <w:t xml:space="preserve"> </w:t>
      </w:r>
      <w:r w:rsidR="009071F4">
        <w:rPr>
          <w:sz w:val="22"/>
          <w:szCs w:val="22"/>
        </w:rPr>
        <w:t>I</w:t>
      </w:r>
      <w:r w:rsidR="00AB5914">
        <w:rPr>
          <w:sz w:val="22"/>
          <w:szCs w:val="22"/>
        </w:rPr>
        <w:t xml:space="preserve">n addition to </w:t>
      </w:r>
      <w:r w:rsidR="004D54AF">
        <w:rPr>
          <w:sz w:val="22"/>
          <w:szCs w:val="22"/>
        </w:rPr>
        <w:t xml:space="preserve">those confidential </w:t>
      </w:r>
      <w:r w:rsidR="00AB5914">
        <w:rPr>
          <w:sz w:val="22"/>
          <w:szCs w:val="22"/>
        </w:rPr>
        <w:t xml:space="preserve">data, </w:t>
      </w:r>
      <w:r w:rsidR="009071F4">
        <w:rPr>
          <w:sz w:val="22"/>
          <w:szCs w:val="22"/>
        </w:rPr>
        <w:t xml:space="preserve">the ICS Database includes </w:t>
      </w:r>
      <w:r w:rsidR="00AB5914">
        <w:rPr>
          <w:sz w:val="22"/>
          <w:szCs w:val="22"/>
        </w:rPr>
        <w:t>“</w:t>
      </w:r>
      <w:r w:rsidRPr="00BD3E8B" w:rsidR="00AB5914">
        <w:rPr>
          <w:sz w:val="22"/>
          <w:szCs w:val="22"/>
        </w:rPr>
        <w:t>geocoding information related to facility locations added by the Commission staff that outside parties might find difficult to replicate.</w:t>
      </w:r>
      <w:r w:rsidR="00AB5914">
        <w:rPr>
          <w:sz w:val="22"/>
          <w:szCs w:val="22"/>
        </w:rPr>
        <w:t>”</w:t>
      </w:r>
      <w:r>
        <w:rPr>
          <w:rStyle w:val="FootnoteReference"/>
        </w:rPr>
        <w:footnoteReference w:id="8"/>
      </w:r>
      <w:r w:rsidR="00AB5914">
        <w:rPr>
          <w:sz w:val="22"/>
          <w:szCs w:val="22"/>
        </w:rPr>
        <w:t xml:space="preserve"> </w:t>
      </w:r>
      <w:r w:rsidR="00A457BE">
        <w:rPr>
          <w:sz w:val="22"/>
          <w:szCs w:val="22"/>
        </w:rPr>
        <w:t xml:space="preserve"> </w:t>
      </w:r>
      <w:r w:rsidR="0017119B">
        <w:rPr>
          <w:sz w:val="22"/>
          <w:szCs w:val="22"/>
        </w:rPr>
        <w:t xml:space="preserve">As WCB and </w:t>
      </w:r>
      <w:r w:rsidR="009A4921">
        <w:rPr>
          <w:sz w:val="22"/>
          <w:szCs w:val="22"/>
        </w:rPr>
        <w:t xml:space="preserve">the </w:t>
      </w:r>
      <w:r w:rsidR="0017119B">
        <w:rPr>
          <w:sz w:val="22"/>
          <w:szCs w:val="22"/>
        </w:rPr>
        <w:t xml:space="preserve">Office of Economics and Analytics (OEA) explained when they made the </w:t>
      </w:r>
      <w:r w:rsidR="00FC5F5C">
        <w:rPr>
          <w:sz w:val="22"/>
          <w:szCs w:val="22"/>
        </w:rPr>
        <w:t>ICS Database</w:t>
      </w:r>
      <w:r w:rsidR="0017119B">
        <w:rPr>
          <w:sz w:val="22"/>
          <w:szCs w:val="22"/>
        </w:rPr>
        <w:t xml:space="preserve"> available</w:t>
      </w:r>
      <w:r w:rsidR="00FE2406">
        <w:rPr>
          <w:sz w:val="22"/>
          <w:szCs w:val="22"/>
        </w:rPr>
        <w:t xml:space="preserve">, </w:t>
      </w:r>
      <w:r w:rsidR="00FC5F5C">
        <w:rPr>
          <w:sz w:val="22"/>
          <w:szCs w:val="22"/>
        </w:rPr>
        <w:t xml:space="preserve">the database </w:t>
      </w:r>
      <w:r w:rsidR="00C008C6">
        <w:rPr>
          <w:sz w:val="22"/>
          <w:szCs w:val="22"/>
        </w:rPr>
        <w:t>“</w:t>
      </w:r>
      <w:r w:rsidRPr="00F26788" w:rsidR="00C008C6">
        <w:rPr>
          <w:sz w:val="22"/>
          <w:szCs w:val="22"/>
        </w:rPr>
        <w:t>allow</w:t>
      </w:r>
      <w:r w:rsidR="00197DE4">
        <w:rPr>
          <w:sz w:val="22"/>
          <w:szCs w:val="22"/>
        </w:rPr>
        <w:t>[</w:t>
      </w:r>
      <w:r w:rsidR="0017119B">
        <w:rPr>
          <w:sz w:val="22"/>
          <w:szCs w:val="22"/>
        </w:rPr>
        <w:t>s</w:t>
      </w:r>
      <w:r w:rsidR="00197DE4">
        <w:rPr>
          <w:sz w:val="22"/>
          <w:szCs w:val="22"/>
        </w:rPr>
        <w:t>]</w:t>
      </w:r>
      <w:r w:rsidRPr="00F26788" w:rsidR="00C008C6">
        <w:rPr>
          <w:sz w:val="22"/>
          <w:szCs w:val="22"/>
        </w:rPr>
        <w:t xml:space="preserve"> interested parties to rely on a common dataset in evaluating and responding to the Commission’s rate cap proposals in this proceeding.</w:t>
      </w:r>
      <w:r w:rsidR="00C008C6">
        <w:rPr>
          <w:sz w:val="22"/>
          <w:szCs w:val="22"/>
        </w:rPr>
        <w:t>”</w:t>
      </w:r>
      <w:r>
        <w:rPr>
          <w:rStyle w:val="FootnoteReference"/>
          <w:sz w:val="22"/>
          <w:szCs w:val="22"/>
        </w:rPr>
        <w:footnoteReference w:id="9"/>
      </w:r>
      <w:r w:rsidR="00C008C6">
        <w:rPr>
          <w:szCs w:val="22"/>
        </w:rPr>
        <w:t xml:space="preserve">  </w:t>
      </w:r>
    </w:p>
    <w:p w:rsidR="003002BE" w:rsidP="00EB7635" w14:paraId="1160447F" w14:textId="44755D33">
      <w:pPr>
        <w:spacing w:after="120"/>
        <w:ind w:firstLine="720"/>
        <w:rPr>
          <w:sz w:val="22"/>
          <w:szCs w:val="22"/>
        </w:rPr>
      </w:pPr>
      <w:r w:rsidRPr="00B604C2">
        <w:rPr>
          <w:sz w:val="22"/>
          <w:szCs w:val="22"/>
        </w:rPr>
        <w:t xml:space="preserve">GTL filed </w:t>
      </w:r>
      <w:r w:rsidR="007B407F">
        <w:rPr>
          <w:sz w:val="22"/>
          <w:szCs w:val="22"/>
        </w:rPr>
        <w:t>a</w:t>
      </w:r>
      <w:r w:rsidR="00916CE3">
        <w:rPr>
          <w:sz w:val="22"/>
          <w:szCs w:val="22"/>
        </w:rPr>
        <w:t xml:space="preserve"> </w:t>
      </w:r>
      <w:r w:rsidR="00C75090">
        <w:rPr>
          <w:sz w:val="22"/>
          <w:szCs w:val="22"/>
        </w:rPr>
        <w:t>formal request</w:t>
      </w:r>
      <w:r w:rsidR="00473F86">
        <w:rPr>
          <w:sz w:val="22"/>
          <w:szCs w:val="22"/>
        </w:rPr>
        <w:t xml:space="preserve"> for</w:t>
      </w:r>
      <w:r w:rsidR="00DE622D">
        <w:rPr>
          <w:sz w:val="22"/>
          <w:szCs w:val="22"/>
        </w:rPr>
        <w:t xml:space="preserve"> </w:t>
      </w:r>
      <w:r w:rsidR="00584D20">
        <w:rPr>
          <w:sz w:val="22"/>
          <w:szCs w:val="22"/>
        </w:rPr>
        <w:t>“</w:t>
      </w:r>
      <w:r w:rsidR="00DE622D">
        <w:rPr>
          <w:sz w:val="22"/>
          <w:szCs w:val="22"/>
        </w:rPr>
        <w:t>work</w:t>
      </w:r>
      <w:r w:rsidR="006A3C7B">
        <w:rPr>
          <w:sz w:val="22"/>
          <w:szCs w:val="22"/>
        </w:rPr>
        <w:t xml:space="preserve"> papers and </w:t>
      </w:r>
      <w:r w:rsidR="002043B5">
        <w:rPr>
          <w:sz w:val="22"/>
          <w:szCs w:val="22"/>
        </w:rPr>
        <w:t>other document</w:t>
      </w:r>
      <w:r w:rsidR="00A12941">
        <w:rPr>
          <w:sz w:val="22"/>
          <w:szCs w:val="22"/>
        </w:rPr>
        <w:t xml:space="preserve">ation” </w:t>
      </w:r>
      <w:r w:rsidRPr="00B604C2">
        <w:rPr>
          <w:sz w:val="22"/>
          <w:szCs w:val="22"/>
        </w:rPr>
        <w:t>o</w:t>
      </w:r>
      <w:r w:rsidRPr="00B604C2" w:rsidR="00BE1B01">
        <w:rPr>
          <w:sz w:val="22"/>
          <w:szCs w:val="22"/>
        </w:rPr>
        <w:t xml:space="preserve">n September 11, 2020, </w:t>
      </w:r>
      <w:r w:rsidRPr="00B604C2" w:rsidR="0017119B">
        <w:rPr>
          <w:sz w:val="22"/>
          <w:szCs w:val="22"/>
        </w:rPr>
        <w:t xml:space="preserve">before </w:t>
      </w:r>
      <w:r w:rsidRPr="00B604C2">
        <w:rPr>
          <w:sz w:val="22"/>
          <w:szCs w:val="22"/>
        </w:rPr>
        <w:t xml:space="preserve">WCB and OEA </w:t>
      </w:r>
      <w:r w:rsidRPr="00755EC0" w:rsidR="0017119B">
        <w:rPr>
          <w:sz w:val="22"/>
          <w:szCs w:val="22"/>
        </w:rPr>
        <w:t xml:space="preserve">made </w:t>
      </w:r>
      <w:r w:rsidRPr="00755EC0">
        <w:rPr>
          <w:sz w:val="22"/>
          <w:szCs w:val="22"/>
        </w:rPr>
        <w:t>the ICS Database available</w:t>
      </w:r>
      <w:r w:rsidRPr="00755EC0" w:rsidR="001E21A5">
        <w:rPr>
          <w:sz w:val="22"/>
          <w:szCs w:val="22"/>
        </w:rPr>
        <w:t xml:space="preserve"> </w:t>
      </w:r>
      <w:r w:rsidRPr="00755EC0" w:rsidR="0017119B">
        <w:rPr>
          <w:sz w:val="22"/>
          <w:szCs w:val="22"/>
        </w:rPr>
        <w:t xml:space="preserve">to parties </w:t>
      </w:r>
      <w:r w:rsidRPr="00755EC0" w:rsidR="001E21A5">
        <w:rPr>
          <w:sz w:val="22"/>
          <w:szCs w:val="22"/>
        </w:rPr>
        <w:t>in the ICS rulemaking.</w:t>
      </w:r>
      <w:r>
        <w:rPr>
          <w:rStyle w:val="FootnoteReference"/>
          <w:sz w:val="22"/>
          <w:szCs w:val="22"/>
        </w:rPr>
        <w:footnoteReference w:id="10"/>
      </w:r>
      <w:r w:rsidRPr="00B604C2" w:rsidR="007D4690">
        <w:rPr>
          <w:sz w:val="22"/>
          <w:szCs w:val="22"/>
        </w:rPr>
        <w:t xml:space="preserve">  </w:t>
      </w:r>
      <w:r w:rsidR="00AA01B2">
        <w:rPr>
          <w:sz w:val="22"/>
          <w:szCs w:val="22"/>
        </w:rPr>
        <w:t>Subsequently</w:t>
      </w:r>
      <w:r w:rsidRPr="00B604C2" w:rsidR="00420BA2">
        <w:rPr>
          <w:sz w:val="22"/>
          <w:szCs w:val="22"/>
        </w:rPr>
        <w:t>, GTL’s outside counsel</w:t>
      </w:r>
      <w:r w:rsidR="00420BA2">
        <w:rPr>
          <w:sz w:val="22"/>
          <w:szCs w:val="22"/>
        </w:rPr>
        <w:t xml:space="preserve"> and economists requested and received </w:t>
      </w:r>
      <w:r w:rsidR="005F71CA">
        <w:rPr>
          <w:sz w:val="22"/>
          <w:szCs w:val="22"/>
        </w:rPr>
        <w:t>copies of</w:t>
      </w:r>
      <w:r w:rsidR="00420BA2">
        <w:rPr>
          <w:sz w:val="22"/>
          <w:szCs w:val="22"/>
        </w:rPr>
        <w:t xml:space="preserve"> the ICS Database.</w:t>
      </w:r>
      <w:r>
        <w:rPr>
          <w:rStyle w:val="FootnoteReference"/>
          <w:sz w:val="22"/>
          <w:szCs w:val="22"/>
        </w:rPr>
        <w:footnoteReference w:id="11"/>
      </w:r>
      <w:r w:rsidR="00420BA2">
        <w:rPr>
          <w:sz w:val="22"/>
          <w:szCs w:val="22"/>
        </w:rPr>
        <w:t xml:space="preserve">  </w:t>
      </w:r>
      <w:r w:rsidR="00AA01B2">
        <w:rPr>
          <w:sz w:val="22"/>
          <w:szCs w:val="22"/>
        </w:rPr>
        <w:t xml:space="preserve">Nevertheless, on </w:t>
      </w:r>
      <w:r w:rsidR="00A642EE">
        <w:rPr>
          <w:sz w:val="22"/>
          <w:szCs w:val="22"/>
        </w:rPr>
        <w:t>October</w:t>
      </w:r>
      <w:r w:rsidR="00E95871">
        <w:rPr>
          <w:sz w:val="22"/>
          <w:szCs w:val="22"/>
        </w:rPr>
        <w:t xml:space="preserve"> </w:t>
      </w:r>
      <w:r w:rsidR="00612765">
        <w:rPr>
          <w:sz w:val="22"/>
          <w:szCs w:val="22"/>
        </w:rPr>
        <w:t xml:space="preserve">19, 2020, GTL </w:t>
      </w:r>
      <w:r w:rsidR="00D726DB">
        <w:rPr>
          <w:sz w:val="22"/>
          <w:szCs w:val="22"/>
        </w:rPr>
        <w:t>reiterated and</w:t>
      </w:r>
      <w:r w:rsidR="00C47839">
        <w:rPr>
          <w:sz w:val="22"/>
          <w:szCs w:val="22"/>
        </w:rPr>
        <w:t xml:space="preserve"> </w:t>
      </w:r>
      <w:r w:rsidR="002949BA">
        <w:rPr>
          <w:sz w:val="22"/>
          <w:szCs w:val="22"/>
        </w:rPr>
        <w:t>expand</w:t>
      </w:r>
      <w:r w:rsidR="00473F86">
        <w:rPr>
          <w:sz w:val="22"/>
          <w:szCs w:val="22"/>
        </w:rPr>
        <w:t>ed</w:t>
      </w:r>
      <w:r w:rsidR="002949BA">
        <w:rPr>
          <w:sz w:val="22"/>
          <w:szCs w:val="22"/>
        </w:rPr>
        <w:t xml:space="preserve"> upon </w:t>
      </w:r>
      <w:r w:rsidR="007801F4">
        <w:rPr>
          <w:sz w:val="22"/>
          <w:szCs w:val="22"/>
        </w:rPr>
        <w:t xml:space="preserve">its September 11 </w:t>
      </w:r>
      <w:r w:rsidR="008722DB">
        <w:rPr>
          <w:sz w:val="22"/>
          <w:szCs w:val="22"/>
        </w:rPr>
        <w:t>reque</w:t>
      </w:r>
      <w:r w:rsidR="00C61214">
        <w:rPr>
          <w:sz w:val="22"/>
          <w:szCs w:val="22"/>
        </w:rPr>
        <w:t>st,</w:t>
      </w:r>
      <w:r w:rsidR="008722DB">
        <w:rPr>
          <w:sz w:val="22"/>
          <w:szCs w:val="22"/>
        </w:rPr>
        <w:t xml:space="preserve"> </w:t>
      </w:r>
      <w:r w:rsidR="00140040">
        <w:rPr>
          <w:sz w:val="22"/>
          <w:szCs w:val="22"/>
        </w:rPr>
        <w:t xml:space="preserve">complaining </w:t>
      </w:r>
      <w:r w:rsidR="008722DB">
        <w:rPr>
          <w:sz w:val="22"/>
          <w:szCs w:val="22"/>
        </w:rPr>
        <w:t>th</w:t>
      </w:r>
      <w:r w:rsidR="00C7066F">
        <w:rPr>
          <w:sz w:val="22"/>
          <w:szCs w:val="22"/>
        </w:rPr>
        <w:t>at</w:t>
      </w:r>
      <w:r w:rsidR="008722DB">
        <w:rPr>
          <w:sz w:val="22"/>
          <w:szCs w:val="22"/>
        </w:rPr>
        <w:t xml:space="preserve"> </w:t>
      </w:r>
      <w:r w:rsidR="00C47839">
        <w:rPr>
          <w:sz w:val="22"/>
          <w:szCs w:val="22"/>
        </w:rPr>
        <w:t>“the ICS Database does not include the FCC’s underlying work papers associated with its analysis and applied methodologies.”</w:t>
      </w:r>
      <w:r>
        <w:rPr>
          <w:rStyle w:val="FootnoteReference"/>
          <w:sz w:val="22"/>
          <w:szCs w:val="22"/>
        </w:rPr>
        <w:footnoteReference w:id="12"/>
      </w:r>
      <w:r w:rsidR="00C47839">
        <w:rPr>
          <w:sz w:val="22"/>
          <w:szCs w:val="22"/>
        </w:rPr>
        <w:t xml:space="preserve">  </w:t>
      </w:r>
      <w:r w:rsidR="008722DB">
        <w:rPr>
          <w:sz w:val="22"/>
          <w:szCs w:val="22"/>
        </w:rPr>
        <w:t>This</w:t>
      </w:r>
      <w:r w:rsidR="00540ABB">
        <w:rPr>
          <w:sz w:val="22"/>
          <w:szCs w:val="22"/>
        </w:rPr>
        <w:t xml:space="preserve"> ex</w:t>
      </w:r>
      <w:r w:rsidR="002E28E4">
        <w:rPr>
          <w:sz w:val="22"/>
          <w:szCs w:val="22"/>
        </w:rPr>
        <w:t xml:space="preserve">panded </w:t>
      </w:r>
      <w:r w:rsidR="00990763">
        <w:rPr>
          <w:sz w:val="22"/>
          <w:szCs w:val="22"/>
        </w:rPr>
        <w:t xml:space="preserve">request </w:t>
      </w:r>
      <w:r w:rsidR="004F2B04">
        <w:rPr>
          <w:sz w:val="22"/>
          <w:szCs w:val="22"/>
        </w:rPr>
        <w:t xml:space="preserve">seeks </w:t>
      </w:r>
      <w:r w:rsidR="00990763">
        <w:rPr>
          <w:sz w:val="22"/>
          <w:szCs w:val="22"/>
        </w:rPr>
        <w:t>“all input data, computer programs, and intermediate data files that were used to process the raw data received by the FCC into the data files used by the FCC in its analysis</w:t>
      </w:r>
      <w:r w:rsidR="00B4493A">
        <w:rPr>
          <w:sz w:val="22"/>
          <w:szCs w:val="22"/>
        </w:rPr>
        <w:t>, and all computer programs, intermediate data files, and output data files that were used to generate the statistical results described in the FNPRM.”</w:t>
      </w:r>
      <w:r>
        <w:rPr>
          <w:rStyle w:val="FootnoteReference"/>
          <w:sz w:val="22"/>
          <w:szCs w:val="22"/>
        </w:rPr>
        <w:footnoteReference w:id="13"/>
      </w:r>
      <w:r w:rsidR="00B4493A">
        <w:rPr>
          <w:sz w:val="22"/>
          <w:szCs w:val="22"/>
        </w:rPr>
        <w:t xml:space="preserve">  </w:t>
      </w:r>
    </w:p>
    <w:p w:rsidR="00C25F9F" w:rsidP="00EB7635" w14:paraId="393BEA37" w14:textId="4263919A">
      <w:pPr>
        <w:spacing w:after="120"/>
        <w:ind w:firstLine="720"/>
        <w:rPr>
          <w:sz w:val="22"/>
          <w:szCs w:val="22"/>
        </w:rPr>
      </w:pPr>
      <w:r>
        <w:rPr>
          <w:sz w:val="22"/>
          <w:szCs w:val="22"/>
        </w:rPr>
        <w:t>GTL’s request seeks access to records that are not routinely available for public inspection under sections 0.457(d) and 0.457(e) of the Commission’s rules.</w:t>
      </w:r>
      <w:r>
        <w:rPr>
          <w:rStyle w:val="FootnoteReference"/>
          <w:sz w:val="22"/>
          <w:szCs w:val="22"/>
        </w:rPr>
        <w:footnoteReference w:id="14"/>
      </w:r>
      <w:r>
        <w:rPr>
          <w:sz w:val="22"/>
          <w:szCs w:val="22"/>
        </w:rPr>
        <w:t xml:space="preserve">  Neve</w:t>
      </w:r>
      <w:r w:rsidR="008D4C60">
        <w:rPr>
          <w:sz w:val="22"/>
          <w:szCs w:val="22"/>
        </w:rPr>
        <w:t>r</w:t>
      </w:r>
      <w:r>
        <w:rPr>
          <w:sz w:val="22"/>
          <w:szCs w:val="22"/>
        </w:rPr>
        <w:t>theless, t</w:t>
      </w:r>
      <w:r w:rsidR="009071F4">
        <w:rPr>
          <w:sz w:val="22"/>
          <w:szCs w:val="22"/>
        </w:rPr>
        <w:t>he Commission has taken all steps necessary to ensure that GTL and other interested parties have a full opportunity to participate meaningfully in this rulemaking proceeding, as required under the Administrative Procedure Act (APA).</w:t>
      </w:r>
      <w:r>
        <w:rPr>
          <w:rStyle w:val="FootnoteReference"/>
          <w:sz w:val="22"/>
          <w:szCs w:val="22"/>
        </w:rPr>
        <w:footnoteReference w:id="15"/>
      </w:r>
      <w:r w:rsidR="0072096F">
        <w:rPr>
          <w:sz w:val="22"/>
          <w:szCs w:val="22"/>
        </w:rPr>
        <w:t xml:space="preserve">  </w:t>
      </w:r>
      <w:r w:rsidR="001E21A5">
        <w:rPr>
          <w:sz w:val="22"/>
          <w:szCs w:val="22"/>
        </w:rPr>
        <w:t xml:space="preserve">The </w:t>
      </w:r>
      <w:r w:rsidR="00927B04">
        <w:rPr>
          <w:sz w:val="22"/>
          <w:szCs w:val="22"/>
        </w:rPr>
        <w:t>APA</w:t>
      </w:r>
      <w:r w:rsidR="001E21A5">
        <w:rPr>
          <w:sz w:val="22"/>
          <w:szCs w:val="22"/>
        </w:rPr>
        <w:t xml:space="preserve"> </w:t>
      </w:r>
      <w:r w:rsidRPr="008A54A4" w:rsidR="008A54A4">
        <w:rPr>
          <w:sz w:val="22"/>
          <w:szCs w:val="22"/>
        </w:rPr>
        <w:t xml:space="preserve">requires </w:t>
      </w:r>
      <w:r w:rsidR="00420BA2">
        <w:rPr>
          <w:sz w:val="22"/>
          <w:szCs w:val="22"/>
        </w:rPr>
        <w:t xml:space="preserve">only that </w:t>
      </w:r>
      <w:r w:rsidRPr="008A54A4" w:rsidR="008A54A4">
        <w:rPr>
          <w:sz w:val="22"/>
          <w:szCs w:val="22"/>
        </w:rPr>
        <w:t>agencies give interested parties notice and an opportunity to participate in the rulemaking process.</w:t>
      </w:r>
      <w:r>
        <w:rPr>
          <w:rStyle w:val="FootnoteReference"/>
        </w:rPr>
        <w:footnoteReference w:id="16"/>
      </w:r>
      <w:r w:rsidRPr="008A54A4" w:rsidR="008A54A4">
        <w:rPr>
          <w:sz w:val="22"/>
          <w:szCs w:val="22"/>
        </w:rPr>
        <w:t xml:space="preserve"> </w:t>
      </w:r>
      <w:r w:rsidR="008A54A4">
        <w:rPr>
          <w:sz w:val="22"/>
          <w:szCs w:val="22"/>
        </w:rPr>
        <w:t xml:space="preserve"> </w:t>
      </w:r>
      <w:r w:rsidR="00E95871">
        <w:rPr>
          <w:sz w:val="22"/>
          <w:szCs w:val="22"/>
        </w:rPr>
        <w:t xml:space="preserve">By </w:t>
      </w:r>
      <w:r w:rsidR="00EB7635">
        <w:rPr>
          <w:sz w:val="22"/>
          <w:szCs w:val="22"/>
        </w:rPr>
        <w:t xml:space="preserve">describing in </w:t>
      </w:r>
      <w:r w:rsidR="00E95871">
        <w:rPr>
          <w:sz w:val="22"/>
          <w:szCs w:val="22"/>
        </w:rPr>
        <w:t>detail</w:t>
      </w:r>
      <w:r w:rsidR="00EB7635">
        <w:rPr>
          <w:sz w:val="22"/>
          <w:szCs w:val="22"/>
        </w:rPr>
        <w:t xml:space="preserve"> </w:t>
      </w:r>
      <w:r w:rsidRPr="00714C71" w:rsidR="00EB7635">
        <w:rPr>
          <w:sz w:val="22"/>
          <w:szCs w:val="22"/>
        </w:rPr>
        <w:t>the methodolog</w:t>
      </w:r>
      <w:r w:rsidR="00EB7635">
        <w:rPr>
          <w:sz w:val="22"/>
          <w:szCs w:val="22"/>
        </w:rPr>
        <w:t>y and analyses</w:t>
      </w:r>
      <w:r w:rsidRPr="00714C71" w:rsidR="00EB7635">
        <w:rPr>
          <w:sz w:val="22"/>
          <w:szCs w:val="22"/>
        </w:rPr>
        <w:t xml:space="preserve"> </w:t>
      </w:r>
      <w:r w:rsidR="00EB7635">
        <w:rPr>
          <w:sz w:val="22"/>
          <w:szCs w:val="22"/>
        </w:rPr>
        <w:t>used</w:t>
      </w:r>
      <w:r w:rsidRPr="00714C71" w:rsidR="00EB7635">
        <w:rPr>
          <w:sz w:val="22"/>
          <w:szCs w:val="22"/>
        </w:rPr>
        <w:t xml:space="preserve"> in developing its rate cap proposals</w:t>
      </w:r>
      <w:r w:rsidR="00EB7635">
        <w:rPr>
          <w:sz w:val="22"/>
          <w:szCs w:val="22"/>
        </w:rPr>
        <w:t>, making clear the full technical basis for the those proposals, and making the</w:t>
      </w:r>
      <w:r w:rsidR="00E95871">
        <w:rPr>
          <w:sz w:val="22"/>
          <w:szCs w:val="22"/>
        </w:rPr>
        <w:t xml:space="preserve"> ICS Database </w:t>
      </w:r>
      <w:r w:rsidR="00EB7635">
        <w:rPr>
          <w:sz w:val="22"/>
          <w:szCs w:val="22"/>
        </w:rPr>
        <w:t xml:space="preserve">available </w:t>
      </w:r>
      <w:r w:rsidR="005B0F45">
        <w:rPr>
          <w:sz w:val="22"/>
          <w:szCs w:val="22"/>
        </w:rPr>
        <w:t>to</w:t>
      </w:r>
      <w:r w:rsidR="0017119B">
        <w:rPr>
          <w:sz w:val="22"/>
          <w:szCs w:val="22"/>
        </w:rPr>
        <w:t xml:space="preserve"> parties’</w:t>
      </w:r>
      <w:r w:rsidR="005B0F45">
        <w:rPr>
          <w:sz w:val="22"/>
          <w:szCs w:val="22"/>
        </w:rPr>
        <w:t xml:space="preserve"> </w:t>
      </w:r>
      <w:r w:rsidR="0017119B">
        <w:rPr>
          <w:sz w:val="22"/>
          <w:szCs w:val="22"/>
        </w:rPr>
        <w:t>representatives</w:t>
      </w:r>
      <w:r w:rsidR="00E95871">
        <w:rPr>
          <w:sz w:val="22"/>
          <w:szCs w:val="22"/>
        </w:rPr>
        <w:t xml:space="preserve">, the Commission has granted </w:t>
      </w:r>
      <w:r w:rsidR="00865D56">
        <w:rPr>
          <w:sz w:val="22"/>
          <w:szCs w:val="22"/>
        </w:rPr>
        <w:t xml:space="preserve">participants in this proceeding </w:t>
      </w:r>
      <w:r w:rsidR="005B0F45">
        <w:rPr>
          <w:sz w:val="22"/>
          <w:szCs w:val="22"/>
        </w:rPr>
        <w:t>access t</w:t>
      </w:r>
      <w:r w:rsidR="00865D56">
        <w:rPr>
          <w:sz w:val="22"/>
          <w:szCs w:val="22"/>
        </w:rPr>
        <w:t>o</w:t>
      </w:r>
      <w:r w:rsidR="00E95871">
        <w:rPr>
          <w:sz w:val="22"/>
          <w:szCs w:val="22"/>
        </w:rPr>
        <w:t xml:space="preserve"> </w:t>
      </w:r>
      <w:r w:rsidR="001276C7">
        <w:rPr>
          <w:sz w:val="22"/>
          <w:szCs w:val="22"/>
        </w:rPr>
        <w:t>all</w:t>
      </w:r>
      <w:r w:rsidR="00E95871">
        <w:rPr>
          <w:sz w:val="22"/>
          <w:szCs w:val="22"/>
        </w:rPr>
        <w:t xml:space="preserve"> facts and data</w:t>
      </w:r>
      <w:r w:rsidRPr="00714C71" w:rsidR="008E4195">
        <w:rPr>
          <w:sz w:val="22"/>
          <w:szCs w:val="22"/>
        </w:rPr>
        <w:t xml:space="preserve"> that the Commission relied upon in developing its proposals</w:t>
      </w:r>
      <w:r w:rsidR="001276C7">
        <w:rPr>
          <w:sz w:val="22"/>
          <w:szCs w:val="22"/>
        </w:rPr>
        <w:t xml:space="preserve"> and that are necessary to comment on those proposals</w:t>
      </w:r>
      <w:r w:rsidR="00E95871">
        <w:rPr>
          <w:sz w:val="22"/>
          <w:szCs w:val="22"/>
        </w:rPr>
        <w:t>.</w:t>
      </w:r>
      <w:r>
        <w:rPr>
          <w:sz w:val="22"/>
          <w:szCs w:val="22"/>
        </w:rPr>
        <w:t xml:space="preserve">  GTL is fully capable, </w:t>
      </w:r>
      <w:r w:rsidR="00140040">
        <w:rPr>
          <w:sz w:val="22"/>
          <w:szCs w:val="22"/>
        </w:rPr>
        <w:t xml:space="preserve">based on the data and explanations the Commission </w:t>
      </w:r>
      <w:r w:rsidR="00140040">
        <w:rPr>
          <w:sz w:val="22"/>
          <w:szCs w:val="22"/>
        </w:rPr>
        <w:t>has provided</w:t>
      </w:r>
      <w:r>
        <w:rPr>
          <w:sz w:val="22"/>
          <w:szCs w:val="22"/>
        </w:rPr>
        <w:t>, of replicating the Commission’s analysis and comment</w:t>
      </w:r>
      <w:r w:rsidR="00140040">
        <w:rPr>
          <w:sz w:val="22"/>
          <w:szCs w:val="22"/>
        </w:rPr>
        <w:t>ing</w:t>
      </w:r>
      <w:r>
        <w:rPr>
          <w:sz w:val="22"/>
          <w:szCs w:val="22"/>
        </w:rPr>
        <w:t xml:space="preserve"> on the reliability and accuracy</w:t>
      </w:r>
      <w:r w:rsidR="00140040">
        <w:rPr>
          <w:sz w:val="22"/>
          <w:szCs w:val="22"/>
        </w:rPr>
        <w:t xml:space="preserve"> of that analysis and the soundness of the Commission’s proposals</w:t>
      </w:r>
      <w:r>
        <w:rPr>
          <w:sz w:val="22"/>
          <w:szCs w:val="22"/>
        </w:rPr>
        <w:t>.</w:t>
      </w:r>
      <w:r>
        <w:rPr>
          <w:rStyle w:val="FootnoteReference"/>
          <w:sz w:val="22"/>
          <w:szCs w:val="22"/>
        </w:rPr>
        <w:footnoteReference w:id="17"/>
      </w:r>
      <w:r>
        <w:rPr>
          <w:sz w:val="22"/>
          <w:szCs w:val="22"/>
        </w:rPr>
        <w:t xml:space="preserve">  </w:t>
      </w:r>
      <w:r w:rsidR="00D9510B">
        <w:rPr>
          <w:sz w:val="22"/>
          <w:szCs w:val="22"/>
        </w:rPr>
        <w:t>Nothing more is required</w:t>
      </w:r>
      <w:r w:rsidR="004D54AF">
        <w:rPr>
          <w:sz w:val="22"/>
          <w:szCs w:val="22"/>
        </w:rPr>
        <w:t>.</w:t>
      </w:r>
      <w:r>
        <w:rPr>
          <w:rStyle w:val="FootnoteReference"/>
          <w:sz w:val="22"/>
          <w:szCs w:val="22"/>
        </w:rPr>
        <w:footnoteReference w:id="18"/>
      </w:r>
      <w:r w:rsidR="00D21916">
        <w:rPr>
          <w:sz w:val="22"/>
          <w:szCs w:val="22"/>
        </w:rPr>
        <w:t xml:space="preserve"> </w:t>
      </w:r>
      <w:r w:rsidR="00CD36DB">
        <w:rPr>
          <w:sz w:val="22"/>
          <w:szCs w:val="22"/>
        </w:rPr>
        <w:t xml:space="preserve"> </w:t>
      </w:r>
    </w:p>
    <w:p w:rsidR="00E91E92" w:rsidP="00FC56CC" w14:paraId="2F370608" w14:textId="327D98DF">
      <w:pPr>
        <w:spacing w:after="120"/>
        <w:ind w:firstLine="720"/>
        <w:rPr>
          <w:sz w:val="22"/>
          <w:szCs w:val="22"/>
        </w:rPr>
      </w:pPr>
      <w:r>
        <w:rPr>
          <w:sz w:val="22"/>
          <w:szCs w:val="22"/>
        </w:rPr>
        <w:t xml:space="preserve">In neither of </w:t>
      </w:r>
      <w:r w:rsidR="00B565EC">
        <w:rPr>
          <w:sz w:val="22"/>
          <w:szCs w:val="22"/>
        </w:rPr>
        <w:t>its</w:t>
      </w:r>
      <w:r>
        <w:rPr>
          <w:sz w:val="22"/>
          <w:szCs w:val="22"/>
        </w:rPr>
        <w:t xml:space="preserve"> letters does GTL explain why it is unable to use the</w:t>
      </w:r>
      <w:r w:rsidR="00A75216">
        <w:rPr>
          <w:sz w:val="22"/>
          <w:szCs w:val="22"/>
        </w:rPr>
        <w:t xml:space="preserve"> in</w:t>
      </w:r>
      <w:r w:rsidR="003653BE">
        <w:rPr>
          <w:sz w:val="22"/>
          <w:szCs w:val="22"/>
        </w:rPr>
        <w:t xml:space="preserve">formation </w:t>
      </w:r>
      <w:r w:rsidR="00E63D15">
        <w:rPr>
          <w:sz w:val="22"/>
          <w:szCs w:val="22"/>
        </w:rPr>
        <w:t>a</w:t>
      </w:r>
      <w:r w:rsidR="00CB3B06">
        <w:rPr>
          <w:sz w:val="22"/>
          <w:szCs w:val="22"/>
        </w:rPr>
        <w:t xml:space="preserve">lready available to it </w:t>
      </w:r>
      <w:r w:rsidR="002D1ED9">
        <w:rPr>
          <w:sz w:val="22"/>
          <w:szCs w:val="22"/>
        </w:rPr>
        <w:t xml:space="preserve">to </w:t>
      </w:r>
      <w:r w:rsidR="006940B3">
        <w:rPr>
          <w:sz w:val="22"/>
          <w:szCs w:val="22"/>
        </w:rPr>
        <w:t>understand</w:t>
      </w:r>
      <w:r w:rsidR="007B3B1B">
        <w:rPr>
          <w:sz w:val="22"/>
          <w:szCs w:val="22"/>
        </w:rPr>
        <w:t xml:space="preserve"> and meaningfully comment upon the Commission</w:t>
      </w:r>
      <w:r w:rsidR="00B650FE">
        <w:rPr>
          <w:sz w:val="22"/>
          <w:szCs w:val="22"/>
        </w:rPr>
        <w:t xml:space="preserve">’s proposals in </w:t>
      </w:r>
      <w:r w:rsidRPr="007E5C96" w:rsidR="00B650FE">
        <w:rPr>
          <w:sz w:val="22"/>
          <w:szCs w:val="22"/>
        </w:rPr>
        <w:t>the</w:t>
      </w:r>
      <w:r w:rsidR="00B650FE">
        <w:rPr>
          <w:sz w:val="22"/>
          <w:szCs w:val="22"/>
        </w:rPr>
        <w:t xml:space="preserve"> </w:t>
      </w:r>
      <w:r w:rsidR="00B650FE">
        <w:rPr>
          <w:i/>
          <w:iCs/>
          <w:sz w:val="22"/>
          <w:szCs w:val="22"/>
        </w:rPr>
        <w:t xml:space="preserve">Further </w:t>
      </w:r>
      <w:r w:rsidRPr="00EB4A2D" w:rsidR="00B650FE">
        <w:rPr>
          <w:i/>
          <w:iCs/>
          <w:sz w:val="22"/>
          <w:szCs w:val="22"/>
        </w:rPr>
        <w:t>Notice</w:t>
      </w:r>
      <w:r w:rsidR="00B650FE">
        <w:rPr>
          <w:sz w:val="22"/>
          <w:szCs w:val="22"/>
        </w:rPr>
        <w:t xml:space="preserve">.  </w:t>
      </w:r>
      <w:r w:rsidR="00E5040C">
        <w:rPr>
          <w:sz w:val="22"/>
          <w:szCs w:val="22"/>
        </w:rPr>
        <w:t xml:space="preserve">In fact, </w:t>
      </w:r>
      <w:r w:rsidR="002706F2">
        <w:rPr>
          <w:sz w:val="22"/>
          <w:szCs w:val="22"/>
        </w:rPr>
        <w:t>that information</w:t>
      </w:r>
      <w:r w:rsidR="00096B75">
        <w:rPr>
          <w:sz w:val="22"/>
          <w:szCs w:val="22"/>
        </w:rPr>
        <w:t xml:space="preserve"> is sufficient to evaluate “the statistical results described in the [</w:t>
      </w:r>
      <w:r w:rsidR="00096B75">
        <w:rPr>
          <w:i/>
          <w:iCs/>
          <w:sz w:val="22"/>
          <w:szCs w:val="22"/>
        </w:rPr>
        <w:t>Further Notice</w:t>
      </w:r>
      <w:r w:rsidR="00096B75">
        <w:rPr>
          <w:sz w:val="22"/>
          <w:szCs w:val="22"/>
        </w:rPr>
        <w:t>].”</w:t>
      </w:r>
      <w:r>
        <w:rPr>
          <w:rStyle w:val="FootnoteReference"/>
          <w:sz w:val="22"/>
          <w:szCs w:val="22"/>
        </w:rPr>
        <w:footnoteReference w:id="19"/>
      </w:r>
      <w:r w:rsidR="00096B75">
        <w:rPr>
          <w:sz w:val="22"/>
          <w:szCs w:val="22"/>
        </w:rPr>
        <w:t xml:space="preserve">  </w:t>
      </w:r>
      <w:r w:rsidR="0029565D">
        <w:rPr>
          <w:sz w:val="22"/>
          <w:szCs w:val="22"/>
        </w:rPr>
        <w:t xml:space="preserve">In addition to the ICS Database, </w:t>
      </w:r>
      <w:r w:rsidRPr="001071BD" w:rsidR="00EE5C6E">
        <w:rPr>
          <w:sz w:val="22"/>
          <w:szCs w:val="22"/>
        </w:rPr>
        <w:t>GTL’s outside counsel and consultants ha</w:t>
      </w:r>
      <w:bookmarkStart w:id="0" w:name="_GoBack"/>
      <w:bookmarkEnd w:id="0"/>
      <w:r w:rsidRPr="001071BD" w:rsidR="00EE5C6E">
        <w:rPr>
          <w:sz w:val="22"/>
          <w:szCs w:val="22"/>
        </w:rPr>
        <w:t xml:space="preserve">ve obtained </w:t>
      </w:r>
      <w:r w:rsidR="008D66A4">
        <w:rPr>
          <w:sz w:val="22"/>
          <w:szCs w:val="22"/>
        </w:rPr>
        <w:t xml:space="preserve">the </w:t>
      </w:r>
      <w:r w:rsidRPr="001071BD" w:rsidR="00EE5C6E">
        <w:rPr>
          <w:sz w:val="22"/>
          <w:szCs w:val="22"/>
        </w:rPr>
        <w:t xml:space="preserve">unredacted </w:t>
      </w:r>
      <w:r w:rsidR="00875F46">
        <w:rPr>
          <w:sz w:val="22"/>
          <w:szCs w:val="22"/>
        </w:rPr>
        <w:t xml:space="preserve">data other </w:t>
      </w:r>
      <w:r w:rsidRPr="001071BD" w:rsidR="00EE5C6E">
        <w:rPr>
          <w:sz w:val="22"/>
          <w:szCs w:val="22"/>
        </w:rPr>
        <w:t>ICS providers</w:t>
      </w:r>
      <w:r w:rsidR="00BD6225">
        <w:rPr>
          <w:sz w:val="22"/>
          <w:szCs w:val="22"/>
        </w:rPr>
        <w:t xml:space="preserve"> </w:t>
      </w:r>
      <w:r w:rsidR="00562119">
        <w:rPr>
          <w:sz w:val="22"/>
          <w:szCs w:val="22"/>
        </w:rPr>
        <w:t>s</w:t>
      </w:r>
      <w:r w:rsidR="00FD3D2D">
        <w:rPr>
          <w:sz w:val="22"/>
          <w:szCs w:val="22"/>
        </w:rPr>
        <w:t>ubmitted in response to the Commission</w:t>
      </w:r>
      <w:r w:rsidR="002E2FE9">
        <w:rPr>
          <w:sz w:val="22"/>
          <w:szCs w:val="22"/>
        </w:rPr>
        <w:t>’s</w:t>
      </w:r>
      <w:r w:rsidRPr="001071BD" w:rsidR="00EE5C6E">
        <w:rPr>
          <w:sz w:val="22"/>
          <w:szCs w:val="22"/>
        </w:rPr>
        <w:t xml:space="preserve"> Second Mandatory Data Collection responses</w:t>
      </w:r>
      <w:r w:rsidR="00B67E47">
        <w:rPr>
          <w:sz w:val="22"/>
          <w:szCs w:val="22"/>
        </w:rPr>
        <w:t xml:space="preserve"> and can use them </w:t>
      </w:r>
      <w:r w:rsidR="00261948">
        <w:rPr>
          <w:sz w:val="22"/>
          <w:szCs w:val="22"/>
        </w:rPr>
        <w:t>to</w:t>
      </w:r>
      <w:r w:rsidR="00C4397E">
        <w:rPr>
          <w:sz w:val="22"/>
          <w:szCs w:val="22"/>
        </w:rPr>
        <w:t xml:space="preserve"> </w:t>
      </w:r>
      <w:r w:rsidR="00523D93">
        <w:rPr>
          <w:sz w:val="22"/>
          <w:szCs w:val="22"/>
        </w:rPr>
        <w:t xml:space="preserve">evaluate </w:t>
      </w:r>
      <w:r w:rsidRPr="0029565D" w:rsidR="0029565D">
        <w:rPr>
          <w:sz w:val="22"/>
          <w:szCs w:val="22"/>
        </w:rPr>
        <w:t xml:space="preserve">the accuracy of the provider data included </w:t>
      </w:r>
      <w:r w:rsidR="0029565D">
        <w:rPr>
          <w:sz w:val="22"/>
          <w:szCs w:val="22"/>
        </w:rPr>
        <w:t xml:space="preserve">in </w:t>
      </w:r>
      <w:r w:rsidR="00EE5C6E">
        <w:rPr>
          <w:sz w:val="22"/>
          <w:szCs w:val="22"/>
        </w:rPr>
        <w:t>the ICS Database</w:t>
      </w:r>
      <w:r w:rsidR="00096B75">
        <w:rPr>
          <w:sz w:val="22"/>
          <w:szCs w:val="22"/>
        </w:rPr>
        <w:t>.</w:t>
      </w:r>
      <w:r>
        <w:rPr>
          <w:rStyle w:val="FootnoteReference"/>
          <w:sz w:val="22"/>
          <w:szCs w:val="22"/>
        </w:rPr>
        <w:footnoteReference w:id="20"/>
      </w:r>
      <w:r w:rsidR="00096B75">
        <w:rPr>
          <w:sz w:val="22"/>
          <w:szCs w:val="22"/>
        </w:rPr>
        <w:t xml:space="preserve">  </w:t>
      </w:r>
      <w:r w:rsidR="00BD3468">
        <w:rPr>
          <w:sz w:val="22"/>
          <w:szCs w:val="22"/>
        </w:rPr>
        <w:t xml:space="preserve">In generating </w:t>
      </w:r>
      <w:r w:rsidR="00096B75">
        <w:rPr>
          <w:sz w:val="22"/>
          <w:szCs w:val="22"/>
        </w:rPr>
        <w:t>the ICS D</w:t>
      </w:r>
      <w:r w:rsidR="00B47C22">
        <w:rPr>
          <w:sz w:val="22"/>
          <w:szCs w:val="22"/>
        </w:rPr>
        <w:t xml:space="preserve">atabase and </w:t>
      </w:r>
      <w:r w:rsidR="00096B75">
        <w:rPr>
          <w:sz w:val="22"/>
          <w:szCs w:val="22"/>
        </w:rPr>
        <w:t>the resulting proposals</w:t>
      </w:r>
      <w:r w:rsidR="00957E26">
        <w:rPr>
          <w:sz w:val="22"/>
          <w:szCs w:val="22"/>
        </w:rPr>
        <w:t xml:space="preserve">, the Commission staff used </w:t>
      </w:r>
      <w:r w:rsidR="00B455C6">
        <w:rPr>
          <w:sz w:val="22"/>
          <w:szCs w:val="22"/>
        </w:rPr>
        <w:t xml:space="preserve">non-proprietary, </w:t>
      </w:r>
      <w:r w:rsidR="0029565D">
        <w:rPr>
          <w:sz w:val="22"/>
          <w:szCs w:val="22"/>
        </w:rPr>
        <w:t xml:space="preserve">standard, </w:t>
      </w:r>
      <w:r w:rsidR="004D2683">
        <w:rPr>
          <w:sz w:val="22"/>
          <w:szCs w:val="22"/>
        </w:rPr>
        <w:t>commercially available software</w:t>
      </w:r>
      <w:r w:rsidR="00A66020">
        <w:rPr>
          <w:sz w:val="22"/>
          <w:szCs w:val="22"/>
        </w:rPr>
        <w:t xml:space="preserve"> </w:t>
      </w:r>
      <w:r w:rsidR="00B30FCB">
        <w:rPr>
          <w:sz w:val="22"/>
          <w:szCs w:val="22"/>
        </w:rPr>
        <w:t xml:space="preserve">and </w:t>
      </w:r>
      <w:r w:rsidR="00307A2A">
        <w:rPr>
          <w:sz w:val="22"/>
          <w:szCs w:val="22"/>
        </w:rPr>
        <w:t xml:space="preserve">conventional </w:t>
      </w:r>
      <w:r w:rsidR="00A5538C">
        <w:rPr>
          <w:sz w:val="22"/>
          <w:szCs w:val="22"/>
        </w:rPr>
        <w:t>analytical</w:t>
      </w:r>
      <w:r w:rsidR="00307A2A">
        <w:rPr>
          <w:sz w:val="22"/>
          <w:szCs w:val="22"/>
        </w:rPr>
        <w:t xml:space="preserve"> </w:t>
      </w:r>
      <w:r w:rsidR="00A5538C">
        <w:rPr>
          <w:sz w:val="22"/>
          <w:szCs w:val="22"/>
        </w:rPr>
        <w:t xml:space="preserve">methodologies </w:t>
      </w:r>
      <w:r w:rsidR="005B70FB">
        <w:rPr>
          <w:sz w:val="22"/>
          <w:szCs w:val="22"/>
        </w:rPr>
        <w:t>fully</w:t>
      </w:r>
      <w:r w:rsidR="00A5538C">
        <w:rPr>
          <w:sz w:val="22"/>
          <w:szCs w:val="22"/>
        </w:rPr>
        <w:t xml:space="preserve"> </w:t>
      </w:r>
      <w:r w:rsidR="00414BAC">
        <w:rPr>
          <w:sz w:val="22"/>
          <w:szCs w:val="22"/>
        </w:rPr>
        <w:t xml:space="preserve">described in the </w:t>
      </w:r>
      <w:r w:rsidR="00414BAC">
        <w:rPr>
          <w:i/>
          <w:iCs/>
          <w:sz w:val="22"/>
          <w:szCs w:val="22"/>
        </w:rPr>
        <w:t xml:space="preserve">Further Notice </w:t>
      </w:r>
      <w:r w:rsidR="001D21C3">
        <w:rPr>
          <w:sz w:val="22"/>
          <w:szCs w:val="22"/>
        </w:rPr>
        <w:t xml:space="preserve">and its </w:t>
      </w:r>
      <w:r w:rsidR="005A5A06">
        <w:rPr>
          <w:sz w:val="22"/>
          <w:szCs w:val="22"/>
        </w:rPr>
        <w:t>Appendices</w:t>
      </w:r>
      <w:r w:rsidR="005B70FB">
        <w:rPr>
          <w:sz w:val="22"/>
          <w:szCs w:val="22"/>
        </w:rPr>
        <w:t xml:space="preserve"> and capable of replication by GTL</w:t>
      </w:r>
      <w:r w:rsidR="001D21C3">
        <w:rPr>
          <w:sz w:val="22"/>
          <w:szCs w:val="22"/>
        </w:rPr>
        <w:t>.</w:t>
      </w:r>
      <w:r>
        <w:rPr>
          <w:rStyle w:val="FootnoteReference"/>
          <w:sz w:val="22"/>
          <w:szCs w:val="22"/>
        </w:rPr>
        <w:footnoteReference w:id="21"/>
      </w:r>
      <w:r w:rsidR="00783B92">
        <w:rPr>
          <w:sz w:val="22"/>
          <w:szCs w:val="22"/>
        </w:rPr>
        <w:t xml:space="preserve"> </w:t>
      </w:r>
      <w:r w:rsidRPr="00C03DCB" w:rsidR="00C03DCB">
        <w:rPr>
          <w:sz w:val="22"/>
          <w:szCs w:val="22"/>
        </w:rPr>
        <w:t xml:space="preserve"> </w:t>
      </w:r>
      <w:r w:rsidR="00C03DCB">
        <w:rPr>
          <w:sz w:val="22"/>
          <w:szCs w:val="22"/>
        </w:rPr>
        <w:t>GTL simply does not need anything more from the Commission to participate fully in this rulemaking.</w:t>
      </w:r>
    </w:p>
    <w:p w:rsidR="00C76AAD" w:rsidRPr="00B050F4" w:rsidP="00EB4A2D" w14:paraId="4122FC0E" w14:textId="79FA8C8C">
      <w:pPr>
        <w:keepNext/>
        <w:spacing w:after="120"/>
        <w:ind w:firstLine="720"/>
        <w:rPr>
          <w:sz w:val="22"/>
          <w:szCs w:val="22"/>
        </w:rPr>
      </w:pPr>
      <w:r>
        <w:rPr>
          <w:sz w:val="22"/>
          <w:szCs w:val="22"/>
        </w:rPr>
        <w:t xml:space="preserve">Accordingly, </w:t>
      </w:r>
      <w:r w:rsidR="00451E11">
        <w:rPr>
          <w:sz w:val="22"/>
          <w:szCs w:val="22"/>
        </w:rPr>
        <w:t xml:space="preserve">pursuant </w:t>
      </w:r>
      <w:r w:rsidRPr="00AC7F3D" w:rsidR="00AC7F3D">
        <w:rPr>
          <w:sz w:val="22"/>
          <w:szCs w:val="22"/>
        </w:rPr>
        <w:t>to the authority contained in sections 4(i)</w:t>
      </w:r>
      <w:r w:rsidR="00AC7F3D">
        <w:rPr>
          <w:sz w:val="22"/>
          <w:szCs w:val="22"/>
        </w:rPr>
        <w:t xml:space="preserve"> and 4</w:t>
      </w:r>
      <w:r w:rsidRPr="00AC7F3D" w:rsidR="00AC7F3D">
        <w:rPr>
          <w:sz w:val="22"/>
          <w:szCs w:val="22"/>
        </w:rPr>
        <w:t>(j</w:t>
      </w:r>
      <w:r w:rsidR="00AC7F3D">
        <w:rPr>
          <w:sz w:val="22"/>
          <w:szCs w:val="22"/>
        </w:rPr>
        <w:t xml:space="preserve">) </w:t>
      </w:r>
      <w:r w:rsidRPr="00AC7F3D" w:rsidR="00AC7F3D">
        <w:rPr>
          <w:sz w:val="22"/>
          <w:szCs w:val="22"/>
        </w:rPr>
        <w:t>of the Communications Act of 1934, as amended, 47 U.S.C. §§</w:t>
      </w:r>
      <w:r w:rsidR="00AC7F3D">
        <w:rPr>
          <w:sz w:val="22"/>
          <w:szCs w:val="22"/>
        </w:rPr>
        <w:t xml:space="preserve"> </w:t>
      </w:r>
      <w:r w:rsidRPr="00AC7F3D" w:rsidR="00AC7F3D">
        <w:rPr>
          <w:sz w:val="22"/>
          <w:szCs w:val="22"/>
        </w:rPr>
        <w:t xml:space="preserve">154(i)-(j), </w:t>
      </w:r>
      <w:r w:rsidR="00AC7F3D">
        <w:rPr>
          <w:sz w:val="22"/>
          <w:szCs w:val="22"/>
        </w:rPr>
        <w:t xml:space="preserve">and sections </w:t>
      </w:r>
      <w:r w:rsidRPr="00BD3E8B" w:rsidR="00AC7F3D">
        <w:rPr>
          <w:sz w:val="22"/>
          <w:szCs w:val="22"/>
        </w:rPr>
        <w:t>0.91</w:t>
      </w:r>
      <w:r w:rsidR="00AC7F3D">
        <w:rPr>
          <w:sz w:val="22"/>
          <w:szCs w:val="22"/>
        </w:rPr>
        <w:t xml:space="preserve"> and</w:t>
      </w:r>
      <w:r w:rsidRPr="00BD3E8B" w:rsidR="00AC7F3D">
        <w:rPr>
          <w:sz w:val="22"/>
          <w:szCs w:val="22"/>
        </w:rPr>
        <w:t xml:space="preserve"> 0.291 </w:t>
      </w:r>
      <w:r w:rsidR="00AC7F3D">
        <w:rPr>
          <w:sz w:val="22"/>
          <w:szCs w:val="22"/>
        </w:rPr>
        <w:t xml:space="preserve">of the Commission’s rules, </w:t>
      </w:r>
      <w:r w:rsidRPr="00AC7F3D" w:rsidR="00451E11">
        <w:rPr>
          <w:sz w:val="22"/>
          <w:szCs w:val="22"/>
        </w:rPr>
        <w:t xml:space="preserve"> 47 CFR §§ 0.91, 0.291</w:t>
      </w:r>
      <w:r w:rsidR="00AC7F3D">
        <w:rPr>
          <w:sz w:val="22"/>
          <w:szCs w:val="22"/>
        </w:rPr>
        <w:t xml:space="preserve">, </w:t>
      </w:r>
      <w:r>
        <w:rPr>
          <w:sz w:val="22"/>
          <w:szCs w:val="22"/>
        </w:rPr>
        <w:t xml:space="preserve">we </w:t>
      </w:r>
      <w:r w:rsidR="005B0F45">
        <w:rPr>
          <w:sz w:val="22"/>
          <w:szCs w:val="22"/>
        </w:rPr>
        <w:t xml:space="preserve">deny GTL’s request to the extent it </w:t>
      </w:r>
      <w:r w:rsidR="001E2510">
        <w:rPr>
          <w:sz w:val="22"/>
          <w:szCs w:val="22"/>
        </w:rPr>
        <w:t>asks that the Commission</w:t>
      </w:r>
      <w:r w:rsidR="005B0F45">
        <w:rPr>
          <w:sz w:val="22"/>
          <w:szCs w:val="22"/>
        </w:rPr>
        <w:t xml:space="preserve"> provide it </w:t>
      </w:r>
      <w:r w:rsidR="001E2510">
        <w:rPr>
          <w:sz w:val="22"/>
          <w:szCs w:val="22"/>
        </w:rPr>
        <w:t xml:space="preserve">with </w:t>
      </w:r>
      <w:r w:rsidR="00AF1E2F">
        <w:rPr>
          <w:sz w:val="22"/>
          <w:szCs w:val="22"/>
        </w:rPr>
        <w:t>any</w:t>
      </w:r>
      <w:r w:rsidR="00C3617C">
        <w:rPr>
          <w:sz w:val="22"/>
          <w:szCs w:val="22"/>
        </w:rPr>
        <w:t xml:space="preserve"> </w:t>
      </w:r>
      <w:r w:rsidR="00AF1E2F">
        <w:rPr>
          <w:sz w:val="22"/>
          <w:szCs w:val="22"/>
        </w:rPr>
        <w:t>“work papers and other documentation”</w:t>
      </w:r>
      <w:r>
        <w:rPr>
          <w:sz w:val="22"/>
          <w:szCs w:val="22"/>
        </w:rPr>
        <w:t xml:space="preserve"> </w:t>
      </w:r>
      <w:r w:rsidR="00AF1E2F">
        <w:rPr>
          <w:sz w:val="22"/>
          <w:szCs w:val="22"/>
        </w:rPr>
        <w:t xml:space="preserve">beyond </w:t>
      </w:r>
      <w:r w:rsidR="00C3617C">
        <w:rPr>
          <w:sz w:val="22"/>
          <w:szCs w:val="22"/>
        </w:rPr>
        <w:t xml:space="preserve">the information already </w:t>
      </w:r>
      <w:r w:rsidR="0065169E">
        <w:rPr>
          <w:sz w:val="22"/>
          <w:szCs w:val="22"/>
        </w:rPr>
        <w:t xml:space="preserve">made </w:t>
      </w:r>
      <w:r w:rsidR="00C3617C">
        <w:rPr>
          <w:sz w:val="22"/>
          <w:szCs w:val="22"/>
        </w:rPr>
        <w:t xml:space="preserve">available to interested </w:t>
      </w:r>
      <w:r w:rsidR="00C3617C">
        <w:rPr>
          <w:sz w:val="22"/>
          <w:szCs w:val="22"/>
        </w:rPr>
        <w:t>parties in this proceeding</w:t>
      </w:r>
      <w:r>
        <w:rPr>
          <w:sz w:val="22"/>
          <w:szCs w:val="22"/>
        </w:rPr>
        <w:t xml:space="preserve">.  </w:t>
      </w:r>
      <w:r w:rsidRPr="00714C71">
        <w:rPr>
          <w:sz w:val="22"/>
          <w:szCs w:val="22"/>
        </w:rPr>
        <w:t xml:space="preserve">If you have any questions regarding this matter, please </w:t>
      </w:r>
      <w:r w:rsidRPr="00B050F4">
        <w:rPr>
          <w:sz w:val="22"/>
          <w:szCs w:val="22"/>
        </w:rPr>
        <w:t>contact William A. Kehoe at (202) 418-7122</w:t>
      </w:r>
      <w:r w:rsidRPr="00B050F4" w:rsidR="00122C0A">
        <w:rPr>
          <w:sz w:val="22"/>
          <w:szCs w:val="22"/>
        </w:rPr>
        <w:t xml:space="preserve">, </w:t>
      </w:r>
      <w:r w:rsidRPr="00B050F4">
        <w:rPr>
          <w:sz w:val="22"/>
          <w:szCs w:val="22"/>
        </w:rPr>
        <w:t xml:space="preserve">or </w:t>
      </w:r>
      <w:r w:rsidRPr="00B050F4" w:rsidR="00122C0A">
        <w:rPr>
          <w:sz w:val="22"/>
          <w:szCs w:val="22"/>
        </w:rPr>
        <w:t xml:space="preserve">via email </w:t>
      </w:r>
      <w:r w:rsidRPr="00B050F4">
        <w:rPr>
          <w:sz w:val="22"/>
          <w:szCs w:val="22"/>
        </w:rPr>
        <w:t xml:space="preserve">at </w:t>
      </w:r>
      <w:hyperlink r:id="rId5" w:history="1">
        <w:r w:rsidRPr="00B050F4" w:rsidR="00122C0A">
          <w:rPr>
            <w:rStyle w:val="Hyperlink"/>
            <w:sz w:val="22"/>
            <w:szCs w:val="22"/>
          </w:rPr>
          <w:t>William.Kehoe@fcc.gov</w:t>
        </w:r>
      </w:hyperlink>
      <w:r w:rsidRPr="00B050F4">
        <w:rPr>
          <w:sz w:val="22"/>
          <w:szCs w:val="22"/>
        </w:rPr>
        <w:t>.</w:t>
      </w:r>
    </w:p>
    <w:p w:rsidR="00C76AAD" w:rsidRPr="00B050F4" w:rsidP="00C76AAD" w14:paraId="762C8D75" w14:textId="77777777">
      <w:pPr>
        <w:keepNext/>
        <w:keepLines/>
        <w:widowControl w:val="0"/>
        <w:spacing w:before="240"/>
        <w:rPr>
          <w:sz w:val="22"/>
          <w:szCs w:val="22"/>
        </w:rPr>
      </w:pP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t xml:space="preserve">Sincerely, </w:t>
      </w:r>
    </w:p>
    <w:p w:rsidR="00C76AAD" w:rsidRPr="00B050F4" w:rsidP="00C76AAD" w14:paraId="263BC2AF" w14:textId="77777777">
      <w:pPr>
        <w:keepNext/>
        <w:keepLines/>
        <w:widowControl w:val="0"/>
        <w:rPr>
          <w:sz w:val="22"/>
          <w:szCs w:val="22"/>
        </w:rPr>
      </w:pPr>
    </w:p>
    <w:p w:rsidR="00C76AAD" w:rsidRPr="00BF23C5" w:rsidP="00C76AAD" w14:paraId="5DA86CBE" w14:textId="77777777">
      <w:pPr>
        <w:keepNext/>
        <w:keepLines/>
        <w:widowControl w:val="0"/>
        <w:rPr>
          <w:sz w:val="22"/>
          <w:szCs w:val="22"/>
          <w:highlight w:val="yellow"/>
        </w:rPr>
      </w:pPr>
    </w:p>
    <w:p w:rsidR="00C76AAD" w:rsidRPr="00BF23C5" w:rsidP="00031844" w14:paraId="2160A591" w14:textId="7411791F">
      <w:pPr>
        <w:keepNext/>
        <w:keepLines/>
        <w:widowControl w:val="0"/>
        <w:ind w:left="4320" w:firstLine="720"/>
        <w:rPr>
          <w:sz w:val="22"/>
          <w:szCs w:val="22"/>
          <w:highlight w:val="yellow"/>
        </w:rPr>
      </w:pPr>
      <w:r>
        <w:rPr>
          <w:noProof/>
          <w:sz w:val="24"/>
          <w:szCs w:val="24"/>
        </w:rPr>
        <w:drawing>
          <wp:inline distT="0" distB="0" distL="0" distR="0">
            <wp:extent cx="3124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31315"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0" cy="476250"/>
                    </a:xfrm>
                    <a:prstGeom prst="rect">
                      <a:avLst/>
                    </a:prstGeom>
                    <a:noFill/>
                    <a:ln>
                      <a:noFill/>
                    </a:ln>
                  </pic:spPr>
                </pic:pic>
              </a:graphicData>
            </a:graphic>
          </wp:inline>
        </w:drawing>
      </w:r>
    </w:p>
    <w:p w:rsidR="00C76AAD" w:rsidRPr="00BF23C5" w:rsidP="00C76AAD" w14:paraId="13BC7EC6" w14:textId="77777777">
      <w:pPr>
        <w:keepNext/>
        <w:keepLines/>
        <w:widowControl w:val="0"/>
        <w:rPr>
          <w:sz w:val="22"/>
          <w:szCs w:val="22"/>
          <w:highlight w:val="yellow"/>
        </w:rPr>
      </w:pPr>
    </w:p>
    <w:p w:rsidR="00C76AAD" w:rsidRPr="00B050F4" w:rsidP="00C76AAD" w14:paraId="41583644" w14:textId="77777777">
      <w:pPr>
        <w:keepNext/>
        <w:keepLines/>
        <w:widowControl w:val="0"/>
        <w:rPr>
          <w:sz w:val="22"/>
          <w:szCs w:val="22"/>
        </w:rPr>
      </w:pP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t>Kris Anne Monteith</w:t>
      </w:r>
    </w:p>
    <w:p w:rsidR="00C76AAD" w:rsidRPr="00B050F4" w:rsidP="00C76AAD" w14:paraId="70269B5A" w14:textId="77777777">
      <w:pPr>
        <w:keepNext/>
        <w:keepLines/>
        <w:widowControl w:val="0"/>
        <w:rPr>
          <w:sz w:val="22"/>
          <w:szCs w:val="22"/>
        </w:rPr>
      </w:pP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t>Chief</w:t>
      </w:r>
    </w:p>
    <w:p w:rsidR="00D815F2" w:rsidRPr="00204CE3" w14:paraId="57CA30D2" w14:textId="65300B0C">
      <w:pPr>
        <w:rPr>
          <w:sz w:val="22"/>
          <w:szCs w:val="22"/>
        </w:rPr>
      </w:pP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r>
      <w:r w:rsidRPr="00B050F4">
        <w:rPr>
          <w:sz w:val="22"/>
          <w:szCs w:val="22"/>
        </w:rPr>
        <w:tab/>
        <w:t>Wireline Competition Bureau</w:t>
      </w:r>
    </w:p>
    <w:sectPr w:rsidSect="00961828">
      <w:headerReference w:type="default" r:id="rId7"/>
      <w:footerReference w:type="default" r:id="rId8"/>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F3D" w:rsidP="00031844" w14:paraId="3773CEA6" w14:textId="73B32BF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20F" w14:paraId="7BF2A1F2" w14:textId="77777777">
      <w:r>
        <w:separator/>
      </w:r>
    </w:p>
  </w:footnote>
  <w:footnote w:type="continuationSeparator" w:id="1">
    <w:p w:rsidR="004A420F" w14:paraId="5EFEDB8A" w14:textId="77777777">
      <w:r>
        <w:continuationSeparator/>
      </w:r>
    </w:p>
  </w:footnote>
  <w:footnote w:type="continuationNotice" w:id="2">
    <w:p w:rsidR="004A420F" w14:paraId="13F3B778" w14:textId="77777777"/>
  </w:footnote>
  <w:footnote w:id="3">
    <w:p w:rsidR="00AF1E2F" w:rsidRPr="00FE2406" w:rsidP="00AF1E2F" w14:paraId="38E1E2F4" w14:textId="7080DE96">
      <w:pPr>
        <w:pStyle w:val="FootnoteText"/>
        <w:spacing w:after="120"/>
      </w:pPr>
      <w:r>
        <w:rPr>
          <w:rStyle w:val="FootnoteReference"/>
        </w:rPr>
        <w:footnoteRef/>
      </w:r>
      <w:r>
        <w:t xml:space="preserve"> Letter from </w:t>
      </w:r>
      <w:r w:rsidRPr="007422E8">
        <w:t>Chérie R. Kiser</w:t>
      </w:r>
      <w:r>
        <w:t xml:space="preserve"> and Angela F. Collins, Counsel to Global Tel*Link Corp., to Marlene H. Dortch, Secretary, FCC, WC Docket No. 12-375, at 2 (filed Sept. 11, 2020) </w:t>
      </w:r>
      <w:r w:rsidRPr="006867BD">
        <w:rPr>
          <w:rFonts w:eastAsia="Malgun Gothic"/>
          <w:lang w:eastAsia="ko-KR"/>
        </w:rPr>
        <w:t xml:space="preserve">(GTL </w:t>
      </w:r>
      <w:r w:rsidR="00A72E99">
        <w:rPr>
          <w:rFonts w:eastAsia="Malgun Gothic"/>
          <w:lang w:eastAsia="ko-KR"/>
        </w:rPr>
        <w:t xml:space="preserve">Sept. 11 </w:t>
      </w:r>
      <w:r w:rsidRPr="006867BD">
        <w:rPr>
          <w:rFonts w:eastAsia="Malgun Gothic"/>
          <w:lang w:eastAsia="ko-KR"/>
        </w:rPr>
        <w:t>Letter)</w:t>
      </w:r>
      <w:r w:rsidR="00A72E99">
        <w:rPr>
          <w:rFonts w:eastAsia="Malgun Gothic"/>
          <w:lang w:eastAsia="ko-KR"/>
        </w:rPr>
        <w:t xml:space="preserve">; </w:t>
      </w:r>
      <w:r w:rsidR="00A72E99">
        <w:t xml:space="preserve">Letter from </w:t>
      </w:r>
      <w:r w:rsidRPr="007422E8" w:rsidR="00A72E99">
        <w:t>Chérie R. Kiser</w:t>
      </w:r>
      <w:r w:rsidR="00A72E99">
        <w:t xml:space="preserve"> and Angela F. Collins, Counsel to Global Tel*Link Corp., to Marlene H. Dortch, Secretary, FCC, WC Docket No. 12-375, at 2 (filed Oct. 19, 2020)</w:t>
      </w:r>
      <w:r w:rsidR="00A72E99">
        <w:rPr>
          <w:rFonts w:eastAsia="Malgun Gothic"/>
          <w:lang w:eastAsia="ko-KR"/>
        </w:rPr>
        <w:t xml:space="preserve"> (GTL Oct. 19 Letter)</w:t>
      </w:r>
      <w:r w:rsidRPr="006867BD">
        <w:rPr>
          <w:rFonts w:eastAsia="Malgun Gothic"/>
          <w:lang w:eastAsia="ko-KR"/>
        </w:rPr>
        <w:t>.</w:t>
      </w:r>
      <w:r w:rsidR="00E94073">
        <w:rPr>
          <w:rFonts w:eastAsia="Malgun Gothic"/>
          <w:lang w:eastAsia="ko-KR"/>
        </w:rPr>
        <w:t xml:space="preserve"> </w:t>
      </w:r>
      <w:r w:rsidR="00A72E99">
        <w:rPr>
          <w:rFonts w:eastAsia="Malgun Gothic"/>
          <w:lang w:eastAsia="ko-KR"/>
        </w:rPr>
        <w:t xml:space="preserve"> </w:t>
      </w:r>
      <w:r>
        <w:rPr>
          <w:rFonts w:eastAsia="Malgun Gothic"/>
          <w:lang w:eastAsia="ko-KR"/>
        </w:rPr>
        <w:t xml:space="preserve">GTL </w:t>
      </w:r>
      <w:r w:rsidR="00CB73E7">
        <w:rPr>
          <w:rFonts w:eastAsia="Malgun Gothic"/>
          <w:lang w:eastAsia="ko-KR"/>
        </w:rPr>
        <w:t xml:space="preserve">previously </w:t>
      </w:r>
      <w:r>
        <w:rPr>
          <w:rFonts w:eastAsia="Malgun Gothic"/>
          <w:lang w:eastAsia="ko-KR"/>
        </w:rPr>
        <w:t xml:space="preserve">made similar requests in informal communications with Commission staff.  </w:t>
      </w:r>
      <w:r w:rsidR="00CB73E7">
        <w:rPr>
          <w:rFonts w:eastAsia="Malgun Gothic"/>
          <w:i/>
          <w:iCs/>
          <w:lang w:eastAsia="ko-KR"/>
        </w:rPr>
        <w:t>See</w:t>
      </w:r>
      <w:r w:rsidR="001D2F9F">
        <w:rPr>
          <w:rFonts w:eastAsia="Malgun Gothic"/>
          <w:i/>
          <w:iCs/>
          <w:lang w:eastAsia="ko-KR"/>
        </w:rPr>
        <w:t>, e.g.</w:t>
      </w:r>
      <w:r w:rsidR="00230C2A">
        <w:rPr>
          <w:rFonts w:eastAsia="Malgun Gothic"/>
          <w:lang w:eastAsia="ko-KR"/>
        </w:rPr>
        <w:t>,</w:t>
      </w:r>
      <w:r w:rsidR="00CB73E7">
        <w:rPr>
          <w:rFonts w:eastAsia="Malgun Gothic"/>
          <w:i/>
          <w:iCs/>
          <w:lang w:eastAsia="ko-KR"/>
        </w:rPr>
        <w:t xml:space="preserve"> </w:t>
      </w:r>
      <w:r w:rsidRPr="006867BD" w:rsidR="005E2927">
        <w:rPr>
          <w:rFonts w:eastAsia="Malgun Gothic"/>
          <w:lang w:eastAsia="ko-KR"/>
        </w:rPr>
        <w:t xml:space="preserve">GTL </w:t>
      </w:r>
      <w:r w:rsidR="005E2927">
        <w:rPr>
          <w:rFonts w:eastAsia="Malgun Gothic"/>
          <w:lang w:eastAsia="ko-KR"/>
        </w:rPr>
        <w:t xml:space="preserve">Sept. 11 </w:t>
      </w:r>
      <w:r w:rsidRPr="006867BD" w:rsidR="005E2927">
        <w:rPr>
          <w:rFonts w:eastAsia="Malgun Gothic"/>
          <w:lang w:eastAsia="ko-KR"/>
        </w:rPr>
        <w:t>Letter</w:t>
      </w:r>
      <w:r w:rsidR="00CB73E7">
        <w:rPr>
          <w:rFonts w:eastAsia="Malgun Gothic"/>
          <w:i/>
          <w:iCs/>
          <w:lang w:eastAsia="ko-KR"/>
        </w:rPr>
        <w:t xml:space="preserve"> </w:t>
      </w:r>
      <w:r w:rsidR="00CB73E7">
        <w:rPr>
          <w:rFonts w:eastAsia="Malgun Gothic"/>
          <w:lang w:eastAsia="ko-KR"/>
        </w:rPr>
        <w:t>at 1.</w:t>
      </w:r>
    </w:p>
  </w:footnote>
  <w:footnote w:id="4">
    <w:p w:rsidR="009921B9" w:rsidRPr="00963AA7" w:rsidP="009921B9" w14:paraId="0E156082" w14:textId="1AC59202">
      <w:pPr>
        <w:pStyle w:val="FootnoteText"/>
        <w:spacing w:after="120"/>
      </w:pPr>
      <w:r>
        <w:rPr>
          <w:rStyle w:val="FootnoteReference"/>
        </w:rPr>
        <w:footnoteRef/>
      </w:r>
      <w:r>
        <w:t xml:space="preserve"> </w:t>
      </w:r>
      <w:r w:rsidRPr="00963AA7" w:rsidR="003547A3">
        <w:rPr>
          <w:i/>
          <w:iCs/>
        </w:rPr>
        <w:t>See</w:t>
      </w:r>
      <w:r w:rsidRPr="00963AA7" w:rsidR="00FB2BB8">
        <w:rPr>
          <w:i/>
          <w:iCs/>
        </w:rPr>
        <w:t xml:space="preserve"> </w:t>
      </w:r>
      <w:r w:rsidRPr="00273E8A">
        <w:rPr>
          <w:i/>
          <w:iCs/>
        </w:rPr>
        <w:t>Rates for Interstate Inmate Calling Services</w:t>
      </w:r>
      <w:r w:rsidRPr="00273E8A">
        <w:t>, WC Docket No. 12-375, Report and Order on Remand and Fourth Further Notice of Proposed Rulemaking, FCC 20-111 (rel. Aug. 7, 2020) (</w:t>
      </w:r>
      <w:r w:rsidRPr="00273E8A" w:rsidR="00D815F2">
        <w:rPr>
          <w:i/>
          <w:iCs/>
        </w:rPr>
        <w:t>2020 ICS Notice</w:t>
      </w:r>
      <w:r w:rsidRPr="00273E8A" w:rsidR="008C1CD7">
        <w:t xml:space="preserve"> or </w:t>
      </w:r>
      <w:r w:rsidRPr="00273E8A" w:rsidR="004658AB">
        <w:rPr>
          <w:i/>
          <w:iCs/>
        </w:rPr>
        <w:t xml:space="preserve">Further </w:t>
      </w:r>
      <w:r w:rsidRPr="00273E8A" w:rsidR="008C1CD7">
        <w:rPr>
          <w:i/>
          <w:iCs/>
        </w:rPr>
        <w:t>Notice</w:t>
      </w:r>
      <w:r w:rsidRPr="00273E8A">
        <w:t>)</w:t>
      </w:r>
      <w:r w:rsidRPr="00273E8A" w:rsidR="00CF2796">
        <w:t>;</w:t>
      </w:r>
      <w:r w:rsidRPr="00273E8A" w:rsidR="00D815F2">
        <w:t xml:space="preserve"> </w:t>
      </w:r>
      <w:r w:rsidRPr="00963AA7" w:rsidR="00CF2796">
        <w:rPr>
          <w:i/>
          <w:iCs/>
        </w:rPr>
        <w:t>Wireline Competition Bureau and Office of Economics a</w:t>
      </w:r>
      <w:r w:rsidRPr="006C641F" w:rsidR="00CF2796">
        <w:rPr>
          <w:i/>
          <w:iCs/>
        </w:rPr>
        <w:t>nd Analytics Make Inmate Calling Services Database Available to Eligible Individuals Pursuant to Protective Order</w:t>
      </w:r>
      <w:r w:rsidRPr="00963AA7" w:rsidR="00CF2796">
        <w:t>, WC Docket No. 12-375, Public Notice, DA 20-1128 (Sept. 24, 2020) (</w:t>
      </w:r>
      <w:r w:rsidRPr="00963AA7" w:rsidR="00CF2796">
        <w:rPr>
          <w:i/>
          <w:iCs/>
        </w:rPr>
        <w:t>Sept. 2020 ICS Public Notice</w:t>
      </w:r>
      <w:r w:rsidRPr="00963AA7" w:rsidR="00CF2796">
        <w:t xml:space="preserve">). </w:t>
      </w:r>
      <w:r w:rsidRPr="00273E8A" w:rsidR="00CF2796">
        <w:t xml:space="preserve"> </w:t>
      </w:r>
      <w:r w:rsidRPr="00273E8A">
        <w:t>Comments</w:t>
      </w:r>
      <w:r w:rsidRPr="00273E8A" w:rsidR="005C669E">
        <w:t xml:space="preserve"> and reply comments on the </w:t>
      </w:r>
      <w:r w:rsidRPr="00273E8A" w:rsidR="005C669E">
        <w:rPr>
          <w:i/>
          <w:iCs/>
        </w:rPr>
        <w:t xml:space="preserve">2020 ICS </w:t>
      </w:r>
      <w:r w:rsidRPr="00273E8A">
        <w:rPr>
          <w:i/>
          <w:iCs/>
        </w:rPr>
        <w:t>Notice</w:t>
      </w:r>
      <w:r w:rsidRPr="00273E8A">
        <w:t xml:space="preserve"> are </w:t>
      </w:r>
      <w:r w:rsidRPr="00273E8A" w:rsidR="005C669E">
        <w:t xml:space="preserve">respectively </w:t>
      </w:r>
      <w:r w:rsidRPr="00273E8A">
        <w:t xml:space="preserve">due </w:t>
      </w:r>
      <w:r w:rsidRPr="00273E8A" w:rsidR="005C669E">
        <w:t xml:space="preserve">November </w:t>
      </w:r>
      <w:r w:rsidRPr="00273E8A" w:rsidR="00786A3F">
        <w:t xml:space="preserve">23, </w:t>
      </w:r>
      <w:r w:rsidRPr="00273E8A" w:rsidR="005C669E">
        <w:t>2020,</w:t>
      </w:r>
      <w:r w:rsidRPr="00273E8A">
        <w:t xml:space="preserve"> </w:t>
      </w:r>
      <w:r w:rsidRPr="00273E8A" w:rsidR="005C669E">
        <w:t xml:space="preserve">and December </w:t>
      </w:r>
      <w:r w:rsidRPr="00273E8A" w:rsidR="00786A3F">
        <w:t xml:space="preserve">22, </w:t>
      </w:r>
      <w:r w:rsidRPr="00273E8A" w:rsidR="005C669E">
        <w:t xml:space="preserve">2020.  </w:t>
      </w:r>
      <w:r w:rsidRPr="00273E8A" w:rsidR="00BD1834">
        <w:rPr>
          <w:i/>
          <w:iCs/>
        </w:rPr>
        <w:t>Wireline Competition Bureau</w:t>
      </w:r>
      <w:r w:rsidRPr="00273E8A" w:rsidR="005F6564">
        <w:rPr>
          <w:i/>
          <w:iCs/>
        </w:rPr>
        <w:t xml:space="preserve"> Announces Comment Dates in </w:t>
      </w:r>
      <w:r w:rsidRPr="00273E8A" w:rsidR="00637BDD">
        <w:rPr>
          <w:i/>
          <w:iCs/>
        </w:rPr>
        <w:t>response to Fourth Further Notice of Pr</w:t>
      </w:r>
      <w:r w:rsidRPr="00273E8A" w:rsidR="001940E6">
        <w:rPr>
          <w:i/>
          <w:iCs/>
        </w:rPr>
        <w:t>oposed Rulemaking regarding Inmate Calling Services</w:t>
      </w:r>
      <w:r w:rsidRPr="00273E8A" w:rsidR="005F6564">
        <w:t xml:space="preserve">, </w:t>
      </w:r>
      <w:r w:rsidRPr="00273E8A" w:rsidR="00CA6EA2">
        <w:t xml:space="preserve">Docket No. WC 12-375, Public Notice, </w:t>
      </w:r>
      <w:r w:rsidRPr="00273E8A" w:rsidR="00BD1834">
        <w:t xml:space="preserve">DA </w:t>
      </w:r>
      <w:r w:rsidRPr="00273E8A" w:rsidR="00CA6EA2">
        <w:t>12-125</w:t>
      </w:r>
      <w:r w:rsidRPr="00273E8A" w:rsidR="000A3F81">
        <w:t>6 (Oct</w:t>
      </w:r>
      <w:r w:rsidRPr="00273E8A" w:rsidR="00930973">
        <w:t>.</w:t>
      </w:r>
      <w:r w:rsidRPr="00273E8A" w:rsidR="000A3F81">
        <w:t xml:space="preserve"> 23, 2020).</w:t>
      </w:r>
    </w:p>
  </w:footnote>
  <w:footnote w:id="5">
    <w:p w:rsidR="00030E9B" w:rsidRPr="00412F94" w:rsidP="00EA2400" w14:paraId="0B071469" w14:textId="250BCE0E">
      <w:pPr>
        <w:pStyle w:val="FootnoteText"/>
        <w:spacing w:after="120"/>
      </w:pPr>
      <w:r>
        <w:rPr>
          <w:rStyle w:val="FootnoteReference"/>
        </w:rPr>
        <w:footnoteRef/>
      </w:r>
      <w:r>
        <w:t xml:space="preserve"> </w:t>
      </w:r>
      <w:r w:rsidR="005C669E">
        <w:rPr>
          <w:i/>
          <w:iCs/>
        </w:rPr>
        <w:t>2020 ICS Notice</w:t>
      </w:r>
      <w:r w:rsidR="005C669E">
        <w:t xml:space="preserve">, </w:t>
      </w:r>
      <w:r w:rsidR="00755855">
        <w:t xml:space="preserve">paras. 66-136 &amp; Appendices </w:t>
      </w:r>
      <w:r w:rsidR="007F5B32">
        <w:rPr>
          <w:rFonts w:ascii="TimesNewRomanPS-ItalicMT" w:hAnsi="TimesNewRomanPS-ItalicMT" w:cs="TimesNewRomanPS-ItalicMT"/>
        </w:rPr>
        <w:t>E</w:t>
      </w:r>
      <w:r w:rsidR="00A779FB">
        <w:rPr>
          <w:rFonts w:ascii="TimesNewRomanPS-ItalicMT" w:hAnsi="TimesNewRomanPS-ItalicMT" w:cs="TimesNewRomanPS-ItalicMT"/>
        </w:rPr>
        <w:t>-</w:t>
      </w:r>
      <w:r w:rsidR="007F5B32">
        <w:rPr>
          <w:rFonts w:ascii="TimesNewRomanPS-ItalicMT" w:hAnsi="TimesNewRomanPS-ItalicMT" w:cs="TimesNewRomanPS-ItalicMT"/>
        </w:rPr>
        <w:t>H</w:t>
      </w:r>
      <w:r w:rsidR="00755855">
        <w:t>.</w:t>
      </w:r>
      <w:r>
        <w:rPr>
          <w:rFonts w:ascii="TimesNewRomanPSMT" w:hAnsi="TimesNewRomanPSMT" w:cs="TimesNewRomanPSMT"/>
        </w:rPr>
        <w:t xml:space="preserve"> </w:t>
      </w:r>
      <w:r w:rsidR="00412F94">
        <w:rPr>
          <w:rFonts w:ascii="TimesNewRomanPSMT" w:hAnsi="TimesNewRomanPSMT" w:cs="TimesNewRomanPSMT"/>
        </w:rPr>
        <w:t xml:space="preserve"> </w:t>
      </w:r>
    </w:p>
  </w:footnote>
  <w:footnote w:id="6">
    <w:p w:rsidR="00EA2400" w:rsidRPr="00EA2400" w:rsidP="00C3044A" w14:paraId="31572937" w14:textId="23C7A26A">
      <w:pPr>
        <w:pStyle w:val="FootnoteText"/>
        <w:spacing w:after="120"/>
      </w:pPr>
      <w:r>
        <w:rPr>
          <w:rStyle w:val="FootnoteReference"/>
        </w:rPr>
        <w:footnoteRef/>
      </w:r>
      <w:r>
        <w:t xml:space="preserve"> </w:t>
      </w:r>
      <w:r w:rsidR="00C3044A">
        <w:rPr>
          <w:i/>
          <w:iCs/>
        </w:rPr>
        <w:t>See</w:t>
      </w:r>
      <w:r w:rsidR="006D7BA5">
        <w:rPr>
          <w:i/>
          <w:iCs/>
        </w:rPr>
        <w:t xml:space="preserve"> id</w:t>
      </w:r>
      <w:r w:rsidR="00C3044A">
        <w:rPr>
          <w:rFonts w:ascii="TimesNewRomanPS-ItalicMT" w:hAnsi="TimesNewRomanPS-ItalicMT" w:cs="TimesNewRomanPS-ItalicMT"/>
        </w:rPr>
        <w:t xml:space="preserve">.  </w:t>
      </w:r>
    </w:p>
  </w:footnote>
  <w:footnote w:id="7">
    <w:p w:rsidR="00A457BE" w:rsidRPr="00F476D7" w:rsidP="00451E11" w14:paraId="7AAF8DDD" w14:textId="548C98FA">
      <w:pPr>
        <w:pStyle w:val="FootnoteText"/>
        <w:spacing w:after="120"/>
      </w:pPr>
      <w:r>
        <w:rPr>
          <w:rStyle w:val="FootnoteReference"/>
        </w:rPr>
        <w:footnoteRef/>
      </w:r>
      <w:r>
        <w:t xml:space="preserve"> </w:t>
      </w:r>
      <w:r w:rsidR="002F16D6">
        <w:rPr>
          <w:i/>
          <w:iCs/>
        </w:rPr>
        <w:t>Sept. 2020 ICS Public Notice</w:t>
      </w:r>
      <w:r w:rsidR="001B53AC">
        <w:t xml:space="preserve"> at 1 (making the ICS Database available</w:t>
      </w:r>
      <w:r w:rsidR="00A95730">
        <w:t xml:space="preserve"> to eligible individuals</w:t>
      </w:r>
      <w:r w:rsidR="001B53AC">
        <w:t xml:space="preserve"> pursuant to a Protective Order in the ICS proceeding); </w:t>
      </w:r>
      <w:r w:rsidRPr="00A95730" w:rsidR="00A95730">
        <w:rPr>
          <w:i/>
          <w:iCs/>
        </w:rPr>
        <w:t>see also</w:t>
      </w:r>
      <w:r w:rsidR="00A95730">
        <w:t xml:space="preserve"> </w:t>
      </w:r>
      <w:r w:rsidRPr="001B53AC" w:rsidR="001B53AC">
        <w:rPr>
          <w:i/>
          <w:iCs/>
        </w:rPr>
        <w:t>Rates for Inmate Calling Services</w:t>
      </w:r>
      <w:r w:rsidRPr="001B53AC" w:rsidR="001B53AC">
        <w:t>, WC Docket No. 12-375, Second Report and Order and Third Further Notice of Proposed Rulemaking, 30 FCC Rcd 12763, 12862, 12891-92, paras. 198, 266-67 (2015) (adopting Second Mandatory Data Collection to take further ICS reform action, and identify and track trends in the ICS market)</w:t>
      </w:r>
      <w:r w:rsidRPr="00FF368C" w:rsidR="001B53AC">
        <w:t>;</w:t>
      </w:r>
      <w:r w:rsidRPr="00FF368C">
        <w:t xml:space="preserve"> </w:t>
      </w:r>
      <w:r w:rsidRPr="001B53AC">
        <w:rPr>
          <w:i/>
          <w:iCs/>
        </w:rPr>
        <w:t>Wireline</w:t>
      </w:r>
      <w:r w:rsidRPr="007F7578">
        <w:rPr>
          <w:i/>
          <w:iCs/>
        </w:rPr>
        <w:t xml:space="preserve"> Competition Bureau Reminds Providers of Inmate Calling Services of the March 1, 2019 Deadline for Data Collection Responses</w:t>
      </w:r>
      <w:r w:rsidRPr="007F7578">
        <w:t>, WC Docket No. 12-375, Public Notice, 34</w:t>
      </w:r>
      <w:r>
        <w:t xml:space="preserve"> FCC Rcd 515</w:t>
      </w:r>
      <w:r w:rsidRPr="007F7578">
        <w:t xml:space="preserve"> (</w:t>
      </w:r>
      <w:r>
        <w:t>WCB</w:t>
      </w:r>
      <w:r w:rsidRPr="007F7578">
        <w:t xml:space="preserve"> 2019)</w:t>
      </w:r>
      <w:r>
        <w:t>.</w:t>
      </w:r>
      <w:r w:rsidR="00D51602">
        <w:t xml:space="preserve">  The ICS Data</w:t>
      </w:r>
      <w:r w:rsidR="007104ED">
        <w:t xml:space="preserve">base has been entered into the </w:t>
      </w:r>
      <w:r w:rsidR="00066F68">
        <w:t xml:space="preserve">ICS </w:t>
      </w:r>
      <w:r w:rsidR="007104ED">
        <w:t>docket</w:t>
      </w:r>
      <w:r w:rsidR="00DC6FEC">
        <w:t xml:space="preserve">. </w:t>
      </w:r>
      <w:r w:rsidR="00F476D7">
        <w:t xml:space="preserve"> </w:t>
      </w:r>
      <w:r w:rsidR="00F476D7">
        <w:rPr>
          <w:i/>
          <w:iCs/>
        </w:rPr>
        <w:t>See</w:t>
      </w:r>
      <w:r w:rsidR="00F476D7">
        <w:t xml:space="preserve"> Letter from Gil M. Strobel, Chief, Pricing Policy Division, </w:t>
      </w:r>
      <w:r w:rsidR="00EF6039">
        <w:t xml:space="preserve">FCC </w:t>
      </w:r>
      <w:r w:rsidR="00F476D7">
        <w:t>Wireline Competition Bureau, to Marlene Dortch, Secretary, F</w:t>
      </w:r>
      <w:r w:rsidR="00EF6039">
        <w:t xml:space="preserve">CC, WC Docket No. 12-375 (filed Nov. 9, 2020). </w:t>
      </w:r>
    </w:p>
  </w:footnote>
  <w:footnote w:id="8">
    <w:p w:rsidR="00AB5914" w:rsidRPr="004027FD" w:rsidP="00AB5914" w14:paraId="4D39F680" w14:textId="235F98C9">
      <w:pPr>
        <w:pStyle w:val="FootnoteText"/>
        <w:spacing w:after="120"/>
      </w:pPr>
      <w:r w:rsidRPr="00335482">
        <w:rPr>
          <w:rStyle w:val="FootnoteReference"/>
        </w:rPr>
        <w:footnoteRef/>
      </w:r>
      <w:r>
        <w:t xml:space="preserve"> </w:t>
      </w:r>
      <w:r w:rsidR="002F16D6">
        <w:rPr>
          <w:i/>
          <w:iCs/>
        </w:rPr>
        <w:t>Sept. 2020 ICS Public Notice</w:t>
      </w:r>
      <w:r>
        <w:t xml:space="preserve"> at 1</w:t>
      </w:r>
      <w:r w:rsidR="008D4C60">
        <w:t xml:space="preserve">; </w:t>
      </w:r>
      <w:r w:rsidR="008D4C60">
        <w:rPr>
          <w:i/>
          <w:iCs/>
        </w:rPr>
        <w:t>see also</w:t>
      </w:r>
      <w:r w:rsidR="008D4C60">
        <w:t xml:space="preserve"> </w:t>
      </w:r>
      <w:r w:rsidR="00750B17">
        <w:rPr>
          <w:rFonts w:ascii="TimesNewRomanPS-ItalicMT" w:hAnsi="TimesNewRomanPS-ItalicMT" w:cs="TimesNewRomanPS-ItalicMT"/>
          <w:i/>
          <w:iCs/>
        </w:rPr>
        <w:t>2020 ICS Notice</w:t>
      </w:r>
      <w:r w:rsidRPr="00FF368C" w:rsidR="00750B17">
        <w:rPr>
          <w:rFonts w:ascii="TimesNewRomanPS-ItalicMT" w:hAnsi="TimesNewRomanPS-ItalicMT" w:cs="TimesNewRomanPS-ItalicMT"/>
        </w:rPr>
        <w:t xml:space="preserve"> at Appendix F, para. 3</w:t>
      </w:r>
      <w:r>
        <w:t>.</w:t>
      </w:r>
    </w:p>
  </w:footnote>
  <w:footnote w:id="9">
    <w:p w:rsidR="00C008C6" w:rsidRPr="006867BD" w:rsidP="00C008C6" w14:paraId="49D18C14" w14:textId="77E4402A">
      <w:pPr>
        <w:pStyle w:val="FootnoteText"/>
        <w:spacing w:after="120"/>
        <w:rPr>
          <w:rFonts w:eastAsia="Malgun Gothic"/>
          <w:lang w:eastAsia="ko-KR"/>
        </w:rPr>
      </w:pPr>
      <w:r>
        <w:rPr>
          <w:rStyle w:val="FootnoteReference"/>
        </w:rPr>
        <w:footnoteRef/>
      </w:r>
      <w:r>
        <w:t xml:space="preserve"> </w:t>
      </w:r>
      <w:r w:rsidR="005379AF">
        <w:rPr>
          <w:i/>
          <w:iCs/>
        </w:rPr>
        <w:t xml:space="preserve">Sept. 2020 ICS Public Notice </w:t>
      </w:r>
      <w:r w:rsidR="005379AF">
        <w:t>at 1.</w:t>
      </w:r>
      <w:r w:rsidR="00030B23">
        <w:t xml:space="preserve"> </w:t>
      </w:r>
      <w:r w:rsidRPr="00030B23" w:rsidR="00030B23">
        <w:t xml:space="preserve"> </w:t>
      </w:r>
    </w:p>
  </w:footnote>
  <w:footnote w:id="10">
    <w:p w:rsidR="00BE1B01" w:rsidRPr="006867BD" w:rsidP="00BF23C5" w14:paraId="2D382082" w14:textId="7FC29EA6">
      <w:pPr>
        <w:pStyle w:val="FootnoteText"/>
        <w:spacing w:after="120"/>
        <w:rPr>
          <w:rFonts w:eastAsia="Malgun Gothic"/>
          <w:lang w:eastAsia="ko-KR"/>
        </w:rPr>
      </w:pPr>
      <w:r>
        <w:rPr>
          <w:rStyle w:val="FootnoteReference"/>
        </w:rPr>
        <w:footnoteRef/>
      </w:r>
      <w:r>
        <w:t xml:space="preserve"> </w:t>
      </w:r>
      <w:r w:rsidR="005379AF">
        <w:rPr>
          <w:i/>
          <w:iCs/>
        </w:rPr>
        <w:t xml:space="preserve">See </w:t>
      </w:r>
      <w:r w:rsidRPr="006867BD" w:rsidR="00714C71">
        <w:rPr>
          <w:rFonts w:eastAsia="Malgun Gothic"/>
          <w:lang w:eastAsia="ko-KR"/>
        </w:rPr>
        <w:t>GTL</w:t>
      </w:r>
      <w:r w:rsidR="001D4F3D">
        <w:rPr>
          <w:rFonts w:eastAsia="Malgun Gothic"/>
          <w:lang w:eastAsia="ko-KR"/>
        </w:rPr>
        <w:t xml:space="preserve"> Sept. 11</w:t>
      </w:r>
      <w:r w:rsidRPr="006867BD" w:rsidR="00714C71">
        <w:rPr>
          <w:rFonts w:eastAsia="Malgun Gothic"/>
          <w:lang w:eastAsia="ko-KR"/>
        </w:rPr>
        <w:t xml:space="preserve"> Letter</w:t>
      </w:r>
      <w:r w:rsidR="005379AF">
        <w:rPr>
          <w:rFonts w:eastAsia="Malgun Gothic"/>
          <w:lang w:eastAsia="ko-KR"/>
        </w:rPr>
        <w:t xml:space="preserve"> at 1.</w:t>
      </w:r>
      <w:r w:rsidR="00CD0734">
        <w:rPr>
          <w:rFonts w:eastAsia="Malgun Gothic"/>
          <w:lang w:eastAsia="ko-KR"/>
        </w:rPr>
        <w:t xml:space="preserve">  </w:t>
      </w:r>
    </w:p>
  </w:footnote>
  <w:footnote w:id="11">
    <w:p w:rsidR="00730A0F" w:rsidRPr="00A642EE" w:rsidP="00750D0E" w14:paraId="2DA5E318" w14:textId="7C00C08B">
      <w:pPr>
        <w:pStyle w:val="FootnoteText"/>
        <w:spacing w:after="120"/>
      </w:pPr>
      <w:r>
        <w:rPr>
          <w:rStyle w:val="FootnoteReference"/>
        </w:rPr>
        <w:footnoteRef/>
      </w:r>
      <w:r>
        <w:t xml:space="preserve"> </w:t>
      </w:r>
      <w:r w:rsidR="00A642EE">
        <w:rPr>
          <w:i/>
          <w:iCs/>
        </w:rPr>
        <w:t>See</w:t>
      </w:r>
      <w:r w:rsidRPr="00A642EE" w:rsidR="00A642EE">
        <w:rPr>
          <w:rFonts w:eastAsia="Malgun Gothic"/>
          <w:lang w:eastAsia="ko-KR"/>
        </w:rPr>
        <w:t xml:space="preserve"> </w:t>
      </w:r>
      <w:r w:rsidR="00A642EE">
        <w:rPr>
          <w:rFonts w:eastAsia="Malgun Gothic"/>
          <w:lang w:eastAsia="ko-KR"/>
        </w:rPr>
        <w:t xml:space="preserve">GTL Oct. 19 Letter at 2. </w:t>
      </w:r>
    </w:p>
  </w:footnote>
  <w:footnote w:id="12">
    <w:p w:rsidR="00C47839" w:rsidP="00750D0E" w14:paraId="267B27B0" w14:textId="077F68F7">
      <w:pPr>
        <w:pStyle w:val="FootnoteText"/>
        <w:spacing w:after="120"/>
      </w:pPr>
      <w:r>
        <w:rPr>
          <w:rStyle w:val="FootnoteReference"/>
        </w:rPr>
        <w:footnoteRef/>
      </w:r>
      <w:r>
        <w:t xml:space="preserve"> </w:t>
      </w:r>
      <w:r w:rsidR="006D7BA5">
        <w:rPr>
          <w:rFonts w:eastAsia="Malgun Gothic"/>
          <w:i/>
          <w:iCs/>
          <w:lang w:eastAsia="ko-KR"/>
        </w:rPr>
        <w:t>Id</w:t>
      </w:r>
      <w:r>
        <w:rPr>
          <w:rFonts w:eastAsia="Malgun Gothic"/>
          <w:lang w:eastAsia="ko-KR"/>
        </w:rPr>
        <w:t>.</w:t>
      </w:r>
    </w:p>
  </w:footnote>
  <w:footnote w:id="13">
    <w:p w:rsidR="002641C7" w:rsidP="00750D0E" w14:paraId="045AF97D" w14:textId="09DE0078">
      <w:pPr>
        <w:pStyle w:val="FootnoteText"/>
        <w:spacing w:after="120"/>
      </w:pPr>
      <w:r>
        <w:rPr>
          <w:rStyle w:val="FootnoteReference"/>
        </w:rPr>
        <w:footnoteRef/>
      </w:r>
      <w:r>
        <w:t xml:space="preserve"> </w:t>
      </w:r>
      <w:r w:rsidR="006D7BA5">
        <w:rPr>
          <w:rFonts w:eastAsia="Malgun Gothic"/>
          <w:i/>
          <w:iCs/>
          <w:lang w:eastAsia="ko-KR"/>
        </w:rPr>
        <w:t>Id</w:t>
      </w:r>
      <w:r>
        <w:rPr>
          <w:rFonts w:eastAsia="Malgun Gothic"/>
          <w:lang w:eastAsia="ko-KR"/>
        </w:rPr>
        <w:t>.</w:t>
      </w:r>
    </w:p>
  </w:footnote>
  <w:footnote w:id="14">
    <w:p w:rsidR="00CE3348" w:rsidP="00CE3348" w14:paraId="4044C34E" w14:textId="4D0A638C">
      <w:pPr>
        <w:pStyle w:val="FootnoteText"/>
        <w:spacing w:after="120"/>
      </w:pPr>
      <w:r>
        <w:rPr>
          <w:rStyle w:val="FootnoteReference"/>
        </w:rPr>
        <w:footnoteRef/>
      </w:r>
      <w:r>
        <w:t xml:space="preserve"> 47 CFR § 0.</w:t>
      </w:r>
      <w:r w:rsidRPr="00750D0E">
        <w:rPr>
          <w:rFonts w:eastAsia="Malgun Gothic"/>
          <w:lang w:eastAsia="ko-KR"/>
        </w:rPr>
        <w:t>457</w:t>
      </w:r>
      <w:r>
        <w:t>(d)</w:t>
      </w:r>
      <w:r w:rsidR="006D7BA5">
        <w:t>-</w:t>
      </w:r>
      <w:r>
        <w:t xml:space="preserve">(e). </w:t>
      </w:r>
    </w:p>
  </w:footnote>
  <w:footnote w:id="15">
    <w:p w:rsidR="003E18AC" w:rsidP="003E18AC" w14:paraId="3CB4FC29" w14:textId="3D26918D">
      <w:pPr>
        <w:pStyle w:val="FootnoteText"/>
        <w:spacing w:after="120"/>
      </w:pPr>
      <w:r>
        <w:rPr>
          <w:rStyle w:val="FootnoteReference"/>
        </w:rPr>
        <w:footnoteRef/>
      </w:r>
      <w:r>
        <w:t xml:space="preserve"> </w:t>
      </w:r>
      <w:r w:rsidRPr="00473F86">
        <w:rPr>
          <w:i/>
          <w:iCs/>
        </w:rPr>
        <w:t xml:space="preserve">See </w:t>
      </w:r>
      <w:r w:rsidRPr="00473F86">
        <w:rPr>
          <w:rFonts w:eastAsia="Malgun Gothic"/>
          <w:lang w:eastAsia="ko-KR"/>
        </w:rPr>
        <w:t xml:space="preserve">GTL Oct. 19 Letter at 2 </w:t>
      </w:r>
      <w:r w:rsidRPr="00473F86" w:rsidR="00A85467">
        <w:rPr>
          <w:rFonts w:eastAsia="Malgun Gothic"/>
          <w:lang w:eastAsia="ko-KR"/>
        </w:rPr>
        <w:t xml:space="preserve">(stating that </w:t>
      </w:r>
      <w:r w:rsidRPr="000D2F3B">
        <w:t xml:space="preserve">GTL requires </w:t>
      </w:r>
      <w:r w:rsidRPr="000D2F3B" w:rsidR="00093D3E">
        <w:t>the requested</w:t>
      </w:r>
      <w:r w:rsidRPr="000D2F3B">
        <w:t xml:space="preserve"> information “to have a meaningful opportunity to participate in the rulemaking process</w:t>
      </w:r>
      <w:r w:rsidRPr="000D2F3B" w:rsidR="00093D3E">
        <w:t>”)</w:t>
      </w:r>
      <w:r w:rsidRPr="00473F86">
        <w:rPr>
          <w:rFonts w:eastAsia="Malgun Gothic"/>
          <w:lang w:eastAsia="ko-KR"/>
        </w:rPr>
        <w:t xml:space="preserve">; </w:t>
      </w:r>
      <w:r w:rsidRPr="002D1ED9">
        <w:rPr>
          <w:rFonts w:eastAsia="Malgun Gothic"/>
          <w:lang w:eastAsia="ko-KR"/>
        </w:rPr>
        <w:t>GTL Sept. 11 Letter at 1.</w:t>
      </w:r>
    </w:p>
  </w:footnote>
  <w:footnote w:id="16">
    <w:p w:rsidR="008A54A4" w:rsidP="008A54A4" w14:paraId="2C019771" w14:textId="122D4F6F">
      <w:pPr>
        <w:pStyle w:val="FootnoteText"/>
        <w:spacing w:after="120"/>
      </w:pPr>
      <w:r>
        <w:rPr>
          <w:rStyle w:val="FootnoteReference"/>
        </w:rPr>
        <w:footnoteRef/>
      </w:r>
      <w:r>
        <w:t xml:space="preserve"> </w:t>
      </w:r>
      <w:r w:rsidRPr="008A54A4">
        <w:t xml:space="preserve">5 U.S.C. § 553(b)-(c).  </w:t>
      </w:r>
    </w:p>
  </w:footnote>
  <w:footnote w:id="17">
    <w:p w:rsidR="00CC68B0" w:rsidP="00CC68B0" w14:paraId="2DCC7BFB" w14:textId="70B5D980">
      <w:pPr>
        <w:pStyle w:val="FootnoteText"/>
        <w:spacing w:after="120"/>
      </w:pPr>
      <w:r>
        <w:rPr>
          <w:rStyle w:val="FootnoteReference"/>
        </w:rPr>
        <w:footnoteRef/>
      </w:r>
      <w:r>
        <w:t xml:space="preserve"> 47 CFR § 0.</w:t>
      </w:r>
      <w:r w:rsidRPr="00750D0E">
        <w:rPr>
          <w:rFonts w:eastAsia="Malgun Gothic"/>
          <w:lang w:eastAsia="ko-KR"/>
        </w:rPr>
        <w:t>457</w:t>
      </w:r>
      <w:r>
        <w:t>(d)</w:t>
      </w:r>
      <w:r w:rsidR="00006255">
        <w:t>-</w:t>
      </w:r>
      <w:r>
        <w:t xml:space="preserve">(e); </w:t>
      </w:r>
      <w:r>
        <w:rPr>
          <w:i/>
          <w:iCs/>
        </w:rPr>
        <w:t>EchoStar</w:t>
      </w:r>
      <w:r>
        <w:t xml:space="preserve">, 457 F.3d at 40 (“Were parties entitled to comment upon every observation an agency staff member draws from the record as it accrues, rulemaking proceedings would be </w:t>
      </w:r>
      <w:r w:rsidRPr="00CC68B0">
        <w:rPr>
          <w:rFonts w:eastAsia="Malgun Gothic"/>
          <w:lang w:eastAsia="ko-KR"/>
        </w:rPr>
        <w:t>interminable</w:t>
      </w:r>
      <w:r>
        <w:t xml:space="preserve">.”). </w:t>
      </w:r>
    </w:p>
  </w:footnote>
  <w:footnote w:id="18">
    <w:p w:rsidR="00D3073F" w:rsidP="00A70B47" w14:paraId="62076E1A" w14:textId="382347F0">
      <w:pPr>
        <w:pStyle w:val="ListParagraph"/>
        <w:spacing w:after="160" w:line="252" w:lineRule="auto"/>
        <w:ind w:left="0"/>
        <w:contextualSpacing/>
      </w:pPr>
      <w:r>
        <w:rPr>
          <w:rStyle w:val="FootnoteReference"/>
        </w:rPr>
        <w:footnoteRef/>
      </w:r>
      <w:r>
        <w:t xml:space="preserve"> </w:t>
      </w:r>
      <w:r w:rsidR="00245756">
        <w:rPr>
          <w:i/>
          <w:iCs/>
        </w:rPr>
        <w:t>See</w:t>
      </w:r>
      <w:r w:rsidR="0054349C">
        <w:rPr>
          <w:i/>
          <w:iCs/>
        </w:rPr>
        <w:t xml:space="preserve"> Echo</w:t>
      </w:r>
      <w:r w:rsidR="00653975">
        <w:rPr>
          <w:i/>
          <w:iCs/>
        </w:rPr>
        <w:t>S</w:t>
      </w:r>
      <w:r w:rsidR="0054349C">
        <w:rPr>
          <w:i/>
          <w:iCs/>
        </w:rPr>
        <w:t>tar Satellite L.L.C. v. FCC</w:t>
      </w:r>
      <w:r w:rsidR="0054349C">
        <w:t>, 457 F.3d 31, 40 (D.C. Cir. 2006) (finding that the Commission’s “data and analysis” amounted to “agency staff’s own cogitations upon the evidence” and did not have to be made part of the rulemaking record);</w:t>
      </w:r>
      <w:r w:rsidR="0054349C">
        <w:rPr>
          <w:i/>
          <w:iCs/>
        </w:rPr>
        <w:t xml:space="preserve"> </w:t>
      </w:r>
      <w:r w:rsidR="00245756">
        <w:rPr>
          <w:i/>
          <w:iCs/>
        </w:rPr>
        <w:t xml:space="preserve">American Radio Relay </w:t>
      </w:r>
      <w:r w:rsidRPr="00245756" w:rsidR="00245756">
        <w:rPr>
          <w:i/>
          <w:iCs/>
        </w:rPr>
        <w:t>League</w:t>
      </w:r>
      <w:r w:rsidR="00245756">
        <w:t xml:space="preserve">, 524 F.3d 227, </w:t>
      </w:r>
      <w:r w:rsidR="0027491C">
        <w:t>236</w:t>
      </w:r>
      <w:r w:rsidR="00653975">
        <w:t>, 238</w:t>
      </w:r>
      <w:r w:rsidR="0027491C">
        <w:t xml:space="preserve"> </w:t>
      </w:r>
      <w:r w:rsidR="00245756">
        <w:t>(D.C. Cir. 2008) (finding that the Commission must prod</w:t>
      </w:r>
      <w:r w:rsidR="0027491C">
        <w:t>uce certain “technical studies and data” upon which it relied in its rulemaking,</w:t>
      </w:r>
      <w:r w:rsidR="0054349C">
        <w:t xml:space="preserve"> </w:t>
      </w:r>
      <w:r w:rsidRPr="00F71F85" w:rsidR="00BA7314">
        <w:t>stating that the Commission redacted parts of the internal technical studies “that are inextricably bound to the studies as a whole and thus to the data upon which the Commission has stated it relied, parts that explain the otherwise unidentified methodology underlying data cited by the Commission for its conclusions,</w:t>
      </w:r>
      <w:r w:rsidRPr="00F71F85" w:rsidR="00BD3483">
        <w:t>”</w:t>
      </w:r>
      <w:r w:rsidRPr="00F71F85" w:rsidR="00BA7314">
        <w:t xml:space="preserve"> </w:t>
      </w:r>
      <w:r w:rsidRPr="00F71F85" w:rsidR="0054349C">
        <w:t xml:space="preserve">but </w:t>
      </w:r>
      <w:r w:rsidRPr="00F71F85" w:rsidR="0027491C">
        <w:t>distinguishing</w:t>
      </w:r>
      <w:r w:rsidRPr="00F71F85" w:rsidR="00653975">
        <w:t xml:space="preserve"> the genuine internal deliberations at issue in</w:t>
      </w:r>
      <w:r w:rsidRPr="00F71F85" w:rsidR="0027491C">
        <w:t xml:space="preserve"> </w:t>
      </w:r>
      <w:r w:rsidRPr="00F71F85" w:rsidR="0054349C">
        <w:rPr>
          <w:i/>
          <w:iCs/>
        </w:rPr>
        <w:t>Ech</w:t>
      </w:r>
      <w:r w:rsidRPr="00F71F85" w:rsidR="00653975">
        <w:rPr>
          <w:i/>
          <w:iCs/>
        </w:rPr>
        <w:t>oS</w:t>
      </w:r>
      <w:r w:rsidRPr="00F71F85" w:rsidR="0054349C">
        <w:rPr>
          <w:i/>
          <w:iCs/>
        </w:rPr>
        <w:t>tar</w:t>
      </w:r>
      <w:r w:rsidRPr="00F71F85" w:rsidR="0054349C">
        <w:t>)</w:t>
      </w:r>
      <w:r w:rsidRPr="00F71F85" w:rsidR="005A5A06">
        <w:t xml:space="preserve">; </w:t>
      </w:r>
      <w:r w:rsidRPr="00F71F85" w:rsidR="005A5A06">
        <w:rPr>
          <w:i/>
          <w:iCs/>
        </w:rPr>
        <w:t>s</w:t>
      </w:r>
      <w:r w:rsidRPr="00F71F85" w:rsidR="00A70B47">
        <w:rPr>
          <w:i/>
          <w:iCs/>
        </w:rPr>
        <w:t>ee</w:t>
      </w:r>
      <w:r w:rsidRPr="00F71F85" w:rsidR="00653975">
        <w:rPr>
          <w:i/>
          <w:iCs/>
        </w:rPr>
        <w:t xml:space="preserve"> also</w:t>
      </w:r>
      <w:r w:rsidRPr="00F71F85" w:rsidR="00A70B47">
        <w:rPr>
          <w:i/>
          <w:iCs/>
        </w:rPr>
        <w:t>, e.g.</w:t>
      </w:r>
      <w:r w:rsidRPr="00F71F85" w:rsidR="00A70B47">
        <w:t>,</w:t>
      </w:r>
      <w:r w:rsidRPr="00F71F85" w:rsidR="00864318">
        <w:t xml:space="preserve"> </w:t>
      </w:r>
      <w:r w:rsidRPr="00F71F85" w:rsidR="00864318">
        <w:rPr>
          <w:i/>
          <w:iCs/>
        </w:rPr>
        <w:t>Conn. Light &amp; Power Co. v. Nuclear Regulatory Comm’n</w:t>
      </w:r>
      <w:r w:rsidRPr="00F71F85" w:rsidR="00864318">
        <w:t xml:space="preserve">, 673 </w:t>
      </w:r>
      <w:r w:rsidR="00864318">
        <w:t>F.2d 525, 530</w:t>
      </w:r>
      <w:r w:rsidR="00FB7769">
        <w:t>-32</w:t>
      </w:r>
      <w:r w:rsidR="00864318">
        <w:t xml:space="preserve"> (D.C. Cir. 1982) (finding sufficient disclosure of technical studies where there was “a common store of experience” on which the agency relied in its rulemaking)</w:t>
      </w:r>
      <w:r w:rsidR="003A5A60">
        <w:t>.</w:t>
      </w:r>
    </w:p>
  </w:footnote>
  <w:footnote w:id="19">
    <w:p w:rsidR="00096B75" w:rsidP="00096B75" w14:paraId="1953F689" w14:textId="77777777">
      <w:pPr>
        <w:pStyle w:val="FootnoteText"/>
        <w:spacing w:after="120"/>
      </w:pPr>
      <w:r>
        <w:rPr>
          <w:rStyle w:val="FootnoteReference"/>
        </w:rPr>
        <w:footnoteRef/>
      </w:r>
      <w:r>
        <w:t xml:space="preserve"> </w:t>
      </w:r>
      <w:r>
        <w:rPr>
          <w:rFonts w:eastAsia="Malgun Gothic"/>
          <w:lang w:eastAsia="ko-KR"/>
        </w:rPr>
        <w:t>GTL Oct. 19 Letter at 2.</w:t>
      </w:r>
    </w:p>
  </w:footnote>
  <w:footnote w:id="20">
    <w:p w:rsidR="00A66020" w:rsidP="00A66020" w14:paraId="5F2F6979" w14:textId="77777777">
      <w:pPr>
        <w:pStyle w:val="FootnoteText"/>
        <w:spacing w:after="120"/>
      </w:pPr>
      <w:r>
        <w:rPr>
          <w:rStyle w:val="FootnoteReference"/>
        </w:rPr>
        <w:footnoteRef/>
      </w:r>
      <w:r>
        <w:t xml:space="preserve"> </w:t>
      </w:r>
      <w:r>
        <w:rPr>
          <w:i/>
          <w:iCs/>
        </w:rPr>
        <w:t>See, e.g.</w:t>
      </w:r>
      <w:r>
        <w:t xml:space="preserve">, Letter </w:t>
      </w:r>
      <w:r w:rsidRPr="00750D0E">
        <w:rPr>
          <w:rFonts w:eastAsia="Malgun Gothic"/>
          <w:lang w:eastAsia="ko-KR"/>
        </w:rPr>
        <w:t>from</w:t>
      </w:r>
      <w:r>
        <w:t xml:space="preserve"> </w:t>
      </w:r>
      <w:r w:rsidRPr="007422E8">
        <w:t>Chérie R. Kiser</w:t>
      </w:r>
      <w:r>
        <w:t xml:space="preserve"> and Angela F. Collins, Counsel to GTL, to Marlene H. Dortch, Secretary, FCC, WC Docket No. 12-375 (filed Sept. 14, 2020).  </w:t>
      </w:r>
    </w:p>
  </w:footnote>
  <w:footnote w:id="21">
    <w:p w:rsidR="00E5040C" w:rsidP="009076DD" w14:paraId="7F3CC912" w14:textId="5A407426">
      <w:pPr>
        <w:pStyle w:val="FootnoteText"/>
        <w:spacing w:after="120"/>
      </w:pPr>
      <w:r>
        <w:rPr>
          <w:rStyle w:val="FootnoteReference"/>
        </w:rPr>
        <w:footnoteRef/>
      </w:r>
      <w:r>
        <w:t xml:space="preserve"> </w:t>
      </w:r>
      <w:r w:rsidR="005B70FB">
        <w:t xml:space="preserve">This </w:t>
      </w:r>
      <w:r w:rsidR="006C641F">
        <w:t xml:space="preserve">case </w:t>
      </w:r>
      <w:r w:rsidR="005B70FB">
        <w:t xml:space="preserve">is thus not </w:t>
      </w:r>
      <w:r w:rsidR="006C641F">
        <w:rPr>
          <w:rFonts w:eastAsia="Malgun Gothic"/>
          <w:lang w:eastAsia="ko-KR"/>
        </w:rPr>
        <w:t xml:space="preserve">one </w:t>
      </w:r>
      <w:r w:rsidRPr="00750D0E" w:rsidR="005B70FB">
        <w:rPr>
          <w:rFonts w:eastAsia="Malgun Gothic"/>
          <w:lang w:eastAsia="ko-KR"/>
        </w:rPr>
        <w:t xml:space="preserve">where an agency made a decision based on </w:t>
      </w:r>
      <w:r w:rsidR="00EC35E0">
        <w:rPr>
          <w:rFonts w:eastAsia="Malgun Gothic"/>
          <w:lang w:eastAsia="ko-KR"/>
        </w:rPr>
        <w:t xml:space="preserve">its thinking, its methodologies or </w:t>
      </w:r>
      <w:r w:rsidRPr="00750D0E" w:rsidR="005B70FB">
        <w:rPr>
          <w:rFonts w:eastAsia="Malgun Gothic"/>
          <w:lang w:eastAsia="ko-KR"/>
        </w:rPr>
        <w:t xml:space="preserve">data </w:t>
      </w:r>
      <w:bookmarkStart w:id="1" w:name="_Hlk55310349"/>
      <w:r w:rsidRPr="00750D0E" w:rsidR="005B70FB">
        <w:rPr>
          <w:rFonts w:eastAsia="Malgun Gothic"/>
          <w:lang w:eastAsia="ko-KR"/>
        </w:rPr>
        <w:t>“not included in the administrative record”</w:t>
      </w:r>
      <w:r w:rsidR="001339CB">
        <w:rPr>
          <w:rFonts w:eastAsia="Malgun Gothic"/>
          <w:lang w:eastAsia="ko-KR"/>
        </w:rPr>
        <w:t xml:space="preserve"> </w:t>
      </w:r>
      <w:bookmarkEnd w:id="1"/>
      <w:r w:rsidR="001339CB">
        <w:rPr>
          <w:rFonts w:eastAsia="Malgun Gothic"/>
          <w:lang w:eastAsia="ko-KR"/>
        </w:rPr>
        <w:t xml:space="preserve">or otherwise </w:t>
      </w:r>
      <w:r w:rsidR="004C6B87">
        <w:rPr>
          <w:rFonts w:eastAsia="Malgun Gothic"/>
          <w:lang w:eastAsia="ko-KR"/>
        </w:rPr>
        <w:t xml:space="preserve">readily </w:t>
      </w:r>
      <w:r w:rsidR="001339CB">
        <w:rPr>
          <w:rFonts w:eastAsia="Malgun Gothic"/>
          <w:lang w:eastAsia="ko-KR"/>
        </w:rPr>
        <w:t xml:space="preserve">available to the parties.  </w:t>
      </w:r>
      <w:r w:rsidR="001339CB">
        <w:rPr>
          <w:rFonts w:eastAsia="Malgun Gothic"/>
          <w:i/>
          <w:iCs/>
          <w:lang w:eastAsia="ko-KR"/>
        </w:rPr>
        <w:t xml:space="preserve">See </w:t>
      </w:r>
      <w:bookmarkStart w:id="2" w:name="_Hlk55390798"/>
      <w:r w:rsidRPr="00B050F4" w:rsidR="001339CB">
        <w:rPr>
          <w:i/>
          <w:iCs/>
        </w:rPr>
        <w:t>U.S. Lines, Inc. v. Federal Maritime Commission</w:t>
      </w:r>
      <w:r w:rsidRPr="00B050F4" w:rsidR="001339CB">
        <w:t xml:space="preserve">, 584 F.2d 519, </w:t>
      </w:r>
      <w:r w:rsidR="001339CB">
        <w:t>533-</w:t>
      </w:r>
      <w:r w:rsidRPr="00B050F4" w:rsidR="001339CB">
        <w:t>34 (D.C. Cir. 1978)</w:t>
      </w:r>
      <w:bookmarkEnd w:id="2"/>
      <w:r w:rsidR="00DF2EB7">
        <w:t xml:space="preserve"> </w:t>
      </w:r>
      <w:r w:rsidR="0087277E">
        <w:rPr>
          <w:rFonts w:eastAsia="Malgun Gothic"/>
          <w:lang w:eastAsia="ko-KR"/>
        </w:rPr>
        <w:t>(</w:t>
      </w:r>
      <w:r w:rsidRPr="00D52466" w:rsidR="0087277E">
        <w:rPr>
          <w:rFonts w:eastAsia="Malgun Gothic"/>
          <w:i/>
          <w:iCs/>
          <w:lang w:eastAsia="ko-KR"/>
        </w:rPr>
        <w:t>U.S. Lines v</w:t>
      </w:r>
      <w:r w:rsidR="00DF2EB7">
        <w:rPr>
          <w:rFonts w:eastAsia="Malgun Gothic"/>
          <w:i/>
          <w:iCs/>
          <w:lang w:eastAsia="ko-KR"/>
        </w:rPr>
        <w:t>.</w:t>
      </w:r>
      <w:r w:rsidRPr="00D52466" w:rsidR="0087277E">
        <w:rPr>
          <w:rFonts w:eastAsia="Malgun Gothic"/>
          <w:i/>
          <w:iCs/>
          <w:lang w:eastAsia="ko-KR"/>
        </w:rPr>
        <w:t xml:space="preserve"> Federal Maritime Commission</w:t>
      </w:r>
      <w:r w:rsidR="0087277E">
        <w:rPr>
          <w:rFonts w:eastAsia="Malgun Gothic"/>
          <w:lang w:eastAsia="ko-KR"/>
        </w:rPr>
        <w:t>)</w:t>
      </w:r>
      <w:r w:rsidR="001339CB">
        <w:rPr>
          <w:rFonts w:eastAsia="Malgun Gothic"/>
          <w:lang w:eastAsia="ko-KR"/>
        </w:rPr>
        <w:t xml:space="preserve">; </w:t>
      </w:r>
      <w:r w:rsidRPr="00750D0E" w:rsidR="005B70FB">
        <w:rPr>
          <w:rFonts w:eastAsia="Malgun Gothic"/>
          <w:lang w:eastAsia="ko-KR"/>
        </w:rPr>
        <w:t>GTL</w:t>
      </w:r>
      <w:r w:rsidR="005B70FB">
        <w:t xml:space="preserve"> Sept. 11 Letter at 2 (citing </w:t>
      </w:r>
      <w:r w:rsidRPr="00B050F4" w:rsidR="005B70FB">
        <w:rPr>
          <w:i/>
          <w:iCs/>
        </w:rPr>
        <w:t>U.S. Lines v. Federal Maritime Commission</w:t>
      </w:r>
      <w:r w:rsidR="005B70FB">
        <w:t>)</w:t>
      </w:r>
      <w:r w:rsidR="001339CB">
        <w:t>;</w:t>
      </w:r>
      <w:r w:rsidR="005B70FB">
        <w:t xml:space="preserve"> GTL Oct. 19 Letter at 2 (same).  The record in the ICS proceeding </w:t>
      </w:r>
      <w:r w:rsidR="001339CB">
        <w:t xml:space="preserve">identifies </w:t>
      </w:r>
      <w:r w:rsidR="005B70FB">
        <w:t xml:space="preserve">all data that formed the basis for the Commission’s proposals in the </w:t>
      </w:r>
      <w:r w:rsidR="005B70FB">
        <w:rPr>
          <w:i/>
          <w:iCs/>
        </w:rPr>
        <w:t>Further Notice</w:t>
      </w:r>
      <w:r w:rsidR="001339CB">
        <w:t xml:space="preserve"> and includes all data not readily available from public sources such as the </w:t>
      </w:r>
      <w:r w:rsidR="00981133">
        <w:t>U.S. Census Bureau.</w:t>
      </w:r>
      <w:r w:rsidR="00DF2EB7">
        <w:t xml:space="preserve"> </w:t>
      </w:r>
      <w:r w:rsidR="00981133">
        <w:t xml:space="preserve"> </w:t>
      </w:r>
      <w:r w:rsidR="004C6B87">
        <w:rPr>
          <w:i/>
          <w:iCs/>
        </w:rPr>
        <w:t>See, e.g.</w:t>
      </w:r>
      <w:r w:rsidR="004C6B87">
        <w:t xml:space="preserve">, </w:t>
      </w:r>
      <w:r w:rsidR="004C6B87">
        <w:rPr>
          <w:i/>
          <w:iCs/>
        </w:rPr>
        <w:t xml:space="preserve">Further Notice </w:t>
      </w:r>
      <w:r w:rsidR="004C6B87">
        <w:t xml:space="preserve">at Appendix F, para. 3 </w:t>
      </w:r>
      <w:r w:rsidR="007B5694">
        <w:t>(</w:t>
      </w:r>
      <w:r w:rsidR="004C6B87">
        <w:t xml:space="preserve">using </w:t>
      </w:r>
      <w:r w:rsidR="00B455C6">
        <w:t xml:space="preserve">the most currently available 2010 </w:t>
      </w:r>
      <w:r w:rsidR="004C6B87">
        <w:t>U.S. Census Block Boundaries to classify correctional facilities as urban or rural</w:t>
      </w:r>
      <w:r w:rsidR="007B5694">
        <w:t>)</w:t>
      </w:r>
      <w:r w:rsidR="00273E8A">
        <w:t xml:space="preserve">; </w:t>
      </w:r>
      <w:r w:rsidRPr="00273E8A" w:rsidR="00273E8A">
        <w:t xml:space="preserve">2010 Census Urban and Rural Classification and Urban Area Criteria, </w:t>
      </w:r>
      <w:hyperlink r:id="rId1" w:history="1">
        <w:r w:rsidRPr="009139DA" w:rsidR="009139DA">
          <w:rPr>
            <w:rStyle w:val="Hyperlink"/>
          </w:rPr>
          <w:t>https://www.census.gov/programs-surveys/geography/guidance/geo-areas/urban-rural/2010-urban-rural.html</w:t>
        </w:r>
      </w:hyperlink>
      <w:r w:rsidRPr="00273E8A" w:rsidR="00273E8A">
        <w:t>.</w:t>
      </w:r>
      <w:r w:rsidR="00DF2EB7">
        <w:t xml:space="preserve"> </w:t>
      </w:r>
      <w:r w:rsidR="004C6B87">
        <w:t xml:space="preserve"> </w:t>
      </w:r>
      <w:r w:rsidR="009076DD">
        <w:t xml:space="preserve">We </w:t>
      </w:r>
      <w:r w:rsidR="00B455C6">
        <w:t>decline</w:t>
      </w:r>
      <w:r w:rsidR="006C641F">
        <w:t>, and are not required,</w:t>
      </w:r>
      <w:r w:rsidR="00B455C6">
        <w:t xml:space="preserve"> to </w:t>
      </w:r>
      <w:r w:rsidR="009076DD">
        <w:t>disclos</w:t>
      </w:r>
      <w:r w:rsidR="00B455C6">
        <w:t>e</w:t>
      </w:r>
      <w:r w:rsidR="009076DD">
        <w:t xml:space="preserve"> the particular </w:t>
      </w:r>
      <w:r w:rsidR="00B455C6">
        <w:t xml:space="preserve">commercially available </w:t>
      </w:r>
      <w:r w:rsidR="009076DD">
        <w:t>software th</w:t>
      </w:r>
      <w:r w:rsidR="00DF2EB7">
        <w:t>at</w:t>
      </w:r>
      <w:r w:rsidR="009076DD">
        <w:t xml:space="preserve"> Commission staff used</w:t>
      </w:r>
      <w:r w:rsidR="006C641F">
        <w:t>.  T</w:t>
      </w:r>
      <w:r w:rsidR="009076DD">
        <w:t xml:space="preserve">here are a number of similar products </w:t>
      </w:r>
      <w:r w:rsidR="00933A9A">
        <w:t xml:space="preserve">available in the market and </w:t>
      </w:r>
      <w:r w:rsidR="00E505A0">
        <w:t xml:space="preserve">Commission staff </w:t>
      </w:r>
      <w:r w:rsidR="009076DD">
        <w:t>do</w:t>
      </w:r>
      <w:r w:rsidR="00E505A0">
        <w:t>es</w:t>
      </w:r>
      <w:r w:rsidR="00933A9A">
        <w:t xml:space="preserve"> not</w:t>
      </w:r>
      <w:r w:rsidR="009076DD">
        <w:t xml:space="preserve"> want</w:t>
      </w:r>
      <w:r w:rsidR="00933A9A">
        <w:t xml:space="preserve"> to</w:t>
      </w:r>
      <w:r w:rsidR="00B455C6">
        <w:t xml:space="preserve"> </w:t>
      </w:r>
      <w:r w:rsidR="006C641F">
        <w:t xml:space="preserve">appear to </w:t>
      </w:r>
      <w:r w:rsidR="00933A9A">
        <w:t xml:space="preserve">endorse </w:t>
      </w:r>
      <w:r w:rsidR="00E505A0">
        <w:t xml:space="preserve">or bias </w:t>
      </w:r>
      <w:r w:rsidR="009076DD">
        <w:t xml:space="preserve">the </w:t>
      </w:r>
      <w:r w:rsidR="00E505A0">
        <w:t>commercially</w:t>
      </w:r>
      <w:r w:rsidR="00D869A2">
        <w:t xml:space="preserve"> </w:t>
      </w:r>
      <w:r w:rsidR="00E505A0">
        <w:t xml:space="preserve">available </w:t>
      </w:r>
      <w:r w:rsidR="009076DD">
        <w:t xml:space="preserve">products </w:t>
      </w:r>
      <w:r w:rsidR="00E505A0">
        <w:t xml:space="preserve">it </w:t>
      </w:r>
      <w:r w:rsidR="00E053C8">
        <w:t>relies upon when competing products are available.</w:t>
      </w:r>
      <w:r w:rsidR="009076DD">
        <w:t xml:space="preserve">  I</w:t>
      </w:r>
      <w:r w:rsidR="00933A9A">
        <w:t>ndeed</w:t>
      </w:r>
      <w:r w:rsidR="00E93834">
        <w:t>,</w:t>
      </w:r>
      <w:r w:rsidR="00933A9A">
        <w:t xml:space="preserve"> it would be beneficial for interested parties to use</w:t>
      </w:r>
      <w:r w:rsidR="00E053C8">
        <w:t xml:space="preserve"> other </w:t>
      </w:r>
      <w:r w:rsidR="00E505A0">
        <w:t xml:space="preserve">similar </w:t>
      </w:r>
      <w:r w:rsidR="00E053C8">
        <w:t>commercially</w:t>
      </w:r>
      <w:r w:rsidR="00D869A2">
        <w:t xml:space="preserve"> </w:t>
      </w:r>
      <w:r w:rsidR="00E053C8">
        <w:t xml:space="preserve">available </w:t>
      </w:r>
      <w:r w:rsidR="00E505A0">
        <w:t xml:space="preserve">analytical </w:t>
      </w:r>
      <w:r w:rsidR="00933A9A">
        <w:t xml:space="preserve">software programs of their own choice when replicating the </w:t>
      </w:r>
      <w:r w:rsidR="00E93834">
        <w:t>Commission’s</w:t>
      </w:r>
      <w:r w:rsidR="00933A9A">
        <w:t xml:space="preserve"> analysis as that will best validate the Commission’s analysis and </w:t>
      </w:r>
      <w:r w:rsidR="00140040">
        <w:t xml:space="preserve">its </w:t>
      </w:r>
      <w:r w:rsidR="00933A9A">
        <w:t>proposals based</w:t>
      </w:r>
      <w:r w:rsidR="00140040">
        <w:t xml:space="preserve"> on that analysis</w:t>
      </w:r>
      <w:r w:rsidR="00415E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034" w14:paraId="580144B0" w14:textId="77777777">
    <w:pPr>
      <w:pStyle w:val="Header"/>
    </w:pPr>
  </w:p>
  <w:p w:rsidR="00961828" w:rsidRPr="00C71CB4" w:rsidP="00D470E6" w14:paraId="5927208C" w14:textId="6D01CB3D">
    <w:pPr>
      <w:pStyle w:val="Header"/>
      <w:tabs>
        <w:tab w:val="clear" w:pos="8640"/>
        <w:tab w:val="right" w:pos="9360"/>
      </w:tabs>
      <w:rPr>
        <w:sz w:val="22"/>
        <w:szCs w:val="22"/>
      </w:rPr>
    </w:pPr>
    <w:r w:rsidRPr="00C71CB4">
      <w:rPr>
        <w:sz w:val="22"/>
        <w:szCs w:val="22"/>
      </w:rPr>
      <w:t>November 13, 2020</w:t>
    </w:r>
    <w:r w:rsidRPr="00C71CB4">
      <w:rPr>
        <w:sz w:val="22"/>
        <w:szCs w:val="22"/>
      </w:rPr>
      <w:tab/>
    </w:r>
    <w:r w:rsidR="00D470E6">
      <w:rPr>
        <w:sz w:val="22"/>
        <w:szCs w:val="22"/>
      </w:rPr>
      <w:tab/>
      <w:t xml:space="preserve">             DA 20-1344</w:t>
    </w:r>
    <w:r w:rsidRPr="00C71CB4">
      <w:rPr>
        <w:sz w:val="22"/>
        <w:szCs w:val="22"/>
      </w:rPr>
      <w:tab/>
    </w:r>
    <w:r w:rsidR="00D470E6">
      <w:rPr>
        <w:sz w:val="22"/>
        <w:szCs w:val="22"/>
      </w:rPr>
      <w:t xml:space="preserve">                              </w:t>
    </w:r>
    <w:r w:rsidR="00D470E6">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3508C54" w14:textId="40D629BC">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posOffset>-25400</wp:posOffset>
          </wp:positionH>
          <wp:positionV relativeFrom="margin">
            <wp:posOffset>-1356360</wp:posOffset>
          </wp:positionV>
          <wp:extent cx="82296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58427" name="Picture 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34244636" w14:textId="77777777">
    <w:pPr>
      <w:jc w:val="center"/>
    </w:pPr>
    <w:r>
      <w:rPr>
        <w:rFonts w:ascii="CG Times (W1)" w:hAnsi="CG Times (W1)"/>
        <w:sz w:val="28"/>
      </w:rPr>
      <w:t>Washington, D.C. 20554</w:t>
    </w:r>
  </w:p>
  <w:p w:rsidR="002B54DB" w14:paraId="6EA65B55" w14:textId="77777777">
    <w:pPr>
      <w:pStyle w:val="Header"/>
      <w:tabs>
        <w:tab w:val="clear" w:pos="4320"/>
      </w:tabs>
      <w:jc w:val="center"/>
      <w:rPr>
        <w:sz w:val="22"/>
      </w:rPr>
    </w:pPr>
  </w:p>
  <w:p w:rsidR="002B54DB" w14:paraId="7F0AC449" w14:textId="276F1290">
    <w:pPr>
      <w:pStyle w:val="Header"/>
      <w:tabs>
        <w:tab w:val="clear" w:pos="4320"/>
      </w:tabs>
      <w:jc w:val="center"/>
      <w:rPr>
        <w:sz w:val="22"/>
      </w:rPr>
    </w:pPr>
  </w:p>
  <w:p w:rsidR="00D349F8" w14:paraId="6B27DA7A" w14:textId="72F5750D">
    <w:pPr>
      <w:pStyle w:val="Header"/>
      <w:tabs>
        <w:tab w:val="clear" w:pos="4320"/>
      </w:tabs>
      <w:jc w:val="center"/>
      <w:rPr>
        <w:sz w:val="22"/>
      </w:rPr>
    </w:pPr>
  </w:p>
  <w:p w:rsidR="00D349F8" w14:paraId="4D9861F1" w14:textId="77777777">
    <w:pPr>
      <w:pStyle w:val="Header"/>
      <w:tabs>
        <w:tab w:val="clear" w:pos="4320"/>
      </w:tabs>
      <w:jc w:val="center"/>
      <w:rPr>
        <w:sz w:val="22"/>
      </w:rPr>
    </w:pPr>
  </w:p>
  <w:p w:rsidR="002B54DB" w14:paraId="5B1920D3" w14:textId="75C125DE">
    <w:pPr>
      <w:pStyle w:val="Header"/>
      <w:tabs>
        <w:tab w:val="clear" w:pos="4320"/>
      </w:tabs>
      <w:jc w:val="center"/>
      <w:rPr>
        <w:sz w:val="24"/>
      </w:rPr>
    </w:pPr>
    <w:r>
      <w:rPr>
        <w:sz w:val="24"/>
      </w:rPr>
      <w:t>November 13,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2B098A"/>
    <w:multiLevelType w:val="hybridMultilevel"/>
    <w:tmpl w:val="AD5420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A0207A"/>
    <w:multiLevelType w:val="hybridMultilevel"/>
    <w:tmpl w:val="983A938E"/>
    <w:lvl w:ilvl="0">
      <w:start w:va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4550B19"/>
    <w:multiLevelType w:val="hybridMultilevel"/>
    <w:tmpl w:val="FE603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DA0E21"/>
    <w:multiLevelType w:val="hybridMultilevel"/>
    <w:tmpl w:val="688420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4AC1C81"/>
    <w:multiLevelType w:val="hybridMultilevel"/>
    <w:tmpl w:val="AD5420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F07FFA"/>
    <w:multiLevelType w:val="hybridMultilevel"/>
    <w:tmpl w:val="7FFA42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AD"/>
    <w:rsid w:val="00004692"/>
    <w:rsid w:val="00006255"/>
    <w:rsid w:val="00030B23"/>
    <w:rsid w:val="00030E9B"/>
    <w:rsid w:val="00031844"/>
    <w:rsid w:val="00034FFD"/>
    <w:rsid w:val="000434A7"/>
    <w:rsid w:val="00043783"/>
    <w:rsid w:val="0004435F"/>
    <w:rsid w:val="00047868"/>
    <w:rsid w:val="00055739"/>
    <w:rsid w:val="00063B08"/>
    <w:rsid w:val="00063CB9"/>
    <w:rsid w:val="00064836"/>
    <w:rsid w:val="00065992"/>
    <w:rsid w:val="00066F68"/>
    <w:rsid w:val="0007650A"/>
    <w:rsid w:val="000845EE"/>
    <w:rsid w:val="00093D3E"/>
    <w:rsid w:val="00096B75"/>
    <w:rsid w:val="000A3175"/>
    <w:rsid w:val="000A3F81"/>
    <w:rsid w:val="000B655B"/>
    <w:rsid w:val="000D2F3B"/>
    <w:rsid w:val="000D43D7"/>
    <w:rsid w:val="000D5B01"/>
    <w:rsid w:val="000D656C"/>
    <w:rsid w:val="000E129E"/>
    <w:rsid w:val="000F0A99"/>
    <w:rsid w:val="000F4256"/>
    <w:rsid w:val="000F5176"/>
    <w:rsid w:val="000F7B38"/>
    <w:rsid w:val="001071BD"/>
    <w:rsid w:val="001211D3"/>
    <w:rsid w:val="00121B0E"/>
    <w:rsid w:val="001221DE"/>
    <w:rsid w:val="00122C0A"/>
    <w:rsid w:val="0012556B"/>
    <w:rsid w:val="0012759A"/>
    <w:rsid w:val="001276C7"/>
    <w:rsid w:val="001339CB"/>
    <w:rsid w:val="00140040"/>
    <w:rsid w:val="0014246F"/>
    <w:rsid w:val="0014473E"/>
    <w:rsid w:val="00152AED"/>
    <w:rsid w:val="00154F4A"/>
    <w:rsid w:val="001642A5"/>
    <w:rsid w:val="00165757"/>
    <w:rsid w:val="0017119B"/>
    <w:rsid w:val="00177708"/>
    <w:rsid w:val="00183FAD"/>
    <w:rsid w:val="00190029"/>
    <w:rsid w:val="001915E4"/>
    <w:rsid w:val="001940E6"/>
    <w:rsid w:val="001944CF"/>
    <w:rsid w:val="00197087"/>
    <w:rsid w:val="00197DE4"/>
    <w:rsid w:val="001A7F10"/>
    <w:rsid w:val="001B2873"/>
    <w:rsid w:val="001B53AC"/>
    <w:rsid w:val="001B6616"/>
    <w:rsid w:val="001C760E"/>
    <w:rsid w:val="001D21C3"/>
    <w:rsid w:val="001D2F9F"/>
    <w:rsid w:val="001D4F3D"/>
    <w:rsid w:val="001D6D69"/>
    <w:rsid w:val="001E21A5"/>
    <w:rsid w:val="001E2510"/>
    <w:rsid w:val="001E29B3"/>
    <w:rsid w:val="001E3715"/>
    <w:rsid w:val="001E7A9C"/>
    <w:rsid w:val="001F62C7"/>
    <w:rsid w:val="002043B5"/>
    <w:rsid w:val="00204CE3"/>
    <w:rsid w:val="002123B9"/>
    <w:rsid w:val="00213C31"/>
    <w:rsid w:val="00217779"/>
    <w:rsid w:val="0022007C"/>
    <w:rsid w:val="0022485E"/>
    <w:rsid w:val="002307D2"/>
    <w:rsid w:val="00230C2A"/>
    <w:rsid w:val="002338E7"/>
    <w:rsid w:val="00234455"/>
    <w:rsid w:val="002371A9"/>
    <w:rsid w:val="0024083D"/>
    <w:rsid w:val="00240AF1"/>
    <w:rsid w:val="002410B1"/>
    <w:rsid w:val="00245756"/>
    <w:rsid w:val="00254684"/>
    <w:rsid w:val="00261948"/>
    <w:rsid w:val="002641C7"/>
    <w:rsid w:val="002649D5"/>
    <w:rsid w:val="002706F2"/>
    <w:rsid w:val="00273E8A"/>
    <w:rsid w:val="0027491C"/>
    <w:rsid w:val="00284F66"/>
    <w:rsid w:val="00290D4B"/>
    <w:rsid w:val="002949BA"/>
    <w:rsid w:val="002952D5"/>
    <w:rsid w:val="0029565D"/>
    <w:rsid w:val="002A5B24"/>
    <w:rsid w:val="002B43C6"/>
    <w:rsid w:val="002B54DB"/>
    <w:rsid w:val="002C249F"/>
    <w:rsid w:val="002C31A7"/>
    <w:rsid w:val="002C4CB5"/>
    <w:rsid w:val="002C75EC"/>
    <w:rsid w:val="002C7C4E"/>
    <w:rsid w:val="002D1ED9"/>
    <w:rsid w:val="002D3F1B"/>
    <w:rsid w:val="002D794C"/>
    <w:rsid w:val="002E28E4"/>
    <w:rsid w:val="002E2FE9"/>
    <w:rsid w:val="002F16D6"/>
    <w:rsid w:val="003002BE"/>
    <w:rsid w:val="003020C3"/>
    <w:rsid w:val="0030521C"/>
    <w:rsid w:val="00307A2A"/>
    <w:rsid w:val="00311074"/>
    <w:rsid w:val="003116A2"/>
    <w:rsid w:val="00316042"/>
    <w:rsid w:val="00332B19"/>
    <w:rsid w:val="003333EA"/>
    <w:rsid w:val="00343F3A"/>
    <w:rsid w:val="00352C70"/>
    <w:rsid w:val="003531AC"/>
    <w:rsid w:val="00353DC3"/>
    <w:rsid w:val="003547A3"/>
    <w:rsid w:val="003570BD"/>
    <w:rsid w:val="003653BE"/>
    <w:rsid w:val="00365E63"/>
    <w:rsid w:val="00392213"/>
    <w:rsid w:val="003A5A60"/>
    <w:rsid w:val="003A7AE9"/>
    <w:rsid w:val="003B26D0"/>
    <w:rsid w:val="003B2FC2"/>
    <w:rsid w:val="003B6AD4"/>
    <w:rsid w:val="003C077D"/>
    <w:rsid w:val="003C3272"/>
    <w:rsid w:val="003C6558"/>
    <w:rsid w:val="003D2B64"/>
    <w:rsid w:val="003E0016"/>
    <w:rsid w:val="003E18AC"/>
    <w:rsid w:val="003E5173"/>
    <w:rsid w:val="003E5A99"/>
    <w:rsid w:val="003E6D9A"/>
    <w:rsid w:val="003F34CB"/>
    <w:rsid w:val="004027FD"/>
    <w:rsid w:val="00405C9C"/>
    <w:rsid w:val="00412F94"/>
    <w:rsid w:val="004138B0"/>
    <w:rsid w:val="00414BAC"/>
    <w:rsid w:val="00415933"/>
    <w:rsid w:val="00415E35"/>
    <w:rsid w:val="00420BA2"/>
    <w:rsid w:val="004247DD"/>
    <w:rsid w:val="0042561A"/>
    <w:rsid w:val="00427AFD"/>
    <w:rsid w:val="00431828"/>
    <w:rsid w:val="00437EB1"/>
    <w:rsid w:val="00440315"/>
    <w:rsid w:val="00440E5D"/>
    <w:rsid w:val="00442A1B"/>
    <w:rsid w:val="00445A4B"/>
    <w:rsid w:val="00451E11"/>
    <w:rsid w:val="004577DE"/>
    <w:rsid w:val="004618D4"/>
    <w:rsid w:val="004658AB"/>
    <w:rsid w:val="00467399"/>
    <w:rsid w:val="00473F86"/>
    <w:rsid w:val="00485267"/>
    <w:rsid w:val="00486468"/>
    <w:rsid w:val="00487D8A"/>
    <w:rsid w:val="0049160C"/>
    <w:rsid w:val="004A420F"/>
    <w:rsid w:val="004A5F81"/>
    <w:rsid w:val="004A670E"/>
    <w:rsid w:val="004A7689"/>
    <w:rsid w:val="004C482E"/>
    <w:rsid w:val="004C583F"/>
    <w:rsid w:val="004C6B87"/>
    <w:rsid w:val="004C6E40"/>
    <w:rsid w:val="004D2683"/>
    <w:rsid w:val="004D3B53"/>
    <w:rsid w:val="004D5124"/>
    <w:rsid w:val="004D54AF"/>
    <w:rsid w:val="004E0435"/>
    <w:rsid w:val="004E3149"/>
    <w:rsid w:val="004E58B2"/>
    <w:rsid w:val="004E6ACE"/>
    <w:rsid w:val="004E727E"/>
    <w:rsid w:val="004F176C"/>
    <w:rsid w:val="004F2B04"/>
    <w:rsid w:val="004F4FE3"/>
    <w:rsid w:val="00504E13"/>
    <w:rsid w:val="0050516A"/>
    <w:rsid w:val="00506CC7"/>
    <w:rsid w:val="00513C82"/>
    <w:rsid w:val="00513CB9"/>
    <w:rsid w:val="00513F99"/>
    <w:rsid w:val="00514B99"/>
    <w:rsid w:val="005174AD"/>
    <w:rsid w:val="00521307"/>
    <w:rsid w:val="005224F2"/>
    <w:rsid w:val="00523D93"/>
    <w:rsid w:val="0052645C"/>
    <w:rsid w:val="00535814"/>
    <w:rsid w:val="005379AF"/>
    <w:rsid w:val="00540ABB"/>
    <w:rsid w:val="0054349C"/>
    <w:rsid w:val="00562119"/>
    <w:rsid w:val="0056259F"/>
    <w:rsid w:val="00566927"/>
    <w:rsid w:val="005724F7"/>
    <w:rsid w:val="00574C2A"/>
    <w:rsid w:val="00580DAF"/>
    <w:rsid w:val="0058163B"/>
    <w:rsid w:val="005825A8"/>
    <w:rsid w:val="00583259"/>
    <w:rsid w:val="005837BB"/>
    <w:rsid w:val="00584D20"/>
    <w:rsid w:val="005858FF"/>
    <w:rsid w:val="005916FF"/>
    <w:rsid w:val="00595710"/>
    <w:rsid w:val="005A1A2B"/>
    <w:rsid w:val="005A5A06"/>
    <w:rsid w:val="005B0F45"/>
    <w:rsid w:val="005B668D"/>
    <w:rsid w:val="005B70FB"/>
    <w:rsid w:val="005C1371"/>
    <w:rsid w:val="005C669E"/>
    <w:rsid w:val="005C7193"/>
    <w:rsid w:val="005E074C"/>
    <w:rsid w:val="005E2927"/>
    <w:rsid w:val="005E79FD"/>
    <w:rsid w:val="005F6564"/>
    <w:rsid w:val="005F71CA"/>
    <w:rsid w:val="00604557"/>
    <w:rsid w:val="00612765"/>
    <w:rsid w:val="006209A0"/>
    <w:rsid w:val="00621F05"/>
    <w:rsid w:val="0062261C"/>
    <w:rsid w:val="0062368E"/>
    <w:rsid w:val="00626913"/>
    <w:rsid w:val="00627FAE"/>
    <w:rsid w:val="006320B3"/>
    <w:rsid w:val="00635A45"/>
    <w:rsid w:val="006378EB"/>
    <w:rsid w:val="00637BDD"/>
    <w:rsid w:val="006437E0"/>
    <w:rsid w:val="00646D2A"/>
    <w:rsid w:val="00647073"/>
    <w:rsid w:val="0065169E"/>
    <w:rsid w:val="00653975"/>
    <w:rsid w:val="00653CB6"/>
    <w:rsid w:val="006556B0"/>
    <w:rsid w:val="00660E56"/>
    <w:rsid w:val="006707C4"/>
    <w:rsid w:val="006712B7"/>
    <w:rsid w:val="0067382C"/>
    <w:rsid w:val="00680337"/>
    <w:rsid w:val="00680E6A"/>
    <w:rsid w:val="006818C9"/>
    <w:rsid w:val="00681F41"/>
    <w:rsid w:val="0068378C"/>
    <w:rsid w:val="00684B72"/>
    <w:rsid w:val="00685232"/>
    <w:rsid w:val="006867BD"/>
    <w:rsid w:val="0069174C"/>
    <w:rsid w:val="00692F61"/>
    <w:rsid w:val="006940B3"/>
    <w:rsid w:val="00694A60"/>
    <w:rsid w:val="00694C1F"/>
    <w:rsid w:val="006A3C7B"/>
    <w:rsid w:val="006B0827"/>
    <w:rsid w:val="006C2E71"/>
    <w:rsid w:val="006C641F"/>
    <w:rsid w:val="006C6C0D"/>
    <w:rsid w:val="006C76C6"/>
    <w:rsid w:val="006D7BA5"/>
    <w:rsid w:val="006E0ACB"/>
    <w:rsid w:val="006F092D"/>
    <w:rsid w:val="006F5A73"/>
    <w:rsid w:val="006F6827"/>
    <w:rsid w:val="00702B07"/>
    <w:rsid w:val="0071021F"/>
    <w:rsid w:val="007104ED"/>
    <w:rsid w:val="00714C71"/>
    <w:rsid w:val="00716CD7"/>
    <w:rsid w:val="0072096F"/>
    <w:rsid w:val="0072292A"/>
    <w:rsid w:val="00726175"/>
    <w:rsid w:val="00730A0F"/>
    <w:rsid w:val="00732FCE"/>
    <w:rsid w:val="00737EC9"/>
    <w:rsid w:val="007422E8"/>
    <w:rsid w:val="00750B17"/>
    <w:rsid w:val="00750D0E"/>
    <w:rsid w:val="00752706"/>
    <w:rsid w:val="00755855"/>
    <w:rsid w:val="00755EC0"/>
    <w:rsid w:val="00761B93"/>
    <w:rsid w:val="00767AC5"/>
    <w:rsid w:val="0077332A"/>
    <w:rsid w:val="007733FA"/>
    <w:rsid w:val="00774EDA"/>
    <w:rsid w:val="00776E74"/>
    <w:rsid w:val="007801F4"/>
    <w:rsid w:val="00782550"/>
    <w:rsid w:val="00783B92"/>
    <w:rsid w:val="00786A3F"/>
    <w:rsid w:val="00791B13"/>
    <w:rsid w:val="00794545"/>
    <w:rsid w:val="00796469"/>
    <w:rsid w:val="007B1825"/>
    <w:rsid w:val="007B2EE2"/>
    <w:rsid w:val="007B3B1B"/>
    <w:rsid w:val="007B407F"/>
    <w:rsid w:val="007B5694"/>
    <w:rsid w:val="007B5776"/>
    <w:rsid w:val="007C552E"/>
    <w:rsid w:val="007D4690"/>
    <w:rsid w:val="007D4B55"/>
    <w:rsid w:val="007D6C80"/>
    <w:rsid w:val="007E2E53"/>
    <w:rsid w:val="007E5C96"/>
    <w:rsid w:val="007E64AF"/>
    <w:rsid w:val="007E7765"/>
    <w:rsid w:val="007E7EA5"/>
    <w:rsid w:val="007F5B32"/>
    <w:rsid w:val="007F7578"/>
    <w:rsid w:val="008009DB"/>
    <w:rsid w:val="00800EDC"/>
    <w:rsid w:val="00804624"/>
    <w:rsid w:val="00804AB6"/>
    <w:rsid w:val="00812944"/>
    <w:rsid w:val="00812F2C"/>
    <w:rsid w:val="00815890"/>
    <w:rsid w:val="00815EBA"/>
    <w:rsid w:val="00820938"/>
    <w:rsid w:val="00821457"/>
    <w:rsid w:val="00825877"/>
    <w:rsid w:val="00831977"/>
    <w:rsid w:val="00833CD1"/>
    <w:rsid w:val="0083587C"/>
    <w:rsid w:val="008411AE"/>
    <w:rsid w:val="00847445"/>
    <w:rsid w:val="008570DB"/>
    <w:rsid w:val="00861500"/>
    <w:rsid w:val="00863E7D"/>
    <w:rsid w:val="00864318"/>
    <w:rsid w:val="00865D56"/>
    <w:rsid w:val="00867EB1"/>
    <w:rsid w:val="008722DB"/>
    <w:rsid w:val="0087277E"/>
    <w:rsid w:val="00875F46"/>
    <w:rsid w:val="00883D53"/>
    <w:rsid w:val="00892E70"/>
    <w:rsid w:val="00895527"/>
    <w:rsid w:val="008A182C"/>
    <w:rsid w:val="008A3210"/>
    <w:rsid w:val="008A44BA"/>
    <w:rsid w:val="008A4A61"/>
    <w:rsid w:val="008A4A73"/>
    <w:rsid w:val="008A54A4"/>
    <w:rsid w:val="008B106C"/>
    <w:rsid w:val="008B6F04"/>
    <w:rsid w:val="008C1CD7"/>
    <w:rsid w:val="008C6175"/>
    <w:rsid w:val="008D063F"/>
    <w:rsid w:val="008D4C60"/>
    <w:rsid w:val="008D66A4"/>
    <w:rsid w:val="008E3DAD"/>
    <w:rsid w:val="008E4195"/>
    <w:rsid w:val="008F1127"/>
    <w:rsid w:val="009071F4"/>
    <w:rsid w:val="009075A9"/>
    <w:rsid w:val="009076DD"/>
    <w:rsid w:val="009139DA"/>
    <w:rsid w:val="00916CE3"/>
    <w:rsid w:val="00927796"/>
    <w:rsid w:val="00927B04"/>
    <w:rsid w:val="00930973"/>
    <w:rsid w:val="00933A9A"/>
    <w:rsid w:val="009346D1"/>
    <w:rsid w:val="009359F7"/>
    <w:rsid w:val="009437EF"/>
    <w:rsid w:val="009442C3"/>
    <w:rsid w:val="00951034"/>
    <w:rsid w:val="0095117C"/>
    <w:rsid w:val="009549BB"/>
    <w:rsid w:val="00957E26"/>
    <w:rsid w:val="00961828"/>
    <w:rsid w:val="00963AA7"/>
    <w:rsid w:val="00964557"/>
    <w:rsid w:val="00972BA5"/>
    <w:rsid w:val="009801C4"/>
    <w:rsid w:val="00980812"/>
    <w:rsid w:val="00981133"/>
    <w:rsid w:val="009817F3"/>
    <w:rsid w:val="00990763"/>
    <w:rsid w:val="009921B9"/>
    <w:rsid w:val="00992FB9"/>
    <w:rsid w:val="00995D27"/>
    <w:rsid w:val="009A1EFA"/>
    <w:rsid w:val="009A3B06"/>
    <w:rsid w:val="009A45A9"/>
    <w:rsid w:val="009A4921"/>
    <w:rsid w:val="009A6655"/>
    <w:rsid w:val="009B1C6A"/>
    <w:rsid w:val="009B7FFB"/>
    <w:rsid w:val="009C33CC"/>
    <w:rsid w:val="009C77F5"/>
    <w:rsid w:val="009D06B8"/>
    <w:rsid w:val="009D2207"/>
    <w:rsid w:val="009D42A6"/>
    <w:rsid w:val="009E7474"/>
    <w:rsid w:val="009F13BD"/>
    <w:rsid w:val="009F2BA5"/>
    <w:rsid w:val="009F6D69"/>
    <w:rsid w:val="00A07A2D"/>
    <w:rsid w:val="00A1050A"/>
    <w:rsid w:val="00A120C2"/>
    <w:rsid w:val="00A12941"/>
    <w:rsid w:val="00A13FC9"/>
    <w:rsid w:val="00A24440"/>
    <w:rsid w:val="00A4170E"/>
    <w:rsid w:val="00A44529"/>
    <w:rsid w:val="00A457BE"/>
    <w:rsid w:val="00A46F8B"/>
    <w:rsid w:val="00A47606"/>
    <w:rsid w:val="00A476E2"/>
    <w:rsid w:val="00A52CAE"/>
    <w:rsid w:val="00A5538C"/>
    <w:rsid w:val="00A56EFE"/>
    <w:rsid w:val="00A600AA"/>
    <w:rsid w:val="00A642EE"/>
    <w:rsid w:val="00A66020"/>
    <w:rsid w:val="00A70B47"/>
    <w:rsid w:val="00A72E99"/>
    <w:rsid w:val="00A75216"/>
    <w:rsid w:val="00A76D13"/>
    <w:rsid w:val="00A778E7"/>
    <w:rsid w:val="00A779FB"/>
    <w:rsid w:val="00A82800"/>
    <w:rsid w:val="00A85467"/>
    <w:rsid w:val="00A85C7D"/>
    <w:rsid w:val="00A95730"/>
    <w:rsid w:val="00AA01B2"/>
    <w:rsid w:val="00AA358D"/>
    <w:rsid w:val="00AB4707"/>
    <w:rsid w:val="00AB4BBC"/>
    <w:rsid w:val="00AB5914"/>
    <w:rsid w:val="00AB62B7"/>
    <w:rsid w:val="00AB7943"/>
    <w:rsid w:val="00AC3795"/>
    <w:rsid w:val="00AC3D8F"/>
    <w:rsid w:val="00AC5E09"/>
    <w:rsid w:val="00AC7F3D"/>
    <w:rsid w:val="00AE50FC"/>
    <w:rsid w:val="00AE5FC3"/>
    <w:rsid w:val="00AF00A6"/>
    <w:rsid w:val="00AF1E2F"/>
    <w:rsid w:val="00AF4A34"/>
    <w:rsid w:val="00AF6942"/>
    <w:rsid w:val="00B04ED5"/>
    <w:rsid w:val="00B050F4"/>
    <w:rsid w:val="00B07C62"/>
    <w:rsid w:val="00B10DFF"/>
    <w:rsid w:val="00B12FF0"/>
    <w:rsid w:val="00B22FD1"/>
    <w:rsid w:val="00B30FCB"/>
    <w:rsid w:val="00B32FD4"/>
    <w:rsid w:val="00B333CE"/>
    <w:rsid w:val="00B4493A"/>
    <w:rsid w:val="00B455C6"/>
    <w:rsid w:val="00B47C22"/>
    <w:rsid w:val="00B5130C"/>
    <w:rsid w:val="00B53BD8"/>
    <w:rsid w:val="00B53CF4"/>
    <w:rsid w:val="00B560ED"/>
    <w:rsid w:val="00B565EC"/>
    <w:rsid w:val="00B56837"/>
    <w:rsid w:val="00B604C2"/>
    <w:rsid w:val="00B63225"/>
    <w:rsid w:val="00B650FE"/>
    <w:rsid w:val="00B67E47"/>
    <w:rsid w:val="00B73E5A"/>
    <w:rsid w:val="00B8402E"/>
    <w:rsid w:val="00B91746"/>
    <w:rsid w:val="00B92161"/>
    <w:rsid w:val="00B95DB1"/>
    <w:rsid w:val="00BA2C71"/>
    <w:rsid w:val="00BA32AD"/>
    <w:rsid w:val="00BA7314"/>
    <w:rsid w:val="00BB041C"/>
    <w:rsid w:val="00BB2571"/>
    <w:rsid w:val="00BC31FE"/>
    <w:rsid w:val="00BD001E"/>
    <w:rsid w:val="00BD1834"/>
    <w:rsid w:val="00BD2D76"/>
    <w:rsid w:val="00BD3468"/>
    <w:rsid w:val="00BD3483"/>
    <w:rsid w:val="00BD3E8B"/>
    <w:rsid w:val="00BD6225"/>
    <w:rsid w:val="00BE03A9"/>
    <w:rsid w:val="00BE04C7"/>
    <w:rsid w:val="00BE0B8A"/>
    <w:rsid w:val="00BE1B01"/>
    <w:rsid w:val="00BE34B2"/>
    <w:rsid w:val="00BF23C5"/>
    <w:rsid w:val="00C008C6"/>
    <w:rsid w:val="00C018B5"/>
    <w:rsid w:val="00C02C6C"/>
    <w:rsid w:val="00C03DCB"/>
    <w:rsid w:val="00C05EB3"/>
    <w:rsid w:val="00C173F5"/>
    <w:rsid w:val="00C25F9F"/>
    <w:rsid w:val="00C27391"/>
    <w:rsid w:val="00C27A1F"/>
    <w:rsid w:val="00C3044A"/>
    <w:rsid w:val="00C30CA5"/>
    <w:rsid w:val="00C3617C"/>
    <w:rsid w:val="00C42EFB"/>
    <w:rsid w:val="00C4397E"/>
    <w:rsid w:val="00C47839"/>
    <w:rsid w:val="00C53420"/>
    <w:rsid w:val="00C540D8"/>
    <w:rsid w:val="00C54C3F"/>
    <w:rsid w:val="00C57DF1"/>
    <w:rsid w:val="00C61214"/>
    <w:rsid w:val="00C65914"/>
    <w:rsid w:val="00C7066F"/>
    <w:rsid w:val="00C71CB4"/>
    <w:rsid w:val="00C75090"/>
    <w:rsid w:val="00C75635"/>
    <w:rsid w:val="00C76AAD"/>
    <w:rsid w:val="00C80970"/>
    <w:rsid w:val="00C81BF3"/>
    <w:rsid w:val="00C81F9C"/>
    <w:rsid w:val="00CA6EA2"/>
    <w:rsid w:val="00CB3B06"/>
    <w:rsid w:val="00CB73E7"/>
    <w:rsid w:val="00CC68B0"/>
    <w:rsid w:val="00CD0734"/>
    <w:rsid w:val="00CD07BB"/>
    <w:rsid w:val="00CD36DB"/>
    <w:rsid w:val="00CD4E3F"/>
    <w:rsid w:val="00CD53EE"/>
    <w:rsid w:val="00CE3348"/>
    <w:rsid w:val="00CE497F"/>
    <w:rsid w:val="00CF2796"/>
    <w:rsid w:val="00CF4273"/>
    <w:rsid w:val="00D02A6F"/>
    <w:rsid w:val="00D056FD"/>
    <w:rsid w:val="00D1457D"/>
    <w:rsid w:val="00D15CD5"/>
    <w:rsid w:val="00D21916"/>
    <w:rsid w:val="00D23494"/>
    <w:rsid w:val="00D2374C"/>
    <w:rsid w:val="00D25D80"/>
    <w:rsid w:val="00D3073F"/>
    <w:rsid w:val="00D32D48"/>
    <w:rsid w:val="00D349F8"/>
    <w:rsid w:val="00D36E2A"/>
    <w:rsid w:val="00D470E6"/>
    <w:rsid w:val="00D509AB"/>
    <w:rsid w:val="00D51602"/>
    <w:rsid w:val="00D52466"/>
    <w:rsid w:val="00D631AD"/>
    <w:rsid w:val="00D63BB8"/>
    <w:rsid w:val="00D67875"/>
    <w:rsid w:val="00D726DB"/>
    <w:rsid w:val="00D76024"/>
    <w:rsid w:val="00D76C71"/>
    <w:rsid w:val="00D8151C"/>
    <w:rsid w:val="00D815F2"/>
    <w:rsid w:val="00D81A5C"/>
    <w:rsid w:val="00D869A2"/>
    <w:rsid w:val="00D929F7"/>
    <w:rsid w:val="00D94E62"/>
    <w:rsid w:val="00D9510B"/>
    <w:rsid w:val="00D97D0D"/>
    <w:rsid w:val="00DA5343"/>
    <w:rsid w:val="00DA572B"/>
    <w:rsid w:val="00DA6DDA"/>
    <w:rsid w:val="00DB775A"/>
    <w:rsid w:val="00DC100E"/>
    <w:rsid w:val="00DC6281"/>
    <w:rsid w:val="00DC6FEC"/>
    <w:rsid w:val="00DC7997"/>
    <w:rsid w:val="00DD1059"/>
    <w:rsid w:val="00DD2CD5"/>
    <w:rsid w:val="00DD5AB6"/>
    <w:rsid w:val="00DD6B3A"/>
    <w:rsid w:val="00DE0182"/>
    <w:rsid w:val="00DE116C"/>
    <w:rsid w:val="00DE3534"/>
    <w:rsid w:val="00DE622D"/>
    <w:rsid w:val="00DF2D08"/>
    <w:rsid w:val="00DF2EB7"/>
    <w:rsid w:val="00DF74D5"/>
    <w:rsid w:val="00E022FB"/>
    <w:rsid w:val="00E053C8"/>
    <w:rsid w:val="00E15F71"/>
    <w:rsid w:val="00E162A6"/>
    <w:rsid w:val="00E23E74"/>
    <w:rsid w:val="00E27F14"/>
    <w:rsid w:val="00E365A5"/>
    <w:rsid w:val="00E37BCC"/>
    <w:rsid w:val="00E439B4"/>
    <w:rsid w:val="00E46FA1"/>
    <w:rsid w:val="00E5040C"/>
    <w:rsid w:val="00E505A0"/>
    <w:rsid w:val="00E528ED"/>
    <w:rsid w:val="00E57617"/>
    <w:rsid w:val="00E63B03"/>
    <w:rsid w:val="00E63D15"/>
    <w:rsid w:val="00E66748"/>
    <w:rsid w:val="00E712E2"/>
    <w:rsid w:val="00E719DF"/>
    <w:rsid w:val="00E7507E"/>
    <w:rsid w:val="00E76F2C"/>
    <w:rsid w:val="00E821CB"/>
    <w:rsid w:val="00E9073C"/>
    <w:rsid w:val="00E91E92"/>
    <w:rsid w:val="00E92E2B"/>
    <w:rsid w:val="00E93834"/>
    <w:rsid w:val="00E94073"/>
    <w:rsid w:val="00E95871"/>
    <w:rsid w:val="00EA2400"/>
    <w:rsid w:val="00EA7213"/>
    <w:rsid w:val="00EB4A2D"/>
    <w:rsid w:val="00EB6C99"/>
    <w:rsid w:val="00EB7635"/>
    <w:rsid w:val="00EC0399"/>
    <w:rsid w:val="00EC0CDF"/>
    <w:rsid w:val="00EC35E0"/>
    <w:rsid w:val="00ED5814"/>
    <w:rsid w:val="00ED5AA5"/>
    <w:rsid w:val="00EE4A48"/>
    <w:rsid w:val="00EE5C6E"/>
    <w:rsid w:val="00EF3FEC"/>
    <w:rsid w:val="00EF6039"/>
    <w:rsid w:val="00F00094"/>
    <w:rsid w:val="00F01360"/>
    <w:rsid w:val="00F04DDB"/>
    <w:rsid w:val="00F05D09"/>
    <w:rsid w:val="00F1763E"/>
    <w:rsid w:val="00F26788"/>
    <w:rsid w:val="00F27BDA"/>
    <w:rsid w:val="00F30544"/>
    <w:rsid w:val="00F30671"/>
    <w:rsid w:val="00F30BD2"/>
    <w:rsid w:val="00F32DCC"/>
    <w:rsid w:val="00F33717"/>
    <w:rsid w:val="00F36844"/>
    <w:rsid w:val="00F41BB5"/>
    <w:rsid w:val="00F42DE7"/>
    <w:rsid w:val="00F42F2D"/>
    <w:rsid w:val="00F476D7"/>
    <w:rsid w:val="00F52FFB"/>
    <w:rsid w:val="00F558F7"/>
    <w:rsid w:val="00F57B16"/>
    <w:rsid w:val="00F6176E"/>
    <w:rsid w:val="00F6481F"/>
    <w:rsid w:val="00F66512"/>
    <w:rsid w:val="00F67EA7"/>
    <w:rsid w:val="00F71F85"/>
    <w:rsid w:val="00F73869"/>
    <w:rsid w:val="00F8161A"/>
    <w:rsid w:val="00F831EB"/>
    <w:rsid w:val="00F905ED"/>
    <w:rsid w:val="00F9285E"/>
    <w:rsid w:val="00F946D3"/>
    <w:rsid w:val="00F96426"/>
    <w:rsid w:val="00FA0EFF"/>
    <w:rsid w:val="00FA1487"/>
    <w:rsid w:val="00FA6551"/>
    <w:rsid w:val="00FB2BB8"/>
    <w:rsid w:val="00FB7769"/>
    <w:rsid w:val="00FB7EDA"/>
    <w:rsid w:val="00FC56CC"/>
    <w:rsid w:val="00FC5790"/>
    <w:rsid w:val="00FC5F5C"/>
    <w:rsid w:val="00FD09CF"/>
    <w:rsid w:val="00FD256A"/>
    <w:rsid w:val="00FD3D2D"/>
    <w:rsid w:val="00FE2406"/>
    <w:rsid w:val="00FE2AA2"/>
    <w:rsid w:val="00FE420B"/>
    <w:rsid w:val="00FE62EE"/>
    <w:rsid w:val="00FE69B3"/>
    <w:rsid w:val="00FF1F15"/>
    <w:rsid w:val="00FF368C"/>
    <w:rsid w:val="00FF55A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basedOn w:val="Normal"/>
    <w:link w:val="FootnoteTextChar"/>
    <w:unhideWhenUsed/>
    <w:rsid w:val="00C76AAD"/>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basedOn w:val="DefaultParagraphFont"/>
    <w:link w:val="FootnoteText"/>
    <w:uiPriority w:val="99"/>
    <w:rsid w:val="00C76AA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nhideWhenUsed/>
    <w:rsid w:val="00C76AAD"/>
    <w:rPr>
      <w:vertAlign w:val="superscript"/>
    </w:rPr>
  </w:style>
  <w:style w:type="character" w:styleId="Hyperlink">
    <w:name w:val="Hyperlink"/>
    <w:unhideWhenUsed/>
    <w:rsid w:val="00C76AAD"/>
    <w:rPr>
      <w:color w:val="0000FF"/>
      <w:u w:val="single"/>
    </w:rPr>
  </w:style>
  <w:style w:type="character" w:customStyle="1" w:styleId="FooterChar">
    <w:name w:val="Footer Char"/>
    <w:link w:val="Footer"/>
    <w:uiPriority w:val="99"/>
    <w:rsid w:val="00C76AAD"/>
  </w:style>
  <w:style w:type="paragraph" w:styleId="ListParagraph">
    <w:name w:val="List Paragraph"/>
    <w:basedOn w:val="Normal"/>
    <w:uiPriority w:val="34"/>
    <w:qFormat/>
    <w:rsid w:val="00C76AAD"/>
    <w:pPr>
      <w:ind w:left="720"/>
    </w:p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
    <w:rsid w:val="00E57617"/>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122C0A"/>
    <w:rPr>
      <w:color w:val="605E5C"/>
      <w:shd w:val="clear" w:color="auto" w:fill="E1DFDD"/>
    </w:rPr>
  </w:style>
  <w:style w:type="paragraph" w:customStyle="1" w:styleId="footnotedescription">
    <w:name w:val="footnote description"/>
    <w:next w:val="Normal"/>
    <w:link w:val="footnotedescriptionChar"/>
    <w:hidden/>
    <w:rsid w:val="00F26788"/>
    <w:pPr>
      <w:spacing w:after="113" w:line="243" w:lineRule="auto"/>
    </w:pPr>
    <w:rPr>
      <w:color w:val="000000"/>
      <w:szCs w:val="22"/>
    </w:rPr>
  </w:style>
  <w:style w:type="character" w:customStyle="1" w:styleId="footnotedescriptionChar">
    <w:name w:val="footnote description Char"/>
    <w:link w:val="footnotedescription"/>
    <w:rsid w:val="00F26788"/>
    <w:rPr>
      <w:color w:val="000000"/>
      <w:szCs w:val="22"/>
    </w:rPr>
  </w:style>
  <w:style w:type="character" w:customStyle="1" w:styleId="footnotemark">
    <w:name w:val="footnote mark"/>
    <w:hidden/>
    <w:rsid w:val="00F26788"/>
    <w:rPr>
      <w:rFonts w:ascii="Times New Roman" w:eastAsia="Times New Roman" w:hAnsi="Times New Roman" w:cs="Times New Roman"/>
      <w:color w:val="000000"/>
      <w:sz w:val="20"/>
      <w:vertAlign w:val="superscript"/>
    </w:rPr>
  </w:style>
  <w:style w:type="character" w:styleId="CommentReference">
    <w:name w:val="annotation reference"/>
    <w:uiPriority w:val="99"/>
    <w:semiHidden/>
    <w:unhideWhenUsed/>
    <w:rsid w:val="00B050F4"/>
    <w:rPr>
      <w:sz w:val="16"/>
      <w:szCs w:val="16"/>
    </w:rPr>
  </w:style>
  <w:style w:type="paragraph" w:styleId="CommentText">
    <w:name w:val="annotation text"/>
    <w:basedOn w:val="Normal"/>
    <w:link w:val="CommentTextChar"/>
    <w:uiPriority w:val="99"/>
    <w:unhideWhenUsed/>
    <w:rsid w:val="00B050F4"/>
  </w:style>
  <w:style w:type="character" w:customStyle="1" w:styleId="CommentTextChar">
    <w:name w:val="Comment Text Char"/>
    <w:link w:val="CommentText"/>
    <w:uiPriority w:val="99"/>
    <w:rsid w:val="00B050F4"/>
    <w:rPr>
      <w:lang w:eastAsia="en-US"/>
    </w:rPr>
  </w:style>
  <w:style w:type="paragraph" w:styleId="CommentSubject">
    <w:name w:val="annotation subject"/>
    <w:basedOn w:val="CommentText"/>
    <w:next w:val="CommentText"/>
    <w:link w:val="CommentSubjectChar"/>
    <w:uiPriority w:val="99"/>
    <w:semiHidden/>
    <w:unhideWhenUsed/>
    <w:rsid w:val="00B050F4"/>
    <w:rPr>
      <w:b/>
      <w:bCs/>
    </w:rPr>
  </w:style>
  <w:style w:type="character" w:customStyle="1" w:styleId="CommentSubjectChar">
    <w:name w:val="Comment Subject Char"/>
    <w:link w:val="CommentSubject"/>
    <w:uiPriority w:val="99"/>
    <w:semiHidden/>
    <w:rsid w:val="00B050F4"/>
    <w:rPr>
      <w:b/>
      <w:bCs/>
      <w:lang w:eastAsia="en-US"/>
    </w:rPr>
  </w:style>
  <w:style w:type="paragraph" w:styleId="BalloonText">
    <w:name w:val="Balloon Text"/>
    <w:basedOn w:val="Normal"/>
    <w:link w:val="BalloonTextChar"/>
    <w:uiPriority w:val="99"/>
    <w:semiHidden/>
    <w:unhideWhenUsed/>
    <w:rsid w:val="00B050F4"/>
    <w:rPr>
      <w:rFonts w:ascii="Segoe UI" w:hAnsi="Segoe UI" w:cs="Segoe UI"/>
      <w:sz w:val="18"/>
      <w:szCs w:val="18"/>
    </w:rPr>
  </w:style>
  <w:style w:type="character" w:customStyle="1" w:styleId="BalloonTextChar">
    <w:name w:val="Balloon Text Char"/>
    <w:link w:val="BalloonText"/>
    <w:uiPriority w:val="99"/>
    <w:semiHidden/>
    <w:rsid w:val="00B050F4"/>
    <w:rPr>
      <w:rFonts w:ascii="Segoe UI" w:hAnsi="Segoe UI" w:cs="Segoe UI"/>
      <w:sz w:val="18"/>
      <w:szCs w:val="18"/>
      <w:lang w:eastAsia="en-US"/>
    </w:rPr>
  </w:style>
  <w:style w:type="paragraph" w:customStyle="1" w:styleId="Default">
    <w:name w:val="Default"/>
    <w:rsid w:val="00451E11"/>
    <w:pPr>
      <w:autoSpaceDE w:val="0"/>
      <w:autoSpaceDN w:val="0"/>
      <w:adjustRightInd w:val="0"/>
    </w:pPr>
    <w:rPr>
      <w:color w:val="000000"/>
      <w:sz w:val="24"/>
      <w:szCs w:val="24"/>
      <w:lang w:eastAsia="ko-KR"/>
    </w:rPr>
  </w:style>
  <w:style w:type="paragraph" w:styleId="NormalWeb">
    <w:name w:val="Normal (Web)"/>
    <w:basedOn w:val="Normal"/>
    <w:uiPriority w:val="99"/>
    <w:unhideWhenUsed/>
    <w:rsid w:val="00B5130C"/>
    <w:rPr>
      <w:sz w:val="24"/>
      <w:szCs w:val="24"/>
    </w:rPr>
  </w:style>
  <w:style w:type="character" w:styleId="FollowedHyperlink">
    <w:name w:val="FollowedHyperlink"/>
    <w:basedOn w:val="DefaultParagraphFont"/>
    <w:uiPriority w:val="99"/>
    <w:semiHidden/>
    <w:unhideWhenUsed/>
    <w:rsid w:val="00913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Kehoe@fcc.gov" TargetMode="Externa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programs-surveys/geography/guidance/geo-areas/urban-rural/2010-urban-rural.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