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E5884" w:rsidP="00C82B6B" w14:paraId="1E1B45B0" w14:textId="77777777">
      <w:pPr>
        <w:jc w:val="right"/>
        <w:rPr>
          <w:sz w:val="24"/>
        </w:rPr>
      </w:pPr>
    </w:p>
    <w:p w:rsidR="00013A8B" w:rsidRPr="00B20363" w:rsidP="00013A8B" w14:paraId="06639DB5" w14:textId="3E5572E0">
      <w:pPr>
        <w:jc w:val="right"/>
        <w:rPr>
          <w:b/>
          <w:sz w:val="24"/>
        </w:rPr>
      </w:pPr>
      <w:r>
        <w:rPr>
          <w:b/>
          <w:sz w:val="24"/>
        </w:rPr>
        <w:t>DA</w:t>
      </w:r>
      <w:r w:rsidR="00BE27F1">
        <w:rPr>
          <w:b/>
          <w:sz w:val="24"/>
        </w:rPr>
        <w:t xml:space="preserve"> 20-1346</w:t>
      </w:r>
    </w:p>
    <w:p w:rsidR="00013A8B" w:rsidRPr="00B20363" w:rsidP="00013A8B" w14:paraId="36A5E73F" w14:textId="258BA818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D97F4B">
        <w:rPr>
          <w:b/>
          <w:sz w:val="24"/>
        </w:rPr>
        <w:t>November 13, 2020</w:t>
      </w:r>
      <w:bookmarkStart w:id="0" w:name="_GoBack"/>
      <w:bookmarkEnd w:id="0"/>
    </w:p>
    <w:p w:rsidR="00013A8B" w:rsidP="00013A8B" w14:paraId="15A52219" w14:textId="77777777">
      <w:pPr>
        <w:jc w:val="right"/>
        <w:rPr>
          <w:sz w:val="24"/>
        </w:rPr>
      </w:pPr>
    </w:p>
    <w:p w:rsidR="00F96F63" w:rsidRPr="00331D53" w:rsidP="00331D53" w14:paraId="007976BF" w14:textId="58A36690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F52E34">
        <w:rPr>
          <w:rFonts w:ascii="Times New Roman Bold" w:hAnsi="Times New Roman Bold"/>
          <w:b/>
          <w:caps/>
          <w:sz w:val="24"/>
        </w:rPr>
        <w:t xml:space="preserve">WIRELESS TELECOMMUNICATIONS BUREAU AND PUBLIC SAFETY AND HOMELAND SECURITY BUREAU </w:t>
      </w:r>
      <w:r>
        <w:rPr>
          <w:rFonts w:ascii="Times New Roman Bold" w:hAnsi="Times New Roman Bold"/>
          <w:b/>
          <w:caps/>
          <w:sz w:val="24"/>
        </w:rPr>
        <w:t>ANNOU</w:t>
      </w:r>
      <w:r w:rsidR="00401EA1">
        <w:rPr>
          <w:rFonts w:ascii="Times New Roman Bold" w:hAnsi="Times New Roman Bold"/>
          <w:b/>
          <w:caps/>
          <w:sz w:val="24"/>
        </w:rPr>
        <w:t>N</w:t>
      </w:r>
      <w:r>
        <w:rPr>
          <w:rFonts w:ascii="Times New Roman Bold" w:hAnsi="Times New Roman Bold"/>
          <w:b/>
          <w:caps/>
          <w:sz w:val="24"/>
        </w:rPr>
        <w:t xml:space="preserve">CE THE </w:t>
      </w:r>
      <w:r w:rsidR="0087508D">
        <w:rPr>
          <w:rFonts w:ascii="Times New Roman Bold" w:hAnsi="Times New Roman Bold"/>
          <w:b/>
          <w:caps/>
          <w:sz w:val="24"/>
        </w:rPr>
        <w:t xml:space="preserve">December 18, 2020 </w:t>
      </w:r>
      <w:r>
        <w:rPr>
          <w:rFonts w:ascii="Times New Roman Bold" w:hAnsi="Times New Roman Bold"/>
          <w:b/>
          <w:caps/>
          <w:sz w:val="24"/>
        </w:rPr>
        <w:t>DEcommissio</w:t>
      </w:r>
      <w:r w:rsidR="003D1B50">
        <w:rPr>
          <w:rFonts w:ascii="Times New Roman Bold" w:hAnsi="Times New Roman Bold"/>
          <w:b/>
          <w:caps/>
          <w:sz w:val="24"/>
        </w:rPr>
        <w:t>n</w:t>
      </w:r>
      <w:r>
        <w:rPr>
          <w:rFonts w:ascii="Times New Roman Bold" w:hAnsi="Times New Roman Bold"/>
          <w:b/>
          <w:caps/>
          <w:sz w:val="24"/>
        </w:rPr>
        <w:t xml:space="preserve">ing of </w:t>
      </w:r>
      <w:r w:rsidR="006F0CED">
        <w:rPr>
          <w:rFonts w:ascii="Times New Roman Bold" w:hAnsi="Times New Roman Bold"/>
          <w:b/>
          <w:caps/>
          <w:sz w:val="24"/>
        </w:rPr>
        <w:t>OPTIONAL PRIVATE LAND MOBILE</w:t>
      </w:r>
      <w:r>
        <w:rPr>
          <w:rFonts w:ascii="Times New Roman Bold" w:hAnsi="Times New Roman Bold"/>
          <w:b/>
          <w:caps/>
          <w:sz w:val="24"/>
        </w:rPr>
        <w:t xml:space="preserve"> application filing tool</w:t>
      </w:r>
      <w:bookmarkStart w:id="1" w:name="TOChere"/>
      <w:r w:rsidR="00694C62">
        <w:rPr>
          <w:rFonts w:ascii="Times New Roman Bold" w:hAnsi="Times New Roman Bold"/>
          <w:b/>
          <w:caps/>
          <w:sz w:val="24"/>
        </w:rPr>
        <w:t>s</w:t>
      </w:r>
      <w:r w:rsidR="0087508D">
        <w:rPr>
          <w:rFonts w:ascii="Times New Roman Bold" w:hAnsi="Times New Roman Bold"/>
          <w:b/>
          <w:caps/>
          <w:sz w:val="24"/>
        </w:rPr>
        <w:t xml:space="preserve"> </w:t>
      </w:r>
    </w:p>
    <w:bookmarkEnd w:id="1"/>
    <w:p w:rsidR="000E122D" w:rsidRPr="00DC1262" w:rsidP="002D56C3" w14:paraId="4ECD3AC1" w14:textId="77777777">
      <w:pPr>
        <w:ind w:firstLine="720"/>
        <w:rPr>
          <w:sz w:val="24"/>
          <w:szCs w:val="24"/>
        </w:rPr>
      </w:pPr>
    </w:p>
    <w:p w:rsidR="002D56C3" w:rsidRPr="00F52E34" w:rsidP="00331D53" w14:paraId="3253CEE3" w14:textId="32CBFB44">
      <w:pPr>
        <w:spacing w:after="120"/>
        <w:ind w:firstLine="720"/>
        <w:rPr>
          <w:snapToGrid/>
          <w:kern w:val="0"/>
          <w:sz w:val="24"/>
          <w:szCs w:val="24"/>
        </w:rPr>
      </w:pPr>
      <w:r w:rsidRPr="00F52E34">
        <w:rPr>
          <w:snapToGrid/>
          <w:kern w:val="0"/>
          <w:sz w:val="24"/>
          <w:szCs w:val="24"/>
        </w:rPr>
        <w:t xml:space="preserve">Since </w:t>
      </w:r>
      <w:r w:rsidRPr="00F90A3C">
        <w:rPr>
          <w:bCs/>
          <w:snapToGrid/>
          <w:kern w:val="0"/>
          <w:sz w:val="24"/>
          <w:szCs w:val="24"/>
        </w:rPr>
        <w:t>2013</w:t>
      </w:r>
      <w:r w:rsidRPr="00003268">
        <w:rPr>
          <w:bCs/>
          <w:snapToGrid/>
          <w:kern w:val="0"/>
          <w:sz w:val="24"/>
          <w:szCs w:val="24"/>
        </w:rPr>
        <w:t>,</w:t>
      </w:r>
      <w:r w:rsidR="00793D9A">
        <w:rPr>
          <w:snapToGrid/>
          <w:kern w:val="0"/>
          <w:sz w:val="24"/>
          <w:szCs w:val="24"/>
        </w:rPr>
        <w:t xml:space="preserve"> </w:t>
      </w:r>
      <w:r w:rsidRPr="00F52E34">
        <w:rPr>
          <w:snapToGrid/>
          <w:kern w:val="0"/>
          <w:sz w:val="24"/>
          <w:szCs w:val="24"/>
        </w:rPr>
        <w:t xml:space="preserve">all VHF/UHF Industrial/Business and Public Safety Radio Pool licensees in the 150-174 MHz and 421-470 MHz bands </w:t>
      </w:r>
      <w:r w:rsidR="00700360">
        <w:rPr>
          <w:snapToGrid/>
          <w:kern w:val="0"/>
          <w:sz w:val="24"/>
          <w:szCs w:val="24"/>
        </w:rPr>
        <w:t>have been</w:t>
      </w:r>
      <w:r w:rsidRPr="00F52E34" w:rsidR="00700360">
        <w:rPr>
          <w:snapToGrid/>
          <w:kern w:val="0"/>
          <w:sz w:val="24"/>
          <w:szCs w:val="24"/>
        </w:rPr>
        <w:t xml:space="preserve"> </w:t>
      </w:r>
      <w:r w:rsidRPr="00F52E34">
        <w:rPr>
          <w:snapToGrid/>
          <w:kern w:val="0"/>
          <w:sz w:val="24"/>
          <w:szCs w:val="24"/>
        </w:rPr>
        <w:t>required to operate on channels with a maximum bandwidth of 12.5 kilohertz or equivalent efficiency, unless they are operating under the terms of a waiver.</w:t>
      </w:r>
      <w:r>
        <w:rPr>
          <w:snapToGrid/>
          <w:kern w:val="0"/>
          <w:sz w:val="24"/>
          <w:szCs w:val="24"/>
          <w:vertAlign w:val="superscript"/>
        </w:rPr>
        <w:footnoteReference w:id="3"/>
      </w:r>
      <w:r w:rsidRPr="00F52E34">
        <w:rPr>
          <w:snapToGrid/>
          <w:kern w:val="0"/>
          <w:sz w:val="24"/>
          <w:szCs w:val="24"/>
        </w:rPr>
        <w:t xml:space="preserve">  The Wireless Telecommunications Bureau and the Public Safety and Homeland Security Bureau (the Bureaus) have taken </w:t>
      </w:r>
      <w:r w:rsidR="00793D9A">
        <w:rPr>
          <w:snapToGrid/>
          <w:kern w:val="0"/>
          <w:sz w:val="24"/>
          <w:szCs w:val="24"/>
        </w:rPr>
        <w:t>a number of</w:t>
      </w:r>
      <w:r w:rsidRPr="00F52E34" w:rsidR="00793D9A">
        <w:rPr>
          <w:snapToGrid/>
          <w:kern w:val="0"/>
          <w:sz w:val="24"/>
          <w:szCs w:val="24"/>
        </w:rPr>
        <w:t xml:space="preserve"> </w:t>
      </w:r>
      <w:r w:rsidRPr="00F52E34">
        <w:rPr>
          <w:snapToGrid/>
          <w:kern w:val="0"/>
          <w:sz w:val="24"/>
          <w:szCs w:val="24"/>
        </w:rPr>
        <w:t xml:space="preserve">steps to </w:t>
      </w:r>
      <w:r w:rsidR="004A3BC9">
        <w:rPr>
          <w:snapToGrid/>
          <w:kern w:val="0"/>
          <w:sz w:val="24"/>
          <w:szCs w:val="24"/>
        </w:rPr>
        <w:t xml:space="preserve">ensure </w:t>
      </w:r>
      <w:r w:rsidRPr="00F52E34">
        <w:rPr>
          <w:snapToGrid/>
          <w:kern w:val="0"/>
          <w:sz w:val="24"/>
          <w:szCs w:val="24"/>
        </w:rPr>
        <w:t>that licensees are aware of th</w:t>
      </w:r>
      <w:r w:rsidR="00003268">
        <w:rPr>
          <w:snapToGrid/>
          <w:kern w:val="0"/>
          <w:sz w:val="24"/>
          <w:szCs w:val="24"/>
        </w:rPr>
        <w:t>is</w:t>
      </w:r>
      <w:r w:rsidRPr="00F52E34">
        <w:rPr>
          <w:snapToGrid/>
          <w:kern w:val="0"/>
          <w:sz w:val="24"/>
          <w:szCs w:val="24"/>
        </w:rPr>
        <w:t xml:space="preserve"> </w:t>
      </w:r>
      <w:r w:rsidRPr="00F52E34">
        <w:rPr>
          <w:snapToGrid/>
          <w:kern w:val="0"/>
          <w:sz w:val="24"/>
          <w:szCs w:val="24"/>
        </w:rPr>
        <w:t>narrowbanding</w:t>
      </w:r>
      <w:r w:rsidRPr="00F52E34">
        <w:rPr>
          <w:snapToGrid/>
          <w:kern w:val="0"/>
          <w:sz w:val="24"/>
          <w:szCs w:val="24"/>
        </w:rPr>
        <w:t xml:space="preserve"> requirement and</w:t>
      </w:r>
      <w:r w:rsidR="00700360">
        <w:rPr>
          <w:snapToGrid/>
          <w:kern w:val="0"/>
          <w:sz w:val="24"/>
          <w:szCs w:val="24"/>
        </w:rPr>
        <w:t xml:space="preserve"> </w:t>
      </w:r>
      <w:r w:rsidR="00793D9A">
        <w:rPr>
          <w:snapToGrid/>
          <w:kern w:val="0"/>
          <w:sz w:val="24"/>
          <w:szCs w:val="24"/>
        </w:rPr>
        <w:t xml:space="preserve">to </w:t>
      </w:r>
      <w:r w:rsidR="00700360">
        <w:rPr>
          <w:snapToGrid/>
          <w:kern w:val="0"/>
          <w:sz w:val="24"/>
          <w:szCs w:val="24"/>
        </w:rPr>
        <w:t xml:space="preserve">assist licensees in </w:t>
      </w:r>
      <w:r w:rsidRPr="00F52E34">
        <w:rPr>
          <w:snapToGrid/>
          <w:kern w:val="0"/>
          <w:sz w:val="24"/>
          <w:szCs w:val="24"/>
        </w:rPr>
        <w:t>updat</w:t>
      </w:r>
      <w:r w:rsidR="00700360">
        <w:rPr>
          <w:snapToGrid/>
          <w:kern w:val="0"/>
          <w:sz w:val="24"/>
          <w:szCs w:val="24"/>
        </w:rPr>
        <w:t>ing</w:t>
      </w:r>
      <w:r w:rsidRPr="00F52E34">
        <w:rPr>
          <w:snapToGrid/>
          <w:kern w:val="0"/>
          <w:sz w:val="24"/>
          <w:szCs w:val="24"/>
        </w:rPr>
        <w:t xml:space="preserve"> their license information to reflect narrowband operation</w:t>
      </w:r>
      <w:r w:rsidR="00B30364">
        <w:rPr>
          <w:snapToGrid/>
          <w:kern w:val="0"/>
          <w:sz w:val="24"/>
          <w:szCs w:val="24"/>
        </w:rPr>
        <w:t>s</w:t>
      </w:r>
      <w:r w:rsidRPr="00F52E34">
        <w:rPr>
          <w:snapToGrid/>
          <w:kern w:val="0"/>
          <w:sz w:val="24"/>
          <w:szCs w:val="24"/>
        </w:rPr>
        <w:t>.</w:t>
      </w:r>
      <w:r>
        <w:rPr>
          <w:snapToGrid/>
          <w:kern w:val="0"/>
          <w:sz w:val="24"/>
          <w:szCs w:val="24"/>
          <w:vertAlign w:val="superscript"/>
        </w:rPr>
        <w:footnoteReference w:id="4"/>
      </w:r>
    </w:p>
    <w:p w:rsidR="00B30364" w:rsidP="00B30364" w14:paraId="63049FD0" w14:textId="7097538B">
      <w:pPr>
        <w:spacing w:after="120"/>
        <w:ind w:firstLine="720"/>
        <w:rPr>
          <w:sz w:val="24"/>
          <w:szCs w:val="24"/>
        </w:rPr>
      </w:pPr>
      <w:r>
        <w:rPr>
          <w:rFonts w:eastAsia="Calibri"/>
          <w:sz w:val="24"/>
          <w:szCs w:val="24"/>
        </w:rPr>
        <w:t>In particular, t</w:t>
      </w:r>
      <w:r w:rsidRPr="00F52E34" w:rsidR="00F52E34">
        <w:rPr>
          <w:rFonts w:eastAsia="Calibri"/>
          <w:sz w:val="24"/>
          <w:szCs w:val="24"/>
        </w:rPr>
        <w:t xml:space="preserve">he </w:t>
      </w:r>
      <w:r>
        <w:rPr>
          <w:rFonts w:eastAsia="Calibri"/>
          <w:sz w:val="24"/>
          <w:szCs w:val="24"/>
        </w:rPr>
        <w:t xml:space="preserve">Commission </w:t>
      </w:r>
      <w:r w:rsidRPr="00F52E34" w:rsidR="00F52E34">
        <w:rPr>
          <w:rFonts w:eastAsia="Calibri"/>
          <w:sz w:val="24"/>
          <w:szCs w:val="24"/>
        </w:rPr>
        <w:t>develop</w:t>
      </w:r>
      <w:r>
        <w:rPr>
          <w:rFonts w:eastAsia="Calibri"/>
          <w:sz w:val="24"/>
          <w:szCs w:val="24"/>
        </w:rPr>
        <w:t>ed and made available in its</w:t>
      </w:r>
      <w:r w:rsidRPr="00F52E34" w:rsidR="00F52E34">
        <w:rPr>
          <w:rFonts w:eastAsia="Calibri"/>
          <w:sz w:val="24"/>
          <w:szCs w:val="24"/>
        </w:rPr>
        <w:t xml:space="preserve"> Universal Licensing System (ULS) </w:t>
      </w:r>
      <w:r>
        <w:rPr>
          <w:rFonts w:eastAsia="Calibri"/>
          <w:sz w:val="24"/>
          <w:szCs w:val="24"/>
        </w:rPr>
        <w:t xml:space="preserve">two optional tools </w:t>
      </w:r>
      <w:r w:rsidRPr="00F52E34" w:rsidR="00DC1262">
        <w:rPr>
          <w:rFonts w:eastAsia="Calibri"/>
          <w:sz w:val="24"/>
          <w:szCs w:val="24"/>
        </w:rPr>
        <w:t xml:space="preserve">to simplify the filing of certain types of </w:t>
      </w:r>
      <w:r w:rsidRPr="00F52E34" w:rsidR="00DC1262">
        <w:rPr>
          <w:rFonts w:eastAsia="Calibri"/>
          <w:sz w:val="24"/>
          <w:szCs w:val="24"/>
        </w:rPr>
        <w:t>narrowbanding</w:t>
      </w:r>
      <w:r w:rsidRPr="00F52E34" w:rsidR="00DC1262">
        <w:rPr>
          <w:rFonts w:eastAsia="Calibri"/>
          <w:sz w:val="24"/>
          <w:szCs w:val="24"/>
        </w:rPr>
        <w:t xml:space="preserve"> modification applications</w:t>
      </w:r>
      <w:r w:rsidRPr="00F52E34" w:rsidR="00F52E34">
        <w:rPr>
          <w:rFonts w:eastAsia="Calibri"/>
          <w:sz w:val="24"/>
          <w:szCs w:val="24"/>
        </w:rPr>
        <w:t xml:space="preserve">: </w:t>
      </w:r>
      <w:r w:rsidR="00401EA1">
        <w:rPr>
          <w:rFonts w:eastAsia="Calibri"/>
          <w:sz w:val="24"/>
          <w:szCs w:val="24"/>
        </w:rPr>
        <w:t xml:space="preserve"> </w:t>
      </w:r>
      <w:r w:rsidR="007563F3">
        <w:rPr>
          <w:rFonts w:eastAsia="Calibri"/>
          <w:sz w:val="24"/>
          <w:szCs w:val="24"/>
        </w:rPr>
        <w:t>(</w:t>
      </w:r>
      <w:r w:rsidRPr="00F52E34" w:rsidR="00F52E34">
        <w:rPr>
          <w:rFonts w:eastAsia="Calibri"/>
          <w:sz w:val="24"/>
          <w:szCs w:val="24"/>
        </w:rPr>
        <w:t>1</w:t>
      </w:r>
      <w:r w:rsidR="007563F3">
        <w:rPr>
          <w:rFonts w:eastAsia="Calibri"/>
          <w:sz w:val="24"/>
          <w:szCs w:val="24"/>
        </w:rPr>
        <w:t>)</w:t>
      </w:r>
      <w:r w:rsidRPr="00F52E34" w:rsidR="00F52E34">
        <w:rPr>
          <w:rFonts w:eastAsia="Calibri"/>
          <w:sz w:val="24"/>
          <w:szCs w:val="24"/>
        </w:rPr>
        <w:t xml:space="preserve"> </w:t>
      </w:r>
      <w:r w:rsidR="003D1B50">
        <w:rPr>
          <w:rFonts w:eastAsia="Calibri"/>
          <w:sz w:val="24"/>
          <w:szCs w:val="24"/>
        </w:rPr>
        <w:t xml:space="preserve">The </w:t>
      </w:r>
      <w:r w:rsidRPr="00F52E34" w:rsidR="00F52E34">
        <w:rPr>
          <w:rFonts w:eastAsia="Calibri"/>
          <w:sz w:val="24"/>
          <w:szCs w:val="24"/>
        </w:rPr>
        <w:t xml:space="preserve">Modify Wideband Emissions </w:t>
      </w:r>
      <w:r w:rsidR="003D1B50">
        <w:rPr>
          <w:rFonts w:eastAsia="Calibri"/>
          <w:sz w:val="24"/>
          <w:szCs w:val="24"/>
        </w:rPr>
        <w:t>t</w:t>
      </w:r>
      <w:r w:rsidR="00186984">
        <w:rPr>
          <w:rFonts w:eastAsia="Calibri"/>
          <w:sz w:val="24"/>
          <w:szCs w:val="24"/>
        </w:rPr>
        <w:t>ool</w:t>
      </w:r>
      <w:r w:rsidR="00FA5080">
        <w:rPr>
          <w:rFonts w:eastAsia="Calibri"/>
          <w:sz w:val="24"/>
          <w:szCs w:val="24"/>
        </w:rPr>
        <w:t>,</w:t>
      </w:r>
      <w:r w:rsidR="00186984">
        <w:rPr>
          <w:rFonts w:eastAsia="Calibri"/>
          <w:sz w:val="24"/>
          <w:szCs w:val="24"/>
        </w:rPr>
        <w:t xml:space="preserve"> </w:t>
      </w:r>
      <w:r w:rsidRPr="00F52E34" w:rsidR="00F52E34">
        <w:rPr>
          <w:rFonts w:eastAsia="Calibri"/>
          <w:sz w:val="24"/>
          <w:szCs w:val="24"/>
        </w:rPr>
        <w:t xml:space="preserve">and </w:t>
      </w:r>
      <w:r w:rsidR="007563F3">
        <w:rPr>
          <w:rFonts w:eastAsia="Calibri"/>
          <w:sz w:val="24"/>
          <w:szCs w:val="24"/>
        </w:rPr>
        <w:t>(</w:t>
      </w:r>
      <w:r w:rsidRPr="00F52E34" w:rsidR="00F52E34">
        <w:rPr>
          <w:rFonts w:eastAsia="Calibri"/>
          <w:sz w:val="24"/>
          <w:szCs w:val="24"/>
        </w:rPr>
        <w:t>2</w:t>
      </w:r>
      <w:r w:rsidR="007563F3">
        <w:rPr>
          <w:rFonts w:eastAsia="Calibri"/>
          <w:sz w:val="24"/>
          <w:szCs w:val="24"/>
        </w:rPr>
        <w:t>)</w:t>
      </w:r>
      <w:r w:rsidRPr="00F52E34" w:rsidR="00F52E34">
        <w:rPr>
          <w:rFonts w:eastAsia="Calibri"/>
          <w:sz w:val="24"/>
          <w:szCs w:val="24"/>
        </w:rPr>
        <w:t xml:space="preserve"> </w:t>
      </w:r>
      <w:r w:rsidR="003D1B50">
        <w:rPr>
          <w:rFonts w:eastAsia="Calibri"/>
          <w:sz w:val="24"/>
          <w:szCs w:val="24"/>
        </w:rPr>
        <w:t xml:space="preserve">The </w:t>
      </w:r>
      <w:r w:rsidRPr="00F52E34" w:rsidR="00F52E34">
        <w:rPr>
          <w:rFonts w:eastAsia="Calibri"/>
          <w:sz w:val="24"/>
          <w:szCs w:val="24"/>
        </w:rPr>
        <w:t>Remove Wideband Emissions</w:t>
      </w:r>
      <w:r w:rsidR="00186984">
        <w:rPr>
          <w:rFonts w:eastAsia="Calibri"/>
          <w:sz w:val="24"/>
          <w:szCs w:val="24"/>
        </w:rPr>
        <w:t xml:space="preserve"> </w:t>
      </w:r>
      <w:r w:rsidR="003D1B50">
        <w:rPr>
          <w:rFonts w:eastAsia="Calibri"/>
          <w:sz w:val="24"/>
          <w:szCs w:val="24"/>
        </w:rPr>
        <w:t>t</w:t>
      </w:r>
      <w:r w:rsidR="00186984">
        <w:rPr>
          <w:rFonts w:eastAsia="Calibri"/>
          <w:sz w:val="24"/>
          <w:szCs w:val="24"/>
        </w:rPr>
        <w:t>ool</w:t>
      </w:r>
      <w:r w:rsidRPr="00F52E34" w:rsidR="00F52E34">
        <w:rPr>
          <w:rFonts w:eastAsia="Calibri"/>
          <w:sz w:val="24"/>
          <w:szCs w:val="24"/>
        </w:rPr>
        <w:t xml:space="preserve">. </w:t>
      </w:r>
      <w:r w:rsidRPr="00F52E34" w:rsidR="00DC12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Licensees of approximately 80,000 stations have used these tools to </w:t>
      </w:r>
      <w:r w:rsidR="00793D9A">
        <w:rPr>
          <w:sz w:val="24"/>
          <w:szCs w:val="24"/>
        </w:rPr>
        <w:t xml:space="preserve">comply with </w:t>
      </w:r>
      <w:r>
        <w:rPr>
          <w:sz w:val="24"/>
          <w:szCs w:val="24"/>
        </w:rPr>
        <w:t>our</w:t>
      </w:r>
      <w:r w:rsidR="00793D9A">
        <w:rPr>
          <w:sz w:val="24"/>
          <w:szCs w:val="24"/>
        </w:rPr>
        <w:t xml:space="preserve"> </w:t>
      </w:r>
      <w:r w:rsidR="00793D9A">
        <w:rPr>
          <w:sz w:val="24"/>
          <w:szCs w:val="24"/>
        </w:rPr>
        <w:t>narrowbanding</w:t>
      </w:r>
      <w:r w:rsidR="00793D9A">
        <w:rPr>
          <w:sz w:val="24"/>
          <w:szCs w:val="24"/>
        </w:rPr>
        <w:t xml:space="preserve"> requirement.</w:t>
      </w:r>
      <w:r>
        <w:rPr>
          <w:sz w:val="24"/>
          <w:szCs w:val="24"/>
        </w:rPr>
        <w:t xml:space="preserve">  </w:t>
      </w:r>
      <w:r w:rsidRPr="00F52E34">
        <w:rPr>
          <w:sz w:val="24"/>
          <w:szCs w:val="24"/>
        </w:rPr>
        <w:t>The number of</w:t>
      </w:r>
      <w:r>
        <w:rPr>
          <w:sz w:val="24"/>
          <w:szCs w:val="24"/>
        </w:rPr>
        <w:t xml:space="preserve"> licensees submitting applications </w:t>
      </w:r>
      <w:r w:rsidRPr="00F52E34">
        <w:rPr>
          <w:sz w:val="24"/>
          <w:szCs w:val="24"/>
        </w:rPr>
        <w:t>using the</w:t>
      </w:r>
      <w:r>
        <w:rPr>
          <w:sz w:val="24"/>
          <w:szCs w:val="24"/>
        </w:rPr>
        <w:t>se t</w:t>
      </w:r>
      <w:r w:rsidRPr="00186984">
        <w:rPr>
          <w:sz w:val="24"/>
          <w:szCs w:val="24"/>
        </w:rPr>
        <w:t>ool</w:t>
      </w:r>
      <w:r>
        <w:rPr>
          <w:sz w:val="24"/>
          <w:szCs w:val="24"/>
        </w:rPr>
        <w:t>s has decreased</w:t>
      </w:r>
      <w:r w:rsidRPr="001869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dramatically </w:t>
      </w:r>
      <w:r w:rsidRPr="00F52E34">
        <w:rPr>
          <w:sz w:val="24"/>
          <w:szCs w:val="24"/>
        </w:rPr>
        <w:t xml:space="preserve">over </w:t>
      </w:r>
      <w:r>
        <w:rPr>
          <w:sz w:val="24"/>
          <w:szCs w:val="24"/>
        </w:rPr>
        <w:t>recent</w:t>
      </w:r>
      <w:r w:rsidRPr="00F52E34">
        <w:rPr>
          <w:sz w:val="24"/>
          <w:szCs w:val="24"/>
        </w:rPr>
        <w:t xml:space="preserve"> years</w:t>
      </w:r>
      <w:r>
        <w:rPr>
          <w:sz w:val="24"/>
          <w:szCs w:val="24"/>
        </w:rPr>
        <w:t xml:space="preserve">, as more than 80% of required call signs are estimated to have completed their </w:t>
      </w:r>
      <w:r>
        <w:rPr>
          <w:sz w:val="24"/>
          <w:szCs w:val="24"/>
        </w:rPr>
        <w:t>narrowbanding</w:t>
      </w:r>
      <w:r>
        <w:rPr>
          <w:sz w:val="24"/>
          <w:szCs w:val="24"/>
        </w:rPr>
        <w:t>.  These tools seldom are used today as a result.</w:t>
      </w:r>
      <w:r>
        <w:rPr>
          <w:rStyle w:val="FootnoteReference"/>
          <w:szCs w:val="24"/>
        </w:rPr>
        <w:footnoteReference w:id="5"/>
      </w:r>
      <w:r>
        <w:rPr>
          <w:sz w:val="24"/>
          <w:szCs w:val="24"/>
        </w:rPr>
        <w:t xml:space="preserve">    </w:t>
      </w:r>
      <w:r w:rsidR="00793D9A">
        <w:rPr>
          <w:sz w:val="24"/>
          <w:szCs w:val="24"/>
        </w:rPr>
        <w:t xml:space="preserve">  </w:t>
      </w:r>
    </w:p>
    <w:p w:rsidR="00611386" w:rsidP="00B30364" w14:paraId="07499CB0" w14:textId="116C5664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W</w:t>
      </w:r>
      <w:r w:rsidR="00793D9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F056E2">
        <w:rPr>
          <w:sz w:val="24"/>
          <w:szCs w:val="24"/>
        </w:rPr>
        <w:t>therefore</w:t>
      </w:r>
      <w:r w:rsidR="00793D9A">
        <w:rPr>
          <w:sz w:val="24"/>
          <w:szCs w:val="24"/>
        </w:rPr>
        <w:t xml:space="preserve"> find</w:t>
      </w:r>
      <w:r w:rsidR="00F056E2">
        <w:rPr>
          <w:sz w:val="24"/>
          <w:szCs w:val="24"/>
        </w:rPr>
        <w:t xml:space="preserve"> </w:t>
      </w:r>
      <w:r w:rsidR="00793D9A">
        <w:rPr>
          <w:sz w:val="24"/>
          <w:szCs w:val="24"/>
        </w:rPr>
        <w:t>that</w:t>
      </w:r>
      <w:r w:rsidR="00B65134">
        <w:rPr>
          <w:sz w:val="24"/>
          <w:szCs w:val="24"/>
        </w:rPr>
        <w:t xml:space="preserve"> </w:t>
      </w:r>
      <w:r w:rsidR="000F6891">
        <w:rPr>
          <w:sz w:val="24"/>
          <w:szCs w:val="24"/>
        </w:rPr>
        <w:t xml:space="preserve">maintaining </w:t>
      </w:r>
      <w:r w:rsidR="00B65134">
        <w:rPr>
          <w:sz w:val="24"/>
          <w:szCs w:val="24"/>
        </w:rPr>
        <w:t xml:space="preserve">these tools </w:t>
      </w:r>
      <w:r w:rsidR="00F056E2">
        <w:rPr>
          <w:sz w:val="24"/>
          <w:szCs w:val="24"/>
        </w:rPr>
        <w:t xml:space="preserve">is </w:t>
      </w:r>
      <w:r w:rsidR="00B65134">
        <w:rPr>
          <w:sz w:val="24"/>
          <w:szCs w:val="24"/>
        </w:rPr>
        <w:t>no longer justified</w:t>
      </w:r>
      <w:r w:rsidR="00793D9A">
        <w:rPr>
          <w:sz w:val="24"/>
          <w:szCs w:val="24"/>
        </w:rPr>
        <w:t xml:space="preserve">.  </w:t>
      </w:r>
      <w:r w:rsidR="00F056E2">
        <w:rPr>
          <w:sz w:val="24"/>
          <w:szCs w:val="24"/>
        </w:rPr>
        <w:t>B</w:t>
      </w:r>
      <w:r w:rsidRPr="00F52E34" w:rsidR="00DC1262">
        <w:rPr>
          <w:sz w:val="24"/>
          <w:szCs w:val="24"/>
        </w:rPr>
        <w:t xml:space="preserve">y this Public Notice, the Bureaus </w:t>
      </w:r>
      <w:r w:rsidRPr="00F52E34" w:rsidR="00186984">
        <w:rPr>
          <w:sz w:val="24"/>
          <w:szCs w:val="24"/>
        </w:rPr>
        <w:t>a</w:t>
      </w:r>
      <w:r w:rsidR="00186984">
        <w:rPr>
          <w:sz w:val="24"/>
          <w:szCs w:val="24"/>
        </w:rPr>
        <w:t>nnounce</w:t>
      </w:r>
      <w:r w:rsidRPr="00F52E34" w:rsidR="00DC1262">
        <w:rPr>
          <w:sz w:val="24"/>
          <w:szCs w:val="24"/>
        </w:rPr>
        <w:t xml:space="preserve"> that</w:t>
      </w:r>
      <w:r w:rsidR="00186984">
        <w:rPr>
          <w:sz w:val="24"/>
          <w:szCs w:val="24"/>
        </w:rPr>
        <w:t xml:space="preserve"> these two tools</w:t>
      </w:r>
      <w:r w:rsidRPr="00F52E34" w:rsidR="00DC1262">
        <w:rPr>
          <w:sz w:val="24"/>
          <w:szCs w:val="24"/>
        </w:rPr>
        <w:t xml:space="preserve"> will be decommissioned </w:t>
      </w:r>
      <w:r w:rsidR="006F0CED">
        <w:rPr>
          <w:sz w:val="24"/>
          <w:szCs w:val="24"/>
        </w:rPr>
        <w:t xml:space="preserve">on </w:t>
      </w:r>
      <w:r w:rsidR="00F90A3C">
        <w:rPr>
          <w:sz w:val="24"/>
          <w:szCs w:val="24"/>
        </w:rPr>
        <w:t>December 18, 2020.</w:t>
      </w:r>
      <w:r w:rsidRPr="00F52E34" w:rsidR="00DC1262">
        <w:rPr>
          <w:sz w:val="24"/>
          <w:szCs w:val="24"/>
        </w:rPr>
        <w:t xml:space="preserve">  </w:t>
      </w:r>
    </w:p>
    <w:p w:rsidR="00F52E34" w:rsidRPr="00F52E34" w:rsidP="0068004D" w14:paraId="0593FEE6" w14:textId="4CF0D56F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>Decommissioning of these tools is in the public interest</w:t>
      </w:r>
      <w:r w:rsidR="001232E4">
        <w:rPr>
          <w:sz w:val="24"/>
          <w:szCs w:val="24"/>
        </w:rPr>
        <w:t>.</w:t>
      </w:r>
      <w:r w:rsidR="0068004D">
        <w:rPr>
          <w:sz w:val="24"/>
          <w:szCs w:val="24"/>
        </w:rPr>
        <w:t xml:space="preserve">  </w:t>
      </w:r>
      <w:r w:rsidR="00F056E2">
        <w:rPr>
          <w:sz w:val="24"/>
          <w:szCs w:val="24"/>
        </w:rPr>
        <w:t xml:space="preserve">The number of filers has decreased significantly and there now are alternative mechanisms to file these applications for any remaining callsigns in need of </w:t>
      </w:r>
      <w:r w:rsidR="00F056E2">
        <w:rPr>
          <w:sz w:val="24"/>
          <w:szCs w:val="24"/>
        </w:rPr>
        <w:t>narrowbanding</w:t>
      </w:r>
      <w:r w:rsidR="00F056E2">
        <w:rPr>
          <w:sz w:val="24"/>
          <w:szCs w:val="24"/>
        </w:rPr>
        <w:t xml:space="preserve">.  </w:t>
      </w:r>
      <w:r w:rsidR="0025262B">
        <w:rPr>
          <w:sz w:val="24"/>
          <w:szCs w:val="24"/>
        </w:rPr>
        <w:t>Mor</w:t>
      </w:r>
      <w:r w:rsidR="002B1974">
        <w:rPr>
          <w:sz w:val="24"/>
          <w:szCs w:val="24"/>
        </w:rPr>
        <w:t>eover, the ease of use of the ULS Online Filing systems has improved since these tools were introduced</w:t>
      </w:r>
      <w:r w:rsidR="001232E4">
        <w:rPr>
          <w:sz w:val="24"/>
          <w:szCs w:val="24"/>
        </w:rPr>
        <w:t xml:space="preserve"> such that</w:t>
      </w:r>
      <w:r w:rsidR="002B1974">
        <w:rPr>
          <w:sz w:val="24"/>
          <w:szCs w:val="24"/>
        </w:rPr>
        <w:t xml:space="preserve"> </w:t>
      </w:r>
      <w:r w:rsidR="00E63441">
        <w:rPr>
          <w:sz w:val="24"/>
          <w:szCs w:val="24"/>
        </w:rPr>
        <w:t xml:space="preserve">there is no continued need to </w:t>
      </w:r>
      <w:r w:rsidRPr="00F52E34" w:rsidR="000E122D">
        <w:rPr>
          <w:sz w:val="24"/>
          <w:szCs w:val="24"/>
        </w:rPr>
        <w:t>maintain th</w:t>
      </w:r>
      <w:r w:rsidR="00694C62">
        <w:rPr>
          <w:sz w:val="24"/>
          <w:szCs w:val="24"/>
        </w:rPr>
        <w:t>e</w:t>
      </w:r>
      <w:r w:rsidR="00186984">
        <w:rPr>
          <w:sz w:val="24"/>
          <w:szCs w:val="24"/>
        </w:rPr>
        <w:t>s</w:t>
      </w:r>
      <w:r w:rsidR="00694C62">
        <w:rPr>
          <w:sz w:val="24"/>
          <w:szCs w:val="24"/>
        </w:rPr>
        <w:t>e</w:t>
      </w:r>
      <w:r w:rsidRPr="00F52E34" w:rsidR="000E122D">
        <w:rPr>
          <w:sz w:val="24"/>
          <w:szCs w:val="24"/>
        </w:rPr>
        <w:t xml:space="preserve"> tool</w:t>
      </w:r>
      <w:r w:rsidR="00694C62">
        <w:rPr>
          <w:sz w:val="24"/>
          <w:szCs w:val="24"/>
        </w:rPr>
        <w:t>s</w:t>
      </w:r>
      <w:r w:rsidR="00700360">
        <w:rPr>
          <w:sz w:val="24"/>
          <w:szCs w:val="24"/>
        </w:rPr>
        <w:t xml:space="preserve"> to accommodate any remaining late filers</w:t>
      </w:r>
      <w:r w:rsidRPr="00F52E34">
        <w:rPr>
          <w:sz w:val="24"/>
          <w:szCs w:val="24"/>
        </w:rPr>
        <w:t>.</w:t>
      </w:r>
      <w:r w:rsidR="006F0CED">
        <w:rPr>
          <w:sz w:val="24"/>
          <w:szCs w:val="24"/>
        </w:rPr>
        <w:t xml:space="preserve"> </w:t>
      </w:r>
      <w:r w:rsidR="001232E4">
        <w:rPr>
          <w:sz w:val="24"/>
          <w:szCs w:val="24"/>
        </w:rPr>
        <w:t xml:space="preserve"> </w:t>
      </w:r>
      <w:r w:rsidR="00FD4FE7">
        <w:rPr>
          <w:sz w:val="24"/>
          <w:szCs w:val="24"/>
        </w:rPr>
        <w:t xml:space="preserve">If these tools </w:t>
      </w:r>
      <w:r w:rsidR="004650DF">
        <w:rPr>
          <w:sz w:val="24"/>
          <w:szCs w:val="24"/>
        </w:rPr>
        <w:t>were</w:t>
      </w:r>
      <w:r w:rsidR="00B65134">
        <w:rPr>
          <w:sz w:val="24"/>
          <w:szCs w:val="24"/>
        </w:rPr>
        <w:t xml:space="preserve"> not decommissioned</w:t>
      </w:r>
      <w:r w:rsidR="00FD4FE7">
        <w:rPr>
          <w:sz w:val="24"/>
          <w:szCs w:val="24"/>
        </w:rPr>
        <w:t>, the Commission would have to invest further funds in migrating the tools as part of our ongoing ULS modernization effort</w:t>
      </w:r>
      <w:r w:rsidR="00B65134">
        <w:rPr>
          <w:sz w:val="24"/>
          <w:szCs w:val="24"/>
        </w:rPr>
        <w:t xml:space="preserve"> and to meet </w:t>
      </w:r>
      <w:r w:rsidR="004650DF">
        <w:rPr>
          <w:sz w:val="24"/>
          <w:szCs w:val="24"/>
        </w:rPr>
        <w:t>network</w:t>
      </w:r>
      <w:r w:rsidR="00B65134">
        <w:rPr>
          <w:sz w:val="24"/>
          <w:szCs w:val="24"/>
        </w:rPr>
        <w:t xml:space="preserve"> security requirements</w:t>
      </w:r>
      <w:r w:rsidR="00FD4FE7">
        <w:rPr>
          <w:sz w:val="24"/>
          <w:szCs w:val="24"/>
        </w:rPr>
        <w:t xml:space="preserve">.  </w:t>
      </w:r>
      <w:r w:rsidR="00B65134">
        <w:rPr>
          <w:sz w:val="24"/>
          <w:szCs w:val="24"/>
        </w:rPr>
        <w:t xml:space="preserve">Given that these tools no longer are necessary, </w:t>
      </w:r>
      <w:r w:rsidR="001232E4">
        <w:rPr>
          <w:sz w:val="24"/>
          <w:szCs w:val="24"/>
        </w:rPr>
        <w:t xml:space="preserve">the substantial government costs to maintain </w:t>
      </w:r>
      <w:r w:rsidR="002A3B1B">
        <w:rPr>
          <w:sz w:val="24"/>
          <w:szCs w:val="24"/>
        </w:rPr>
        <w:t xml:space="preserve">and upgrade </w:t>
      </w:r>
      <w:r w:rsidR="001232E4">
        <w:rPr>
          <w:sz w:val="24"/>
          <w:szCs w:val="24"/>
        </w:rPr>
        <w:t xml:space="preserve">these tools no longer is justified.  </w:t>
      </w:r>
      <w:r w:rsidR="006F0CED">
        <w:rPr>
          <w:sz w:val="24"/>
          <w:szCs w:val="24"/>
        </w:rPr>
        <w:t xml:space="preserve"> </w:t>
      </w:r>
    </w:p>
    <w:p w:rsidR="000551A7" w:rsidP="00331D53" w14:paraId="5AD757E7" w14:textId="65D0F2F9">
      <w:pPr>
        <w:spacing w:after="120"/>
        <w:ind w:firstLine="720"/>
        <w:rPr>
          <w:snapToGrid/>
          <w:kern w:val="0"/>
          <w:sz w:val="24"/>
          <w:szCs w:val="24"/>
        </w:rPr>
      </w:pPr>
      <w:r w:rsidRPr="00F52E34">
        <w:rPr>
          <w:sz w:val="24"/>
          <w:szCs w:val="24"/>
        </w:rPr>
        <w:t>L</w:t>
      </w:r>
      <w:r w:rsidRPr="00F52E34" w:rsidR="002D56C3">
        <w:rPr>
          <w:sz w:val="24"/>
          <w:szCs w:val="24"/>
        </w:rPr>
        <w:t xml:space="preserve">icensees seeking to update their licenses </w:t>
      </w:r>
      <w:r w:rsidRPr="00F52E34">
        <w:rPr>
          <w:sz w:val="24"/>
          <w:szCs w:val="24"/>
        </w:rPr>
        <w:t xml:space="preserve">to </w:t>
      </w:r>
      <w:r w:rsidR="00694C62">
        <w:rPr>
          <w:sz w:val="24"/>
          <w:szCs w:val="24"/>
        </w:rPr>
        <w:t xml:space="preserve">modify or </w:t>
      </w:r>
      <w:r w:rsidRPr="00F52E34">
        <w:rPr>
          <w:sz w:val="24"/>
          <w:szCs w:val="24"/>
        </w:rPr>
        <w:t>remove wideband emission designators can</w:t>
      </w:r>
      <w:r w:rsidR="00F52E34">
        <w:rPr>
          <w:sz w:val="24"/>
          <w:szCs w:val="24"/>
        </w:rPr>
        <w:t xml:space="preserve"> continue </w:t>
      </w:r>
      <w:r w:rsidR="000355CD">
        <w:rPr>
          <w:sz w:val="24"/>
          <w:szCs w:val="24"/>
        </w:rPr>
        <w:t xml:space="preserve">filing modification applications using </w:t>
      </w:r>
      <w:r w:rsidR="00E52896">
        <w:rPr>
          <w:sz w:val="24"/>
          <w:szCs w:val="24"/>
        </w:rPr>
        <w:t>ULS Online Filing</w:t>
      </w:r>
      <w:r>
        <w:rPr>
          <w:sz w:val="24"/>
          <w:szCs w:val="24"/>
        </w:rPr>
        <w:t xml:space="preserve"> rather than the</w:t>
      </w:r>
      <w:r w:rsidR="00694C62">
        <w:rPr>
          <w:sz w:val="24"/>
          <w:szCs w:val="24"/>
        </w:rPr>
        <w:t xml:space="preserve"> Modify Wideband Emission tool or the</w:t>
      </w:r>
      <w:r>
        <w:rPr>
          <w:sz w:val="24"/>
          <w:szCs w:val="24"/>
        </w:rPr>
        <w:t xml:space="preserve"> Remove Wideband Emissions tool</w:t>
      </w:r>
      <w:r w:rsidR="00694C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94C62">
        <w:rPr>
          <w:sz w:val="24"/>
          <w:szCs w:val="24"/>
        </w:rPr>
        <w:t xml:space="preserve"> </w:t>
      </w:r>
      <w:r w:rsidR="00E11A03">
        <w:rPr>
          <w:sz w:val="24"/>
          <w:szCs w:val="24"/>
        </w:rPr>
        <w:t>F</w:t>
      </w:r>
      <w:r>
        <w:rPr>
          <w:sz w:val="24"/>
          <w:szCs w:val="24"/>
        </w:rPr>
        <w:t xml:space="preserve">ilers are reminded that </w:t>
      </w:r>
      <w:r w:rsidRPr="00DC1262" w:rsidR="00DC1262">
        <w:rPr>
          <w:snapToGrid/>
          <w:kern w:val="0"/>
          <w:sz w:val="24"/>
          <w:szCs w:val="24"/>
        </w:rPr>
        <w:t>applications filed solely for th</w:t>
      </w:r>
      <w:r w:rsidR="00186984">
        <w:rPr>
          <w:snapToGrid/>
          <w:kern w:val="0"/>
          <w:sz w:val="24"/>
          <w:szCs w:val="24"/>
        </w:rPr>
        <w:t xml:space="preserve">e </w:t>
      </w:r>
      <w:r w:rsidRPr="00DC1262" w:rsidR="00DC1262">
        <w:rPr>
          <w:snapToGrid/>
          <w:kern w:val="0"/>
          <w:sz w:val="24"/>
          <w:szCs w:val="24"/>
        </w:rPr>
        <w:t xml:space="preserve">purpose </w:t>
      </w:r>
      <w:r w:rsidR="00186984">
        <w:rPr>
          <w:snapToGrid/>
          <w:kern w:val="0"/>
          <w:sz w:val="24"/>
          <w:szCs w:val="24"/>
        </w:rPr>
        <w:t xml:space="preserve">of removing wideband emission designators </w:t>
      </w:r>
      <w:r w:rsidRPr="00DC1262" w:rsidR="00DC1262">
        <w:rPr>
          <w:snapToGrid/>
          <w:kern w:val="0"/>
          <w:sz w:val="24"/>
          <w:szCs w:val="24"/>
        </w:rPr>
        <w:t>do not require frequency coordination or payment of Commission fees.</w:t>
      </w:r>
      <w:r>
        <w:rPr>
          <w:rStyle w:val="FootnoteReference"/>
          <w:snapToGrid/>
          <w:kern w:val="0"/>
          <w:szCs w:val="24"/>
        </w:rPr>
        <w:footnoteReference w:id="6"/>
      </w:r>
      <w:r w:rsidRPr="00DC1262" w:rsidR="00DC1262">
        <w:rPr>
          <w:rFonts w:eastAsia="Calibri"/>
          <w:snapToGrid/>
          <w:kern w:val="0"/>
          <w:sz w:val="24"/>
          <w:szCs w:val="24"/>
        </w:rPr>
        <w:t xml:space="preserve"> </w:t>
      </w:r>
      <w:r w:rsidRPr="00DC1262" w:rsidR="00DC1262">
        <w:rPr>
          <w:snapToGrid/>
          <w:kern w:val="0"/>
          <w:sz w:val="24"/>
          <w:szCs w:val="24"/>
        </w:rPr>
        <w:t xml:space="preserve"> </w:t>
      </w:r>
    </w:p>
    <w:p w:rsidR="00DC1262" w:rsidRPr="00DC1262" w:rsidP="00331D53" w14:paraId="21C0EC47" w14:textId="26D691BB">
      <w:pPr>
        <w:spacing w:after="120"/>
        <w:ind w:firstLine="720"/>
        <w:rPr>
          <w:snapToGrid/>
          <w:color w:val="000000"/>
          <w:kern w:val="0"/>
          <w:sz w:val="24"/>
          <w:szCs w:val="24"/>
        </w:rPr>
      </w:pPr>
      <w:r w:rsidRPr="00DC1262">
        <w:rPr>
          <w:snapToGrid/>
          <w:kern w:val="0"/>
          <w:sz w:val="24"/>
          <w:szCs w:val="24"/>
        </w:rPr>
        <w:t xml:space="preserve">For questions or additional information on how to file applications to </w:t>
      </w:r>
      <w:r w:rsidR="000551A7">
        <w:rPr>
          <w:snapToGrid/>
          <w:kern w:val="0"/>
          <w:sz w:val="24"/>
          <w:szCs w:val="24"/>
        </w:rPr>
        <w:t xml:space="preserve">remove or </w:t>
      </w:r>
      <w:r w:rsidRPr="00DC1262">
        <w:rPr>
          <w:snapToGrid/>
          <w:kern w:val="0"/>
          <w:sz w:val="24"/>
          <w:szCs w:val="24"/>
        </w:rPr>
        <w:t>modify wideband emissions, users should consult the web at</w:t>
      </w:r>
      <w:r w:rsidR="00186984">
        <w:rPr>
          <w:snapToGrid/>
          <w:kern w:val="0"/>
          <w:sz w:val="24"/>
          <w:szCs w:val="24"/>
        </w:rPr>
        <w:t xml:space="preserve"> </w:t>
      </w:r>
      <w:hyperlink r:id="rId5" w:history="1">
        <w:r w:rsidRPr="00DC1262" w:rsidR="00186984">
          <w:rPr>
            <w:rStyle w:val="Hyperlink"/>
            <w:snapToGrid/>
            <w:kern w:val="0"/>
            <w:sz w:val="24"/>
            <w:szCs w:val="24"/>
          </w:rPr>
          <w:t>http://www.fcc.gov/encyclopedia/narrowbanding-overview</w:t>
        </w:r>
      </w:hyperlink>
      <w:r w:rsidRPr="00DC1262">
        <w:rPr>
          <w:snapToGrid/>
          <w:color w:val="1F497D"/>
          <w:kern w:val="0"/>
          <w:sz w:val="24"/>
          <w:szCs w:val="24"/>
        </w:rPr>
        <w:t xml:space="preserve"> </w:t>
      </w:r>
      <w:r w:rsidRPr="00DC1262">
        <w:rPr>
          <w:snapToGrid/>
          <w:kern w:val="0"/>
          <w:sz w:val="24"/>
          <w:szCs w:val="24"/>
        </w:rPr>
        <w:t>or contact the Licensing Support Center</w:t>
      </w:r>
      <w:r w:rsidR="002B1CFC">
        <w:rPr>
          <w:snapToGrid/>
          <w:kern w:val="0"/>
          <w:sz w:val="24"/>
          <w:szCs w:val="24"/>
        </w:rPr>
        <w:t xml:space="preserve"> at </w:t>
      </w:r>
      <w:r w:rsidRPr="002B1CFC" w:rsidR="002B1CFC">
        <w:rPr>
          <w:snapToGrid/>
          <w:kern w:val="0"/>
          <w:sz w:val="24"/>
          <w:szCs w:val="24"/>
        </w:rPr>
        <w:t xml:space="preserve">1-877-480-3201 </w:t>
      </w:r>
      <w:r w:rsidR="002B1CFC">
        <w:rPr>
          <w:snapToGrid/>
          <w:kern w:val="0"/>
          <w:sz w:val="24"/>
          <w:szCs w:val="24"/>
        </w:rPr>
        <w:t xml:space="preserve">or </w:t>
      </w:r>
      <w:r w:rsidR="00661926">
        <w:rPr>
          <w:snapToGrid/>
          <w:kern w:val="0"/>
          <w:sz w:val="24"/>
          <w:szCs w:val="24"/>
        </w:rPr>
        <w:t>submit an online help request at</w:t>
      </w:r>
      <w:r w:rsidRPr="002B1CFC" w:rsidR="002B1CFC">
        <w:rPr>
          <w:snapToGrid/>
          <w:kern w:val="0"/>
          <w:sz w:val="24"/>
          <w:szCs w:val="24"/>
        </w:rPr>
        <w:t xml:space="preserve">: </w:t>
      </w:r>
      <w:hyperlink r:id="rId6" w:history="1">
        <w:r w:rsidRPr="00FF2FBA" w:rsidR="00F90A3C">
          <w:rPr>
            <w:rStyle w:val="Hyperlink"/>
            <w:snapToGrid/>
            <w:kern w:val="0"/>
            <w:sz w:val="24"/>
            <w:szCs w:val="24"/>
          </w:rPr>
          <w:t>https://esupport.fcc.gov/onlinerequest.htm</w:t>
        </w:r>
      </w:hyperlink>
      <w:r w:rsidRPr="00DC1262">
        <w:rPr>
          <w:snapToGrid/>
          <w:kern w:val="0"/>
          <w:sz w:val="24"/>
          <w:szCs w:val="24"/>
        </w:rPr>
        <w:t>.</w:t>
      </w:r>
    </w:p>
    <w:p w:rsidR="00DC1262" w:rsidRPr="00DC1262" w:rsidP="00DC1262" w14:paraId="6F8C8911" w14:textId="53686F38">
      <w:pPr>
        <w:ind w:firstLine="720"/>
        <w:rPr>
          <w:sz w:val="24"/>
          <w:szCs w:val="24"/>
        </w:rPr>
      </w:pPr>
      <w:r w:rsidRPr="00DC1262">
        <w:rPr>
          <w:snapToGrid/>
          <w:kern w:val="0"/>
          <w:sz w:val="24"/>
          <w:szCs w:val="24"/>
        </w:rPr>
        <w:t xml:space="preserve">Licensees and frequency coordinators who have questions concerning this </w:t>
      </w:r>
      <w:r w:rsidRPr="00DC1262">
        <w:rPr>
          <w:i/>
          <w:snapToGrid/>
          <w:kern w:val="0"/>
          <w:sz w:val="24"/>
          <w:szCs w:val="24"/>
        </w:rPr>
        <w:t xml:space="preserve">Public Notice </w:t>
      </w:r>
      <w:r w:rsidRPr="00DC1262">
        <w:rPr>
          <w:snapToGrid/>
          <w:kern w:val="0"/>
          <w:sz w:val="24"/>
          <w:szCs w:val="24"/>
        </w:rPr>
        <w:t xml:space="preserve">and the </w:t>
      </w:r>
      <w:r w:rsidRPr="00DC1262">
        <w:rPr>
          <w:snapToGrid/>
          <w:kern w:val="0"/>
          <w:sz w:val="24"/>
          <w:szCs w:val="24"/>
        </w:rPr>
        <w:t>narrowbanding</w:t>
      </w:r>
      <w:r w:rsidRPr="00DC1262">
        <w:rPr>
          <w:snapToGrid/>
          <w:kern w:val="0"/>
          <w:sz w:val="24"/>
          <w:szCs w:val="24"/>
        </w:rPr>
        <w:t xml:space="preserve"> requirement may contact </w:t>
      </w:r>
      <w:r w:rsidR="002B1CFC">
        <w:rPr>
          <w:snapToGrid/>
          <w:kern w:val="0"/>
          <w:sz w:val="24"/>
          <w:szCs w:val="24"/>
        </w:rPr>
        <w:t>Gary Devlin</w:t>
      </w:r>
      <w:r w:rsidRPr="00DC1262" w:rsidR="002B1CFC">
        <w:rPr>
          <w:snapToGrid/>
          <w:kern w:val="0"/>
          <w:sz w:val="24"/>
          <w:szCs w:val="24"/>
        </w:rPr>
        <w:t xml:space="preserve"> </w:t>
      </w:r>
      <w:r w:rsidRPr="00DC1262">
        <w:rPr>
          <w:snapToGrid/>
          <w:kern w:val="0"/>
          <w:sz w:val="24"/>
          <w:szCs w:val="24"/>
        </w:rPr>
        <w:t>of the Wireless Telecommunications Bureau, Mobility Division, (</w:t>
      </w:r>
      <w:r w:rsidR="002B1CFC">
        <w:rPr>
          <w:snapToGrid/>
          <w:kern w:val="0"/>
          <w:sz w:val="24"/>
          <w:szCs w:val="24"/>
        </w:rPr>
        <w:t>717</w:t>
      </w:r>
      <w:r w:rsidRPr="00DC1262">
        <w:rPr>
          <w:snapToGrid/>
          <w:kern w:val="0"/>
          <w:sz w:val="24"/>
          <w:szCs w:val="24"/>
        </w:rPr>
        <w:t xml:space="preserve">) </w:t>
      </w:r>
      <w:r w:rsidR="002B1CFC">
        <w:rPr>
          <w:snapToGrid/>
          <w:kern w:val="0"/>
          <w:sz w:val="24"/>
          <w:szCs w:val="24"/>
        </w:rPr>
        <w:t>338-2618,</w:t>
      </w:r>
      <w:r w:rsidRPr="00DC1262">
        <w:rPr>
          <w:snapToGrid/>
          <w:kern w:val="0"/>
          <w:sz w:val="24"/>
          <w:szCs w:val="24"/>
        </w:rPr>
        <w:t xml:space="preserve"> </w:t>
      </w:r>
      <w:hyperlink r:id="rId7" w:history="1">
        <w:r w:rsidR="002B1CFC">
          <w:rPr>
            <w:rStyle w:val="Hyperlink"/>
            <w:snapToGrid/>
            <w:kern w:val="0"/>
            <w:sz w:val="24"/>
            <w:szCs w:val="24"/>
          </w:rPr>
          <w:t>gary.devlin</w:t>
        </w:r>
        <w:r w:rsidRPr="00DC1262" w:rsidR="002B1CFC">
          <w:rPr>
            <w:rStyle w:val="Hyperlink"/>
            <w:snapToGrid/>
            <w:kern w:val="0"/>
            <w:sz w:val="24"/>
            <w:szCs w:val="24"/>
          </w:rPr>
          <w:t>@fcc.gov</w:t>
        </w:r>
      </w:hyperlink>
      <w:r w:rsidRPr="00DC1262">
        <w:rPr>
          <w:snapToGrid/>
          <w:kern w:val="0"/>
          <w:sz w:val="24"/>
          <w:szCs w:val="24"/>
        </w:rPr>
        <w:t>, or Roberto Mussenden of the Public Safety and Homeland Security Bureau, Policy</w:t>
      </w:r>
      <w:r w:rsidR="002B1CFC">
        <w:rPr>
          <w:snapToGrid/>
          <w:kern w:val="0"/>
          <w:sz w:val="24"/>
          <w:szCs w:val="24"/>
        </w:rPr>
        <w:t xml:space="preserve"> and Licensing</w:t>
      </w:r>
      <w:r w:rsidRPr="00DC1262">
        <w:rPr>
          <w:snapToGrid/>
          <w:kern w:val="0"/>
          <w:sz w:val="24"/>
          <w:szCs w:val="24"/>
        </w:rPr>
        <w:t xml:space="preserve"> Division, (202) 418-1428, </w:t>
      </w:r>
      <w:hyperlink r:id="rId8" w:history="1">
        <w:r w:rsidRPr="00DC1262">
          <w:rPr>
            <w:snapToGrid/>
            <w:color w:val="0000FF"/>
            <w:kern w:val="0"/>
            <w:sz w:val="24"/>
            <w:szCs w:val="24"/>
            <w:u w:val="single"/>
          </w:rPr>
          <w:t>Roberto.Mussenden@fcc.gov</w:t>
        </w:r>
      </w:hyperlink>
      <w:r w:rsidRPr="00DC1262">
        <w:rPr>
          <w:snapToGrid/>
          <w:kern w:val="0"/>
          <w:sz w:val="24"/>
          <w:szCs w:val="24"/>
        </w:rPr>
        <w:t xml:space="preserve">.    </w:t>
      </w:r>
    </w:p>
    <w:p w:rsidR="00DC1262" w:rsidRPr="00DC1262" w:rsidP="00DC1262" w14:paraId="7D734C5B" w14:textId="77777777">
      <w:pPr>
        <w:widowControl/>
        <w:spacing w:before="120"/>
        <w:jc w:val="center"/>
        <w:rPr>
          <w:snapToGrid/>
          <w:kern w:val="0"/>
          <w:sz w:val="24"/>
          <w:szCs w:val="24"/>
        </w:rPr>
      </w:pPr>
      <w:r w:rsidRPr="00DC1262">
        <w:rPr>
          <w:snapToGrid/>
          <w:kern w:val="0"/>
          <w:sz w:val="24"/>
          <w:szCs w:val="24"/>
        </w:rPr>
        <w:t>-FCC -</w:t>
      </w:r>
    </w:p>
    <w:p w:rsidR="00DC1262" w:rsidRPr="00F52E34" w:rsidP="000E122D" w14:paraId="4B453C1D" w14:textId="77777777">
      <w:pPr>
        <w:ind w:firstLine="720"/>
        <w:rPr>
          <w:sz w:val="24"/>
          <w:szCs w:val="24"/>
        </w:rPr>
      </w:pPr>
    </w:p>
    <w:sectPr w:rsidSect="000E58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16E254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998507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550607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468F109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04064" w14:paraId="74E08D59" w14:textId="77777777">
      <w:r>
        <w:separator/>
      </w:r>
    </w:p>
  </w:footnote>
  <w:footnote w:type="continuationSeparator" w:id="1">
    <w:p w:rsidR="00004064" w14:paraId="1B3D53C3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004064" w:rsidP="00910F12" w14:paraId="49D9EFD0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E122D" w:rsidP="000E122D" w14:paraId="3D4B4E3E" w14:textId="7C2780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rPr>
          <w:i/>
          <w:spacing w:val="-2"/>
        </w:rPr>
        <w:t>Implementation of Sections 309(j) and 337 of the Communications Act of 1934 as Amended</w:t>
      </w:r>
      <w:r>
        <w:t>,</w:t>
      </w:r>
      <w:r>
        <w:rPr>
          <w:i/>
        </w:rPr>
        <w:t xml:space="preserve"> </w:t>
      </w:r>
      <w:r>
        <w:t>Second Report and Order and Second Further Notice of Proposed Rulemaking</w:t>
      </w:r>
      <w:r>
        <w:rPr>
          <w:i/>
        </w:rPr>
        <w:t xml:space="preserve">, </w:t>
      </w:r>
      <w:r>
        <w:t xml:space="preserve">18 FCC </w:t>
      </w:r>
      <w:r>
        <w:t>Rcd</w:t>
      </w:r>
      <w:r>
        <w:t xml:space="preserve"> 3034 (2003); </w:t>
      </w:r>
      <w:r>
        <w:rPr>
          <w:i/>
          <w:spacing w:val="-2"/>
        </w:rPr>
        <w:t>Implementation of Sections 309(j) and 337 of the Communications Act of 1934 as Amended</w:t>
      </w:r>
      <w:r>
        <w:t>,</w:t>
      </w:r>
      <w:r>
        <w:rPr>
          <w:i/>
        </w:rPr>
        <w:t xml:space="preserve"> </w:t>
      </w:r>
      <w:r>
        <w:t>Third Memorandum Opinion and Order, Third Further Notice of Proposed Rule Making and Order</w:t>
      </w:r>
      <w:r>
        <w:rPr>
          <w:i/>
        </w:rPr>
        <w:t xml:space="preserve">, </w:t>
      </w:r>
      <w:r>
        <w:t xml:space="preserve">19 FCC </w:t>
      </w:r>
      <w:r>
        <w:t>Rcd</w:t>
      </w:r>
      <w:r>
        <w:t xml:space="preserve"> 25045 (2004);</w:t>
      </w:r>
      <w:r>
        <w:rPr>
          <w:spacing w:val="-2"/>
        </w:rPr>
        <w:t xml:space="preserve"> </w:t>
      </w:r>
      <w:r>
        <w:rPr>
          <w:i/>
          <w:spacing w:val="-2"/>
        </w:rPr>
        <w:t>Implementation of Sections 309(j) and 337 of the Communications Act of 1934 as Amended</w:t>
      </w:r>
      <w:r>
        <w:t>,</w:t>
      </w:r>
      <w:r>
        <w:rPr>
          <w:i/>
        </w:rPr>
        <w:t xml:space="preserve"> </w:t>
      </w:r>
      <w:r>
        <w:t>Order</w:t>
      </w:r>
      <w:r>
        <w:rPr>
          <w:i/>
        </w:rPr>
        <w:t xml:space="preserve">, </w:t>
      </w:r>
      <w:r>
        <w:t xml:space="preserve">25 FCC </w:t>
      </w:r>
      <w:r>
        <w:t>Rcd</w:t>
      </w:r>
      <w:r>
        <w:t xml:space="preserve"> 8861 (2010); </w:t>
      </w:r>
      <w:r>
        <w:rPr>
          <w:i/>
        </w:rPr>
        <w:t xml:space="preserve">see also </w:t>
      </w:r>
      <w:r>
        <w:t xml:space="preserve">47 CFR §§ 90.203(j), 90.209(b).  Specifically, the </w:t>
      </w:r>
      <w:r>
        <w:t>narrowbanding</w:t>
      </w:r>
      <w:r>
        <w:t xml:space="preserve"> deadlines apply to frequencies in the 150.8-162.0125 MHz, 173.2-173.4 MHz, and 421-512 MHz bands, but </w:t>
      </w:r>
      <w:r>
        <w:rPr>
          <w:szCs w:val="22"/>
        </w:rPr>
        <w:t>the Wireless Telecommunications Bureau, Public Safety and Homeland Security Bureau, and Office of Engineering and Technology</w:t>
      </w:r>
      <w:r>
        <w:t xml:space="preserve"> have </w:t>
      </w:r>
      <w:r>
        <w:rPr>
          <w:szCs w:val="22"/>
        </w:rPr>
        <w:t>waived the January 1, 2013</w:t>
      </w:r>
      <w:r w:rsidR="00401EA1">
        <w:rPr>
          <w:szCs w:val="22"/>
        </w:rPr>
        <w:t>,</w:t>
      </w:r>
      <w:r>
        <w:rPr>
          <w:szCs w:val="22"/>
        </w:rPr>
        <w:t xml:space="preserve"> deadline for </w:t>
      </w:r>
      <w:r>
        <w:t xml:space="preserve">licensees in the 470-512 MHz band.  </w:t>
      </w:r>
      <w:r>
        <w:rPr>
          <w:i/>
        </w:rPr>
        <w:t xml:space="preserve">See </w:t>
      </w:r>
      <w:r>
        <w:rPr>
          <w:i/>
          <w:spacing w:val="-2"/>
        </w:rPr>
        <w:t>Implementation of Sections 309(j) and 337 of the Communications Act of 1934 as Amended</w:t>
      </w:r>
      <w:r>
        <w:t xml:space="preserve">, Order, 27 FCC </w:t>
      </w:r>
      <w:r>
        <w:t>Rcd</w:t>
      </w:r>
      <w:r>
        <w:t xml:space="preserve"> 4213, </w:t>
      </w:r>
      <w:r>
        <w:rPr>
          <w:i/>
        </w:rPr>
        <w:t>on recon.</w:t>
      </w:r>
      <w:r>
        <w:t xml:space="preserve">, Order on Reconsideration, 27 FCC </w:t>
      </w:r>
      <w:r>
        <w:t>Rcd</w:t>
      </w:r>
      <w:r>
        <w:t xml:space="preserve"> 14770 (WTB/PSHSB/OET 2012).</w:t>
      </w:r>
    </w:p>
  </w:footnote>
  <w:footnote w:id="4">
    <w:p w:rsidR="000E122D" w:rsidP="000E122D" w14:paraId="0D056E74" w14:textId="0927FBDB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DC1262" w:rsidR="00DC1262">
        <w:rPr>
          <w:i/>
          <w:iCs/>
        </w:rPr>
        <w:t>See Wireless Telecommunications Bureau and Public Safety and Homeland Security Bureau Provide Additional Guidance Regarding Post-</w:t>
      </w:r>
      <w:r w:rsidRPr="00DC1262" w:rsidR="00DC1262">
        <w:rPr>
          <w:i/>
          <w:iCs/>
        </w:rPr>
        <w:t>Narrowbanding</w:t>
      </w:r>
      <w:r w:rsidRPr="00DC1262" w:rsidR="00DC1262">
        <w:rPr>
          <w:i/>
          <w:iCs/>
        </w:rPr>
        <w:t xml:space="preserve"> License Renewal Procedures for Private Land Mobile Radio Operations in the 150-</w:t>
      </w:r>
      <w:r w:rsidR="00003268">
        <w:rPr>
          <w:i/>
          <w:iCs/>
        </w:rPr>
        <w:t>1</w:t>
      </w:r>
      <w:r w:rsidRPr="00DC1262" w:rsidR="00DC1262">
        <w:rPr>
          <w:i/>
          <w:iCs/>
        </w:rPr>
        <w:t xml:space="preserve">74 and 421-470 MHz Bands, </w:t>
      </w:r>
      <w:r w:rsidRPr="00DC1262" w:rsidR="00DC1262">
        <w:t xml:space="preserve">Public Notice, 31 FCC </w:t>
      </w:r>
      <w:r w:rsidRPr="00DC1262" w:rsidR="00DC1262">
        <w:t>Rcd</w:t>
      </w:r>
      <w:r w:rsidRPr="00DC1262" w:rsidR="00DC1262">
        <w:t xml:space="preserve"> 127 </w:t>
      </w:r>
      <w:r w:rsidR="00DC1262">
        <w:t>(</w:t>
      </w:r>
      <w:r w:rsidRPr="00DC1262" w:rsidR="00DC1262">
        <w:t>WTB/PSHSB 201</w:t>
      </w:r>
      <w:r w:rsidR="00DC1262">
        <w:t>6</w:t>
      </w:r>
      <w:r w:rsidRPr="00DC1262" w:rsidR="00DC1262">
        <w:t xml:space="preserve">); </w:t>
      </w:r>
      <w:r>
        <w:rPr>
          <w:i/>
        </w:rPr>
        <w:t>Wireless Telecommunications Bureau and Public Safety and Homeland Security Bureau Provide Additional Guidance Regarding Post-</w:t>
      </w:r>
      <w:r>
        <w:rPr>
          <w:i/>
        </w:rPr>
        <w:t>Narrowbanding</w:t>
      </w:r>
      <w:r>
        <w:rPr>
          <w:i/>
        </w:rPr>
        <w:t xml:space="preserve"> License Renewal Procedures for Private Land Mobile Radio Operations in the 150-</w:t>
      </w:r>
      <w:r w:rsidR="00003268">
        <w:rPr>
          <w:i/>
        </w:rPr>
        <w:t>1</w:t>
      </w:r>
      <w:r>
        <w:rPr>
          <w:i/>
        </w:rPr>
        <w:t>74 and 421-470 MHz Bands</w:t>
      </w:r>
      <w:r>
        <w:t xml:space="preserve">, Public Notice, 29 FCC </w:t>
      </w:r>
      <w:r>
        <w:t>Rcd</w:t>
      </w:r>
      <w:r>
        <w:t xml:space="preserve"> 2088 (WTB/PSHSB 2014); </w:t>
      </w:r>
      <w:r>
        <w:rPr>
          <w:i/>
        </w:rPr>
        <w:t xml:space="preserve">Wireless Telecommunications Bureau, Public Safety and Homeland Security Bureau, and Office of Engineering and Technology Provide Guidance on Compliance with </w:t>
      </w:r>
      <w:r>
        <w:rPr>
          <w:i/>
        </w:rPr>
        <w:t>Narrowbanding</w:t>
      </w:r>
      <w:r>
        <w:rPr>
          <w:i/>
        </w:rPr>
        <w:t xml:space="preserve"> Requirement Now in Effect for Private Land Mobile Radio Operations in the 150-</w:t>
      </w:r>
      <w:r w:rsidR="00003268">
        <w:rPr>
          <w:i/>
        </w:rPr>
        <w:t>1</w:t>
      </w:r>
      <w:r>
        <w:rPr>
          <w:i/>
        </w:rPr>
        <w:t>74 and 421-470 MHz Bands</w:t>
      </w:r>
      <w:r>
        <w:t xml:space="preserve">, Public Notice, 28 FCC </w:t>
      </w:r>
      <w:r>
        <w:t>Rcd</w:t>
      </w:r>
      <w:r>
        <w:t xml:space="preserve"> 2296 (WTB/PSHSB/OET 2013).</w:t>
      </w:r>
    </w:p>
  </w:footnote>
  <w:footnote w:id="5">
    <w:p w:rsidR="00B30364" w:rsidP="00B30364" w14:paraId="207BB466" w14:textId="77777777">
      <w:pPr>
        <w:pStyle w:val="FootnoteText"/>
      </w:pPr>
      <w:r>
        <w:rPr>
          <w:rStyle w:val="FootnoteReference"/>
        </w:rPr>
        <w:footnoteRef/>
      </w:r>
      <w:r>
        <w:t xml:space="preserve"> In 2016, more than 2,000 applications were filed using the </w:t>
      </w:r>
      <w:r>
        <w:t>Narrowbanding</w:t>
      </w:r>
      <w:r>
        <w:t xml:space="preserve"> Tool, while in 2020, there have been fewer than 100. Similarly, usage of the Remove Wideband Emissions tool has dropped by approximately 90%.</w:t>
      </w:r>
    </w:p>
  </w:footnote>
  <w:footnote w:id="6">
    <w:p w:rsidR="00186984" w14:paraId="246B0806" w14:textId="127CB1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6984">
        <w:t>To file under the fee exemption, the applicant filling</w:t>
      </w:r>
      <w:r w:rsidR="00381A40">
        <w:t>-</w:t>
      </w:r>
      <w:r w:rsidRPr="00186984">
        <w:t xml:space="preserve">out FCC Form 601 must enter ‘yes’ responses to Items 9 (exempt from the application fee) and 10 (exempt from the regulatory fee).  In addition, the applicant must respond ‘yes’ to Item 8 on Form 601 (attachment being filed) and submit an attachment explaining why the application is fee-exempt.  Applicants should use the 'fee exemption' attachment type.  The Bureaus recommend that licensees reference </w:t>
      </w:r>
      <w:r w:rsidR="00381A40">
        <w:t>s</w:t>
      </w:r>
      <w:r w:rsidRPr="00186984" w:rsidR="00381A40">
        <w:t xml:space="preserve">ection </w:t>
      </w:r>
      <w:r w:rsidRPr="00186984">
        <w:t xml:space="preserve">1.1116(a) in the attachment explanation field and indicate that the filing was made exclusively to comply with the Commission's </w:t>
      </w:r>
      <w:r w:rsidRPr="00186984">
        <w:t>narrowbanding</w:t>
      </w:r>
      <w:r w:rsidRPr="00186984">
        <w:t xml:space="preserve"> mandate.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BC36BE9" w14:textId="3819422A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BE27F1">
      <w:rPr>
        <w:b/>
      </w:rPr>
      <w:t>DA 20-1346</w:t>
    </w:r>
  </w:p>
  <w:p w:rsidR="009838BC" w:rsidRPr="009838BC" w:rsidP="009838BC" w14:paraId="630F8EE0" w14:textId="024ADF0D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66E92148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FC4780F" w14:textId="542761D3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A587A" w:rsidRPr="00CA587A" w:rsidP="00CA587A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 w:rsidRPr="00CA587A"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9838BC" w14:textId="7AA6ECBB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 w:rsidRPr="00CA587A">
                            <w:rPr>
                              <w:rFonts w:ascii="Arial" w:hAnsi="Arial"/>
                              <w:b/>
                            </w:rPr>
                            <w:t>Washington, DC 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0922772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A587A" w:rsidRPr="00CA587A" w:rsidP="00CA587A" w14:paraId="69C12FC3" w14:textId="77777777">
                    <w:pPr>
                      <w:rPr>
                        <w:rFonts w:ascii="Arial" w:hAnsi="Arial"/>
                        <w:b/>
                      </w:rPr>
                    </w:pPr>
                    <w:r w:rsidRPr="00CA587A"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9838BC" w14:paraId="41FCFAFA" w14:textId="7AA6ECBB">
                    <w:pPr>
                      <w:rPr>
                        <w:rFonts w:ascii="Arial" w:hAnsi="Arial"/>
                        <w:sz w:val="24"/>
                      </w:rPr>
                    </w:pPr>
                    <w:r w:rsidRPr="00CA587A">
                      <w:rPr>
                        <w:rFonts w:ascii="Arial" w:hAnsi="Arial"/>
                        <w:b/>
                      </w:rPr>
                      <w:t>Washington, DC 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9312965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F3EB0EB" w14:textId="6D65E54F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10E98344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95D770E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1AD4C7F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315D633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C3"/>
    <w:rsid w:val="00003268"/>
    <w:rsid w:val="00004064"/>
    <w:rsid w:val="000072CE"/>
    <w:rsid w:val="00013A8B"/>
    <w:rsid w:val="00021445"/>
    <w:rsid w:val="000355CD"/>
    <w:rsid w:val="00036039"/>
    <w:rsid w:val="00037F90"/>
    <w:rsid w:val="000551A7"/>
    <w:rsid w:val="000740D0"/>
    <w:rsid w:val="000875BF"/>
    <w:rsid w:val="00096D8C"/>
    <w:rsid w:val="000A06F5"/>
    <w:rsid w:val="000C0B65"/>
    <w:rsid w:val="000E122D"/>
    <w:rsid w:val="000E3D42"/>
    <w:rsid w:val="000E5884"/>
    <w:rsid w:val="000F6891"/>
    <w:rsid w:val="00122BD5"/>
    <w:rsid w:val="001232E4"/>
    <w:rsid w:val="0014248F"/>
    <w:rsid w:val="001426C2"/>
    <w:rsid w:val="00165A1A"/>
    <w:rsid w:val="00172853"/>
    <w:rsid w:val="00186984"/>
    <w:rsid w:val="00195C8D"/>
    <w:rsid w:val="001979D9"/>
    <w:rsid w:val="001D28A9"/>
    <w:rsid w:val="001D6BCF"/>
    <w:rsid w:val="001E01CA"/>
    <w:rsid w:val="002060D9"/>
    <w:rsid w:val="00217EFF"/>
    <w:rsid w:val="00226822"/>
    <w:rsid w:val="0025262B"/>
    <w:rsid w:val="00260594"/>
    <w:rsid w:val="00274DBE"/>
    <w:rsid w:val="00285017"/>
    <w:rsid w:val="002959F4"/>
    <w:rsid w:val="002A2D2E"/>
    <w:rsid w:val="002A3B1B"/>
    <w:rsid w:val="002B1974"/>
    <w:rsid w:val="002B1CFC"/>
    <w:rsid w:val="002B6194"/>
    <w:rsid w:val="002D56C3"/>
    <w:rsid w:val="00331D53"/>
    <w:rsid w:val="00343749"/>
    <w:rsid w:val="003456CD"/>
    <w:rsid w:val="00357D50"/>
    <w:rsid w:val="00381A40"/>
    <w:rsid w:val="003925DC"/>
    <w:rsid w:val="003B0550"/>
    <w:rsid w:val="003B694F"/>
    <w:rsid w:val="003D1B50"/>
    <w:rsid w:val="003F171C"/>
    <w:rsid w:val="003F3ACC"/>
    <w:rsid w:val="00401EA1"/>
    <w:rsid w:val="00412FC5"/>
    <w:rsid w:val="00422276"/>
    <w:rsid w:val="004242F1"/>
    <w:rsid w:val="00445A00"/>
    <w:rsid w:val="00451B0F"/>
    <w:rsid w:val="0046125F"/>
    <w:rsid w:val="004650DF"/>
    <w:rsid w:val="00487524"/>
    <w:rsid w:val="004936B1"/>
    <w:rsid w:val="00496106"/>
    <w:rsid w:val="004A2CDB"/>
    <w:rsid w:val="004A3BC9"/>
    <w:rsid w:val="004C12D0"/>
    <w:rsid w:val="004C2EE3"/>
    <w:rsid w:val="004E496E"/>
    <w:rsid w:val="004E4A22"/>
    <w:rsid w:val="00511968"/>
    <w:rsid w:val="00513866"/>
    <w:rsid w:val="005144AF"/>
    <w:rsid w:val="0055614C"/>
    <w:rsid w:val="00564AFB"/>
    <w:rsid w:val="00566C79"/>
    <w:rsid w:val="00576B79"/>
    <w:rsid w:val="005E0E22"/>
    <w:rsid w:val="005F24DC"/>
    <w:rsid w:val="00607BA5"/>
    <w:rsid w:val="00611386"/>
    <w:rsid w:val="00626EB6"/>
    <w:rsid w:val="006353A3"/>
    <w:rsid w:val="00655D03"/>
    <w:rsid w:val="006563F4"/>
    <w:rsid w:val="00661926"/>
    <w:rsid w:val="0068004D"/>
    <w:rsid w:val="00683F84"/>
    <w:rsid w:val="00694C62"/>
    <w:rsid w:val="006A1458"/>
    <w:rsid w:val="006A6A81"/>
    <w:rsid w:val="006E26AF"/>
    <w:rsid w:val="006F0CED"/>
    <w:rsid w:val="006F7393"/>
    <w:rsid w:val="00700360"/>
    <w:rsid w:val="0070224F"/>
    <w:rsid w:val="007115F7"/>
    <w:rsid w:val="007563F3"/>
    <w:rsid w:val="00785689"/>
    <w:rsid w:val="00785BFC"/>
    <w:rsid w:val="00793D9A"/>
    <w:rsid w:val="0079754B"/>
    <w:rsid w:val="007A1E6D"/>
    <w:rsid w:val="00800CDD"/>
    <w:rsid w:val="00822CE0"/>
    <w:rsid w:val="00837C62"/>
    <w:rsid w:val="00841AB1"/>
    <w:rsid w:val="008608BD"/>
    <w:rsid w:val="0087188F"/>
    <w:rsid w:val="0087508D"/>
    <w:rsid w:val="008C22FD"/>
    <w:rsid w:val="00910F12"/>
    <w:rsid w:val="00926503"/>
    <w:rsid w:val="00930ECF"/>
    <w:rsid w:val="009625BC"/>
    <w:rsid w:val="009838BC"/>
    <w:rsid w:val="009B384D"/>
    <w:rsid w:val="009D28DD"/>
    <w:rsid w:val="00A4594D"/>
    <w:rsid w:val="00A45F4F"/>
    <w:rsid w:val="00A600A9"/>
    <w:rsid w:val="00A72833"/>
    <w:rsid w:val="00A8140C"/>
    <w:rsid w:val="00A866AC"/>
    <w:rsid w:val="00AA0023"/>
    <w:rsid w:val="00AA55B7"/>
    <w:rsid w:val="00AA5B9E"/>
    <w:rsid w:val="00AB2407"/>
    <w:rsid w:val="00AB53DF"/>
    <w:rsid w:val="00AC300C"/>
    <w:rsid w:val="00AE0325"/>
    <w:rsid w:val="00B07E5C"/>
    <w:rsid w:val="00B155F3"/>
    <w:rsid w:val="00B20363"/>
    <w:rsid w:val="00B30364"/>
    <w:rsid w:val="00B326E3"/>
    <w:rsid w:val="00B547E3"/>
    <w:rsid w:val="00B55D00"/>
    <w:rsid w:val="00B65134"/>
    <w:rsid w:val="00B811F7"/>
    <w:rsid w:val="00B949C9"/>
    <w:rsid w:val="00BA5DC6"/>
    <w:rsid w:val="00BA6196"/>
    <w:rsid w:val="00BB7289"/>
    <w:rsid w:val="00BC6D8C"/>
    <w:rsid w:val="00BE1915"/>
    <w:rsid w:val="00BE27F1"/>
    <w:rsid w:val="00BF5D00"/>
    <w:rsid w:val="00C034BF"/>
    <w:rsid w:val="00C16AF2"/>
    <w:rsid w:val="00C34006"/>
    <w:rsid w:val="00C426B1"/>
    <w:rsid w:val="00C514F9"/>
    <w:rsid w:val="00C624C2"/>
    <w:rsid w:val="00C82B6B"/>
    <w:rsid w:val="00C90D6A"/>
    <w:rsid w:val="00CA587A"/>
    <w:rsid w:val="00CC0D8D"/>
    <w:rsid w:val="00CC72B6"/>
    <w:rsid w:val="00D0218D"/>
    <w:rsid w:val="00D216CD"/>
    <w:rsid w:val="00D83720"/>
    <w:rsid w:val="00D97F4B"/>
    <w:rsid w:val="00DA2529"/>
    <w:rsid w:val="00DB130A"/>
    <w:rsid w:val="00DC10A1"/>
    <w:rsid w:val="00DC1262"/>
    <w:rsid w:val="00DC655F"/>
    <w:rsid w:val="00DD7EBD"/>
    <w:rsid w:val="00DF06C0"/>
    <w:rsid w:val="00DF62B6"/>
    <w:rsid w:val="00E07225"/>
    <w:rsid w:val="00E11A03"/>
    <w:rsid w:val="00E155B7"/>
    <w:rsid w:val="00E52896"/>
    <w:rsid w:val="00E5409F"/>
    <w:rsid w:val="00E5756C"/>
    <w:rsid w:val="00E63441"/>
    <w:rsid w:val="00E847F4"/>
    <w:rsid w:val="00EC0185"/>
    <w:rsid w:val="00F021FA"/>
    <w:rsid w:val="00F056E2"/>
    <w:rsid w:val="00F52E34"/>
    <w:rsid w:val="00F57ACA"/>
    <w:rsid w:val="00F62E97"/>
    <w:rsid w:val="00F64209"/>
    <w:rsid w:val="00F90A3C"/>
    <w:rsid w:val="00F93BF5"/>
    <w:rsid w:val="00F96F63"/>
    <w:rsid w:val="00FA5080"/>
    <w:rsid w:val="00FD4FE7"/>
    <w:rsid w:val="00FE2E12"/>
    <w:rsid w:val="00FF2FB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037DE83-00D8-446B-9AB0-051C926C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2E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96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C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CE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CED"/>
    <w:rPr>
      <w:b/>
      <w:bCs/>
      <w:snapToGrid w:val="0"/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514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encyclopedia/narrowbanding-overview" TargetMode="External" /><Relationship Id="rId6" Type="http://schemas.openxmlformats.org/officeDocument/2006/relationships/hyperlink" Target="https://esupport.fcc.gov/onlinerequest.htm" TargetMode="External" /><Relationship Id="rId7" Type="http://schemas.openxmlformats.org/officeDocument/2006/relationships/hyperlink" Target="mailto:________@fcc.gov" TargetMode="External" /><Relationship Id="rId8" Type="http://schemas.openxmlformats.org/officeDocument/2006/relationships/hyperlink" Target="mailto:Roberto.Mussenden@fcc.gov" TargetMode="External" /><Relationship Id="rId9" Type="http://schemas.openxmlformats.org/officeDocument/2006/relationships/header" Target="head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