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A34B5" w:rsidP="006A34B5" w14:paraId="4A463650" w14:textId="77777777">
      <w:pPr>
        <w:jc w:val="right"/>
        <w:rPr>
          <w:b/>
          <w:szCs w:val="22"/>
        </w:rPr>
      </w:pPr>
      <w:bookmarkStart w:id="0" w:name="_GoBack"/>
      <w:bookmarkEnd w:id="0"/>
    </w:p>
    <w:p w:rsidR="006A34B5" w:rsidP="006A34B5" w14:paraId="641D433C" w14:textId="21EA63EC">
      <w:pPr>
        <w:jc w:val="right"/>
        <w:rPr>
          <w:b/>
          <w:szCs w:val="22"/>
        </w:rPr>
      </w:pPr>
      <w:r>
        <w:rPr>
          <w:b/>
          <w:szCs w:val="22"/>
        </w:rPr>
        <w:t>DA 20-</w:t>
      </w:r>
      <w:r w:rsidR="003D6291">
        <w:rPr>
          <w:b/>
          <w:szCs w:val="22"/>
        </w:rPr>
        <w:t>1350</w:t>
      </w:r>
    </w:p>
    <w:p w:rsidR="00013A8B" w:rsidRPr="007C4FDC" w:rsidP="00013A8B" w14:paraId="5D248521" w14:textId="77772EAD">
      <w:pPr>
        <w:spacing w:before="60"/>
        <w:jc w:val="right"/>
        <w:rPr>
          <w:b/>
          <w:sz w:val="24"/>
        </w:rPr>
      </w:pPr>
      <w:r w:rsidRPr="007C4FDC">
        <w:rPr>
          <w:b/>
          <w:sz w:val="24"/>
        </w:rPr>
        <w:t xml:space="preserve">November </w:t>
      </w:r>
      <w:r w:rsidRPr="007C4FDC" w:rsidR="007C4FDC">
        <w:rPr>
          <w:b/>
          <w:sz w:val="24"/>
        </w:rPr>
        <w:t>13</w:t>
      </w:r>
      <w:r w:rsidRPr="007C4FDC">
        <w:rPr>
          <w:b/>
          <w:sz w:val="24"/>
        </w:rPr>
        <w:t>, 2020</w:t>
      </w:r>
    </w:p>
    <w:p w:rsidR="00013A8B" w:rsidP="00013A8B" w14:paraId="5D14290A" w14:textId="77777777">
      <w:pPr>
        <w:jc w:val="right"/>
        <w:rPr>
          <w:sz w:val="24"/>
        </w:rPr>
      </w:pPr>
    </w:p>
    <w:p w:rsidR="00C35D99" w:rsidP="00FE2744" w14:paraId="12CB7356" w14:textId="77777777">
      <w:pPr>
        <w:spacing w:after="240"/>
        <w:jc w:val="center"/>
        <w:rPr>
          <w:b/>
          <w:szCs w:val="22"/>
        </w:rPr>
      </w:pPr>
      <w:bookmarkStart w:id="1" w:name="_Hlk1037059"/>
    </w:p>
    <w:p w:rsidR="00071416" w:rsidP="00FE2744" w14:paraId="05311DEF" w14:textId="113AAB54">
      <w:pPr>
        <w:spacing w:after="240"/>
        <w:jc w:val="center"/>
        <w:rPr>
          <w:b/>
          <w:szCs w:val="22"/>
        </w:rPr>
      </w:pPr>
      <w:r w:rsidRPr="00C45D96">
        <w:rPr>
          <w:b/>
          <w:szCs w:val="22"/>
        </w:rPr>
        <w:t xml:space="preserve">MEDIA BUREAU </w:t>
      </w:r>
      <w:r>
        <w:rPr>
          <w:b/>
          <w:szCs w:val="22"/>
        </w:rPr>
        <w:t>SEEKS COMMENT ON REQUEST FOR PERMANENT WAIVER OF NEWSPAPER-BROADCAST CROSS-OWNERSHIP RULE FILED BY FOX CORP.</w:t>
      </w:r>
    </w:p>
    <w:bookmarkEnd w:id="1"/>
    <w:p w:rsidR="00013A8B" w:rsidRPr="007C4FDC" w:rsidP="00013A8B" w14:paraId="2A6A7CCB" w14:textId="542BD126">
      <w:pPr>
        <w:jc w:val="center"/>
        <w:rPr>
          <w:b/>
          <w:sz w:val="24"/>
        </w:rPr>
      </w:pPr>
      <w:r w:rsidRPr="007C4FDC">
        <w:rPr>
          <w:b/>
          <w:sz w:val="24"/>
        </w:rPr>
        <w:t>MB Docket No. 20-</w:t>
      </w:r>
      <w:r w:rsidRPr="007C4FDC" w:rsidR="00153ADA">
        <w:rPr>
          <w:b/>
          <w:sz w:val="24"/>
        </w:rPr>
        <w:t>3</w:t>
      </w:r>
      <w:r w:rsidRPr="007C4FDC" w:rsidR="005B1690">
        <w:rPr>
          <w:b/>
          <w:sz w:val="24"/>
        </w:rPr>
        <w:t>78</w:t>
      </w:r>
    </w:p>
    <w:p w:rsidR="00FE2744" w:rsidP="00FE2744" w14:paraId="65A43216" w14:textId="67226B1A">
      <w:pPr>
        <w:rPr>
          <w:b/>
          <w:sz w:val="24"/>
        </w:rPr>
      </w:pPr>
    </w:p>
    <w:p w:rsidR="00FE2744" w:rsidRPr="001E4371" w:rsidP="00FE2744" w14:paraId="29BF0C51" w14:textId="4C0762F5">
      <w:pPr>
        <w:rPr>
          <w:b/>
          <w:szCs w:val="18"/>
        </w:rPr>
      </w:pPr>
      <w:r w:rsidRPr="001E4371">
        <w:rPr>
          <w:b/>
          <w:szCs w:val="18"/>
        </w:rPr>
        <w:t>Comment Date</w:t>
      </w:r>
      <w:r w:rsidRPr="001E4371" w:rsidR="005206C0">
        <w:rPr>
          <w:b/>
          <w:szCs w:val="18"/>
        </w:rPr>
        <w:t xml:space="preserve">:  </w:t>
      </w:r>
      <w:r w:rsidRPr="001E4371">
        <w:rPr>
          <w:b/>
          <w:szCs w:val="18"/>
        </w:rPr>
        <w:t xml:space="preserve">November </w:t>
      </w:r>
      <w:r w:rsidR="00CD7655">
        <w:rPr>
          <w:b/>
          <w:szCs w:val="18"/>
        </w:rPr>
        <w:t>27</w:t>
      </w:r>
      <w:r w:rsidRPr="001E4371" w:rsidR="005206C0">
        <w:rPr>
          <w:b/>
          <w:szCs w:val="18"/>
        </w:rPr>
        <w:t>, 2020</w:t>
      </w:r>
    </w:p>
    <w:p w:rsidR="00FE2744" w:rsidRPr="001E4371" w:rsidP="00FE2744" w14:paraId="21483C92" w14:textId="526C24C6">
      <w:pPr>
        <w:rPr>
          <w:b/>
          <w:szCs w:val="18"/>
        </w:rPr>
      </w:pPr>
      <w:r w:rsidRPr="001E4371">
        <w:rPr>
          <w:b/>
          <w:szCs w:val="18"/>
        </w:rPr>
        <w:t>Reply Comment Date</w:t>
      </w:r>
      <w:r w:rsidRPr="001E4371" w:rsidR="005206C0">
        <w:rPr>
          <w:b/>
          <w:szCs w:val="18"/>
        </w:rPr>
        <w:t xml:space="preserve">:  December </w:t>
      </w:r>
      <w:r w:rsidR="00CD7655">
        <w:rPr>
          <w:b/>
          <w:szCs w:val="18"/>
        </w:rPr>
        <w:t>4</w:t>
      </w:r>
      <w:r w:rsidRPr="001E4371" w:rsidR="005206C0">
        <w:rPr>
          <w:b/>
          <w:szCs w:val="18"/>
        </w:rPr>
        <w:t>, 2020</w:t>
      </w:r>
    </w:p>
    <w:p w:rsidR="00F96F63" w:rsidP="00F96F63" w14:paraId="535AEF05" w14:textId="77777777">
      <w:pPr>
        <w:rPr>
          <w:sz w:val="24"/>
        </w:rPr>
      </w:pPr>
    </w:p>
    <w:p w:rsidR="00DD7455" w:rsidP="00FE2744" w14:paraId="0BAD50ED" w14:textId="68D31D4D">
      <w:pPr>
        <w:spacing w:after="120"/>
        <w:ind w:firstLine="720"/>
        <w:rPr>
          <w:szCs w:val="18"/>
        </w:rPr>
      </w:pPr>
      <w:r>
        <w:rPr>
          <w:szCs w:val="18"/>
        </w:rPr>
        <w:t xml:space="preserve">On October 5, 2020, </w:t>
      </w:r>
      <w:r w:rsidRPr="00DD7455">
        <w:rPr>
          <w:szCs w:val="18"/>
        </w:rPr>
        <w:t>Fox Corp., on behalf of its wholly</w:t>
      </w:r>
      <w:r w:rsidR="0032137E">
        <w:rPr>
          <w:szCs w:val="18"/>
        </w:rPr>
        <w:t xml:space="preserve"> </w:t>
      </w:r>
      <w:r w:rsidRPr="00DD7455">
        <w:rPr>
          <w:szCs w:val="18"/>
        </w:rPr>
        <w:t>owned subsidiary, Fox Television Stations, LLC</w:t>
      </w:r>
      <w:r w:rsidR="000553EE">
        <w:rPr>
          <w:szCs w:val="18"/>
        </w:rPr>
        <w:t xml:space="preserve">, </w:t>
      </w:r>
      <w:r w:rsidRPr="000553EE" w:rsidR="000553EE">
        <w:rPr>
          <w:szCs w:val="18"/>
        </w:rPr>
        <w:t>(collectively, “Fox”)</w:t>
      </w:r>
      <w:r>
        <w:rPr>
          <w:szCs w:val="18"/>
        </w:rPr>
        <w:t xml:space="preserve">, filed a request </w:t>
      </w:r>
      <w:r w:rsidR="0032137E">
        <w:rPr>
          <w:szCs w:val="18"/>
        </w:rPr>
        <w:t xml:space="preserve">seeking </w:t>
      </w:r>
      <w:r>
        <w:rPr>
          <w:szCs w:val="18"/>
        </w:rPr>
        <w:t xml:space="preserve">a permanent waiver </w:t>
      </w:r>
      <w:bookmarkStart w:id="2" w:name="_Hlk56160536"/>
      <w:r>
        <w:rPr>
          <w:szCs w:val="18"/>
        </w:rPr>
        <w:t xml:space="preserve">of the </w:t>
      </w:r>
      <w:r w:rsidR="0032137E">
        <w:rPr>
          <w:szCs w:val="18"/>
        </w:rPr>
        <w:t xml:space="preserve">Commission’s </w:t>
      </w:r>
      <w:r>
        <w:rPr>
          <w:szCs w:val="18"/>
        </w:rPr>
        <w:t>newspaper</w:t>
      </w:r>
      <w:r w:rsidR="001964F5">
        <w:rPr>
          <w:szCs w:val="18"/>
        </w:rPr>
        <w:t>/</w:t>
      </w:r>
      <w:r>
        <w:rPr>
          <w:szCs w:val="18"/>
        </w:rPr>
        <w:t>broadcast cross-ownership rule</w:t>
      </w:r>
      <w:bookmarkEnd w:id="2"/>
      <w:r>
        <w:rPr>
          <w:szCs w:val="18"/>
        </w:rPr>
        <w:t>,</w:t>
      </w:r>
      <w:r w:rsidRPr="00DD7455">
        <w:t xml:space="preserve"> </w:t>
      </w:r>
      <w:r w:rsidRPr="00DD7455">
        <w:rPr>
          <w:szCs w:val="18"/>
        </w:rPr>
        <w:t>47 C.F.R. § 73.3555(d)</w:t>
      </w:r>
      <w:r>
        <w:rPr>
          <w:szCs w:val="18"/>
        </w:rPr>
        <w:t xml:space="preserve">, in order to continue its common ownership of </w:t>
      </w:r>
      <w:r w:rsidRPr="00DD7455">
        <w:rPr>
          <w:szCs w:val="18"/>
        </w:rPr>
        <w:t>WWOR-TV, Secaucus, N</w:t>
      </w:r>
      <w:r w:rsidR="007C4FDC">
        <w:rPr>
          <w:szCs w:val="18"/>
        </w:rPr>
        <w:t>J</w:t>
      </w:r>
      <w:r w:rsidRPr="00DD7455">
        <w:rPr>
          <w:szCs w:val="18"/>
        </w:rPr>
        <w:t>, (“WWOR”)</w:t>
      </w:r>
      <w:r w:rsidR="0032137E">
        <w:rPr>
          <w:szCs w:val="18"/>
        </w:rPr>
        <w:t>, WNYW(TV), New York, NY,</w:t>
      </w:r>
      <w:r w:rsidRPr="00DD7455">
        <w:rPr>
          <w:szCs w:val="18"/>
        </w:rPr>
        <w:t xml:space="preserve"> and the New York Post</w:t>
      </w:r>
      <w:r w:rsidR="003C4AF1">
        <w:rPr>
          <w:szCs w:val="18"/>
        </w:rPr>
        <w:t xml:space="preserve"> </w:t>
      </w:r>
      <w:r w:rsidR="0032137E">
        <w:rPr>
          <w:szCs w:val="18"/>
        </w:rPr>
        <w:t xml:space="preserve">newspaper </w:t>
      </w:r>
      <w:r w:rsidRPr="003C4AF1" w:rsidR="003C4AF1">
        <w:rPr>
          <w:szCs w:val="18"/>
        </w:rPr>
        <w:t>(the “Post”).</w:t>
      </w:r>
      <w:r>
        <w:rPr>
          <w:rStyle w:val="FootnoteReference"/>
          <w:szCs w:val="18"/>
        </w:rPr>
        <w:footnoteReference w:id="3"/>
      </w:r>
      <w:r w:rsidR="000553EE">
        <w:rPr>
          <w:szCs w:val="18"/>
        </w:rPr>
        <w:t xml:space="preserve"> </w:t>
      </w:r>
      <w:r w:rsidR="0032137E">
        <w:rPr>
          <w:szCs w:val="18"/>
        </w:rPr>
        <w:t xml:space="preserve"> </w:t>
      </w:r>
      <w:r w:rsidR="000553EE">
        <w:rPr>
          <w:szCs w:val="18"/>
        </w:rPr>
        <w:t xml:space="preserve">In its request, Fox </w:t>
      </w:r>
      <w:r w:rsidR="00F177AA">
        <w:rPr>
          <w:szCs w:val="18"/>
        </w:rPr>
        <w:t xml:space="preserve">states </w:t>
      </w:r>
      <w:r w:rsidR="000553EE">
        <w:rPr>
          <w:szCs w:val="18"/>
        </w:rPr>
        <w:t>that a permanent waiver of the newspaper</w:t>
      </w:r>
      <w:r w:rsidR="00BE0D82">
        <w:rPr>
          <w:szCs w:val="18"/>
        </w:rPr>
        <w:t>/</w:t>
      </w:r>
      <w:r w:rsidR="000553EE">
        <w:rPr>
          <w:szCs w:val="18"/>
        </w:rPr>
        <w:t>broadcast cross-ownership rule will preserve the status quo for viewers in the New York</w:t>
      </w:r>
      <w:r w:rsidR="007C4FDC">
        <w:rPr>
          <w:szCs w:val="18"/>
        </w:rPr>
        <w:t>, NY</w:t>
      </w:r>
      <w:r w:rsidR="000553EE">
        <w:rPr>
          <w:szCs w:val="18"/>
        </w:rPr>
        <w:t xml:space="preserve"> television market. </w:t>
      </w:r>
      <w:r w:rsidR="0032137E">
        <w:rPr>
          <w:szCs w:val="18"/>
        </w:rPr>
        <w:t xml:space="preserve"> </w:t>
      </w:r>
      <w:r w:rsidR="000553EE">
        <w:rPr>
          <w:szCs w:val="18"/>
        </w:rPr>
        <w:t xml:space="preserve">If granted, the permanent waiver would allow Fox to </w:t>
      </w:r>
      <w:r w:rsidR="006A34B5">
        <w:rPr>
          <w:szCs w:val="18"/>
        </w:rPr>
        <w:t xml:space="preserve">continue to </w:t>
      </w:r>
      <w:r w:rsidR="000553EE">
        <w:rPr>
          <w:szCs w:val="18"/>
        </w:rPr>
        <w:t xml:space="preserve">own </w:t>
      </w:r>
      <w:r w:rsidR="00F177AA">
        <w:rPr>
          <w:szCs w:val="18"/>
        </w:rPr>
        <w:t xml:space="preserve">collectively </w:t>
      </w:r>
      <w:r w:rsidR="006E62F5">
        <w:rPr>
          <w:szCs w:val="18"/>
        </w:rPr>
        <w:t xml:space="preserve">WWOR and the Post, as well as </w:t>
      </w:r>
      <w:r w:rsidRPr="006E62F5" w:rsidR="006E62F5">
        <w:rPr>
          <w:szCs w:val="18"/>
        </w:rPr>
        <w:t>WNYW(TV)</w:t>
      </w:r>
      <w:r w:rsidR="0032137E">
        <w:rPr>
          <w:szCs w:val="18"/>
        </w:rPr>
        <w:t>.  Fox notes that it ha</w:t>
      </w:r>
      <w:r w:rsidR="00F177AA">
        <w:rPr>
          <w:szCs w:val="18"/>
        </w:rPr>
        <w:t>s</w:t>
      </w:r>
      <w:r w:rsidR="0032137E">
        <w:rPr>
          <w:szCs w:val="18"/>
        </w:rPr>
        <w:t xml:space="preserve"> previously </w:t>
      </w:r>
      <w:r w:rsidR="006E62F5">
        <w:rPr>
          <w:szCs w:val="18"/>
        </w:rPr>
        <w:t>received a permanent waiver of</w:t>
      </w:r>
      <w:r w:rsidRPr="006E62F5" w:rsidR="006E62F5">
        <w:rPr>
          <w:szCs w:val="18"/>
        </w:rPr>
        <w:t xml:space="preserve"> the newspaper-broadcast cross-ownership rule</w:t>
      </w:r>
      <w:r w:rsidR="00F177AA">
        <w:rPr>
          <w:szCs w:val="18"/>
        </w:rPr>
        <w:t xml:space="preserve"> as to the ownership of WNYW(TV) and the Post</w:t>
      </w:r>
      <w:r w:rsidR="006E62F5">
        <w:rPr>
          <w:szCs w:val="18"/>
        </w:rPr>
        <w:t>.</w:t>
      </w:r>
      <w:r>
        <w:rPr>
          <w:rStyle w:val="FootnoteReference"/>
          <w:szCs w:val="18"/>
        </w:rPr>
        <w:footnoteReference w:id="4"/>
      </w:r>
    </w:p>
    <w:p w:rsidR="000E757F" w:rsidRPr="000E757F" w14:paraId="62B4AA4D" w14:textId="6724FE3F">
      <w:pPr>
        <w:spacing w:after="120"/>
        <w:ind w:firstLine="720"/>
        <w:rPr>
          <w:szCs w:val="18"/>
        </w:rPr>
      </w:pPr>
      <w:r>
        <w:rPr>
          <w:szCs w:val="18"/>
        </w:rPr>
        <w:t xml:space="preserve">The </w:t>
      </w:r>
      <w:r w:rsidR="00377092">
        <w:rPr>
          <w:szCs w:val="18"/>
        </w:rPr>
        <w:t xml:space="preserve">Media </w:t>
      </w:r>
      <w:r>
        <w:rPr>
          <w:szCs w:val="18"/>
        </w:rPr>
        <w:t xml:space="preserve">Bureau </w:t>
      </w:r>
      <w:r w:rsidR="001964F5">
        <w:rPr>
          <w:szCs w:val="18"/>
        </w:rPr>
        <w:t xml:space="preserve">seeks comment on </w:t>
      </w:r>
      <w:r w:rsidR="005B1690">
        <w:rPr>
          <w:szCs w:val="18"/>
        </w:rPr>
        <w:t>this request</w:t>
      </w:r>
      <w:r w:rsidR="007C4FDC">
        <w:rPr>
          <w:szCs w:val="18"/>
        </w:rPr>
        <w:t xml:space="preserve"> for permanent waiver</w:t>
      </w:r>
      <w:r w:rsidR="005B1690">
        <w:rPr>
          <w:szCs w:val="18"/>
        </w:rPr>
        <w:t xml:space="preserve">. </w:t>
      </w:r>
      <w:r w:rsidR="00F177AA">
        <w:rPr>
          <w:szCs w:val="18"/>
        </w:rPr>
        <w:t xml:space="preserve"> Accordingly, public comment on the waiver</w:t>
      </w:r>
      <w:r w:rsidR="00C35D99">
        <w:rPr>
          <w:szCs w:val="18"/>
        </w:rPr>
        <w:t xml:space="preserve"> request</w:t>
      </w:r>
      <w:r w:rsidR="00F177AA">
        <w:rPr>
          <w:szCs w:val="18"/>
        </w:rPr>
        <w:t xml:space="preserve">, which is available via the Electronic Comment Filing System (ECFS), is sought as detailed below.  </w:t>
      </w:r>
    </w:p>
    <w:p w:rsidR="000E757F" w:rsidRPr="000E757F" w:rsidP="000E757F" w14:paraId="47F639E4" w14:textId="77777777">
      <w:pPr>
        <w:spacing w:after="120"/>
        <w:rPr>
          <w:b/>
          <w:bCs/>
          <w:szCs w:val="18"/>
        </w:rPr>
      </w:pPr>
      <w:r w:rsidRPr="000E757F">
        <w:rPr>
          <w:b/>
          <w:bCs/>
          <w:szCs w:val="18"/>
        </w:rPr>
        <w:t>GENERAL INFORMATION</w:t>
      </w:r>
    </w:p>
    <w:p w:rsidR="000E757F" w:rsidRPr="000E757F" w:rsidP="000E757F" w14:paraId="4C17CB93" w14:textId="4D94730C">
      <w:pPr>
        <w:spacing w:after="120"/>
        <w:ind w:firstLine="720"/>
        <w:rPr>
          <w:szCs w:val="18"/>
        </w:rPr>
      </w:pPr>
      <w:r>
        <w:rPr>
          <w:szCs w:val="18"/>
        </w:rPr>
        <w:t xml:space="preserve">The </w:t>
      </w:r>
      <w:r w:rsidR="00377092">
        <w:rPr>
          <w:szCs w:val="18"/>
        </w:rPr>
        <w:t>Media Bureau</w:t>
      </w:r>
      <w:r>
        <w:rPr>
          <w:szCs w:val="18"/>
        </w:rPr>
        <w:t xml:space="preserve"> requests that i</w:t>
      </w:r>
      <w:r w:rsidRPr="001E4371">
        <w:rPr>
          <w:szCs w:val="18"/>
        </w:rPr>
        <w:t xml:space="preserve">nterested persons file </w:t>
      </w:r>
      <w:r w:rsidR="005173DC">
        <w:rPr>
          <w:szCs w:val="18"/>
        </w:rPr>
        <w:t>C</w:t>
      </w:r>
      <w:r w:rsidRPr="001E4371" w:rsidR="001E4371">
        <w:rPr>
          <w:szCs w:val="18"/>
        </w:rPr>
        <w:t>omment</w:t>
      </w:r>
      <w:r w:rsidR="005173DC">
        <w:rPr>
          <w:szCs w:val="18"/>
        </w:rPr>
        <w:t>s</w:t>
      </w:r>
      <w:r w:rsidRPr="001E4371">
        <w:rPr>
          <w:szCs w:val="18"/>
        </w:rPr>
        <w:t xml:space="preserve"> no later than </w:t>
      </w:r>
      <w:r w:rsidRPr="005173DC" w:rsidR="001E4371">
        <w:rPr>
          <w:b/>
          <w:bCs/>
          <w:szCs w:val="18"/>
        </w:rPr>
        <w:t xml:space="preserve">November </w:t>
      </w:r>
      <w:r w:rsidRPr="005173DC" w:rsidR="00CD7655">
        <w:rPr>
          <w:b/>
          <w:bCs/>
          <w:szCs w:val="18"/>
        </w:rPr>
        <w:t>27</w:t>
      </w:r>
      <w:r w:rsidRPr="005173DC">
        <w:rPr>
          <w:b/>
          <w:bCs/>
          <w:szCs w:val="18"/>
        </w:rPr>
        <w:t>, 2020</w:t>
      </w:r>
      <w:r w:rsidRPr="001E4371">
        <w:rPr>
          <w:szCs w:val="18"/>
        </w:rPr>
        <w:t xml:space="preserve">.  </w:t>
      </w:r>
      <w:r w:rsidRPr="001E4371" w:rsidR="001E4371">
        <w:rPr>
          <w:szCs w:val="18"/>
        </w:rPr>
        <w:t>Reply Comments</w:t>
      </w:r>
      <w:r w:rsidRPr="001E4371">
        <w:rPr>
          <w:szCs w:val="18"/>
        </w:rPr>
        <w:t xml:space="preserve"> </w:t>
      </w:r>
      <w:r>
        <w:rPr>
          <w:szCs w:val="18"/>
        </w:rPr>
        <w:t>should</w:t>
      </w:r>
      <w:r w:rsidRPr="001E4371">
        <w:rPr>
          <w:szCs w:val="18"/>
        </w:rPr>
        <w:t xml:space="preserve"> be filed no later than </w:t>
      </w:r>
      <w:r w:rsidRPr="005173DC">
        <w:rPr>
          <w:b/>
          <w:bCs/>
          <w:szCs w:val="18"/>
        </w:rPr>
        <w:t xml:space="preserve">December </w:t>
      </w:r>
      <w:r w:rsidRPr="005173DC" w:rsidR="00EC6D41">
        <w:rPr>
          <w:b/>
          <w:bCs/>
          <w:szCs w:val="18"/>
        </w:rPr>
        <w:t>4</w:t>
      </w:r>
      <w:r w:rsidRPr="005173DC">
        <w:rPr>
          <w:b/>
          <w:bCs/>
          <w:szCs w:val="18"/>
        </w:rPr>
        <w:t>, 2020</w:t>
      </w:r>
      <w:r w:rsidRPr="001E4371">
        <w:rPr>
          <w:szCs w:val="18"/>
        </w:rPr>
        <w:t xml:space="preserve">.  </w:t>
      </w:r>
    </w:p>
    <w:p w:rsidR="000E757F" w:rsidRPr="000E757F" w:rsidP="000E757F" w14:paraId="47E9A7E2" w14:textId="530E6721">
      <w:pPr>
        <w:spacing w:after="120"/>
        <w:ind w:firstLine="720"/>
        <w:rPr>
          <w:szCs w:val="18"/>
        </w:rPr>
      </w:pPr>
      <w:r w:rsidRPr="000E757F">
        <w:rPr>
          <w:szCs w:val="18"/>
        </w:rPr>
        <w:t xml:space="preserve">To allow the </w:t>
      </w:r>
      <w:r w:rsidR="00377092">
        <w:rPr>
          <w:szCs w:val="18"/>
        </w:rPr>
        <w:t>Media Bureau</w:t>
      </w:r>
      <w:r w:rsidRPr="000E757F">
        <w:rPr>
          <w:szCs w:val="18"/>
        </w:rPr>
        <w:t xml:space="preserve"> to consider fully all substantive issues regarding the </w:t>
      </w:r>
      <w:r w:rsidR="0032137E">
        <w:rPr>
          <w:szCs w:val="18"/>
        </w:rPr>
        <w:t>waiver request</w:t>
      </w:r>
      <w:r w:rsidRPr="000E757F" w:rsidR="0032137E">
        <w:rPr>
          <w:szCs w:val="18"/>
        </w:rPr>
        <w:t xml:space="preserve"> </w:t>
      </w:r>
      <w:r w:rsidRPr="000E757F">
        <w:rPr>
          <w:szCs w:val="18"/>
        </w:rPr>
        <w:t xml:space="preserve">in as timely and efficient a manner as possible, petitioners and commenters should raise all issues in their initial filings.  Replies may only address matters raised in oppositions.  A party or interested person seeking to raise a new issue after the pleading cycle has closed must show good cause why it was not </w:t>
      </w:r>
      <w:r w:rsidRPr="000E757F">
        <w:rPr>
          <w:szCs w:val="18"/>
        </w:rPr>
        <w:t xml:space="preserve">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w:t>
      </w:r>
      <w:r w:rsidR="00377092">
        <w:rPr>
          <w:szCs w:val="18"/>
        </w:rPr>
        <w:t>Media Bureau</w:t>
      </w:r>
      <w:r w:rsidRPr="000E757F">
        <w:rPr>
          <w:szCs w:val="18"/>
        </w:rPr>
        <w:t>.</w:t>
      </w:r>
    </w:p>
    <w:p w:rsidR="000E757F" w:rsidRPr="000E757F" w:rsidP="000E757F" w14:paraId="69DA6F00" w14:textId="7B1805CF">
      <w:pPr>
        <w:spacing w:after="120"/>
        <w:ind w:firstLine="720"/>
        <w:rPr>
          <w:szCs w:val="18"/>
        </w:rPr>
      </w:pPr>
      <w:r w:rsidRPr="000E757F">
        <w:rPr>
          <w:szCs w:val="18"/>
        </w:rPr>
        <w:t>All filings concerning matters referenced in this Public Notice should refer to MB Docket No. 20</w:t>
      </w:r>
      <w:r w:rsidR="00BE0D82">
        <w:rPr>
          <w:szCs w:val="18"/>
        </w:rPr>
        <w:t>-378</w:t>
      </w:r>
      <w:r w:rsidRPr="000E757F">
        <w:rPr>
          <w:szCs w:val="18"/>
        </w:rPr>
        <w:t xml:space="preserve">, as well as the specific file numbers of the individual applications or other matters to which the filings pertain.  </w:t>
      </w:r>
    </w:p>
    <w:p w:rsidR="000E757F" w:rsidRPr="000E757F" w:rsidP="000E757F" w14:paraId="7BE15466" w14:textId="77777777">
      <w:pPr>
        <w:spacing w:after="120"/>
        <w:ind w:firstLine="720"/>
        <w:rPr>
          <w:szCs w:val="18"/>
        </w:rPr>
      </w:pPr>
      <w:r w:rsidRPr="000E757F">
        <w:rPr>
          <w:szCs w:val="18"/>
        </w:rPr>
        <w:t>Submissions in this matter may be filed electronically (i.e., through ECFS) or by filing paper copies.</w:t>
      </w:r>
    </w:p>
    <w:p w:rsidR="000E757F" w:rsidRPr="001E4371" w:rsidP="000E757F" w14:paraId="0E6FC17F" w14:textId="0B119168">
      <w:pPr>
        <w:numPr>
          <w:ilvl w:val="0"/>
          <w:numId w:val="9"/>
        </w:numPr>
        <w:spacing w:after="120"/>
        <w:rPr>
          <w:szCs w:val="18"/>
        </w:rPr>
      </w:pPr>
      <w:r w:rsidRPr="001E4371">
        <w:rPr>
          <w:szCs w:val="18"/>
        </w:rPr>
        <w:t xml:space="preserve">Electronic Filers:  Comments may be filed electronically using the Internet by accessing the ECFS:  http://apps.fcc.gov/ecfs/.  </w:t>
      </w:r>
    </w:p>
    <w:p w:rsidR="000E757F" w:rsidRPr="000E757F" w:rsidP="000E757F" w14:paraId="705EE31A" w14:textId="3C03EA6B">
      <w:pPr>
        <w:numPr>
          <w:ilvl w:val="0"/>
          <w:numId w:val="9"/>
        </w:numPr>
        <w:spacing w:after="120"/>
        <w:rPr>
          <w:szCs w:val="18"/>
        </w:rPr>
      </w:pPr>
      <w:r w:rsidRPr="000E757F">
        <w:rPr>
          <w:szCs w:val="18"/>
        </w:rPr>
        <w:t xml:space="preserve">Paper Filers:  Parties who choose to file by paper must file an original and one copy of each filing. </w:t>
      </w:r>
    </w:p>
    <w:p w:rsidR="000E757F" w:rsidRPr="000E757F" w:rsidP="000E757F" w14:paraId="033B3E9B" w14:textId="7D44E814">
      <w:pPr>
        <w:numPr>
          <w:ilvl w:val="0"/>
          <w:numId w:val="9"/>
        </w:numPr>
        <w:spacing w:after="120"/>
        <w:rPr>
          <w:szCs w:val="18"/>
        </w:rPr>
      </w:pPr>
      <w:r w:rsidRPr="000E757F">
        <w:rPr>
          <w:szCs w:val="18"/>
        </w:rPr>
        <w:t>Filings can be sent by commercial overnight courier, or by first-class or overnight U.S. Postal Service mail.  All filings must be addressed to the Commission’s Secretary, Office of the Secretary, Federal Communications Commission.</w:t>
      </w:r>
    </w:p>
    <w:p w:rsidR="000E757F" w:rsidRPr="000E757F" w:rsidP="000E757F" w14:paraId="12DD71FD" w14:textId="578845F8">
      <w:pPr>
        <w:numPr>
          <w:ilvl w:val="1"/>
          <w:numId w:val="9"/>
        </w:numPr>
        <w:spacing w:after="120"/>
        <w:rPr>
          <w:szCs w:val="18"/>
        </w:rPr>
      </w:pPr>
      <w:r w:rsidRPr="000E757F">
        <w:rPr>
          <w:szCs w:val="18"/>
        </w:rPr>
        <w:t>Commercial overnight mail (other than U.S. Postal Service Express Mail and Priority Mail) must be sent to 9050 Junction Drive, Annapolis Junction, MD  20701.</w:t>
      </w:r>
    </w:p>
    <w:p w:rsidR="000E757F" w:rsidRPr="000E757F" w:rsidP="000E757F" w14:paraId="546ABACC" w14:textId="21F11AEE">
      <w:pPr>
        <w:numPr>
          <w:ilvl w:val="1"/>
          <w:numId w:val="9"/>
        </w:numPr>
        <w:spacing w:after="120"/>
        <w:rPr>
          <w:szCs w:val="18"/>
        </w:rPr>
      </w:pPr>
      <w:r w:rsidRPr="000E757F">
        <w:rPr>
          <w:szCs w:val="18"/>
        </w:rPr>
        <w:t>Postal Service first-class, Express, and Priority mail must be addressed to 45 L Street, NE, Washington DC  20554.</w:t>
      </w:r>
    </w:p>
    <w:p w:rsidR="000E757F" w:rsidRPr="000E757F" w:rsidP="000E757F" w14:paraId="1D8D0452" w14:textId="39A2DC27">
      <w:pPr>
        <w:numPr>
          <w:ilvl w:val="0"/>
          <w:numId w:val="9"/>
        </w:numPr>
        <w:spacing w:after="120"/>
        <w:rPr>
          <w:szCs w:val="18"/>
        </w:rPr>
      </w:pPr>
      <w:r w:rsidRPr="000E757F">
        <w:rPr>
          <w:szCs w:val="18"/>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0E757F" w:rsidRPr="000E757F" w:rsidP="000E757F" w14:paraId="45EB79F5" w14:textId="37E486C8">
      <w:pPr>
        <w:numPr>
          <w:ilvl w:val="0"/>
          <w:numId w:val="9"/>
        </w:numPr>
        <w:spacing w:after="120"/>
        <w:rPr>
          <w:szCs w:val="18"/>
        </w:rPr>
      </w:pPr>
      <w:r w:rsidRPr="000E757F">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E757F" w:rsidRPr="000E757F" w:rsidP="000E757F" w14:paraId="75B2805F" w14:textId="77777777">
      <w:pPr>
        <w:spacing w:after="120"/>
        <w:rPr>
          <w:b/>
          <w:bCs/>
          <w:szCs w:val="18"/>
        </w:rPr>
      </w:pPr>
      <w:r w:rsidRPr="000E757F">
        <w:rPr>
          <w:b/>
          <w:bCs/>
          <w:szCs w:val="18"/>
        </w:rPr>
        <w:t>In addition, one copy of each submission must be sent to the following:</w:t>
      </w:r>
    </w:p>
    <w:p w:rsidR="000E757F" w:rsidRPr="00FA3ED7" w:rsidP="000E757F" w14:paraId="5BF3AA94" w14:textId="453783DE">
      <w:pPr>
        <w:numPr>
          <w:ilvl w:val="0"/>
          <w:numId w:val="10"/>
        </w:numPr>
        <w:spacing w:after="120"/>
        <w:rPr>
          <w:szCs w:val="18"/>
        </w:rPr>
      </w:pPr>
      <w:r>
        <w:rPr>
          <w:szCs w:val="18"/>
        </w:rPr>
        <w:t>William Durdach</w:t>
      </w:r>
      <w:r w:rsidRPr="000E757F">
        <w:rPr>
          <w:szCs w:val="18"/>
        </w:rPr>
        <w:t xml:space="preserve">, </w:t>
      </w:r>
      <w:r>
        <w:rPr>
          <w:szCs w:val="18"/>
        </w:rPr>
        <w:t>Industry Analysis Division</w:t>
      </w:r>
      <w:r w:rsidRPr="000E757F">
        <w:rPr>
          <w:szCs w:val="18"/>
        </w:rPr>
        <w:t>, Media Bureau, e-mail</w:t>
      </w:r>
      <w:r w:rsidR="00F177AA">
        <w:rPr>
          <w:szCs w:val="18"/>
        </w:rPr>
        <w:t>:</w:t>
      </w:r>
      <w:r w:rsidRPr="000E757F">
        <w:rPr>
          <w:szCs w:val="18"/>
        </w:rPr>
        <w:t xml:space="preserve"> </w:t>
      </w:r>
      <w:r w:rsidRPr="00FA3ED7">
        <w:rPr>
          <w:szCs w:val="18"/>
        </w:rPr>
        <w:t>William.Durdach@fcc.gov</w:t>
      </w:r>
    </w:p>
    <w:p w:rsidR="000E757F" w:rsidRPr="00FA3ED7" w:rsidP="000E757F" w14:paraId="2DE3E987" w14:textId="59484979">
      <w:pPr>
        <w:numPr>
          <w:ilvl w:val="0"/>
          <w:numId w:val="10"/>
        </w:numPr>
        <w:spacing w:after="120"/>
        <w:rPr>
          <w:szCs w:val="18"/>
        </w:rPr>
      </w:pPr>
      <w:r w:rsidRPr="00FA3ED7">
        <w:rPr>
          <w:szCs w:val="18"/>
        </w:rPr>
        <w:t>David Roberts</w:t>
      </w:r>
      <w:r w:rsidRPr="00FA3ED7">
        <w:rPr>
          <w:szCs w:val="18"/>
        </w:rPr>
        <w:t>, Video Division, Media Bureau, e-mail</w:t>
      </w:r>
      <w:r w:rsidR="00F177AA">
        <w:rPr>
          <w:szCs w:val="18"/>
        </w:rPr>
        <w:t>:</w:t>
      </w:r>
      <w:r w:rsidRPr="00FA3ED7">
        <w:rPr>
          <w:szCs w:val="18"/>
        </w:rPr>
        <w:t xml:space="preserve"> </w:t>
      </w:r>
      <w:r w:rsidRPr="00FA3ED7">
        <w:rPr>
          <w:szCs w:val="18"/>
        </w:rPr>
        <w:t>David.Roberts</w:t>
      </w:r>
      <w:r w:rsidRPr="00FA3ED7">
        <w:rPr>
          <w:szCs w:val="18"/>
        </w:rPr>
        <w:t>@fcc.gov</w:t>
      </w:r>
    </w:p>
    <w:p w:rsidR="000E757F" w:rsidRPr="000E757F" w:rsidP="000E757F" w14:paraId="7C567BFE" w14:textId="53576EF5">
      <w:pPr>
        <w:spacing w:after="120"/>
        <w:ind w:firstLine="720"/>
        <w:rPr>
          <w:color w:val="FF0000"/>
          <w:szCs w:val="18"/>
        </w:rPr>
      </w:pPr>
      <w:r w:rsidRPr="000E757F">
        <w:rPr>
          <w:szCs w:val="18"/>
        </w:rPr>
        <w:t xml:space="preserve">Any submission that is e-mailed to </w:t>
      </w:r>
      <w:r>
        <w:rPr>
          <w:szCs w:val="18"/>
        </w:rPr>
        <w:t>William Durdach</w:t>
      </w:r>
      <w:r w:rsidR="00FA3ED7">
        <w:rPr>
          <w:szCs w:val="18"/>
        </w:rPr>
        <w:t xml:space="preserve"> and </w:t>
      </w:r>
      <w:r w:rsidRPr="00FA3ED7" w:rsidR="00FA3ED7">
        <w:rPr>
          <w:szCs w:val="18"/>
        </w:rPr>
        <w:t>David Roberts</w:t>
      </w:r>
      <w:r w:rsidRPr="00FA3ED7">
        <w:rPr>
          <w:szCs w:val="18"/>
        </w:rPr>
        <w:t xml:space="preserve"> should include in the subject line of the e-mail: (1) MB Docket No. 20-3</w:t>
      </w:r>
      <w:r w:rsidRPr="00FA3ED7" w:rsidR="001E4371">
        <w:rPr>
          <w:szCs w:val="18"/>
        </w:rPr>
        <w:t>78</w:t>
      </w:r>
      <w:r w:rsidRPr="00FA3ED7">
        <w:rPr>
          <w:szCs w:val="18"/>
        </w:rPr>
        <w:t xml:space="preserve">; (2) the name of the submitting party; (3) a brief description or title identifying the type of document being submitted </w:t>
      </w:r>
      <w:r w:rsidRPr="001E4371">
        <w:rPr>
          <w:szCs w:val="18"/>
        </w:rPr>
        <w:t>(e.g., MB Docket No. 20</w:t>
      </w:r>
      <w:r w:rsidRPr="001E4371" w:rsidR="001E4371">
        <w:rPr>
          <w:szCs w:val="18"/>
        </w:rPr>
        <w:t>-378</w:t>
      </w:r>
      <w:r w:rsidRPr="001E4371">
        <w:rPr>
          <w:szCs w:val="18"/>
        </w:rPr>
        <w:t xml:space="preserve">, </w:t>
      </w:r>
      <w:r w:rsidRPr="001E4371" w:rsidR="001E4371">
        <w:rPr>
          <w:szCs w:val="18"/>
        </w:rPr>
        <w:t>Fox Corp. Request for Permanent Waiver</w:t>
      </w:r>
      <w:r w:rsidRPr="001E4371">
        <w:rPr>
          <w:szCs w:val="18"/>
        </w:rPr>
        <w:t>, Ex Parte Notice).</w:t>
      </w:r>
    </w:p>
    <w:p w:rsidR="000E757F" w:rsidRPr="000E757F" w:rsidP="000E757F" w14:paraId="1CDFBA02" w14:textId="77777777">
      <w:pPr>
        <w:spacing w:after="120"/>
        <w:ind w:firstLine="720"/>
        <w:rPr>
          <w:szCs w:val="18"/>
        </w:rPr>
      </w:pPr>
      <w:r w:rsidRPr="000E757F">
        <w:rPr>
          <w:szCs w:val="18"/>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0E757F" w:rsidRPr="000E757F" w:rsidP="000E757F" w14:paraId="4DEFA695" w14:textId="59034505">
      <w:pPr>
        <w:spacing w:after="120"/>
        <w:ind w:firstLine="720"/>
        <w:rPr>
          <w:szCs w:val="18"/>
        </w:rPr>
      </w:pPr>
      <w:r w:rsidRPr="000E757F">
        <w:rPr>
          <w:szCs w:val="18"/>
        </w:rPr>
        <w:t xml:space="preserve">Availability of Documents.  Documents in this proceeding are available electronically through ECFS, which will provide hyperlinks to the applications in CDBS.  ECFS may be accessed on the Commission’s Internet website at http://www.fcc.gov.  Parties unable to access ECFS should contact </w:t>
      </w:r>
      <w:r w:rsidR="00096710">
        <w:rPr>
          <w:szCs w:val="18"/>
        </w:rPr>
        <w:t xml:space="preserve">William Durdach at </w:t>
      </w:r>
      <w:r w:rsidRPr="00AF74B5" w:rsidR="00096710">
        <w:rPr>
          <w:szCs w:val="18"/>
        </w:rPr>
        <w:t>William.Durdach@fcc.gov</w:t>
      </w:r>
      <w:r w:rsidR="00096710">
        <w:rPr>
          <w:szCs w:val="18"/>
        </w:rPr>
        <w:t xml:space="preserve">. </w:t>
      </w:r>
    </w:p>
    <w:p w:rsidR="000E757F" w:rsidRPr="000E757F" w:rsidP="000E757F" w14:paraId="7DD68362" w14:textId="3CF64606">
      <w:pPr>
        <w:spacing w:after="120"/>
        <w:ind w:firstLine="720"/>
        <w:rPr>
          <w:szCs w:val="18"/>
        </w:rPr>
      </w:pPr>
      <w:r w:rsidRPr="000E757F">
        <w:rPr>
          <w:szCs w:val="18"/>
        </w:rPr>
        <w:t xml:space="preserve">For further information, contact </w:t>
      </w:r>
      <w:r w:rsidR="00F177AA">
        <w:rPr>
          <w:szCs w:val="18"/>
        </w:rPr>
        <w:t>William Durdach</w:t>
      </w:r>
      <w:r w:rsidRPr="000E757F">
        <w:rPr>
          <w:szCs w:val="18"/>
        </w:rPr>
        <w:t xml:space="preserve"> at </w:t>
      </w:r>
      <w:r w:rsidRPr="00FA3ED7" w:rsidR="00323304">
        <w:rPr>
          <w:szCs w:val="18"/>
        </w:rPr>
        <w:t>William.Durdach@fcc.gov</w:t>
      </w:r>
      <w:r w:rsidRPr="000E757F" w:rsidR="00323304">
        <w:rPr>
          <w:szCs w:val="18"/>
        </w:rPr>
        <w:t xml:space="preserve"> </w:t>
      </w:r>
      <w:r w:rsidRPr="000E757F">
        <w:rPr>
          <w:szCs w:val="18"/>
        </w:rPr>
        <w:t xml:space="preserve">or </w:t>
      </w:r>
      <w:r w:rsidR="00F177AA">
        <w:rPr>
          <w:szCs w:val="18"/>
        </w:rPr>
        <w:t>David Roberts</w:t>
      </w:r>
      <w:r w:rsidRPr="000E757F">
        <w:rPr>
          <w:szCs w:val="18"/>
        </w:rPr>
        <w:t xml:space="preserve"> at </w:t>
      </w:r>
      <w:r w:rsidRPr="00FA3ED7" w:rsidR="00323304">
        <w:rPr>
          <w:szCs w:val="18"/>
        </w:rPr>
        <w:t>David.Roberts@fcc.gov</w:t>
      </w:r>
      <w:r w:rsidRPr="000E757F">
        <w:rPr>
          <w:szCs w:val="18"/>
        </w:rPr>
        <w:t xml:space="preserve">.    </w:t>
      </w:r>
    </w:p>
    <w:p w:rsidR="00096710" w:rsidP="00F177AA" w14:paraId="6E16B052" w14:textId="77777777">
      <w:pPr>
        <w:spacing w:after="120"/>
        <w:rPr>
          <w:b/>
          <w:bCs/>
          <w:i/>
          <w:iCs/>
          <w:szCs w:val="18"/>
        </w:rPr>
      </w:pPr>
    </w:p>
    <w:p w:rsidR="00F177AA" w:rsidRPr="000E757F" w:rsidP="00F177AA" w14:paraId="0FC4D97F" w14:textId="68ADC976">
      <w:pPr>
        <w:spacing w:after="120"/>
        <w:rPr>
          <w:b/>
          <w:bCs/>
          <w:szCs w:val="18"/>
        </w:rPr>
      </w:pPr>
      <w:r w:rsidRPr="000E757F">
        <w:rPr>
          <w:b/>
          <w:bCs/>
          <w:i/>
          <w:iCs/>
          <w:szCs w:val="18"/>
        </w:rPr>
        <w:t>EX PARTE</w:t>
      </w:r>
      <w:r w:rsidRPr="000E757F">
        <w:rPr>
          <w:b/>
          <w:bCs/>
          <w:szCs w:val="18"/>
        </w:rPr>
        <w:t xml:space="preserve"> STATUS OF THIS PROCEEDING</w:t>
      </w:r>
    </w:p>
    <w:p w:rsidR="002C6801" w:rsidP="00F177AA" w14:paraId="1B5A15CA" w14:textId="30D48713">
      <w:pPr>
        <w:spacing w:after="120"/>
        <w:ind w:firstLine="720"/>
        <w:rPr>
          <w:szCs w:val="18"/>
        </w:rPr>
      </w:pPr>
      <w:r w:rsidRPr="000E757F">
        <w:rPr>
          <w:szCs w:val="18"/>
        </w:rPr>
        <w:t xml:space="preserve">In order to assure the staff’s ability to discuss and obtain information needed to resolve the issues presented, by this Public Notice and pursuant to section 1.1200(a) of the Commission’s rules, we establish a docket for this proceeding and announce that the </w:t>
      </w:r>
      <w:r w:rsidRPr="000E757F">
        <w:rPr>
          <w:i/>
          <w:iCs/>
          <w:szCs w:val="18"/>
        </w:rPr>
        <w:t>ex parte</w:t>
      </w:r>
      <w:r w:rsidRPr="000E757F">
        <w:rPr>
          <w:szCs w:val="18"/>
        </w:rPr>
        <w:t xml:space="preserve"> procedures applicable to permit-but-disclose proceedings will govern our consideration of these applications.</w:t>
      </w:r>
      <w:r>
        <w:rPr>
          <w:rStyle w:val="FootnoteReference"/>
          <w:szCs w:val="18"/>
        </w:rPr>
        <w:footnoteReference w:id="5"/>
      </w:r>
      <w:r>
        <w:rPr>
          <w:szCs w:val="18"/>
        </w:rPr>
        <w:t xml:space="preserve">  </w:t>
      </w:r>
      <w:r w:rsidRPr="002C6801">
        <w:rPr>
          <w:szCs w:val="18"/>
        </w:rPr>
        <w:t xml:space="preserve">Pursuant to </w:t>
      </w:r>
      <w:r>
        <w:rPr>
          <w:szCs w:val="18"/>
        </w:rPr>
        <w:t>section</w:t>
      </w:r>
      <w:r w:rsidRPr="002C6801">
        <w:rPr>
          <w:szCs w:val="18"/>
        </w:rPr>
        <w:t xml:space="preserve"> 1.1200(a), the Commission may adopt modified </w:t>
      </w:r>
      <w:r w:rsidRPr="002C6801">
        <w:rPr>
          <w:i/>
          <w:iCs/>
          <w:szCs w:val="18"/>
        </w:rPr>
        <w:t>ex parte</w:t>
      </w:r>
      <w:r w:rsidRPr="002C6801">
        <w:rPr>
          <w:szCs w:val="18"/>
        </w:rPr>
        <w:t xml:space="preserve"> procedures in situations where doing so would serve the public interest. </w:t>
      </w:r>
      <w:r>
        <w:rPr>
          <w:szCs w:val="18"/>
        </w:rPr>
        <w:t xml:space="preserve"> </w:t>
      </w:r>
    </w:p>
    <w:p w:rsidR="00F177AA" w14:paraId="74D44E18" w14:textId="1EEF62CC">
      <w:pPr>
        <w:spacing w:after="120"/>
        <w:ind w:firstLine="720"/>
        <w:rPr>
          <w:szCs w:val="18"/>
        </w:rPr>
      </w:pPr>
      <w:r w:rsidRPr="002C6801">
        <w:rPr>
          <w:szCs w:val="18"/>
        </w:rPr>
        <w:t>We announce that th</w:t>
      </w:r>
      <w:r>
        <w:rPr>
          <w:szCs w:val="18"/>
        </w:rPr>
        <w:t xml:space="preserve">e </w:t>
      </w:r>
      <w:r w:rsidRPr="000E757F">
        <w:rPr>
          <w:szCs w:val="18"/>
        </w:rPr>
        <w:t xml:space="preserve">proceeding in this Public Notice </w:t>
      </w:r>
      <w:r w:rsidRPr="002C6801">
        <w:rPr>
          <w:szCs w:val="18"/>
        </w:rPr>
        <w:t>will be governed by the permit-but-disclose ex parte procedures that are applicable to non-restricted proceedings under Section 1.1206 of Commission’s Rules</w:t>
      </w:r>
      <w:r>
        <w:rPr>
          <w:szCs w:val="18"/>
        </w:rPr>
        <w:t>.</w:t>
      </w:r>
      <w:r>
        <w:rPr>
          <w:rStyle w:val="FootnoteReference"/>
          <w:szCs w:val="18"/>
        </w:rPr>
        <w:footnoteReference w:id="6"/>
      </w:r>
      <w:r>
        <w:rPr>
          <w:szCs w:val="18"/>
        </w:rPr>
        <w:t xml:space="preserve">  </w:t>
      </w:r>
      <w:r w:rsidRPr="000E757F">
        <w:rPr>
          <w:szCs w:val="18"/>
        </w:rPr>
        <w:t xml:space="preserve">Persons making </w:t>
      </w:r>
      <w:r w:rsidRPr="000E757F">
        <w:rPr>
          <w:i/>
          <w:iCs/>
          <w:szCs w:val="18"/>
        </w:rPr>
        <w:t>ex parte</w:t>
      </w:r>
      <w:r w:rsidRPr="000E757F">
        <w:rPr>
          <w:szCs w:val="18"/>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E757F">
        <w:rPr>
          <w:i/>
          <w:iCs/>
          <w:szCs w:val="18"/>
        </w:rPr>
        <w:t>ex parte</w:t>
      </w:r>
      <w:r w:rsidRPr="000E757F">
        <w:rPr>
          <w:szCs w:val="18"/>
        </w:rPr>
        <w:t xml:space="preserve"> presentations are reminded that memoranda summarizing the presentation must (1) list all persons attending or otherwise participating in the meeting at which the </w:t>
      </w:r>
      <w:r w:rsidRPr="000E757F">
        <w:rPr>
          <w:i/>
          <w:iCs/>
          <w:szCs w:val="18"/>
        </w:rPr>
        <w:t>ex parte</w:t>
      </w:r>
      <w:r w:rsidRPr="000E757F">
        <w:rPr>
          <w:szCs w:val="18"/>
        </w:rPr>
        <w:t xml:space="preserve"> 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E757F">
        <w:rPr>
          <w:i/>
          <w:iCs/>
          <w:szCs w:val="18"/>
        </w:rPr>
        <w:t>ex parte</w:t>
      </w:r>
      <w:r w:rsidRPr="000E757F">
        <w:rPr>
          <w:szCs w:val="18"/>
        </w:rPr>
        <w:t xml:space="preserve"> meetings are deemed to be written </w:t>
      </w:r>
      <w:r w:rsidRPr="000E757F">
        <w:rPr>
          <w:i/>
          <w:iCs/>
          <w:szCs w:val="18"/>
        </w:rPr>
        <w:t>ex parte</w:t>
      </w:r>
      <w:r w:rsidRPr="000E757F">
        <w:rPr>
          <w:szCs w:val="18"/>
        </w:rPr>
        <w:t xml:space="preserve"> presentations and must be filed consistent with rule 1.1206(b).   Participants in this proceeding should familiarize themselves with the Commission’s </w:t>
      </w:r>
      <w:r w:rsidRPr="000E757F">
        <w:rPr>
          <w:i/>
          <w:iCs/>
          <w:szCs w:val="18"/>
        </w:rPr>
        <w:t>ex parte</w:t>
      </w:r>
      <w:r w:rsidRPr="000E757F">
        <w:rPr>
          <w:szCs w:val="18"/>
        </w:rPr>
        <w:t xml:space="preserve"> rules.  We strongly urge parties to use the Electronic Comment Filing System (ECFS) to file </w:t>
      </w:r>
      <w:r w:rsidRPr="000E757F">
        <w:rPr>
          <w:i/>
          <w:iCs/>
          <w:szCs w:val="18"/>
        </w:rPr>
        <w:t>ex parte</w:t>
      </w:r>
      <w:r w:rsidRPr="000E757F">
        <w:rPr>
          <w:szCs w:val="18"/>
        </w:rPr>
        <w:t xml:space="preserve"> submissions.  All </w:t>
      </w:r>
      <w:r w:rsidRPr="000E757F">
        <w:rPr>
          <w:i/>
          <w:iCs/>
          <w:szCs w:val="18"/>
        </w:rPr>
        <w:t>ex parte</w:t>
      </w:r>
      <w:r w:rsidRPr="000E757F">
        <w:rPr>
          <w:szCs w:val="18"/>
        </w:rPr>
        <w:t xml:space="preserve"> filings must be clearly labeled as such and must reference MB Docket No. 20</w:t>
      </w:r>
      <w:r w:rsidR="00943AD8">
        <w:rPr>
          <w:szCs w:val="18"/>
        </w:rPr>
        <w:t>-</w:t>
      </w:r>
      <w:r w:rsidRPr="000E757F">
        <w:rPr>
          <w:szCs w:val="18"/>
        </w:rPr>
        <w:t>3</w:t>
      </w:r>
      <w:r w:rsidR="00943AD8">
        <w:rPr>
          <w:szCs w:val="18"/>
        </w:rPr>
        <w:t>78</w:t>
      </w:r>
      <w:r w:rsidRPr="000E757F">
        <w:rPr>
          <w:szCs w:val="18"/>
        </w:rPr>
        <w:t>.</w:t>
      </w:r>
      <w:r w:rsidR="00943AD8">
        <w:rPr>
          <w:szCs w:val="18"/>
        </w:rPr>
        <w:t xml:space="preserve">  </w:t>
      </w:r>
    </w:p>
    <w:p w:rsidR="000E757F" w:rsidRPr="000E757F" w:rsidP="000E757F" w14:paraId="297B3DF7" w14:textId="5F41A7EE">
      <w:pPr>
        <w:spacing w:after="120"/>
        <w:ind w:firstLine="720"/>
        <w:rPr>
          <w:szCs w:val="18"/>
        </w:rPr>
      </w:pPr>
      <w:r w:rsidRPr="000E757F">
        <w:rPr>
          <w:szCs w:val="18"/>
        </w:rPr>
        <w:t xml:space="preserve">This action is taken by the Chief, Media Bureau, pursuant to authority delegated by sections 0.61 and 0.283 of the Commission’s rules. </w:t>
      </w:r>
    </w:p>
    <w:p w:rsidR="000E757F" w:rsidRPr="000E757F" w:rsidP="000E757F" w14:paraId="7804EDD7" w14:textId="77777777">
      <w:pPr>
        <w:spacing w:after="120"/>
        <w:ind w:firstLine="720"/>
        <w:rPr>
          <w:szCs w:val="18"/>
        </w:rPr>
      </w:pPr>
    </w:p>
    <w:p w:rsidR="00F4201A" w:rsidP="000E757F" w14:paraId="3BA4FB6A" w14:textId="70254B63">
      <w:pPr>
        <w:spacing w:after="120"/>
        <w:ind w:firstLine="720"/>
        <w:jc w:val="center"/>
        <w:rPr>
          <w:szCs w:val="18"/>
        </w:rPr>
      </w:pPr>
      <w:r w:rsidRPr="000E757F">
        <w:rPr>
          <w:szCs w:val="18"/>
        </w:rPr>
        <w:t>-FCC-</w:t>
      </w:r>
    </w:p>
    <w:p w:rsidR="00DD7455" w:rsidP="00FE2744" w14:paraId="753F09B0" w14:textId="77777777">
      <w:pPr>
        <w:spacing w:after="120"/>
        <w:ind w:firstLine="720"/>
        <w:rPr>
          <w:szCs w:val="18"/>
        </w:rPr>
      </w:pPr>
    </w:p>
    <w:p w:rsidR="00DD7455" w:rsidP="00FE2744" w14:paraId="203062EA" w14:textId="77777777">
      <w:pPr>
        <w:spacing w:after="120"/>
        <w:ind w:firstLine="720"/>
        <w:rPr>
          <w:szCs w:val="18"/>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416"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071416"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416"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416"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3018" w14:paraId="3AE03F5D" w14:textId="77777777">
      <w:r>
        <w:separator/>
      </w:r>
    </w:p>
  </w:footnote>
  <w:footnote w:type="continuationSeparator" w:id="1">
    <w:p w:rsidR="00DF3018" w14:paraId="3741A830" w14:textId="77777777">
      <w:pPr>
        <w:rPr>
          <w:sz w:val="20"/>
        </w:rPr>
      </w:pPr>
      <w:r>
        <w:rPr>
          <w:sz w:val="20"/>
        </w:rPr>
        <w:t xml:space="preserve">(Continued from previous page)  </w:t>
      </w:r>
      <w:r>
        <w:rPr>
          <w:sz w:val="20"/>
        </w:rPr>
        <w:separator/>
      </w:r>
    </w:p>
  </w:footnote>
  <w:footnote w:type="continuationNotice" w:id="2">
    <w:p w:rsidR="00DF3018" w:rsidP="00910F12" w14:paraId="1A9FAA1F" w14:textId="77777777">
      <w:pPr>
        <w:jc w:val="right"/>
        <w:rPr>
          <w:sz w:val="20"/>
        </w:rPr>
      </w:pPr>
      <w:r>
        <w:rPr>
          <w:sz w:val="20"/>
        </w:rPr>
        <w:t>(continued….)</w:t>
      </w:r>
    </w:p>
  </w:footnote>
  <w:footnote w:id="3">
    <w:p w:rsidR="00262C40" w14:paraId="3F064694" w14:textId="5C63D920">
      <w:pPr>
        <w:pStyle w:val="FootnoteText"/>
      </w:pPr>
      <w:r w:rsidRPr="006A34B5">
        <w:rPr>
          <w:rStyle w:val="FootnoteReference"/>
        </w:rPr>
        <w:footnoteRef/>
      </w:r>
      <w:r w:rsidRPr="006A34B5">
        <w:t xml:space="preserve"> </w:t>
      </w:r>
      <w:r w:rsidRPr="00096710" w:rsidR="007C4FDC">
        <w:t xml:space="preserve">Request </w:t>
      </w:r>
      <w:r w:rsidRPr="00096710" w:rsidR="00B97BAA">
        <w:t xml:space="preserve">of Fox Corp. </w:t>
      </w:r>
      <w:r w:rsidRPr="00096710" w:rsidR="007C4FDC">
        <w:t>for Permanent Waiver of Newspaper-Broadcast Cross-Ownership Rule, 47 C.F.R. § 73.3555(d)</w:t>
      </w:r>
      <w:r w:rsidRPr="00096710" w:rsidR="00B97BAA">
        <w:t xml:space="preserve">, </w:t>
      </w:r>
      <w:r w:rsidRPr="00096710" w:rsidR="00751581">
        <w:t xml:space="preserve">MB Docket No. 20-378 </w:t>
      </w:r>
      <w:r w:rsidRPr="00096710" w:rsidR="001964F5">
        <w:t>(</w:t>
      </w:r>
      <w:r w:rsidRPr="00096710" w:rsidR="00B97BAA">
        <w:t>filed Oct</w:t>
      </w:r>
      <w:r w:rsidRPr="00096710" w:rsidR="001964F5">
        <w:t>.</w:t>
      </w:r>
      <w:r w:rsidRPr="00096710" w:rsidR="00B97BAA">
        <w:t xml:space="preserve"> 5, 2020</w:t>
      </w:r>
      <w:r w:rsidRPr="00096710" w:rsidR="001964F5">
        <w:t>)</w:t>
      </w:r>
      <w:r w:rsidRPr="00096710" w:rsidR="009A294A">
        <w:t xml:space="preserve"> (Waiver Request)</w:t>
      </w:r>
      <w:hyperlink w:history="1"/>
      <w:r w:rsidRPr="00096710" w:rsidR="001E4371">
        <w:t xml:space="preserve">. </w:t>
      </w:r>
    </w:p>
  </w:footnote>
  <w:footnote w:id="4">
    <w:p w:rsidR="00262C40" w:rsidP="007C4FDC" w14:paraId="3B2FFD7E" w14:textId="7D8D846D">
      <w:pPr>
        <w:pStyle w:val="FootnoteText"/>
      </w:pPr>
      <w:r>
        <w:rPr>
          <w:rStyle w:val="FootnoteReference"/>
        </w:rPr>
        <w:footnoteRef/>
      </w:r>
      <w:r>
        <w:t xml:space="preserve"> </w:t>
      </w:r>
      <w:r w:rsidR="001964F5">
        <w:rPr>
          <w:i/>
          <w:iCs/>
        </w:rPr>
        <w:t xml:space="preserve">See </w:t>
      </w:r>
      <w:r w:rsidRPr="001964F5" w:rsidR="007C4FDC">
        <w:rPr>
          <w:i/>
          <w:iCs/>
        </w:rPr>
        <w:t>Fox Television Stations Inc.</w:t>
      </w:r>
      <w:r w:rsidR="007C4FDC">
        <w:t>, 8 FCC Rcd 5341 (1993).</w:t>
      </w:r>
      <w:r w:rsidR="001964F5">
        <w:t xml:space="preserve">  For the avoidance of doubt, to the extent there is any question that the permanent waiver permitting common ownership of WNYW and the Post was not reinstated along with the reinstatement of the newspaper/broadcast cross-ownership rule following the most recent decision </w:t>
      </w:r>
      <w:r w:rsidR="00882059">
        <w:t xml:space="preserve">of the United States Court of Appeals for the Third Circuit </w:t>
      </w:r>
      <w:r w:rsidR="001964F5">
        <w:t xml:space="preserve">in </w:t>
      </w:r>
      <w:r w:rsidRPr="00882059" w:rsidR="001964F5">
        <w:rPr>
          <w:i/>
          <w:iCs/>
        </w:rPr>
        <w:t>Prometheus Radio Project v. FCC</w:t>
      </w:r>
      <w:r w:rsidR="001964F5">
        <w:t>, 939 F.3d 567, 573 (3d Cir. 2019), Fox</w:t>
      </w:r>
      <w:r w:rsidR="006A34B5">
        <w:t xml:space="preserve"> also</w:t>
      </w:r>
      <w:r w:rsidR="001964F5">
        <w:t xml:space="preserve"> requests that the Commission clarify that the WNYW–Post permanent waiver remains in effect or, if necessary, grant a new permanent waiver.</w:t>
      </w:r>
      <w:r w:rsidR="009A294A">
        <w:t xml:space="preserve">  Waiver Request at 1 n.1.</w:t>
      </w:r>
      <w:r w:rsidR="001964F5">
        <w:t xml:space="preserve">  </w:t>
      </w:r>
    </w:p>
  </w:footnote>
  <w:footnote w:id="5">
    <w:p w:rsidR="002C6801" w14:paraId="0AD2BBD5" w14:textId="5FC2532D">
      <w:pPr>
        <w:pStyle w:val="FootnoteText"/>
      </w:pPr>
      <w:r>
        <w:rPr>
          <w:rStyle w:val="FootnoteReference"/>
        </w:rPr>
        <w:footnoteRef/>
      </w:r>
      <w:r>
        <w:t xml:space="preserve"> </w:t>
      </w:r>
      <w:r w:rsidRPr="002C6801">
        <w:rPr>
          <w:szCs w:val="18"/>
        </w:rPr>
        <w:t>47 CF.R. § 1.1200(a)</w:t>
      </w:r>
      <w:r>
        <w:rPr>
          <w:szCs w:val="18"/>
        </w:rPr>
        <w:t xml:space="preserve">. </w:t>
      </w:r>
    </w:p>
  </w:footnote>
  <w:footnote w:id="6">
    <w:p w:rsidR="002C6801" w14:paraId="3FC992F1" w14:textId="799B30F0">
      <w:pPr>
        <w:pStyle w:val="FootnoteText"/>
      </w:pPr>
      <w:r>
        <w:rPr>
          <w:rStyle w:val="FootnoteReference"/>
        </w:rPr>
        <w:footnoteRef/>
      </w:r>
      <w:r>
        <w:t xml:space="preserve"> </w:t>
      </w:r>
      <w:r w:rsidRPr="002C6801">
        <w:rPr>
          <w:szCs w:val="18"/>
        </w:rPr>
        <w:t>47 CF.R. § 1.120</w:t>
      </w:r>
      <w:r>
        <w:rPr>
          <w:szCs w:val="18"/>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416" w:rsidRPr="009838BC" w:rsidP="009838BC" w14:paraId="55FD1863" w14:textId="7593E48D">
    <w:pPr>
      <w:tabs>
        <w:tab w:val="center" w:pos="4680"/>
        <w:tab w:val="right" w:pos="9360"/>
      </w:tabs>
    </w:pPr>
    <w:r w:rsidRPr="009838BC">
      <w:rPr>
        <w:b/>
      </w:rPr>
      <w:tab/>
      <w:t>Federal Communications Commission</w:t>
    </w:r>
    <w:r w:rsidRPr="009838BC">
      <w:rPr>
        <w:b/>
      </w:rPr>
      <w:tab/>
    </w:r>
    <w:r>
      <w:rPr>
        <w:b/>
      </w:rPr>
      <w:t>DA 20-</w:t>
    </w:r>
    <w:r w:rsidR="003D6291">
      <w:rPr>
        <w:b/>
      </w:rPr>
      <w:t>1350</w:t>
    </w:r>
  </w:p>
  <w:p w:rsidR="00071416" w:rsidRPr="009838BC" w:rsidP="009838BC" w14:paraId="699D7464" w14:textId="500A4A2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71416" w:rsidRPr="009838BC" w:rsidP="009838BC" w14:paraId="588705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416" w:rsidRPr="00A866AC" w:rsidP="009838BC" w14:paraId="2F33AB04" w14:textId="34B89F7C">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1110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71416" w:rsidP="009838BC" w14:textId="77777777">
                          <w:pPr>
                            <w:rPr>
                              <w:rFonts w:ascii="Arial" w:hAnsi="Arial"/>
                              <w:b/>
                            </w:rPr>
                          </w:pPr>
                          <w:r>
                            <w:rPr>
                              <w:rFonts w:ascii="Arial" w:hAnsi="Arial"/>
                              <w:b/>
                            </w:rPr>
                            <w:t>Federal Communications Commission</w:t>
                          </w:r>
                        </w:p>
                        <w:p w:rsidR="00071416" w:rsidP="009838BC" w14:textId="559EC43B">
                          <w:pPr>
                            <w:rPr>
                              <w:rFonts w:ascii="Arial" w:hAnsi="Arial"/>
                              <w:b/>
                            </w:rPr>
                          </w:pPr>
                          <w:r>
                            <w:rPr>
                              <w:rFonts w:ascii="Arial" w:hAnsi="Arial"/>
                              <w:b/>
                            </w:rPr>
                            <w:t>45 L St., N.E.</w:t>
                          </w:r>
                        </w:p>
                        <w:p w:rsidR="00071416"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071416" w:rsidP="009838BC" w14:paraId="5D7EC697" w14:textId="77777777">
                    <w:pPr>
                      <w:rPr>
                        <w:rFonts w:ascii="Arial" w:hAnsi="Arial"/>
                        <w:b/>
                      </w:rPr>
                    </w:pPr>
                    <w:r>
                      <w:rPr>
                        <w:rFonts w:ascii="Arial" w:hAnsi="Arial"/>
                        <w:b/>
                      </w:rPr>
                      <w:t>Federal Communications Commission</w:t>
                    </w:r>
                  </w:p>
                  <w:p w:rsidR="00071416" w:rsidP="009838BC" w14:paraId="63958670" w14:textId="559EC43B">
                    <w:pPr>
                      <w:rPr>
                        <w:rFonts w:ascii="Arial" w:hAnsi="Arial"/>
                        <w:b/>
                      </w:rPr>
                    </w:pPr>
                    <w:r>
                      <w:rPr>
                        <w:rFonts w:ascii="Arial" w:hAnsi="Arial"/>
                        <w:b/>
                      </w:rPr>
                      <w:t>45 L St., N.E.</w:t>
                    </w:r>
                  </w:p>
                  <w:p w:rsidR="00071416" w:rsidP="009838BC" w14:paraId="7A5372FE"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071416" w:rsidRPr="00357D50" w:rsidP="009838BC" w14:paraId="6C348421" w14:textId="7139CF6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71416" w:rsidP="009838BC" w14:textId="77777777">
                          <w:pPr>
                            <w:spacing w:before="40"/>
                            <w:jc w:val="right"/>
                            <w:rPr>
                              <w:rFonts w:ascii="Arial" w:hAnsi="Arial"/>
                              <w:b/>
                              <w:sz w:val="16"/>
                            </w:rPr>
                          </w:pPr>
                          <w:r>
                            <w:rPr>
                              <w:rFonts w:ascii="Arial" w:hAnsi="Arial"/>
                              <w:b/>
                              <w:sz w:val="16"/>
                            </w:rPr>
                            <w:t>News Media Information 202 / 418-0500</w:t>
                          </w:r>
                        </w:p>
                        <w:p w:rsidR="00071416"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071416"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071416" w:rsidP="009838BC" w14:paraId="41F1B7BA" w14:textId="77777777">
                    <w:pPr>
                      <w:spacing w:before="40"/>
                      <w:jc w:val="right"/>
                      <w:rPr>
                        <w:rFonts w:ascii="Arial" w:hAnsi="Arial"/>
                        <w:b/>
                        <w:sz w:val="16"/>
                      </w:rPr>
                    </w:pPr>
                    <w:r>
                      <w:rPr>
                        <w:rFonts w:ascii="Arial" w:hAnsi="Arial"/>
                        <w:b/>
                        <w:sz w:val="16"/>
                      </w:rPr>
                      <w:t>News Media Information 202 / 418-0500</w:t>
                    </w:r>
                  </w:p>
                  <w:p w:rsidR="00071416" w:rsidP="009838BC" w14:paraId="7122235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071416" w:rsidP="009838BC" w14:paraId="45B20F4D" w14:textId="77777777">
                    <w:pPr>
                      <w:jc w:val="right"/>
                    </w:pPr>
                    <w:r>
                      <w:rPr>
                        <w:rFonts w:ascii="Arial" w:hAnsi="Arial"/>
                        <w:b/>
                        <w:sz w:val="16"/>
                      </w:rPr>
                      <w:t>TTY: 1-888-835-5322</w:t>
                    </w:r>
                  </w:p>
                </w:txbxContent>
              </v:textbox>
            </v:shape>
          </w:pict>
        </mc:Fallback>
      </mc:AlternateContent>
    </w:r>
  </w:p>
  <w:p w:rsidR="00071416"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8A2B6A"/>
    <w:multiLevelType w:val="hybridMultilevel"/>
    <w:tmpl w:val="98A0BC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5D32"/>
    <w:rsid w:val="000072CE"/>
    <w:rsid w:val="00007675"/>
    <w:rsid w:val="00013A8B"/>
    <w:rsid w:val="00021445"/>
    <w:rsid w:val="00022D1B"/>
    <w:rsid w:val="00035A9D"/>
    <w:rsid w:val="00036039"/>
    <w:rsid w:val="00037F90"/>
    <w:rsid w:val="00045968"/>
    <w:rsid w:val="000553EE"/>
    <w:rsid w:val="000574C2"/>
    <w:rsid w:val="0006459F"/>
    <w:rsid w:val="00065F4F"/>
    <w:rsid w:val="00071416"/>
    <w:rsid w:val="000875BF"/>
    <w:rsid w:val="00096710"/>
    <w:rsid w:val="00096D8C"/>
    <w:rsid w:val="000C0B65"/>
    <w:rsid w:val="000C4D69"/>
    <w:rsid w:val="000D150C"/>
    <w:rsid w:val="000E3D42"/>
    <w:rsid w:val="000E5884"/>
    <w:rsid w:val="000E757F"/>
    <w:rsid w:val="00106BA6"/>
    <w:rsid w:val="00122BD5"/>
    <w:rsid w:val="00153ADA"/>
    <w:rsid w:val="001844CD"/>
    <w:rsid w:val="001964F5"/>
    <w:rsid w:val="001979D9"/>
    <w:rsid w:val="001A06FA"/>
    <w:rsid w:val="001C59D7"/>
    <w:rsid w:val="001D6BCF"/>
    <w:rsid w:val="001E01CA"/>
    <w:rsid w:val="001E0C16"/>
    <w:rsid w:val="001E4371"/>
    <w:rsid w:val="002060D9"/>
    <w:rsid w:val="00212328"/>
    <w:rsid w:val="00226822"/>
    <w:rsid w:val="002367A0"/>
    <w:rsid w:val="00237F70"/>
    <w:rsid w:val="00260594"/>
    <w:rsid w:val="00262C40"/>
    <w:rsid w:val="00285017"/>
    <w:rsid w:val="002A2D2E"/>
    <w:rsid w:val="002C6801"/>
    <w:rsid w:val="002D4F04"/>
    <w:rsid w:val="0032137E"/>
    <w:rsid w:val="00323304"/>
    <w:rsid w:val="00343749"/>
    <w:rsid w:val="00357D50"/>
    <w:rsid w:val="00377092"/>
    <w:rsid w:val="003925DC"/>
    <w:rsid w:val="003955B1"/>
    <w:rsid w:val="003956FF"/>
    <w:rsid w:val="003A661F"/>
    <w:rsid w:val="003B0550"/>
    <w:rsid w:val="003B694F"/>
    <w:rsid w:val="003C4AF1"/>
    <w:rsid w:val="003D6291"/>
    <w:rsid w:val="003E7D94"/>
    <w:rsid w:val="003F171C"/>
    <w:rsid w:val="00412FC5"/>
    <w:rsid w:val="00422276"/>
    <w:rsid w:val="004242F1"/>
    <w:rsid w:val="00445A00"/>
    <w:rsid w:val="00445AEC"/>
    <w:rsid w:val="00451B0F"/>
    <w:rsid w:val="0046125F"/>
    <w:rsid w:val="004666BF"/>
    <w:rsid w:val="00487524"/>
    <w:rsid w:val="00496106"/>
    <w:rsid w:val="004B0C02"/>
    <w:rsid w:val="004B4826"/>
    <w:rsid w:val="004C12D0"/>
    <w:rsid w:val="004C2EE3"/>
    <w:rsid w:val="004E4A22"/>
    <w:rsid w:val="00511968"/>
    <w:rsid w:val="005173C0"/>
    <w:rsid w:val="005173DC"/>
    <w:rsid w:val="005206C0"/>
    <w:rsid w:val="00536D6E"/>
    <w:rsid w:val="0055614C"/>
    <w:rsid w:val="005B1690"/>
    <w:rsid w:val="005E3675"/>
    <w:rsid w:val="00607BA5"/>
    <w:rsid w:val="00626EB6"/>
    <w:rsid w:val="006272F5"/>
    <w:rsid w:val="006353A3"/>
    <w:rsid w:val="00655D03"/>
    <w:rsid w:val="00683F84"/>
    <w:rsid w:val="006A1AFD"/>
    <w:rsid w:val="006A34B5"/>
    <w:rsid w:val="006A6A81"/>
    <w:rsid w:val="006E26AF"/>
    <w:rsid w:val="006E62F5"/>
    <w:rsid w:val="006F127C"/>
    <w:rsid w:val="006F7393"/>
    <w:rsid w:val="0070224F"/>
    <w:rsid w:val="007115F7"/>
    <w:rsid w:val="0072040B"/>
    <w:rsid w:val="00725E68"/>
    <w:rsid w:val="00751581"/>
    <w:rsid w:val="007641CB"/>
    <w:rsid w:val="00767318"/>
    <w:rsid w:val="00770F27"/>
    <w:rsid w:val="00785689"/>
    <w:rsid w:val="0079754B"/>
    <w:rsid w:val="007A1E6D"/>
    <w:rsid w:val="007C4FDC"/>
    <w:rsid w:val="007D0A4E"/>
    <w:rsid w:val="007D112F"/>
    <w:rsid w:val="007D1CB7"/>
    <w:rsid w:val="007D3152"/>
    <w:rsid w:val="007E37FA"/>
    <w:rsid w:val="00815718"/>
    <w:rsid w:val="00822CE0"/>
    <w:rsid w:val="00837C62"/>
    <w:rsid w:val="00841AB1"/>
    <w:rsid w:val="00882059"/>
    <w:rsid w:val="00893F69"/>
    <w:rsid w:val="008A4E27"/>
    <w:rsid w:val="008C22FD"/>
    <w:rsid w:val="008D3FE2"/>
    <w:rsid w:val="008D66F1"/>
    <w:rsid w:val="008F2FAF"/>
    <w:rsid w:val="00910F12"/>
    <w:rsid w:val="0091490E"/>
    <w:rsid w:val="00926503"/>
    <w:rsid w:val="00930ECF"/>
    <w:rsid w:val="00943AD8"/>
    <w:rsid w:val="009838BC"/>
    <w:rsid w:val="009A294A"/>
    <w:rsid w:val="009C10AA"/>
    <w:rsid w:val="009C730D"/>
    <w:rsid w:val="00A1275E"/>
    <w:rsid w:val="00A45F4F"/>
    <w:rsid w:val="00A600A9"/>
    <w:rsid w:val="00A866AC"/>
    <w:rsid w:val="00A97543"/>
    <w:rsid w:val="00AA28DD"/>
    <w:rsid w:val="00AA55B7"/>
    <w:rsid w:val="00AA5B9E"/>
    <w:rsid w:val="00AA7CDD"/>
    <w:rsid w:val="00AB2407"/>
    <w:rsid w:val="00AB53DF"/>
    <w:rsid w:val="00AC145B"/>
    <w:rsid w:val="00AF74B5"/>
    <w:rsid w:val="00B07E5C"/>
    <w:rsid w:val="00B20363"/>
    <w:rsid w:val="00B22480"/>
    <w:rsid w:val="00B326E3"/>
    <w:rsid w:val="00B443EA"/>
    <w:rsid w:val="00B811F7"/>
    <w:rsid w:val="00B97556"/>
    <w:rsid w:val="00B97BAA"/>
    <w:rsid w:val="00BA5DC6"/>
    <w:rsid w:val="00BA6196"/>
    <w:rsid w:val="00BC6D8C"/>
    <w:rsid w:val="00BD2007"/>
    <w:rsid w:val="00BE0D82"/>
    <w:rsid w:val="00C03201"/>
    <w:rsid w:val="00C16AF2"/>
    <w:rsid w:val="00C27BC2"/>
    <w:rsid w:val="00C34006"/>
    <w:rsid w:val="00C35D99"/>
    <w:rsid w:val="00C426B1"/>
    <w:rsid w:val="00C45D96"/>
    <w:rsid w:val="00C703F2"/>
    <w:rsid w:val="00C82B6B"/>
    <w:rsid w:val="00C90D6A"/>
    <w:rsid w:val="00CA26C6"/>
    <w:rsid w:val="00CC72B6"/>
    <w:rsid w:val="00CD7655"/>
    <w:rsid w:val="00CF5960"/>
    <w:rsid w:val="00D0218D"/>
    <w:rsid w:val="00D216CD"/>
    <w:rsid w:val="00D26E72"/>
    <w:rsid w:val="00D32E0F"/>
    <w:rsid w:val="00D556E1"/>
    <w:rsid w:val="00D74621"/>
    <w:rsid w:val="00D91FDD"/>
    <w:rsid w:val="00D95BB2"/>
    <w:rsid w:val="00DA2529"/>
    <w:rsid w:val="00DB130A"/>
    <w:rsid w:val="00DC10A1"/>
    <w:rsid w:val="00DC655F"/>
    <w:rsid w:val="00DD7455"/>
    <w:rsid w:val="00DD7EBD"/>
    <w:rsid w:val="00DE4F60"/>
    <w:rsid w:val="00DF3018"/>
    <w:rsid w:val="00DF62B6"/>
    <w:rsid w:val="00E07225"/>
    <w:rsid w:val="00E155B7"/>
    <w:rsid w:val="00E3612D"/>
    <w:rsid w:val="00E5409F"/>
    <w:rsid w:val="00E647D2"/>
    <w:rsid w:val="00E65EB1"/>
    <w:rsid w:val="00E96B14"/>
    <w:rsid w:val="00EC0185"/>
    <w:rsid w:val="00EC3F81"/>
    <w:rsid w:val="00EC6D41"/>
    <w:rsid w:val="00EE1C82"/>
    <w:rsid w:val="00F021FA"/>
    <w:rsid w:val="00F07079"/>
    <w:rsid w:val="00F15432"/>
    <w:rsid w:val="00F177AA"/>
    <w:rsid w:val="00F4201A"/>
    <w:rsid w:val="00F46336"/>
    <w:rsid w:val="00F47103"/>
    <w:rsid w:val="00F57ACA"/>
    <w:rsid w:val="00F62E97"/>
    <w:rsid w:val="00F64209"/>
    <w:rsid w:val="00F73003"/>
    <w:rsid w:val="00F9091F"/>
    <w:rsid w:val="00F93BF5"/>
    <w:rsid w:val="00F96F63"/>
    <w:rsid w:val="00FA3ED7"/>
    <w:rsid w:val="00FD7B92"/>
    <w:rsid w:val="00FE27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432"/>
    <w:pPr>
      <w:widowControl w:val="0"/>
    </w:pPr>
    <w:rPr>
      <w:snapToGrid w:val="0"/>
      <w:kern w:val="28"/>
      <w:sz w:val="22"/>
    </w:rPr>
  </w:style>
  <w:style w:type="paragraph" w:styleId="Heading1">
    <w:name w:val="heading 1"/>
    <w:basedOn w:val="Normal"/>
    <w:next w:val="ParaNum"/>
    <w:qFormat/>
    <w:rsid w:val="00F154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15432"/>
    <w:pPr>
      <w:keepNext/>
      <w:numPr>
        <w:ilvl w:val="1"/>
        <w:numId w:val="3"/>
      </w:numPr>
      <w:spacing w:after="120"/>
      <w:outlineLvl w:val="1"/>
    </w:pPr>
    <w:rPr>
      <w:b/>
    </w:rPr>
  </w:style>
  <w:style w:type="paragraph" w:styleId="Heading3">
    <w:name w:val="heading 3"/>
    <w:basedOn w:val="Normal"/>
    <w:next w:val="ParaNum"/>
    <w:qFormat/>
    <w:rsid w:val="00F15432"/>
    <w:pPr>
      <w:keepNext/>
      <w:numPr>
        <w:ilvl w:val="2"/>
        <w:numId w:val="3"/>
      </w:numPr>
      <w:tabs>
        <w:tab w:val="left" w:pos="2160"/>
      </w:tabs>
      <w:spacing w:after="120"/>
      <w:outlineLvl w:val="2"/>
    </w:pPr>
    <w:rPr>
      <w:b/>
    </w:rPr>
  </w:style>
  <w:style w:type="paragraph" w:styleId="Heading4">
    <w:name w:val="heading 4"/>
    <w:basedOn w:val="Normal"/>
    <w:next w:val="ParaNum"/>
    <w:qFormat/>
    <w:rsid w:val="00F15432"/>
    <w:pPr>
      <w:keepNext/>
      <w:numPr>
        <w:ilvl w:val="3"/>
        <w:numId w:val="3"/>
      </w:numPr>
      <w:tabs>
        <w:tab w:val="left" w:pos="2880"/>
      </w:tabs>
      <w:spacing w:after="120"/>
      <w:outlineLvl w:val="3"/>
    </w:pPr>
    <w:rPr>
      <w:b/>
    </w:rPr>
  </w:style>
  <w:style w:type="paragraph" w:styleId="Heading5">
    <w:name w:val="heading 5"/>
    <w:basedOn w:val="Normal"/>
    <w:next w:val="ParaNum"/>
    <w:qFormat/>
    <w:rsid w:val="00F1543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15432"/>
    <w:pPr>
      <w:numPr>
        <w:ilvl w:val="5"/>
        <w:numId w:val="3"/>
      </w:numPr>
      <w:tabs>
        <w:tab w:val="left" w:pos="4320"/>
      </w:tabs>
      <w:spacing w:after="120"/>
      <w:outlineLvl w:val="5"/>
    </w:pPr>
    <w:rPr>
      <w:b/>
    </w:rPr>
  </w:style>
  <w:style w:type="paragraph" w:styleId="Heading7">
    <w:name w:val="heading 7"/>
    <w:basedOn w:val="Normal"/>
    <w:next w:val="ParaNum"/>
    <w:qFormat/>
    <w:rsid w:val="00F154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154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154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154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15432"/>
  </w:style>
  <w:style w:type="paragraph" w:customStyle="1" w:styleId="ParaNum">
    <w:name w:val="ParaNum"/>
    <w:basedOn w:val="Normal"/>
    <w:link w:val="ParaNumChar"/>
    <w:rsid w:val="00F15432"/>
    <w:pPr>
      <w:numPr>
        <w:numId w:val="2"/>
      </w:numPr>
      <w:tabs>
        <w:tab w:val="clear" w:pos="1080"/>
        <w:tab w:val="num" w:pos="1440"/>
      </w:tabs>
      <w:spacing w:after="120"/>
    </w:pPr>
  </w:style>
  <w:style w:type="paragraph" w:styleId="EndnoteText">
    <w:name w:val="endnote text"/>
    <w:basedOn w:val="Normal"/>
    <w:semiHidden/>
    <w:rsid w:val="00F15432"/>
    <w:rPr>
      <w:sz w:val="20"/>
    </w:rPr>
  </w:style>
  <w:style w:type="character" w:styleId="EndnoteReference">
    <w:name w:val="endnote reference"/>
    <w:semiHidden/>
    <w:rsid w:val="00F15432"/>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F1543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15432"/>
    <w:rPr>
      <w:rFonts w:ascii="Times New Roman" w:hAnsi="Times New Roman"/>
      <w:dstrike w:val="0"/>
      <w:color w:val="auto"/>
      <w:sz w:val="22"/>
      <w:vertAlign w:val="superscript"/>
    </w:rPr>
  </w:style>
  <w:style w:type="paragraph" w:styleId="TOC1">
    <w:name w:val="toc 1"/>
    <w:basedOn w:val="Normal"/>
    <w:next w:val="Normal"/>
    <w:uiPriority w:val="39"/>
    <w:rsid w:val="00F154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15432"/>
    <w:pPr>
      <w:tabs>
        <w:tab w:val="left" w:pos="720"/>
        <w:tab w:val="right" w:leader="dot" w:pos="9360"/>
      </w:tabs>
      <w:suppressAutoHyphens/>
      <w:ind w:left="720" w:right="720" w:hanging="360"/>
    </w:pPr>
    <w:rPr>
      <w:noProof/>
    </w:rPr>
  </w:style>
  <w:style w:type="paragraph" w:styleId="TOC3">
    <w:name w:val="toc 3"/>
    <w:basedOn w:val="Normal"/>
    <w:next w:val="Normal"/>
    <w:semiHidden/>
    <w:rsid w:val="00F154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154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154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154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154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154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154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15432"/>
    <w:pPr>
      <w:tabs>
        <w:tab w:val="right" w:pos="9360"/>
      </w:tabs>
      <w:suppressAutoHyphens/>
    </w:pPr>
  </w:style>
  <w:style w:type="character" w:customStyle="1" w:styleId="EquationCaption">
    <w:name w:val="_Equation Caption"/>
    <w:rsid w:val="00F15432"/>
  </w:style>
  <w:style w:type="paragraph" w:styleId="Header">
    <w:name w:val="header"/>
    <w:basedOn w:val="Normal"/>
    <w:autoRedefine/>
    <w:rsid w:val="00F1543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15432"/>
    <w:pPr>
      <w:tabs>
        <w:tab w:val="center" w:pos="4320"/>
        <w:tab w:val="right" w:pos="8640"/>
      </w:tabs>
    </w:pPr>
  </w:style>
  <w:style w:type="character" w:styleId="PageNumber">
    <w:name w:val="page number"/>
    <w:basedOn w:val="DefaultParagraphFont"/>
    <w:rsid w:val="00F15432"/>
  </w:style>
  <w:style w:type="paragraph" w:styleId="BlockText">
    <w:name w:val="Block Text"/>
    <w:basedOn w:val="Normal"/>
    <w:rsid w:val="00F15432"/>
    <w:pPr>
      <w:spacing w:after="240"/>
      <w:ind w:left="1440" w:right="1440"/>
    </w:pPr>
  </w:style>
  <w:style w:type="paragraph" w:customStyle="1" w:styleId="Paratitle">
    <w:name w:val="Para title"/>
    <w:basedOn w:val="Normal"/>
    <w:rsid w:val="00F15432"/>
    <w:pPr>
      <w:tabs>
        <w:tab w:val="center" w:pos="9270"/>
      </w:tabs>
      <w:spacing w:after="240"/>
    </w:pPr>
    <w:rPr>
      <w:spacing w:val="-2"/>
    </w:rPr>
  </w:style>
  <w:style w:type="paragraph" w:customStyle="1" w:styleId="Bullet">
    <w:name w:val="Bullet"/>
    <w:basedOn w:val="Normal"/>
    <w:rsid w:val="00F15432"/>
    <w:pPr>
      <w:numPr>
        <w:numId w:val="1"/>
      </w:numPr>
      <w:tabs>
        <w:tab w:val="clear" w:pos="360"/>
        <w:tab w:val="left" w:pos="2160"/>
      </w:tabs>
      <w:spacing w:after="220"/>
      <w:ind w:left="2160" w:hanging="720"/>
    </w:pPr>
  </w:style>
  <w:style w:type="paragraph" w:customStyle="1" w:styleId="TableFormat">
    <w:name w:val="TableFormat"/>
    <w:basedOn w:val="Bullet"/>
    <w:rsid w:val="00F15432"/>
    <w:pPr>
      <w:numPr>
        <w:numId w:val="0"/>
      </w:numPr>
      <w:tabs>
        <w:tab w:val="clear" w:pos="2160"/>
        <w:tab w:val="left" w:pos="5040"/>
      </w:tabs>
      <w:ind w:left="5040" w:hanging="3600"/>
    </w:pPr>
  </w:style>
  <w:style w:type="paragraph" w:customStyle="1" w:styleId="TOCTitle">
    <w:name w:val="TOC Title"/>
    <w:basedOn w:val="Normal"/>
    <w:rsid w:val="00F154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15432"/>
    <w:pPr>
      <w:jc w:val="center"/>
    </w:pPr>
    <w:rPr>
      <w:rFonts w:ascii="Times New Roman Bold" w:hAnsi="Times New Roman Bold"/>
      <w:b/>
      <w:bCs/>
      <w:caps/>
      <w:szCs w:val="22"/>
    </w:rPr>
  </w:style>
  <w:style w:type="character" w:styleId="Hyperlink">
    <w:name w:val="Hyperlink"/>
    <w:rsid w:val="00F15432"/>
    <w:rPr>
      <w:color w:val="0000FF"/>
      <w:u w:val="single"/>
    </w:rPr>
  </w:style>
  <w:style w:type="character" w:customStyle="1" w:styleId="FooterChar">
    <w:name w:val="Footer Char"/>
    <w:link w:val="Footer"/>
    <w:uiPriority w:val="99"/>
    <w:rsid w:val="00F15432"/>
    <w:rPr>
      <w:snapToGrid w:val="0"/>
      <w:kern w:val="28"/>
      <w:sz w:val="22"/>
    </w:rPr>
  </w:style>
  <w:style w:type="character" w:customStyle="1" w:styleId="ParaNumChar">
    <w:name w:val="ParaNum Char"/>
    <w:link w:val="ParaNum"/>
    <w:rsid w:val="00FE2744"/>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FE2744"/>
  </w:style>
  <w:style w:type="paragraph" w:styleId="ListParagraph">
    <w:name w:val="List Paragraph"/>
    <w:basedOn w:val="Normal"/>
    <w:uiPriority w:val="34"/>
    <w:qFormat/>
    <w:rsid w:val="00FE2744"/>
    <w:pPr>
      <w:widowControl/>
      <w:ind w:left="720"/>
    </w:pPr>
    <w:rPr>
      <w:snapToGrid/>
      <w:kern w:val="0"/>
      <w:sz w:val="24"/>
    </w:rPr>
  </w:style>
  <w:style w:type="paragraph" w:styleId="BalloonText">
    <w:name w:val="Balloon Text"/>
    <w:basedOn w:val="Normal"/>
    <w:link w:val="BalloonTextChar"/>
    <w:uiPriority w:val="99"/>
    <w:semiHidden/>
    <w:unhideWhenUsed/>
    <w:rsid w:val="00D26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72"/>
    <w:rPr>
      <w:rFonts w:ascii="Segoe UI" w:hAnsi="Segoe UI" w:cs="Segoe UI"/>
      <w:snapToGrid w:val="0"/>
      <w:kern w:val="28"/>
      <w:sz w:val="18"/>
      <w:szCs w:val="18"/>
    </w:rPr>
  </w:style>
  <w:style w:type="character" w:customStyle="1" w:styleId="BodyTextChar">
    <w:name w:val="Body Text Char"/>
    <w:aliases w:val="b-Body Text Char"/>
    <w:link w:val="BodyText"/>
    <w:semiHidden/>
    <w:locked/>
    <w:rsid w:val="00D26E72"/>
    <w:rPr>
      <w:sz w:val="24"/>
    </w:rPr>
  </w:style>
  <w:style w:type="paragraph" w:styleId="BodyText">
    <w:name w:val="Body Text"/>
    <w:aliases w:val="b-Body Text"/>
    <w:basedOn w:val="Normal"/>
    <w:link w:val="BodyTextChar"/>
    <w:semiHidden/>
    <w:unhideWhenUsed/>
    <w:qFormat/>
    <w:rsid w:val="00D26E72"/>
    <w:pPr>
      <w:widowControl/>
      <w:spacing w:after="240"/>
      <w:ind w:firstLine="1440"/>
    </w:pPr>
    <w:rPr>
      <w:snapToGrid/>
      <w:kern w:val="0"/>
      <w:sz w:val="24"/>
    </w:rPr>
  </w:style>
  <w:style w:type="character" w:customStyle="1" w:styleId="BodyTextChar1">
    <w:name w:val="Body Text Char1"/>
    <w:basedOn w:val="DefaultParagraphFont"/>
    <w:uiPriority w:val="99"/>
    <w:semiHidden/>
    <w:rsid w:val="00D26E72"/>
    <w:rPr>
      <w:snapToGrid w:val="0"/>
      <w:kern w:val="28"/>
      <w:sz w:val="22"/>
    </w:rPr>
  </w:style>
  <w:style w:type="character" w:customStyle="1" w:styleId="UnresolvedMention">
    <w:name w:val="Unresolved Mention"/>
    <w:basedOn w:val="DefaultParagraphFont"/>
    <w:uiPriority w:val="99"/>
    <w:rsid w:val="001E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