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F2901" w:rsidRPr="00511023" w:rsidP="00CE24E8" w14:paraId="76004994" w14:textId="09B56FDF">
      <w:pPr>
        <w:spacing w:after="0"/>
        <w:rPr>
          <w:rFonts w:ascii="Times New Roman" w:hAnsi="Times New Roman" w:cs="Times New Roman"/>
        </w:rPr>
      </w:pPr>
    </w:p>
    <w:p w:rsidR="000E4E16" w:rsidP="00511023" w14:paraId="02752977" w14:textId="4AE60745">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bookmarkStart w:id="0" w:name="_GoBack"/>
      <w:bookmarkEnd w:id="0"/>
      <w:r w:rsidRPr="002E12F5">
        <w:rPr>
          <w:rFonts w:ascii="Times New Roman" w:hAnsi="Times New Roman" w:cs="Times New Roman"/>
          <w:b/>
          <w:sz w:val="24"/>
          <w:szCs w:val="24"/>
        </w:rPr>
        <w:t xml:space="preserve">DA </w:t>
      </w:r>
      <w:r w:rsidRPr="002E12F5" w:rsidR="00CE0822">
        <w:rPr>
          <w:rFonts w:ascii="Times New Roman" w:hAnsi="Times New Roman" w:cs="Times New Roman"/>
          <w:b/>
          <w:sz w:val="24"/>
          <w:szCs w:val="24"/>
        </w:rPr>
        <w:t>20</w:t>
      </w:r>
      <w:r w:rsidRPr="002E12F5" w:rsidR="00F4281B">
        <w:rPr>
          <w:rFonts w:ascii="Times New Roman" w:hAnsi="Times New Roman" w:cs="Times New Roman"/>
          <w:b/>
          <w:sz w:val="24"/>
          <w:szCs w:val="24"/>
        </w:rPr>
        <w:t>-</w:t>
      </w:r>
      <w:r w:rsidRPr="002E12F5" w:rsidR="002E12F5">
        <w:rPr>
          <w:rFonts w:ascii="Times New Roman" w:hAnsi="Times New Roman" w:cs="Times New Roman"/>
          <w:b/>
          <w:sz w:val="24"/>
          <w:szCs w:val="24"/>
        </w:rPr>
        <w:t>1355</w:t>
      </w:r>
    </w:p>
    <w:p w:rsidR="006F117F" w:rsidRPr="00511023" w:rsidP="00511023" w14:paraId="700578AB" w14:textId="77777777">
      <w:pPr>
        <w:spacing w:after="0"/>
        <w:jc w:val="right"/>
        <w:rPr>
          <w:rFonts w:ascii="Times New Roman" w:hAnsi="Times New Roman" w:cs="Times New Roman"/>
          <w:sz w:val="24"/>
          <w:szCs w:val="24"/>
        </w:rPr>
      </w:pPr>
    </w:p>
    <w:p w:rsidR="000E4E16" w:rsidRPr="00CE24E8" w:rsidP="00F976BA" w14:paraId="02B71EAA" w14:textId="0DD88C6B">
      <w:pPr>
        <w:spacing w:after="0"/>
        <w:jc w:val="center"/>
        <w:rPr>
          <w:rFonts w:ascii="Times New Roman" w:hAnsi="Times New Roman" w:cs="Times New Roman"/>
          <w:b/>
          <w:sz w:val="28"/>
          <w:szCs w:val="28"/>
        </w:rPr>
      </w:pPr>
      <w:r w:rsidRPr="00CE24E8">
        <w:rPr>
          <w:rFonts w:ascii="Times New Roman" w:hAnsi="Times New Roman" w:cs="Times New Roman"/>
          <w:b/>
          <w:sz w:val="36"/>
          <w:szCs w:val="36"/>
        </w:rPr>
        <w:t>SMALL ENTITY COMPLIANCE GUIDE</w:t>
      </w:r>
    </w:p>
    <w:p w:rsidR="00CE24E8" w:rsidP="00F976BA" w14:paraId="38148A90" w14:textId="77777777">
      <w:pPr>
        <w:spacing w:after="0"/>
        <w:ind w:hanging="90"/>
        <w:jc w:val="center"/>
        <w:rPr>
          <w:rFonts w:ascii="Times New Roman" w:hAnsi="Times New Roman" w:cs="Times New Roman"/>
          <w:b/>
        </w:rPr>
      </w:pPr>
    </w:p>
    <w:p w:rsidR="007C5016" w:rsidRPr="00CE24E8" w:rsidP="00F976BA" w14:paraId="3CCDE383" w14:textId="131B3C4B">
      <w:pPr>
        <w:spacing w:after="0"/>
        <w:ind w:hanging="90"/>
        <w:jc w:val="center"/>
        <w:rPr>
          <w:rFonts w:ascii="Times New Roman" w:hAnsi="Times New Roman" w:cs="Times New Roman"/>
          <w:b/>
          <w:sz w:val="24"/>
          <w:szCs w:val="24"/>
        </w:rPr>
      </w:pPr>
      <w:r w:rsidRPr="00CE24E8">
        <w:rPr>
          <w:rFonts w:ascii="Times New Roman" w:hAnsi="Times New Roman" w:cs="Times New Roman"/>
          <w:b/>
          <w:sz w:val="24"/>
          <w:szCs w:val="24"/>
        </w:rPr>
        <w:t>Leased Commercial Access</w:t>
      </w:r>
      <w:r w:rsidR="00CE0822">
        <w:rPr>
          <w:rFonts w:ascii="Times New Roman" w:hAnsi="Times New Roman" w:cs="Times New Roman"/>
          <w:b/>
          <w:sz w:val="24"/>
          <w:szCs w:val="24"/>
        </w:rPr>
        <w:t>;</w:t>
      </w:r>
    </w:p>
    <w:p w:rsidR="006F2901" w:rsidRPr="00CE24E8" w:rsidP="00F976BA" w14:paraId="567AC2E3" w14:textId="65BA72AA">
      <w:pPr>
        <w:spacing w:after="0"/>
        <w:jc w:val="center"/>
        <w:rPr>
          <w:rFonts w:ascii="Times New Roman" w:hAnsi="Times New Roman" w:cs="Times New Roman"/>
          <w:b/>
          <w:sz w:val="24"/>
          <w:szCs w:val="24"/>
        </w:rPr>
      </w:pPr>
      <w:r w:rsidRPr="00CE24E8">
        <w:rPr>
          <w:rFonts w:ascii="Times New Roman" w:hAnsi="Times New Roman" w:cs="Times New Roman"/>
          <w:b/>
          <w:sz w:val="24"/>
          <w:szCs w:val="24"/>
        </w:rPr>
        <w:t>Modernization of Media Regulation Initiative</w:t>
      </w:r>
    </w:p>
    <w:p w:rsidR="00F976BA" w:rsidRPr="00CE24E8" w:rsidP="00F976BA" w14:paraId="1F1704B7" w14:textId="77777777">
      <w:pPr>
        <w:spacing w:after="0"/>
        <w:jc w:val="center"/>
        <w:rPr>
          <w:rFonts w:ascii="Times New Roman" w:hAnsi="Times New Roman" w:cs="Times New Roman"/>
          <w:sz w:val="24"/>
          <w:szCs w:val="24"/>
        </w:rPr>
      </w:pPr>
    </w:p>
    <w:p w:rsidR="006F2901" w:rsidRPr="00CE24E8" w:rsidP="00F976BA" w14:paraId="3E93547C" w14:textId="026BD15A">
      <w:pPr>
        <w:spacing w:after="0"/>
        <w:jc w:val="center"/>
        <w:rPr>
          <w:rFonts w:ascii="Times New Roman" w:hAnsi="Times New Roman" w:cs="Times New Roman"/>
          <w:b/>
          <w:sz w:val="24"/>
          <w:szCs w:val="24"/>
        </w:rPr>
      </w:pPr>
      <w:r w:rsidRPr="00CE24E8">
        <w:rPr>
          <w:rFonts w:ascii="Times New Roman" w:hAnsi="Times New Roman" w:cs="Times New Roman"/>
          <w:b/>
          <w:sz w:val="24"/>
          <w:szCs w:val="24"/>
        </w:rPr>
        <w:t xml:space="preserve">FCC </w:t>
      </w:r>
      <w:r w:rsidR="00EB2506">
        <w:rPr>
          <w:rFonts w:ascii="Times New Roman" w:hAnsi="Times New Roman" w:cs="Times New Roman"/>
          <w:b/>
          <w:sz w:val="24"/>
          <w:szCs w:val="24"/>
        </w:rPr>
        <w:t>20-95</w:t>
      </w:r>
    </w:p>
    <w:p w:rsidR="006F2901" w:rsidRPr="00CE24E8" w:rsidP="00F976BA" w14:paraId="351CE09B" w14:textId="511CA796">
      <w:pPr>
        <w:spacing w:after="0"/>
        <w:jc w:val="center"/>
        <w:rPr>
          <w:rFonts w:ascii="Times New Roman" w:hAnsi="Times New Roman" w:cs="Times New Roman"/>
          <w:sz w:val="24"/>
          <w:szCs w:val="24"/>
        </w:rPr>
      </w:pPr>
      <w:r w:rsidRPr="00CE24E8">
        <w:rPr>
          <w:rFonts w:ascii="Times New Roman" w:hAnsi="Times New Roman" w:cs="Times New Roman"/>
          <w:b/>
          <w:sz w:val="24"/>
          <w:szCs w:val="24"/>
        </w:rPr>
        <w:t>MB</w:t>
      </w:r>
      <w:r w:rsidRPr="00CE24E8" w:rsidR="00C37AC8">
        <w:rPr>
          <w:rFonts w:ascii="Times New Roman" w:hAnsi="Times New Roman" w:cs="Times New Roman"/>
          <w:b/>
          <w:sz w:val="24"/>
          <w:szCs w:val="24"/>
        </w:rPr>
        <w:t xml:space="preserve"> Docket N</w:t>
      </w:r>
      <w:r w:rsidRPr="00CE24E8">
        <w:rPr>
          <w:rFonts w:ascii="Times New Roman" w:hAnsi="Times New Roman" w:cs="Times New Roman"/>
          <w:b/>
          <w:sz w:val="24"/>
          <w:szCs w:val="24"/>
        </w:rPr>
        <w:t>os</w:t>
      </w:r>
      <w:r w:rsidRPr="00CE24E8" w:rsidR="00C37AC8">
        <w:rPr>
          <w:rFonts w:ascii="Times New Roman" w:hAnsi="Times New Roman" w:cs="Times New Roman"/>
          <w:b/>
          <w:sz w:val="24"/>
          <w:szCs w:val="24"/>
        </w:rPr>
        <w:t xml:space="preserve">. </w:t>
      </w:r>
      <w:r w:rsidRPr="00CE24E8">
        <w:rPr>
          <w:rFonts w:ascii="Times New Roman" w:hAnsi="Times New Roman" w:cs="Times New Roman"/>
          <w:b/>
          <w:sz w:val="24"/>
          <w:szCs w:val="24"/>
        </w:rPr>
        <w:t>07</w:t>
      </w:r>
      <w:r w:rsidRPr="00CE24E8" w:rsidR="00C37AC8">
        <w:rPr>
          <w:rFonts w:ascii="Times New Roman" w:hAnsi="Times New Roman" w:cs="Times New Roman"/>
          <w:b/>
          <w:sz w:val="24"/>
          <w:szCs w:val="24"/>
        </w:rPr>
        <w:t>-</w:t>
      </w:r>
      <w:r w:rsidRPr="00CE24E8">
        <w:rPr>
          <w:rFonts w:ascii="Times New Roman" w:hAnsi="Times New Roman" w:cs="Times New Roman"/>
          <w:b/>
          <w:sz w:val="24"/>
          <w:szCs w:val="24"/>
        </w:rPr>
        <w:t>42, 17-105</w:t>
      </w:r>
    </w:p>
    <w:p w:rsidR="00FE346F" w:rsidRPr="00CE24E8" w:rsidP="000E4E16" w14:paraId="6742A8FC" w14:textId="77777777">
      <w:pPr>
        <w:spacing w:after="0"/>
        <w:rPr>
          <w:rFonts w:ascii="Times New Roman" w:hAnsi="Times New Roman" w:cs="Times New Roman"/>
          <w:b/>
          <w:sz w:val="24"/>
          <w:szCs w:val="24"/>
        </w:rPr>
      </w:pPr>
    </w:p>
    <w:p w:rsidR="006F2901" w:rsidRPr="00CE24E8" w:rsidP="00CE24E8" w14:paraId="0359BFFD" w14:textId="55042BE4">
      <w:pPr>
        <w:spacing w:after="0"/>
        <w:ind w:left="360"/>
        <w:rPr>
          <w:rFonts w:ascii="Times New Roman" w:hAnsi="Times New Roman" w:cs="Times New Roman"/>
          <w:b/>
          <w:sz w:val="24"/>
          <w:szCs w:val="24"/>
        </w:rPr>
      </w:pPr>
      <w:r w:rsidRPr="00CE24E8">
        <w:rPr>
          <w:rFonts w:ascii="Times New Roman" w:hAnsi="Times New Roman" w:cs="Times New Roman"/>
          <w:b/>
          <w:sz w:val="24"/>
          <w:szCs w:val="24"/>
        </w:rPr>
        <w:t>Th</w:t>
      </w:r>
      <w:r w:rsidRPr="00CE24E8">
        <w:rPr>
          <w:rFonts w:ascii="Times New Roman" w:hAnsi="Times New Roman" w:cs="Times New Roman"/>
          <w:b/>
          <w:sz w:val="24"/>
          <w:szCs w:val="24"/>
        </w:rPr>
        <w:t xml:space="preserve">is Guide is prepared in accordance with the requirements of </w:t>
      </w:r>
      <w:r w:rsidR="00AA0135">
        <w:rPr>
          <w:rFonts w:ascii="Times New Roman" w:hAnsi="Times New Roman" w:cs="Times New Roman"/>
          <w:b/>
          <w:sz w:val="24"/>
          <w:szCs w:val="24"/>
        </w:rPr>
        <w:t>s</w:t>
      </w:r>
      <w:r w:rsidRPr="00CE24E8">
        <w:rPr>
          <w:rFonts w:ascii="Times New Roman" w:hAnsi="Times New Roman" w:cs="Times New Roman"/>
          <w:b/>
          <w:sz w:val="24"/>
          <w:szCs w:val="24"/>
        </w:rPr>
        <w:t xml:space="preserve">ection 212 of the Small Business Regulatory Enforcement Fairness Act of 1996.  It is intended to help small entities—small businesses, small organizations (non-profits), and small governmental jurisdictions—comply with the </w:t>
      </w:r>
      <w:r w:rsidRPr="00CE24E8" w:rsidR="00C47CEF">
        <w:rPr>
          <w:rFonts w:ascii="Times New Roman" w:hAnsi="Times New Roman" w:cs="Times New Roman"/>
          <w:b/>
          <w:sz w:val="24"/>
          <w:szCs w:val="24"/>
        </w:rPr>
        <w:t xml:space="preserve">revised </w:t>
      </w:r>
      <w:r w:rsidRPr="00CE24E8">
        <w:rPr>
          <w:rFonts w:ascii="Times New Roman" w:hAnsi="Times New Roman" w:cs="Times New Roman"/>
          <w:b/>
          <w:sz w:val="24"/>
          <w:szCs w:val="24"/>
        </w:rPr>
        <w:t xml:space="preserve">rules adopted in the above-referenced </w:t>
      </w:r>
      <w:r w:rsidRPr="00CE24E8" w:rsidR="00C47CEF">
        <w:rPr>
          <w:rFonts w:ascii="Times New Roman" w:hAnsi="Times New Roman" w:cs="Times New Roman"/>
          <w:b/>
          <w:sz w:val="24"/>
          <w:szCs w:val="24"/>
        </w:rPr>
        <w:t>Federal Communications Commission (</w:t>
      </w:r>
      <w:r w:rsidRPr="00CE24E8">
        <w:rPr>
          <w:rFonts w:ascii="Times New Roman" w:hAnsi="Times New Roman" w:cs="Times New Roman"/>
          <w:b/>
          <w:sz w:val="24"/>
          <w:szCs w:val="24"/>
        </w:rPr>
        <w:t>FCC</w:t>
      </w:r>
      <w:r w:rsidRPr="00CE24E8" w:rsidR="00C47CEF">
        <w:rPr>
          <w:rFonts w:ascii="Times New Roman" w:hAnsi="Times New Roman" w:cs="Times New Roman"/>
          <w:b/>
          <w:sz w:val="24"/>
          <w:szCs w:val="24"/>
        </w:rPr>
        <w:t xml:space="preserve"> or Commission)</w:t>
      </w:r>
      <w:r w:rsidRPr="00CE24E8">
        <w:rPr>
          <w:rFonts w:ascii="Times New Roman" w:hAnsi="Times New Roman" w:cs="Times New Roman"/>
          <w:b/>
          <w:sz w:val="24"/>
          <w:szCs w:val="24"/>
        </w:rPr>
        <w:t xml:space="preserve"> rulemaking dockets.  This Guide is not intended to replace </w:t>
      </w:r>
      <w:r w:rsidRPr="00CE24E8" w:rsidR="00C47CEF">
        <w:rPr>
          <w:rFonts w:ascii="Times New Roman" w:hAnsi="Times New Roman" w:cs="Times New Roman"/>
          <w:b/>
          <w:sz w:val="24"/>
          <w:szCs w:val="24"/>
        </w:rPr>
        <w:t xml:space="preserve">or supersede </w:t>
      </w:r>
      <w:r w:rsidRPr="00CE24E8">
        <w:rPr>
          <w:rFonts w:ascii="Times New Roman" w:hAnsi="Times New Roman" w:cs="Times New Roman"/>
          <w:b/>
          <w:sz w:val="24"/>
          <w:szCs w:val="24"/>
        </w:rPr>
        <w:t>the</w:t>
      </w:r>
      <w:r w:rsidRPr="00CE24E8" w:rsidR="00C47CEF">
        <w:rPr>
          <w:rFonts w:ascii="Times New Roman" w:hAnsi="Times New Roman" w:cs="Times New Roman"/>
          <w:b/>
          <w:sz w:val="24"/>
          <w:szCs w:val="24"/>
        </w:rPr>
        <w:t>se</w:t>
      </w:r>
      <w:r w:rsidRPr="00CE24E8">
        <w:rPr>
          <w:rFonts w:ascii="Times New Roman" w:hAnsi="Times New Roman" w:cs="Times New Roman"/>
          <w:b/>
          <w:sz w:val="24"/>
          <w:szCs w:val="24"/>
        </w:rPr>
        <w:t xml:space="preserve"> rules</w:t>
      </w:r>
      <w:r w:rsidRPr="00CE24E8" w:rsidR="00C47CEF">
        <w:rPr>
          <w:rFonts w:ascii="Times New Roman" w:hAnsi="Times New Roman" w:cs="Times New Roman"/>
          <w:b/>
          <w:sz w:val="24"/>
          <w:szCs w:val="24"/>
        </w:rPr>
        <w:t xml:space="preserve">, but to facilitate compliance with the rules. </w:t>
      </w:r>
      <w:r w:rsidRPr="00CE24E8">
        <w:rPr>
          <w:rFonts w:ascii="Times New Roman" w:hAnsi="Times New Roman" w:cs="Times New Roman"/>
          <w:b/>
          <w:sz w:val="24"/>
          <w:szCs w:val="24"/>
        </w:rPr>
        <w:t xml:space="preserve"> Although we have attempted to cover all parts of the rules that might be especially important to small entities, the coverage may not be exhaustive.  This Guide </w:t>
      </w:r>
      <w:r w:rsidRPr="00CE24E8" w:rsidR="00B629FE">
        <w:rPr>
          <w:rFonts w:ascii="Times New Roman" w:hAnsi="Times New Roman" w:cs="Times New Roman"/>
          <w:b/>
          <w:sz w:val="24"/>
          <w:szCs w:val="24"/>
        </w:rPr>
        <w:t xml:space="preserve">cannot anticipate all situations in which the rules apply.   Furthermore, the Commission </w:t>
      </w:r>
      <w:r w:rsidRPr="00CE24E8">
        <w:rPr>
          <w:rFonts w:ascii="Times New Roman" w:hAnsi="Times New Roman" w:cs="Times New Roman"/>
          <w:b/>
          <w:sz w:val="24"/>
          <w:szCs w:val="24"/>
        </w:rPr>
        <w:t xml:space="preserve">retains the discretion to adopt </w:t>
      </w:r>
      <w:r w:rsidRPr="00CE24E8" w:rsidR="00B629FE">
        <w:rPr>
          <w:rFonts w:ascii="Times New Roman" w:hAnsi="Times New Roman" w:cs="Times New Roman"/>
          <w:b/>
          <w:sz w:val="24"/>
          <w:szCs w:val="24"/>
        </w:rPr>
        <w:t xml:space="preserve">case-by-case </w:t>
      </w:r>
      <w:r w:rsidRPr="00CE24E8">
        <w:rPr>
          <w:rFonts w:ascii="Times New Roman" w:hAnsi="Times New Roman" w:cs="Times New Roman"/>
          <w:b/>
          <w:sz w:val="24"/>
          <w:szCs w:val="24"/>
        </w:rPr>
        <w:t>approaches</w:t>
      </w:r>
      <w:r w:rsidRPr="00CE24E8" w:rsidR="00B629FE">
        <w:rPr>
          <w:rFonts w:ascii="Times New Roman" w:hAnsi="Times New Roman" w:cs="Times New Roman"/>
          <w:b/>
          <w:sz w:val="24"/>
          <w:szCs w:val="24"/>
        </w:rPr>
        <w:t>, where appropriate,</w:t>
      </w:r>
      <w:r w:rsidRPr="00CE24E8">
        <w:rPr>
          <w:rFonts w:ascii="Times New Roman" w:hAnsi="Times New Roman" w:cs="Times New Roman"/>
          <w:b/>
          <w:sz w:val="24"/>
          <w:szCs w:val="24"/>
        </w:rPr>
        <w:t xml:space="preserve"> that may differ from this Guide.  Any decision regarding a particular small entity will be based on the statute and</w:t>
      </w:r>
      <w:r w:rsidRPr="00CE24E8" w:rsidR="008E2841">
        <w:rPr>
          <w:rFonts w:ascii="Times New Roman" w:hAnsi="Times New Roman" w:cs="Times New Roman"/>
          <w:b/>
          <w:sz w:val="24"/>
          <w:szCs w:val="24"/>
        </w:rPr>
        <w:t xml:space="preserve"> any relevant rules</w:t>
      </w:r>
      <w:r w:rsidRPr="00CE24E8">
        <w:rPr>
          <w:rFonts w:ascii="Times New Roman" w:hAnsi="Times New Roman" w:cs="Times New Roman"/>
          <w:b/>
          <w:sz w:val="24"/>
          <w:szCs w:val="24"/>
        </w:rPr>
        <w:t xml:space="preserve">. </w:t>
      </w:r>
    </w:p>
    <w:p w:rsidR="006F2901" w:rsidRPr="00CE24E8" w:rsidP="00CE24E8" w14:paraId="25270ABA" w14:textId="77777777">
      <w:pPr>
        <w:pStyle w:val="ListParagraph"/>
        <w:ind w:left="360" w:hanging="1080"/>
        <w:rPr>
          <w:rFonts w:ascii="Times New Roman" w:hAnsi="Times New Roman" w:cs="Times New Roman"/>
          <w:b/>
          <w:sz w:val="24"/>
          <w:szCs w:val="24"/>
        </w:rPr>
      </w:pPr>
    </w:p>
    <w:p w:rsidR="006F2901" w:rsidRPr="00CE24E8" w:rsidP="00CE24E8" w14:paraId="65D355CA" w14:textId="13621D8C">
      <w:pPr>
        <w:pStyle w:val="ListParagraph"/>
        <w:ind w:left="360"/>
        <w:rPr>
          <w:rFonts w:ascii="Times New Roman" w:hAnsi="Times New Roman" w:cs="Times New Roman"/>
          <w:b/>
          <w:sz w:val="24"/>
          <w:szCs w:val="24"/>
        </w:rPr>
      </w:pPr>
      <w:r w:rsidRPr="00CE24E8">
        <w:rPr>
          <w:rFonts w:ascii="Times New Roman" w:hAnsi="Times New Roman" w:cs="Times New Roman"/>
          <w:b/>
          <w:sz w:val="24"/>
          <w:szCs w:val="24"/>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CE24E8" w:rsidR="00B47D0B">
        <w:rPr>
          <w:rFonts w:ascii="Times New Roman" w:hAnsi="Times New Roman" w:cs="Times New Roman"/>
          <w:b/>
          <w:sz w:val="24"/>
          <w:szCs w:val="24"/>
        </w:rPr>
        <w:t>. T</w:t>
      </w:r>
      <w:r w:rsidRPr="00CE24E8">
        <w:rPr>
          <w:rFonts w:ascii="Times New Roman" w:hAnsi="Times New Roman" w:cs="Times New Roman"/>
          <w:b/>
          <w:sz w:val="24"/>
          <w:szCs w:val="24"/>
        </w:rPr>
        <w:t xml:space="preserve">he FCC will </w:t>
      </w:r>
      <w:r w:rsidRPr="00CE24E8" w:rsidR="00FE30EB">
        <w:rPr>
          <w:rFonts w:ascii="Times New Roman" w:hAnsi="Times New Roman" w:cs="Times New Roman"/>
          <w:b/>
          <w:sz w:val="24"/>
          <w:szCs w:val="24"/>
        </w:rPr>
        <w:t xml:space="preserve">then </w:t>
      </w:r>
      <w:r w:rsidRPr="00CE24E8">
        <w:rPr>
          <w:rFonts w:ascii="Times New Roman" w:hAnsi="Times New Roman" w:cs="Times New Roman"/>
          <w:b/>
          <w:sz w:val="24"/>
          <w:szCs w:val="24"/>
        </w:rPr>
        <w:t xml:space="preserve">consider whether the recommendations or interpretations in the Guide are appropriate in that situation.  The FCC may decide to revise this Guide without public notice to reflect changes in the FCC’s approach to implementing a rule, or </w:t>
      </w:r>
      <w:r w:rsidRPr="00CE24E8" w:rsidR="00B47D0B">
        <w:rPr>
          <w:rFonts w:ascii="Times New Roman" w:hAnsi="Times New Roman" w:cs="Times New Roman"/>
          <w:b/>
          <w:sz w:val="24"/>
          <w:szCs w:val="24"/>
        </w:rPr>
        <w:t>i</w:t>
      </w:r>
      <w:r w:rsidRPr="00CE24E8">
        <w:rPr>
          <w:rFonts w:ascii="Times New Roman" w:hAnsi="Times New Roman" w:cs="Times New Roman"/>
          <w:b/>
          <w:sz w:val="24"/>
          <w:szCs w:val="24"/>
        </w:rPr>
        <w:t>t</w:t>
      </w:r>
      <w:r w:rsidRPr="00CE24E8" w:rsidR="00B47D0B">
        <w:rPr>
          <w:rFonts w:ascii="Times New Roman" w:hAnsi="Times New Roman" w:cs="Times New Roman"/>
          <w:b/>
          <w:sz w:val="24"/>
          <w:szCs w:val="24"/>
        </w:rPr>
        <w:t xml:space="preserve"> may</w:t>
      </w:r>
      <w:r w:rsidRPr="00CE24E8">
        <w:rPr>
          <w:rFonts w:ascii="Times New Roman" w:hAnsi="Times New Roman" w:cs="Times New Roman"/>
          <w:b/>
          <w:sz w:val="24"/>
          <w:szCs w:val="24"/>
        </w:rPr>
        <w:t xml:space="preserve"> clarify or update the text of the Guide.  Direct your comments and recommendations, or calls for further assistance, to the FCC’s Consumer Center:</w:t>
      </w:r>
    </w:p>
    <w:p w:rsidR="000E4E16" w:rsidRPr="00CE24E8" w:rsidP="00CE24E8" w14:paraId="44F9D184" w14:textId="77777777">
      <w:pPr>
        <w:pStyle w:val="ListParagraph"/>
        <w:ind w:left="360"/>
        <w:rPr>
          <w:rFonts w:ascii="Times New Roman" w:hAnsi="Times New Roman" w:cs="Times New Roman"/>
          <w:b/>
          <w:sz w:val="24"/>
          <w:szCs w:val="24"/>
        </w:rPr>
      </w:pPr>
    </w:p>
    <w:p w:rsidR="006F2901" w:rsidRPr="00CE24E8" w:rsidP="00CE24E8" w14:paraId="3EE78D98" w14:textId="05A6654E">
      <w:pPr>
        <w:pStyle w:val="ListParagraph"/>
        <w:ind w:left="360"/>
        <w:jc w:val="center"/>
        <w:rPr>
          <w:rFonts w:ascii="Times New Roman" w:hAnsi="Times New Roman" w:cs="Times New Roman"/>
          <w:b/>
          <w:sz w:val="24"/>
          <w:szCs w:val="24"/>
        </w:rPr>
      </w:pPr>
      <w:r w:rsidRPr="00CE24E8">
        <w:rPr>
          <w:rFonts w:ascii="Times New Roman" w:hAnsi="Times New Roman" w:cs="Times New Roman"/>
          <w:b/>
          <w:sz w:val="24"/>
          <w:szCs w:val="24"/>
        </w:rPr>
        <w:t>1-888-CALL-FCC (1-888-225-5322)</w:t>
      </w:r>
    </w:p>
    <w:p w:rsidR="00B47D0B" w:rsidRPr="00CE24E8" w:rsidP="00CE24E8" w14:paraId="7189DA74" w14:textId="5B89279E">
      <w:pPr>
        <w:pStyle w:val="ListParagraph"/>
        <w:ind w:left="360"/>
        <w:jc w:val="center"/>
        <w:rPr>
          <w:rFonts w:ascii="Times New Roman" w:hAnsi="Times New Roman" w:cs="Times New Roman"/>
          <w:b/>
          <w:sz w:val="24"/>
          <w:szCs w:val="24"/>
        </w:rPr>
      </w:pPr>
      <w:r w:rsidRPr="00CE24E8">
        <w:rPr>
          <w:rFonts w:ascii="Times New Roman" w:hAnsi="Times New Roman" w:cs="Times New Roman"/>
          <w:b/>
          <w:sz w:val="24"/>
          <w:szCs w:val="24"/>
        </w:rPr>
        <w:t>TTY: 1-888-TELL-FCC (1-888-835-5322)</w:t>
      </w:r>
    </w:p>
    <w:p w:rsidR="006F2901" w:rsidRPr="00CE24E8" w:rsidP="00CE24E8" w14:paraId="542FD57C" w14:textId="71A82108">
      <w:pPr>
        <w:pStyle w:val="ListParagraph"/>
        <w:ind w:left="360"/>
        <w:jc w:val="center"/>
        <w:rPr>
          <w:rFonts w:ascii="Times New Roman" w:hAnsi="Times New Roman" w:cs="Times New Roman"/>
          <w:b/>
          <w:sz w:val="24"/>
          <w:szCs w:val="24"/>
        </w:rPr>
      </w:pPr>
      <w:r w:rsidRPr="00CE24E8">
        <w:rPr>
          <w:rFonts w:ascii="Times New Roman" w:hAnsi="Times New Roman" w:cs="Times New Roman"/>
          <w:b/>
          <w:sz w:val="24"/>
          <w:szCs w:val="24"/>
        </w:rPr>
        <w:t>Videophone: 1-844-4-FCC-ASL (1-844-432-2275)</w:t>
      </w:r>
    </w:p>
    <w:p w:rsidR="0095132F" w:rsidRPr="00CE24E8" w:rsidP="00CE24E8" w14:paraId="4A1DEB02" w14:textId="37C1C0C6">
      <w:pPr>
        <w:pStyle w:val="ListParagraph"/>
        <w:ind w:left="360"/>
        <w:jc w:val="center"/>
        <w:rPr>
          <w:rFonts w:ascii="Times New Roman" w:hAnsi="Times New Roman" w:cs="Times New Roman"/>
          <w:b/>
          <w:sz w:val="24"/>
          <w:szCs w:val="24"/>
        </w:rPr>
        <w:sectPr w:rsidSect="00152909">
          <w:headerReference w:type="default" r:id="rId5"/>
          <w:footerReference w:type="default" r:id="rId6"/>
          <w:pgSz w:w="12240" w:h="15840"/>
          <w:pgMar w:top="1440" w:right="1440" w:bottom="1008" w:left="1440" w:header="720" w:footer="187" w:gutter="0"/>
          <w:cols w:space="720"/>
          <w:docGrid w:linePitch="360"/>
        </w:sectPr>
      </w:pPr>
      <w:r w:rsidRPr="00CE24E8">
        <w:rPr>
          <w:rFonts w:ascii="Times New Roman" w:hAnsi="Times New Roman" w:cs="Times New Roman"/>
          <w:b/>
          <w:sz w:val="24"/>
          <w:szCs w:val="24"/>
        </w:rPr>
        <w:t>Fax: 1-866-418-0232</w:t>
      </w: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CD624E" w14:paraId="0B3562B8" w14:textId="77777777">
      <w:pPr>
        <w:rPr>
          <w:rFonts w:ascii="Times New Roman" w:hAnsi="Times New Roman" w:cs="Times New Roman"/>
        </w:rPr>
      </w:pPr>
    </w:p>
    <w:p w:rsidR="00CD624E" w:rsidRPr="00C419A9" w:rsidP="00CD624E" w14:paraId="1A18EB69" w14:textId="2439FE9E">
      <w:pPr>
        <w:tabs>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5A7330">
        <w:rPr>
          <w:rFonts w:ascii="Times New Roman" w:hAnsi="Times New Roman" w:cs="Times New Roman"/>
          <w:b/>
        </w:rPr>
        <w:t>3</w:t>
      </w:r>
    </w:p>
    <w:p w:rsidR="00CD624E" w:rsidRPr="00C419A9" w:rsidP="00CD624E" w14:paraId="490BE852" w14:textId="5B8F24B0">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5A7330">
        <w:rPr>
          <w:rFonts w:ascii="Times New Roman" w:hAnsi="Times New Roman" w:cs="Times New Roman"/>
          <w:b/>
        </w:rPr>
        <w:t>4</w:t>
      </w:r>
    </w:p>
    <w:p w:rsidR="00CD624E" w:rsidRPr="00C419A9" w:rsidP="00CD624E" w14:paraId="68DC6F13" w14:textId="5CCA1661">
      <w:pPr>
        <w:tabs>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AA0135">
        <w:rPr>
          <w:rFonts w:ascii="Times New Roman" w:hAnsi="Times New Roman" w:cs="Times New Roman"/>
          <w:b/>
        </w:rPr>
        <w:t>4</w:t>
      </w:r>
    </w:p>
    <w:p w:rsidR="00CD624E" w:rsidRPr="00C419A9" w:rsidP="00CD624E" w14:paraId="6B9E0B35" w14:textId="4FC96B44">
      <w:pPr>
        <w:tabs>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AA0135">
        <w:rPr>
          <w:rFonts w:ascii="Times New Roman" w:hAnsi="Times New Roman" w:cs="Times New Roman"/>
          <w:b/>
        </w:rPr>
        <w:t>4</w:t>
      </w:r>
    </w:p>
    <w:p w:rsidR="00CD624E" w:rsidRPr="00C419A9" w:rsidP="00CD624E" w14:paraId="2920F242" w14:textId="7E9F063E">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5A7330">
        <w:rPr>
          <w:rFonts w:ascii="Times New Roman" w:hAnsi="Times New Roman" w:cs="Times New Roman"/>
          <w:b/>
        </w:rPr>
        <w:t>5</w:t>
      </w:r>
    </w:p>
    <w:p w:rsidR="001743EF" w:rsidP="00E97A21" w14:paraId="0E64538F" w14:textId="77777777">
      <w:pPr>
        <w:rPr>
          <w:rFonts w:ascii="Times New Roman" w:hAnsi="Times New Roman" w:cs="Times New Roman"/>
          <w:b/>
        </w:rPr>
        <w:sectPr w:rsidSect="005A7330">
          <w:headerReference w:type="default" r:id="rId7"/>
          <w:pgSz w:w="12240" w:h="15840"/>
          <w:pgMar w:top="1440" w:right="1440" w:bottom="1008" w:left="1440" w:header="720" w:footer="187" w:gutter="0"/>
          <w:cols w:space="720"/>
          <w:docGrid w:linePitch="360"/>
        </w:sectPr>
      </w:pPr>
    </w:p>
    <w:p w:rsidR="00E97A21" w:rsidRPr="00EC3871" w:rsidP="00EC3871" w14:paraId="003F6D71" w14:textId="212ACBCB">
      <w:pPr>
        <w:pStyle w:val="ListParagraph"/>
        <w:numPr>
          <w:ilvl w:val="0"/>
          <w:numId w:val="20"/>
        </w:numPr>
        <w:ind w:left="0" w:hanging="360"/>
        <w:jc w:val="center"/>
        <w:rPr>
          <w:rFonts w:ascii="Times New Roman" w:hAnsi="Times New Roman" w:cs="Times New Roman"/>
          <w:b/>
          <w:sz w:val="24"/>
          <w:szCs w:val="24"/>
        </w:rPr>
      </w:pPr>
      <w:r w:rsidRPr="00EC3871">
        <w:rPr>
          <w:rFonts w:ascii="Times New Roman" w:hAnsi="Times New Roman" w:cs="Times New Roman"/>
          <w:b/>
          <w:sz w:val="24"/>
          <w:szCs w:val="24"/>
          <w:u w:val="single"/>
        </w:rPr>
        <w:t>OBJECTIVES OF THE PROCEEDING</w:t>
      </w:r>
    </w:p>
    <w:p w:rsidR="002F051D" w:rsidP="00E97A21" w14:paraId="296FDC5C" w14:textId="2FEFAD66">
      <w:pPr>
        <w:rPr>
          <w:rFonts w:ascii="Times New Roman" w:hAnsi="Times New Roman" w:cs="Times New Roman"/>
          <w:bCs/>
          <w:sz w:val="24"/>
          <w:szCs w:val="24"/>
        </w:rPr>
      </w:pPr>
      <w:r w:rsidRPr="00EC3871">
        <w:rPr>
          <w:rFonts w:ascii="Times New Roman" w:hAnsi="Times New Roman" w:cs="Times New Roman"/>
          <w:bCs/>
          <w:sz w:val="24"/>
          <w:szCs w:val="24"/>
        </w:rPr>
        <w:t>The</w:t>
      </w:r>
      <w:r w:rsidRPr="00EC3871" w:rsidR="00F84924">
        <w:rPr>
          <w:rFonts w:ascii="Times New Roman" w:hAnsi="Times New Roman" w:cs="Times New Roman"/>
          <w:bCs/>
          <w:sz w:val="24"/>
          <w:szCs w:val="24"/>
        </w:rPr>
        <w:t xml:space="preserve"> Commission’s </w:t>
      </w:r>
      <w:r w:rsidRPr="00EC3871">
        <w:rPr>
          <w:rFonts w:ascii="Times New Roman" w:hAnsi="Times New Roman" w:cs="Times New Roman"/>
          <w:bCs/>
          <w:sz w:val="24"/>
          <w:szCs w:val="24"/>
        </w:rPr>
        <w:t>leased access rules</w:t>
      </w:r>
      <w:r w:rsidRPr="00EC3871" w:rsidR="00F84924">
        <w:rPr>
          <w:rFonts w:ascii="Times New Roman" w:hAnsi="Times New Roman" w:cs="Times New Roman"/>
          <w:bCs/>
          <w:sz w:val="24"/>
          <w:szCs w:val="24"/>
        </w:rPr>
        <w:t xml:space="preserve"> </w:t>
      </w:r>
      <w:r w:rsidRPr="00EC3871">
        <w:rPr>
          <w:rFonts w:ascii="Times New Roman" w:hAnsi="Times New Roman" w:cs="Times New Roman"/>
          <w:bCs/>
          <w:sz w:val="24"/>
          <w:szCs w:val="24"/>
        </w:rPr>
        <w:t xml:space="preserve">direct cable operators to set aside channel capacity for commercial use by unaffiliated video programmers. </w:t>
      </w:r>
      <w:r w:rsidRPr="00EC3871" w:rsidR="00F84924">
        <w:rPr>
          <w:rFonts w:ascii="Times New Roman" w:hAnsi="Times New Roman" w:cs="Times New Roman"/>
          <w:bCs/>
          <w:sz w:val="24"/>
          <w:szCs w:val="24"/>
        </w:rPr>
        <w:t xml:space="preserve"> </w:t>
      </w:r>
      <w:r w:rsidRPr="00EC3871" w:rsidR="00E432AB">
        <w:rPr>
          <w:rFonts w:ascii="Times New Roman" w:hAnsi="Times New Roman" w:cs="Times New Roman"/>
          <w:bCs/>
          <w:sz w:val="24"/>
          <w:szCs w:val="24"/>
        </w:rPr>
        <w:t xml:space="preserve">In the </w:t>
      </w:r>
      <w:r w:rsidRPr="00EC3871" w:rsidR="009C0BDE">
        <w:rPr>
          <w:rFonts w:ascii="Times New Roman" w:hAnsi="Times New Roman" w:cs="Times New Roman"/>
          <w:bCs/>
          <w:sz w:val="24"/>
          <w:szCs w:val="24"/>
        </w:rPr>
        <w:t xml:space="preserve">Second </w:t>
      </w:r>
      <w:r w:rsidRPr="00EC3871" w:rsidR="00E432AB">
        <w:rPr>
          <w:rFonts w:ascii="Times New Roman" w:hAnsi="Times New Roman" w:cs="Times New Roman"/>
          <w:bCs/>
          <w:sz w:val="24"/>
          <w:szCs w:val="24"/>
        </w:rPr>
        <w:t>Report and Order in MB Docket Nos. 07</w:t>
      </w:r>
      <w:r w:rsidRPr="00EC3871" w:rsidR="00082B4E">
        <w:rPr>
          <w:rFonts w:ascii="Times New Roman" w:hAnsi="Times New Roman" w:cs="Times New Roman"/>
          <w:bCs/>
          <w:sz w:val="24"/>
          <w:szCs w:val="24"/>
        </w:rPr>
        <w:t xml:space="preserve">-42 and 17-105 (2020 </w:t>
      </w:r>
      <w:r w:rsidR="00CE0822">
        <w:rPr>
          <w:rFonts w:ascii="Times New Roman" w:hAnsi="Times New Roman" w:cs="Times New Roman"/>
          <w:bCs/>
          <w:sz w:val="24"/>
          <w:szCs w:val="24"/>
        </w:rPr>
        <w:t xml:space="preserve">Leased Access </w:t>
      </w:r>
      <w:r w:rsidRPr="00EC3871" w:rsidR="00082B4E">
        <w:rPr>
          <w:rFonts w:ascii="Times New Roman" w:hAnsi="Times New Roman" w:cs="Times New Roman"/>
          <w:bCs/>
          <w:sz w:val="24"/>
          <w:szCs w:val="24"/>
        </w:rPr>
        <w:t xml:space="preserve">Order), </w:t>
      </w:r>
      <w:r w:rsidRPr="00EC3871" w:rsidR="00116EB8">
        <w:rPr>
          <w:rFonts w:ascii="Times New Roman" w:hAnsi="Times New Roman" w:cs="Times New Roman"/>
          <w:bCs/>
          <w:sz w:val="24"/>
          <w:szCs w:val="24"/>
        </w:rPr>
        <w:t>the</w:t>
      </w:r>
      <w:r w:rsidRPr="00EC3871" w:rsidR="00082B4E">
        <w:rPr>
          <w:rFonts w:ascii="Times New Roman" w:hAnsi="Times New Roman" w:cs="Times New Roman"/>
          <w:bCs/>
          <w:sz w:val="24"/>
          <w:szCs w:val="24"/>
        </w:rPr>
        <w:t xml:space="preserve"> Commission</w:t>
      </w:r>
      <w:r w:rsidRPr="00EC3871" w:rsidR="009C0BDE">
        <w:rPr>
          <w:rFonts w:ascii="Times New Roman" w:hAnsi="Times New Roman" w:cs="Times New Roman"/>
          <w:bCs/>
          <w:sz w:val="24"/>
          <w:szCs w:val="24"/>
        </w:rPr>
        <w:t xml:space="preserve"> modifie</w:t>
      </w:r>
      <w:r w:rsidRPr="00EC3871" w:rsidR="00116EB8">
        <w:rPr>
          <w:rFonts w:ascii="Times New Roman" w:hAnsi="Times New Roman" w:cs="Times New Roman"/>
          <w:bCs/>
          <w:sz w:val="24"/>
          <w:szCs w:val="24"/>
        </w:rPr>
        <w:t>d</w:t>
      </w:r>
      <w:r w:rsidRPr="00EC3871" w:rsidR="009C0BDE">
        <w:rPr>
          <w:rFonts w:ascii="Times New Roman" w:hAnsi="Times New Roman" w:cs="Times New Roman"/>
          <w:bCs/>
          <w:sz w:val="24"/>
          <w:szCs w:val="24"/>
        </w:rPr>
        <w:t xml:space="preserve"> </w:t>
      </w:r>
      <w:r w:rsidRPr="00EC3871" w:rsidR="00116EB8">
        <w:rPr>
          <w:rFonts w:ascii="Times New Roman" w:hAnsi="Times New Roman" w:cs="Times New Roman"/>
          <w:bCs/>
          <w:sz w:val="24"/>
          <w:szCs w:val="24"/>
        </w:rPr>
        <w:t>its</w:t>
      </w:r>
      <w:r w:rsidRPr="00EC3871" w:rsidR="009C0BDE">
        <w:rPr>
          <w:rFonts w:ascii="Times New Roman" w:hAnsi="Times New Roman" w:cs="Times New Roman"/>
          <w:bCs/>
          <w:sz w:val="24"/>
          <w:szCs w:val="24"/>
        </w:rPr>
        <w:t xml:space="preserve"> leased access rate formul</w:t>
      </w:r>
      <w:r w:rsidRPr="00EC3871" w:rsidR="00FA448F">
        <w:rPr>
          <w:rFonts w:ascii="Times New Roman" w:hAnsi="Times New Roman" w:cs="Times New Roman"/>
          <w:bCs/>
          <w:sz w:val="24"/>
          <w:szCs w:val="24"/>
        </w:rPr>
        <w:t>a</w:t>
      </w:r>
      <w:r w:rsidR="0071360D">
        <w:rPr>
          <w:rFonts w:ascii="Times New Roman" w:hAnsi="Times New Roman" w:cs="Times New Roman"/>
          <w:bCs/>
          <w:sz w:val="24"/>
          <w:szCs w:val="24"/>
        </w:rPr>
        <w:t xml:space="preserve"> to reflect changes to cable rate regulation over the years</w:t>
      </w:r>
      <w:r>
        <w:rPr>
          <w:rFonts w:ascii="Times New Roman" w:hAnsi="Times New Roman" w:cs="Times New Roman"/>
          <w:bCs/>
          <w:sz w:val="24"/>
          <w:szCs w:val="24"/>
        </w:rPr>
        <w:t xml:space="preserve">, </w:t>
      </w:r>
      <w:r w:rsidRPr="00EC3871">
        <w:rPr>
          <w:rFonts w:ascii="Times New Roman" w:hAnsi="Times New Roman" w:cs="Times New Roman"/>
          <w:bCs/>
          <w:sz w:val="24"/>
          <w:szCs w:val="24"/>
        </w:rPr>
        <w:t>as part of its ongoing Modernization of Media Regulation Initiative</w:t>
      </w:r>
      <w:r w:rsidRPr="00EC3871" w:rsidR="00FA448F">
        <w:rPr>
          <w:rFonts w:ascii="Times New Roman" w:hAnsi="Times New Roman" w:cs="Times New Roman"/>
          <w:bCs/>
          <w:sz w:val="24"/>
          <w:szCs w:val="24"/>
        </w:rPr>
        <w:t>.</w:t>
      </w:r>
      <w:r>
        <w:rPr>
          <w:rFonts w:ascii="Times New Roman" w:hAnsi="Times New Roman" w:cs="Times New Roman"/>
          <w:bCs/>
          <w:sz w:val="24"/>
          <w:szCs w:val="24"/>
        </w:rPr>
        <w:t xml:space="preserve">  </w:t>
      </w:r>
      <w:r w:rsidR="00694F3A">
        <w:rPr>
          <w:rFonts w:ascii="Times New Roman" w:hAnsi="Times New Roman" w:cs="Times New Roman"/>
          <w:bCs/>
          <w:sz w:val="24"/>
          <w:szCs w:val="24"/>
        </w:rPr>
        <w:t>Leased access r</w:t>
      </w:r>
      <w:r w:rsidRPr="00EC3871" w:rsidR="009C0BDE">
        <w:rPr>
          <w:rFonts w:ascii="Times New Roman" w:hAnsi="Times New Roman" w:cs="Times New Roman"/>
          <w:bCs/>
          <w:sz w:val="24"/>
          <w:szCs w:val="24"/>
        </w:rPr>
        <w:t xml:space="preserve">ates </w:t>
      </w:r>
      <w:r w:rsidRPr="00EC3871" w:rsidR="00FA448F">
        <w:rPr>
          <w:rFonts w:ascii="Times New Roman" w:hAnsi="Times New Roman" w:cs="Times New Roman"/>
          <w:bCs/>
          <w:sz w:val="24"/>
          <w:szCs w:val="24"/>
        </w:rPr>
        <w:t xml:space="preserve">will now be </w:t>
      </w:r>
      <w:r w:rsidRPr="00EC3871" w:rsidR="009C0BDE">
        <w:rPr>
          <w:rFonts w:ascii="Times New Roman" w:hAnsi="Times New Roman" w:cs="Times New Roman"/>
          <w:bCs/>
          <w:sz w:val="24"/>
          <w:szCs w:val="24"/>
        </w:rPr>
        <w:t xml:space="preserve">calculated </w:t>
      </w:r>
      <w:r w:rsidRPr="00EC3871" w:rsidR="00116EB8">
        <w:rPr>
          <w:rFonts w:ascii="Times New Roman" w:hAnsi="Times New Roman" w:cs="Times New Roman"/>
          <w:bCs/>
          <w:sz w:val="24"/>
          <w:szCs w:val="24"/>
        </w:rPr>
        <w:t>using</w:t>
      </w:r>
      <w:r w:rsidRPr="00EC3871" w:rsidR="009C0BDE">
        <w:rPr>
          <w:rFonts w:ascii="Times New Roman" w:hAnsi="Times New Roman" w:cs="Times New Roman"/>
          <w:bCs/>
          <w:sz w:val="24"/>
          <w:szCs w:val="24"/>
        </w:rPr>
        <w:t xml:space="preserve"> information specific to the tier of carriage</w:t>
      </w:r>
      <w:r w:rsidRPr="00EC3871" w:rsidR="00116EB8">
        <w:rPr>
          <w:rFonts w:ascii="Times New Roman" w:hAnsi="Times New Roman" w:cs="Times New Roman"/>
          <w:bCs/>
          <w:sz w:val="24"/>
          <w:szCs w:val="24"/>
        </w:rPr>
        <w:t xml:space="preserve">, </w:t>
      </w:r>
      <w:r w:rsidRPr="00EC3871" w:rsidR="00FA448F">
        <w:rPr>
          <w:rFonts w:ascii="Times New Roman" w:hAnsi="Times New Roman" w:cs="Times New Roman"/>
          <w:bCs/>
          <w:sz w:val="24"/>
          <w:szCs w:val="24"/>
        </w:rPr>
        <w:t xml:space="preserve">as opposed to the </w:t>
      </w:r>
      <w:r w:rsidR="002766E1">
        <w:rPr>
          <w:rFonts w:ascii="Times New Roman" w:hAnsi="Times New Roman" w:cs="Times New Roman"/>
          <w:bCs/>
          <w:sz w:val="24"/>
          <w:szCs w:val="24"/>
        </w:rPr>
        <w:t>previous</w:t>
      </w:r>
      <w:r w:rsidR="00CE0822">
        <w:rPr>
          <w:rFonts w:ascii="Times New Roman" w:hAnsi="Times New Roman" w:cs="Times New Roman"/>
          <w:bCs/>
          <w:sz w:val="24"/>
          <w:szCs w:val="24"/>
        </w:rPr>
        <w:t xml:space="preserve"> weighting scheme that use</w:t>
      </w:r>
      <w:r w:rsidR="002766E1">
        <w:rPr>
          <w:rFonts w:ascii="Times New Roman" w:hAnsi="Times New Roman" w:cs="Times New Roman"/>
          <w:bCs/>
          <w:sz w:val="24"/>
          <w:szCs w:val="24"/>
        </w:rPr>
        <w:t>d</w:t>
      </w:r>
      <w:r w:rsidR="00CE0822">
        <w:rPr>
          <w:rFonts w:ascii="Times New Roman" w:hAnsi="Times New Roman" w:cs="Times New Roman"/>
          <w:bCs/>
          <w:sz w:val="24"/>
          <w:szCs w:val="24"/>
        </w:rPr>
        <w:t xml:space="preserve"> data from all tiers with subscriber penetration over 50 percent</w:t>
      </w:r>
      <w:r w:rsidRPr="00EC3871" w:rsidR="009C0BDE">
        <w:rPr>
          <w:rFonts w:ascii="Times New Roman" w:hAnsi="Times New Roman" w:cs="Times New Roman"/>
          <w:bCs/>
          <w:sz w:val="24"/>
          <w:szCs w:val="24"/>
        </w:rPr>
        <w:t>.</w:t>
      </w:r>
      <w:r w:rsidRPr="00EC3871" w:rsidR="00116EB8">
        <w:rPr>
          <w:rFonts w:ascii="Times New Roman" w:hAnsi="Times New Roman" w:cs="Times New Roman"/>
          <w:bCs/>
          <w:sz w:val="24"/>
          <w:szCs w:val="24"/>
        </w:rPr>
        <w:t xml:space="preserve">  </w:t>
      </w:r>
      <w:r w:rsidRPr="00EC3871" w:rsidR="00FA448F">
        <w:rPr>
          <w:rFonts w:ascii="Times New Roman" w:hAnsi="Times New Roman" w:cs="Times New Roman"/>
          <w:bCs/>
          <w:sz w:val="24"/>
          <w:szCs w:val="24"/>
        </w:rPr>
        <w:t xml:space="preserve">This modification </w:t>
      </w:r>
      <w:r>
        <w:rPr>
          <w:rFonts w:ascii="Times New Roman" w:hAnsi="Times New Roman" w:cs="Times New Roman"/>
          <w:bCs/>
          <w:sz w:val="24"/>
          <w:szCs w:val="24"/>
        </w:rPr>
        <w:t xml:space="preserve">will </w:t>
      </w:r>
      <w:r w:rsidR="00C23B71">
        <w:rPr>
          <w:rFonts w:ascii="Times New Roman" w:hAnsi="Times New Roman" w:cs="Times New Roman"/>
          <w:bCs/>
          <w:sz w:val="24"/>
          <w:szCs w:val="24"/>
        </w:rPr>
        <w:t>more accurately approximate the value of a particular channel, while alleviating burdens on cable operators</w:t>
      </w:r>
      <w:r w:rsidR="0071360D">
        <w:rPr>
          <w:rFonts w:ascii="Times New Roman" w:hAnsi="Times New Roman" w:cs="Times New Roman"/>
          <w:bCs/>
          <w:sz w:val="24"/>
          <w:szCs w:val="24"/>
        </w:rPr>
        <w:t>.</w:t>
      </w:r>
    </w:p>
    <w:p w:rsidR="007738A7" w:rsidP="007738A7" w14:paraId="353C653F" w14:textId="0CE36DBF">
      <w:pPr>
        <w:rPr>
          <w:rFonts w:ascii="Times New Roman" w:hAnsi="Times New Roman" w:cs="Times New Roman"/>
          <w:bCs/>
          <w:sz w:val="24"/>
          <w:szCs w:val="24"/>
        </w:rPr>
      </w:pPr>
      <w:r>
        <w:rPr>
          <w:rFonts w:ascii="Times New Roman" w:hAnsi="Times New Roman" w:cs="Times New Roman"/>
          <w:bCs/>
          <w:sz w:val="24"/>
          <w:szCs w:val="24"/>
        </w:rPr>
        <w:t>Ultimately, t</w:t>
      </w:r>
      <w:r w:rsidRPr="00EC3871">
        <w:rPr>
          <w:rFonts w:ascii="Times New Roman" w:hAnsi="Times New Roman" w:cs="Times New Roman"/>
          <w:bCs/>
          <w:sz w:val="24"/>
          <w:szCs w:val="24"/>
        </w:rPr>
        <w:t>he revised rate formula should result in operators using revenue and cost estimates that more closely reflect the value of channel</w:t>
      </w:r>
      <w:r>
        <w:rPr>
          <w:rFonts w:ascii="Times New Roman" w:hAnsi="Times New Roman" w:cs="Times New Roman"/>
          <w:bCs/>
          <w:sz w:val="24"/>
          <w:szCs w:val="24"/>
        </w:rPr>
        <w:t>s</w:t>
      </w:r>
      <w:r w:rsidRPr="00EC3871">
        <w:rPr>
          <w:rFonts w:ascii="Times New Roman" w:hAnsi="Times New Roman" w:cs="Times New Roman"/>
          <w:bCs/>
          <w:sz w:val="24"/>
          <w:szCs w:val="24"/>
        </w:rPr>
        <w:t xml:space="preserve"> sought, thus better serving the </w:t>
      </w:r>
      <w:r>
        <w:rPr>
          <w:rFonts w:ascii="Times New Roman" w:hAnsi="Times New Roman" w:cs="Times New Roman"/>
          <w:bCs/>
          <w:sz w:val="24"/>
          <w:szCs w:val="24"/>
        </w:rPr>
        <w:t xml:space="preserve">statutory </w:t>
      </w:r>
      <w:r w:rsidRPr="00EC3871">
        <w:rPr>
          <w:rFonts w:ascii="Times New Roman" w:hAnsi="Times New Roman" w:cs="Times New Roman"/>
          <w:bCs/>
          <w:sz w:val="24"/>
          <w:szCs w:val="24"/>
        </w:rPr>
        <w:t>goals.</w:t>
      </w:r>
      <w:r>
        <w:rPr>
          <w:rFonts w:ascii="Times New Roman" w:hAnsi="Times New Roman" w:cs="Times New Roman"/>
          <w:bCs/>
          <w:sz w:val="24"/>
          <w:szCs w:val="24"/>
        </w:rPr>
        <w:t xml:space="preserve">  The Commission concluded in its 2020 Leased Access Order that </w:t>
      </w:r>
      <w:r w:rsidRPr="00EC3871">
        <w:rPr>
          <w:rFonts w:ascii="Times New Roman" w:hAnsi="Times New Roman" w:cs="Times New Roman"/>
          <w:bCs/>
          <w:sz w:val="24"/>
          <w:szCs w:val="24"/>
        </w:rPr>
        <w:t xml:space="preserve">tier-specific rates are the fairest approximation of the </w:t>
      </w:r>
      <w:r>
        <w:rPr>
          <w:rFonts w:ascii="Times New Roman" w:hAnsi="Times New Roman" w:cs="Times New Roman"/>
          <w:bCs/>
          <w:sz w:val="24"/>
          <w:szCs w:val="24"/>
        </w:rPr>
        <w:t>“</w:t>
      </w:r>
      <w:r w:rsidRPr="00EC3871">
        <w:rPr>
          <w:rFonts w:ascii="Times New Roman" w:hAnsi="Times New Roman" w:cs="Times New Roman"/>
          <w:bCs/>
          <w:sz w:val="24"/>
          <w:szCs w:val="24"/>
        </w:rPr>
        <w:t>maximum reasonable rate</w:t>
      </w:r>
      <w:r>
        <w:rPr>
          <w:rFonts w:ascii="Times New Roman" w:hAnsi="Times New Roman" w:cs="Times New Roman"/>
          <w:bCs/>
          <w:sz w:val="24"/>
          <w:szCs w:val="24"/>
        </w:rPr>
        <w:t>”</w:t>
      </w:r>
      <w:r w:rsidRPr="00EC3871">
        <w:rPr>
          <w:rFonts w:ascii="Times New Roman" w:hAnsi="Times New Roman" w:cs="Times New Roman"/>
          <w:bCs/>
          <w:sz w:val="24"/>
          <w:szCs w:val="24"/>
        </w:rPr>
        <w:t xml:space="preserve"> </w:t>
      </w:r>
      <w:r>
        <w:rPr>
          <w:rFonts w:ascii="Times New Roman" w:hAnsi="Times New Roman" w:cs="Times New Roman"/>
          <w:bCs/>
          <w:sz w:val="24"/>
          <w:szCs w:val="24"/>
        </w:rPr>
        <w:t xml:space="preserve">an operator may charge </w:t>
      </w:r>
      <w:r w:rsidRPr="00EC3871">
        <w:rPr>
          <w:rFonts w:ascii="Times New Roman" w:hAnsi="Times New Roman" w:cs="Times New Roman"/>
          <w:bCs/>
          <w:sz w:val="24"/>
          <w:szCs w:val="24"/>
        </w:rPr>
        <w:t xml:space="preserve">because </w:t>
      </w:r>
      <w:r>
        <w:rPr>
          <w:rFonts w:ascii="Times New Roman" w:hAnsi="Times New Roman" w:cs="Times New Roman"/>
          <w:bCs/>
          <w:sz w:val="24"/>
          <w:szCs w:val="24"/>
        </w:rPr>
        <w:t>it will be</w:t>
      </w:r>
      <w:r w:rsidRPr="00EC3871">
        <w:rPr>
          <w:rFonts w:ascii="Times New Roman" w:hAnsi="Times New Roman" w:cs="Times New Roman"/>
          <w:bCs/>
          <w:sz w:val="24"/>
          <w:szCs w:val="24"/>
        </w:rPr>
        <w:t xml:space="preserve"> </w:t>
      </w:r>
      <w:r>
        <w:rPr>
          <w:rFonts w:ascii="Times New Roman" w:hAnsi="Times New Roman" w:cs="Times New Roman"/>
          <w:bCs/>
          <w:sz w:val="24"/>
          <w:szCs w:val="24"/>
        </w:rPr>
        <w:t>based</w:t>
      </w:r>
      <w:r w:rsidRPr="00EC3871">
        <w:rPr>
          <w:rFonts w:ascii="Times New Roman" w:hAnsi="Times New Roman" w:cs="Times New Roman"/>
          <w:bCs/>
          <w:sz w:val="24"/>
          <w:szCs w:val="24"/>
        </w:rPr>
        <w:t xml:space="preserve"> on </w:t>
      </w:r>
      <w:r>
        <w:rPr>
          <w:rFonts w:ascii="Times New Roman" w:hAnsi="Times New Roman" w:cs="Times New Roman"/>
          <w:bCs/>
          <w:sz w:val="24"/>
          <w:szCs w:val="24"/>
        </w:rPr>
        <w:t>the actual programming revenue and costs associated with that</w:t>
      </w:r>
      <w:r w:rsidRPr="00EC3871">
        <w:rPr>
          <w:rFonts w:ascii="Times New Roman" w:hAnsi="Times New Roman" w:cs="Times New Roman"/>
          <w:bCs/>
          <w:sz w:val="24"/>
          <w:szCs w:val="24"/>
        </w:rPr>
        <w:t xml:space="preserve"> specific tier.  </w:t>
      </w:r>
      <w:r>
        <w:rPr>
          <w:rFonts w:ascii="Times New Roman" w:hAnsi="Times New Roman" w:cs="Times New Roman"/>
          <w:bCs/>
          <w:sz w:val="24"/>
          <w:szCs w:val="24"/>
        </w:rPr>
        <w:t xml:space="preserve">This </w:t>
      </w:r>
      <w:r w:rsidRPr="00EC3871">
        <w:rPr>
          <w:rFonts w:ascii="Times New Roman" w:hAnsi="Times New Roman" w:cs="Times New Roman"/>
          <w:bCs/>
          <w:sz w:val="24"/>
          <w:szCs w:val="24"/>
        </w:rPr>
        <w:t xml:space="preserve">simplified </w:t>
      </w:r>
      <w:r>
        <w:rPr>
          <w:rFonts w:ascii="Times New Roman" w:hAnsi="Times New Roman" w:cs="Times New Roman"/>
          <w:bCs/>
          <w:sz w:val="24"/>
          <w:szCs w:val="24"/>
        </w:rPr>
        <w:t>approach</w:t>
      </w:r>
      <w:r w:rsidRPr="00EC3871">
        <w:rPr>
          <w:rFonts w:ascii="Times New Roman" w:hAnsi="Times New Roman" w:cs="Times New Roman"/>
          <w:bCs/>
          <w:sz w:val="24"/>
          <w:szCs w:val="24"/>
        </w:rPr>
        <w:t xml:space="preserve"> will benefit small cable operators, as well as other cable operators.</w:t>
      </w:r>
    </w:p>
    <w:p w:rsidR="005A7330" w:rsidRPr="00EC3871" w:rsidP="001A2779" w14:paraId="716CAEF2" w14:textId="4CA00D00">
      <w:pPr>
        <w:rPr>
          <w:rFonts w:ascii="Times New Roman" w:hAnsi="Times New Roman" w:cs="Times New Roman"/>
          <w:bCs/>
          <w:sz w:val="24"/>
          <w:szCs w:val="24"/>
        </w:rPr>
      </w:pPr>
      <w:r>
        <w:rPr>
          <w:rFonts w:ascii="Times New Roman" w:hAnsi="Times New Roman" w:cs="Times New Roman"/>
          <w:bCs/>
          <w:sz w:val="24"/>
          <w:szCs w:val="24"/>
        </w:rPr>
        <w:t>Additionally, the</w:t>
      </w:r>
      <w:r w:rsidRPr="0067392B">
        <w:rPr>
          <w:rFonts w:ascii="Times New Roman" w:hAnsi="Times New Roman" w:cs="Times New Roman"/>
          <w:bCs/>
          <w:sz w:val="24"/>
          <w:szCs w:val="24"/>
        </w:rPr>
        <w:t xml:space="preserve"> </w:t>
      </w:r>
      <w:r w:rsidR="00E25752">
        <w:rPr>
          <w:rFonts w:ascii="Times New Roman" w:hAnsi="Times New Roman" w:cs="Times New Roman"/>
          <w:bCs/>
          <w:sz w:val="24"/>
          <w:szCs w:val="24"/>
        </w:rPr>
        <w:t xml:space="preserve">Commission </w:t>
      </w:r>
      <w:r w:rsidR="00A675C2">
        <w:rPr>
          <w:rFonts w:ascii="Times New Roman" w:hAnsi="Times New Roman" w:cs="Times New Roman"/>
          <w:bCs/>
          <w:sz w:val="24"/>
          <w:szCs w:val="24"/>
        </w:rPr>
        <w:t>stated in the 2020 Leased Access Order</w:t>
      </w:r>
      <w:r w:rsidR="00E25752">
        <w:rPr>
          <w:rFonts w:ascii="Times New Roman" w:hAnsi="Times New Roman" w:cs="Times New Roman"/>
          <w:bCs/>
          <w:sz w:val="24"/>
          <w:szCs w:val="24"/>
        </w:rPr>
        <w:t xml:space="preserve"> that the </w:t>
      </w:r>
      <w:r w:rsidRPr="0067392B">
        <w:rPr>
          <w:rFonts w:ascii="Times New Roman" w:hAnsi="Times New Roman" w:cs="Times New Roman"/>
          <w:bCs/>
          <w:sz w:val="24"/>
          <w:szCs w:val="24"/>
        </w:rPr>
        <w:t>constitutional foundation for the leased access regime is in substantial doubt</w:t>
      </w:r>
      <w:r w:rsidR="00E25752">
        <w:rPr>
          <w:rFonts w:ascii="Times New Roman" w:hAnsi="Times New Roman" w:cs="Times New Roman"/>
          <w:bCs/>
          <w:sz w:val="24"/>
          <w:szCs w:val="24"/>
        </w:rPr>
        <w:t xml:space="preserve"> due to changes in marketplace conditions.  These </w:t>
      </w:r>
      <w:r w:rsidRPr="0067392B" w:rsidR="00E25752">
        <w:rPr>
          <w:rFonts w:ascii="Times New Roman" w:hAnsi="Times New Roman" w:cs="Times New Roman"/>
          <w:bCs/>
          <w:sz w:val="24"/>
          <w:szCs w:val="24"/>
        </w:rPr>
        <w:t>changes</w:t>
      </w:r>
      <w:r w:rsidR="00E25752">
        <w:rPr>
          <w:rFonts w:ascii="Times New Roman" w:hAnsi="Times New Roman" w:cs="Times New Roman"/>
          <w:bCs/>
          <w:sz w:val="24"/>
          <w:szCs w:val="24"/>
        </w:rPr>
        <w:t>—</w:t>
      </w:r>
      <w:r w:rsidRPr="0067392B" w:rsidR="00E25752">
        <w:rPr>
          <w:rFonts w:ascii="Times New Roman" w:hAnsi="Times New Roman" w:cs="Times New Roman"/>
          <w:bCs/>
          <w:sz w:val="24"/>
          <w:szCs w:val="24"/>
        </w:rPr>
        <w:t xml:space="preserve">such as increased Internet usage and availability, </w:t>
      </w:r>
      <w:r w:rsidR="00E25752">
        <w:rPr>
          <w:rFonts w:ascii="Times New Roman" w:hAnsi="Times New Roman" w:cs="Times New Roman"/>
          <w:bCs/>
          <w:sz w:val="24"/>
          <w:szCs w:val="24"/>
        </w:rPr>
        <w:t xml:space="preserve">as well as </w:t>
      </w:r>
      <w:r w:rsidRPr="0067392B" w:rsidR="00E25752">
        <w:rPr>
          <w:rFonts w:ascii="Times New Roman" w:hAnsi="Times New Roman" w:cs="Times New Roman"/>
          <w:bCs/>
          <w:sz w:val="24"/>
          <w:szCs w:val="24"/>
        </w:rPr>
        <w:t xml:space="preserve">competition from other multichannel video programming distributors (MVPDs) </w:t>
      </w:r>
      <w:r w:rsidR="00E25752">
        <w:rPr>
          <w:rFonts w:ascii="Times New Roman" w:hAnsi="Times New Roman" w:cs="Times New Roman"/>
          <w:bCs/>
          <w:sz w:val="24"/>
          <w:szCs w:val="24"/>
        </w:rPr>
        <w:t>and</w:t>
      </w:r>
      <w:r w:rsidRPr="0067392B" w:rsidR="00E25752">
        <w:rPr>
          <w:rFonts w:ascii="Times New Roman" w:hAnsi="Times New Roman" w:cs="Times New Roman"/>
          <w:bCs/>
          <w:sz w:val="24"/>
          <w:szCs w:val="24"/>
        </w:rPr>
        <w:t xml:space="preserve"> online video distributors</w:t>
      </w:r>
      <w:r w:rsidR="00E25752">
        <w:rPr>
          <w:rFonts w:ascii="Times New Roman" w:hAnsi="Times New Roman" w:cs="Times New Roman"/>
          <w:bCs/>
          <w:sz w:val="24"/>
          <w:szCs w:val="24"/>
        </w:rPr>
        <w:t>—</w:t>
      </w:r>
      <w:r w:rsidRPr="0067392B" w:rsidR="00E25752">
        <w:rPr>
          <w:rFonts w:ascii="Times New Roman" w:hAnsi="Times New Roman" w:cs="Times New Roman"/>
          <w:bCs/>
          <w:sz w:val="24"/>
          <w:szCs w:val="24"/>
        </w:rPr>
        <w:t>appear to have eroded the original justification for the leased access rules: to safeguard competition and diversity in the face of cable operators’ monopoly power.</w:t>
      </w:r>
      <w:r w:rsidR="00A675C2">
        <w:rPr>
          <w:rFonts w:ascii="Times New Roman" w:hAnsi="Times New Roman" w:cs="Times New Roman"/>
          <w:bCs/>
          <w:sz w:val="24"/>
          <w:szCs w:val="24"/>
        </w:rPr>
        <w:t xml:space="preserve">  </w:t>
      </w:r>
      <w:r w:rsidR="00E25752">
        <w:rPr>
          <w:rFonts w:ascii="Times New Roman" w:hAnsi="Times New Roman" w:cs="Times New Roman"/>
          <w:bCs/>
          <w:sz w:val="24"/>
          <w:szCs w:val="24"/>
        </w:rPr>
        <w:t xml:space="preserve">However, </w:t>
      </w:r>
      <w:r w:rsidR="00A675C2">
        <w:rPr>
          <w:rFonts w:ascii="Times New Roman" w:hAnsi="Times New Roman" w:cs="Times New Roman"/>
          <w:bCs/>
          <w:sz w:val="24"/>
          <w:szCs w:val="24"/>
        </w:rPr>
        <w:t xml:space="preserve">the Commission also stated that </w:t>
      </w:r>
      <w:r w:rsidR="005F78F7">
        <w:rPr>
          <w:rFonts w:ascii="Times New Roman" w:hAnsi="Times New Roman" w:cs="Times New Roman"/>
          <w:bCs/>
          <w:sz w:val="24"/>
          <w:szCs w:val="24"/>
        </w:rPr>
        <w:t xml:space="preserve">the </w:t>
      </w:r>
      <w:r w:rsidRPr="0067392B">
        <w:rPr>
          <w:rFonts w:ascii="Times New Roman" w:hAnsi="Times New Roman" w:cs="Times New Roman"/>
          <w:bCs/>
          <w:sz w:val="24"/>
          <w:szCs w:val="24"/>
        </w:rPr>
        <w:t>leased access rules are required pursuant to a specific statutory mandate</w:t>
      </w:r>
      <w:r>
        <w:rPr>
          <w:rStyle w:val="FootnoteReference"/>
          <w:rFonts w:ascii="Times New Roman" w:hAnsi="Times New Roman" w:cs="Times New Roman"/>
          <w:bCs/>
          <w:sz w:val="24"/>
          <w:szCs w:val="24"/>
        </w:rPr>
        <w:footnoteReference w:id="2"/>
      </w:r>
      <w:r w:rsidRPr="0067392B">
        <w:rPr>
          <w:rFonts w:ascii="Times New Roman" w:hAnsi="Times New Roman" w:cs="Times New Roman"/>
          <w:bCs/>
          <w:sz w:val="24"/>
          <w:szCs w:val="24"/>
        </w:rPr>
        <w:t xml:space="preserve"> from Congress.</w:t>
      </w:r>
      <w:r w:rsidR="00400FF1">
        <w:rPr>
          <w:rFonts w:ascii="Times New Roman" w:hAnsi="Times New Roman" w:cs="Times New Roman"/>
          <w:bCs/>
          <w:sz w:val="24"/>
          <w:szCs w:val="24"/>
        </w:rPr>
        <w:t xml:space="preserve">  </w:t>
      </w:r>
      <w:r w:rsidRPr="0067392B">
        <w:rPr>
          <w:rFonts w:ascii="Times New Roman" w:hAnsi="Times New Roman" w:cs="Times New Roman"/>
          <w:bCs/>
          <w:sz w:val="24"/>
          <w:szCs w:val="24"/>
        </w:rPr>
        <w:t xml:space="preserve">As a result, </w:t>
      </w:r>
      <w:r w:rsidR="00D61721">
        <w:rPr>
          <w:rFonts w:ascii="Times New Roman" w:hAnsi="Times New Roman" w:cs="Times New Roman"/>
          <w:bCs/>
          <w:sz w:val="24"/>
          <w:szCs w:val="24"/>
        </w:rPr>
        <w:t>the Commission has declined to</w:t>
      </w:r>
      <w:r w:rsidRPr="0067392B">
        <w:rPr>
          <w:rFonts w:ascii="Times New Roman" w:hAnsi="Times New Roman" w:cs="Times New Roman"/>
          <w:bCs/>
          <w:sz w:val="24"/>
          <w:szCs w:val="24"/>
        </w:rPr>
        <w:t xml:space="preserve"> eliminate</w:t>
      </w:r>
      <w:r w:rsidR="00D61721">
        <w:rPr>
          <w:rFonts w:ascii="Times New Roman" w:hAnsi="Times New Roman" w:cs="Times New Roman"/>
          <w:bCs/>
          <w:sz w:val="24"/>
          <w:szCs w:val="24"/>
        </w:rPr>
        <w:t xml:space="preserve"> its</w:t>
      </w:r>
      <w:r w:rsidRPr="0067392B">
        <w:rPr>
          <w:rFonts w:ascii="Times New Roman" w:hAnsi="Times New Roman" w:cs="Times New Roman"/>
          <w:bCs/>
          <w:sz w:val="24"/>
          <w:szCs w:val="24"/>
        </w:rPr>
        <w:t xml:space="preserve"> leased access requirements and </w:t>
      </w:r>
      <w:r w:rsidR="00D61721">
        <w:rPr>
          <w:rFonts w:ascii="Times New Roman" w:hAnsi="Times New Roman" w:cs="Times New Roman"/>
          <w:bCs/>
          <w:sz w:val="24"/>
          <w:szCs w:val="24"/>
        </w:rPr>
        <w:t>has left</w:t>
      </w:r>
      <w:r w:rsidRPr="0067392B">
        <w:rPr>
          <w:rFonts w:ascii="Times New Roman" w:hAnsi="Times New Roman" w:cs="Times New Roman"/>
          <w:bCs/>
          <w:sz w:val="24"/>
          <w:szCs w:val="24"/>
        </w:rPr>
        <w:t xml:space="preserve"> it to the courts to address the current constitutional status of the leased access statute, particularly given that the D.C. Circuit has previously upheld the constitutionality of the leased access statute,</w:t>
      </w:r>
      <w:r>
        <w:rPr>
          <w:rStyle w:val="FootnoteReference"/>
          <w:rFonts w:ascii="Times New Roman" w:hAnsi="Times New Roman" w:cs="Times New Roman"/>
          <w:bCs/>
          <w:sz w:val="24"/>
          <w:szCs w:val="24"/>
        </w:rPr>
        <w:footnoteReference w:id="3"/>
      </w:r>
      <w:r w:rsidRPr="0067392B">
        <w:rPr>
          <w:rFonts w:ascii="Times New Roman" w:hAnsi="Times New Roman" w:cs="Times New Roman"/>
          <w:bCs/>
          <w:sz w:val="24"/>
          <w:szCs w:val="24"/>
        </w:rPr>
        <w:t xml:space="preserve"> albeit under different marketplace conditions</w:t>
      </w:r>
      <w:r w:rsidR="00E25752">
        <w:rPr>
          <w:rFonts w:ascii="Times New Roman" w:hAnsi="Times New Roman" w:cs="Times New Roman"/>
          <w:bCs/>
          <w:sz w:val="24"/>
          <w:szCs w:val="24"/>
        </w:rPr>
        <w:t>.</w:t>
      </w:r>
    </w:p>
    <w:p w:rsidR="006B3C3D" w:rsidP="00C37EF3" w14:paraId="131BB6D3" w14:textId="77777777">
      <w:pPr>
        <w:jc w:val="center"/>
        <w:rPr>
          <w:rFonts w:ascii="Times New Roman" w:hAnsi="Times New Roman" w:cs="Times New Roman"/>
          <w:b/>
          <w:sz w:val="24"/>
          <w:szCs w:val="24"/>
        </w:rPr>
      </w:pPr>
      <w:r>
        <w:rPr>
          <w:rFonts w:ascii="Times New Roman" w:hAnsi="Times New Roman" w:cs="Times New Roman"/>
          <w:b/>
          <w:sz w:val="24"/>
          <w:szCs w:val="24"/>
        </w:rPr>
        <w:br w:type="page"/>
      </w:r>
    </w:p>
    <w:p w:rsidR="00EF4B82" w:rsidRPr="00EC3871" w:rsidP="00C37EF3" w14:paraId="2676F6DC" w14:textId="5B602942">
      <w:pPr>
        <w:jc w:val="center"/>
        <w:rPr>
          <w:rFonts w:ascii="Times New Roman" w:hAnsi="Times New Roman" w:cs="Times New Roman"/>
          <w:b/>
          <w:sz w:val="24"/>
          <w:szCs w:val="24"/>
        </w:rPr>
      </w:pPr>
      <w:r w:rsidRPr="00EC3871">
        <w:rPr>
          <w:rFonts w:ascii="Times New Roman" w:hAnsi="Times New Roman" w:cs="Times New Roman"/>
          <w:b/>
          <w:sz w:val="24"/>
          <w:szCs w:val="24"/>
        </w:rPr>
        <w:t xml:space="preserve">II. </w:t>
      </w:r>
      <w:r w:rsidRPr="00EC3871" w:rsidR="00286EA8">
        <w:rPr>
          <w:rFonts w:ascii="Times New Roman" w:hAnsi="Times New Roman" w:cs="Times New Roman"/>
          <w:b/>
          <w:sz w:val="24"/>
          <w:szCs w:val="24"/>
        </w:rPr>
        <w:tab/>
      </w:r>
      <w:r w:rsidRPr="00EC3871">
        <w:rPr>
          <w:rFonts w:ascii="Times New Roman" w:hAnsi="Times New Roman" w:cs="Times New Roman"/>
          <w:b/>
          <w:sz w:val="24"/>
          <w:szCs w:val="24"/>
          <w:u w:val="single"/>
        </w:rPr>
        <w:t>COMPLIANCE REQUIREMENTS</w:t>
      </w:r>
    </w:p>
    <w:p w:rsidR="001E61CA" w:rsidRPr="001E61CA" w:rsidP="00564B97" w14:paraId="6600CBAB" w14:textId="7A4BE255">
      <w:pPr>
        <w:rPr>
          <w:rFonts w:ascii="Times New Roman" w:hAnsi="Times New Roman" w:cs="Times New Roman"/>
          <w:bCs/>
          <w:sz w:val="24"/>
          <w:szCs w:val="24"/>
        </w:rPr>
      </w:pPr>
      <w:r w:rsidRPr="00EC3871">
        <w:rPr>
          <w:rFonts w:ascii="Times New Roman" w:hAnsi="Times New Roman" w:cs="Times New Roman"/>
          <w:b/>
          <w:sz w:val="24"/>
          <w:szCs w:val="24"/>
        </w:rPr>
        <w:t>Tier-Based Fee Calculation.</w:t>
      </w:r>
      <w:r>
        <w:rPr>
          <w:rFonts w:ascii="Times New Roman" w:hAnsi="Times New Roman" w:cs="Times New Roman"/>
          <w:b/>
          <w:sz w:val="24"/>
          <w:szCs w:val="24"/>
        </w:rPr>
        <w:t xml:space="preserve">  </w:t>
      </w:r>
      <w:r w:rsidR="000517A1">
        <w:rPr>
          <w:rFonts w:ascii="Times New Roman" w:hAnsi="Times New Roman" w:cs="Times New Roman"/>
          <w:bCs/>
          <w:sz w:val="24"/>
          <w:szCs w:val="24"/>
        </w:rPr>
        <w:t xml:space="preserve">Pursuant to the </w:t>
      </w:r>
      <w:r w:rsidRPr="00EC3871" w:rsidR="000517A1">
        <w:rPr>
          <w:rFonts w:ascii="Times New Roman" w:hAnsi="Times New Roman" w:cs="Times New Roman"/>
          <w:bCs/>
          <w:sz w:val="24"/>
          <w:szCs w:val="24"/>
        </w:rPr>
        <w:t xml:space="preserve">2020 </w:t>
      </w:r>
      <w:r w:rsidR="000517A1">
        <w:rPr>
          <w:rFonts w:ascii="Times New Roman" w:hAnsi="Times New Roman" w:cs="Times New Roman"/>
          <w:bCs/>
          <w:sz w:val="24"/>
          <w:szCs w:val="24"/>
        </w:rPr>
        <w:t xml:space="preserve">Leased Access </w:t>
      </w:r>
      <w:r w:rsidRPr="00EC3871" w:rsidR="000517A1">
        <w:rPr>
          <w:rFonts w:ascii="Times New Roman" w:hAnsi="Times New Roman" w:cs="Times New Roman"/>
          <w:bCs/>
          <w:sz w:val="24"/>
          <w:szCs w:val="24"/>
        </w:rPr>
        <w:t>Order</w:t>
      </w:r>
      <w:r w:rsidR="000517A1">
        <w:rPr>
          <w:rFonts w:ascii="Times New Roman" w:hAnsi="Times New Roman" w:cs="Times New Roman"/>
          <w:bCs/>
          <w:sz w:val="24"/>
          <w:szCs w:val="24"/>
        </w:rPr>
        <w:t>, t</w:t>
      </w:r>
      <w:r w:rsidRPr="00EC3871">
        <w:rPr>
          <w:rFonts w:ascii="Times New Roman" w:hAnsi="Times New Roman" w:cs="Times New Roman"/>
          <w:bCs/>
          <w:sz w:val="24"/>
          <w:szCs w:val="24"/>
        </w:rPr>
        <w:t>he average implicit fee will continue to reflect the maximum rate that a cable operator may charge a leased access programmer per month for a full-time channel.</w:t>
      </w:r>
      <w:r>
        <w:rPr>
          <w:rFonts w:ascii="Times New Roman" w:hAnsi="Times New Roman" w:cs="Times New Roman"/>
          <w:bCs/>
          <w:sz w:val="24"/>
          <w:szCs w:val="24"/>
        </w:rPr>
        <w:t xml:space="preserve">  However, t</w:t>
      </w:r>
      <w:r w:rsidRPr="001E61CA">
        <w:rPr>
          <w:rFonts w:ascii="Times New Roman" w:hAnsi="Times New Roman" w:cs="Times New Roman"/>
          <w:bCs/>
          <w:sz w:val="24"/>
          <w:szCs w:val="24"/>
        </w:rPr>
        <w:t>he formula</w:t>
      </w:r>
      <w:r>
        <w:rPr>
          <w:rFonts w:ascii="Times New Roman" w:hAnsi="Times New Roman" w:cs="Times New Roman"/>
          <w:bCs/>
          <w:sz w:val="24"/>
          <w:szCs w:val="24"/>
        </w:rPr>
        <w:t xml:space="preserve"> for the new </w:t>
      </w:r>
      <w:r w:rsidRPr="002A2311">
        <w:rPr>
          <w:rFonts w:ascii="Times New Roman" w:hAnsi="Times New Roman" w:cs="Times New Roman"/>
          <w:bCs/>
          <w:sz w:val="24"/>
          <w:szCs w:val="24"/>
        </w:rPr>
        <w:t>tier-specific calculation</w:t>
      </w:r>
      <w:r>
        <w:rPr>
          <w:rFonts w:ascii="Times New Roman" w:hAnsi="Times New Roman" w:cs="Times New Roman"/>
          <w:bCs/>
          <w:sz w:val="24"/>
          <w:szCs w:val="24"/>
        </w:rPr>
        <w:t xml:space="preserve"> </w:t>
      </w:r>
      <w:r w:rsidR="00A215D3">
        <w:rPr>
          <w:rFonts w:ascii="Times New Roman" w:hAnsi="Times New Roman" w:cs="Times New Roman"/>
          <w:bCs/>
          <w:sz w:val="24"/>
          <w:szCs w:val="24"/>
        </w:rPr>
        <w:t xml:space="preserve">can </w:t>
      </w:r>
      <w:r w:rsidR="00FC2A30">
        <w:rPr>
          <w:rFonts w:ascii="Times New Roman" w:hAnsi="Times New Roman" w:cs="Times New Roman"/>
          <w:bCs/>
          <w:sz w:val="24"/>
          <w:szCs w:val="24"/>
        </w:rPr>
        <w:t xml:space="preserve">now </w:t>
      </w:r>
      <w:r w:rsidR="00A215D3">
        <w:rPr>
          <w:rFonts w:ascii="Times New Roman" w:hAnsi="Times New Roman" w:cs="Times New Roman"/>
          <w:bCs/>
          <w:sz w:val="24"/>
          <w:szCs w:val="24"/>
        </w:rPr>
        <w:t>be</w:t>
      </w:r>
      <w:r>
        <w:rPr>
          <w:rFonts w:ascii="Times New Roman" w:hAnsi="Times New Roman" w:cs="Times New Roman"/>
          <w:bCs/>
          <w:sz w:val="24"/>
          <w:szCs w:val="24"/>
        </w:rPr>
        <w:t xml:space="preserve"> mathematically expressed as follows:</w:t>
      </w:r>
    </w:p>
    <w:p w:rsidR="001E61CA" w:rsidRPr="00520B61" w:rsidP="001E61CA" w14:paraId="6AF64C69" w14:textId="77777777">
      <w:pPr>
        <w:pBdr>
          <w:top w:val="single" w:sz="4" w:space="1" w:color="auto"/>
          <w:left w:val="single" w:sz="4" w:space="4" w:color="auto"/>
          <w:bottom w:val="single" w:sz="4" w:space="1" w:color="auto"/>
          <w:right w:val="single" w:sz="4" w:space="4" w:color="auto"/>
        </w:pBdr>
        <w:ind w:left="1530" w:right="1530"/>
        <w:jc w:val="center"/>
        <w:rPr>
          <w:rFonts w:ascii="Times New Roman Bold" w:hAnsi="Times New Roman Bold" w:cs="Times New Roman"/>
          <w:b/>
          <w:kern w:val="24"/>
          <w:sz w:val="24"/>
          <w:szCs w:val="24"/>
          <w:vertAlign w:val="subscript"/>
        </w:rPr>
      </w:pPr>
      <m:oMath>
        <m:r>
          <m:rPr>
            <m:sty m:val="bi"/>
          </m:rPr>
          <w:rPr>
            <w:rFonts w:ascii="Cambria Math" w:hAnsi="Cambria Math"/>
            <w:color w:val="000000"/>
            <w:sz w:val="24"/>
            <w:szCs w:val="24"/>
          </w:rPr>
          <m:t>A=</m:t>
        </m:r>
        <m:d>
          <m:dPr>
            <m:ctrlPr>
              <w:rPr>
                <w:rFonts w:ascii="Cambria Math" w:hAnsi="Cambria Math"/>
                <w:b/>
                <w:i/>
                <w:color w:val="000000"/>
                <w:sz w:val="24"/>
                <w:szCs w:val="24"/>
              </w:rPr>
            </m:ctrlPr>
          </m:dPr>
          <m:e>
            <m:sSub>
              <m:sSubPr>
                <m:ctrlPr>
                  <w:rPr>
                    <w:rFonts w:ascii="Cambria Math" w:hAnsi="Cambria Math"/>
                    <w:b/>
                    <w:i/>
                    <w:color w:val="000000"/>
                    <w:sz w:val="24"/>
                    <w:szCs w:val="24"/>
                  </w:rPr>
                </m:ctrlPr>
              </m:sSubPr>
              <m:e>
                <m:r>
                  <m:rPr>
                    <m:sty m:val="bi"/>
                  </m:rPr>
                  <w:rPr>
                    <w:rFonts w:ascii="Cambria Math" w:hAnsi="Cambria Math"/>
                    <w:color w:val="000000"/>
                    <w:sz w:val="24"/>
                    <w:szCs w:val="24"/>
                  </w:rPr>
                  <m:t>R</m:t>
                </m:r>
              </m:e>
              <m:sub>
                <m:r>
                  <m:rPr>
                    <m:sty m:val="bi"/>
                  </m:rPr>
                  <w:rPr>
                    <w:rFonts w:ascii="Cambria Math" w:hAnsi="Cambria Math"/>
                    <w:color w:val="000000"/>
                    <w:sz w:val="24"/>
                    <w:szCs w:val="24"/>
                  </w:rPr>
                  <m:t>T</m:t>
                </m:r>
              </m:sub>
            </m:sSub>
            <m:r>
              <m:rPr>
                <m:sty m:val="bi"/>
              </m:rPr>
              <w:rPr>
                <w:rFonts w:ascii="Cambria Math" w:hAnsi="Cambria Math"/>
                <w:color w:val="000000"/>
                <w:sz w:val="24"/>
                <w:szCs w:val="24"/>
              </w:rPr>
              <m:t>-</m:t>
            </m:r>
            <m:sSub>
              <m:sSubPr>
                <m:ctrlPr>
                  <w:rPr>
                    <w:rFonts w:ascii="Cambria Math" w:hAnsi="Cambria Math"/>
                    <w:b/>
                    <w:i/>
                    <w:color w:val="000000"/>
                    <w:sz w:val="24"/>
                    <w:szCs w:val="24"/>
                  </w:rPr>
                </m:ctrlPr>
              </m:sSubPr>
              <m:e>
                <m:r>
                  <m:rPr>
                    <m:sty m:val="bi"/>
                  </m:rPr>
                  <w:rPr>
                    <w:rFonts w:ascii="Cambria Math" w:hAnsi="Cambria Math"/>
                    <w:color w:val="000000"/>
                    <w:sz w:val="24"/>
                    <w:szCs w:val="24"/>
                  </w:rPr>
                  <m:t>K</m:t>
                </m:r>
              </m:e>
              <m:sub>
                <m:r>
                  <m:rPr>
                    <m:sty m:val="bi"/>
                  </m:rPr>
                  <w:rPr>
                    <w:rFonts w:ascii="Cambria Math" w:hAnsi="Cambria Math"/>
                    <w:color w:val="000000"/>
                    <w:sz w:val="24"/>
                    <w:szCs w:val="24"/>
                  </w:rPr>
                  <m:t>T</m:t>
                </m:r>
              </m:sub>
            </m:sSub>
          </m:e>
        </m:d>
        <m:d>
          <m:dPr>
            <m:ctrlPr>
              <w:rPr>
                <w:rFonts w:ascii="Cambria Math" w:hAnsi="Cambria Math"/>
                <w:b/>
                <w:i/>
                <w:color w:val="000000"/>
                <w:sz w:val="24"/>
                <w:szCs w:val="24"/>
              </w:rPr>
            </m:ctrlPr>
          </m:dPr>
          <m:e>
            <m:f>
              <m:fPr>
                <m:ctrlPr>
                  <w:rPr>
                    <w:rFonts w:ascii="Cambria Math" w:hAnsi="Cambria Math"/>
                    <w:b/>
                    <w:i/>
                    <w:color w:val="000000"/>
                    <w:sz w:val="24"/>
                    <w:szCs w:val="24"/>
                  </w:rPr>
                </m:ctrlPr>
              </m:fPr>
              <m:num>
                <m:r>
                  <m:rPr>
                    <m:sty m:val="bi"/>
                  </m:rPr>
                  <w:rPr>
                    <w:rFonts w:ascii="Cambria Math" w:hAnsi="Cambria Math"/>
                    <w:color w:val="000000"/>
                    <w:sz w:val="24"/>
                    <w:szCs w:val="24"/>
                  </w:rPr>
                  <m:t>1</m:t>
                </m:r>
              </m:num>
              <m:den>
                <m:sSub>
                  <m:sSubPr>
                    <m:ctrlPr>
                      <w:rPr>
                        <w:rFonts w:ascii="Cambria Math" w:hAnsi="Cambria Math"/>
                        <w:b/>
                        <w:i/>
                        <w:color w:val="000000"/>
                        <w:sz w:val="24"/>
                        <w:szCs w:val="24"/>
                      </w:rPr>
                    </m:ctrlPr>
                  </m:sSubPr>
                  <m:e>
                    <m:r>
                      <m:rPr>
                        <m:sty m:val="bi"/>
                      </m:rPr>
                      <w:rPr>
                        <w:rFonts w:ascii="Cambria Math" w:hAnsi="Cambria Math"/>
                        <w:color w:val="000000"/>
                        <w:sz w:val="24"/>
                        <w:szCs w:val="24"/>
                      </w:rPr>
                      <m:t>C</m:t>
                    </m:r>
                  </m:e>
                  <m:sub>
                    <m:r>
                      <m:rPr>
                        <m:sty m:val="bi"/>
                      </m:rPr>
                      <w:rPr>
                        <w:rFonts w:ascii="Cambria Math" w:hAnsi="Cambria Math"/>
                        <w:color w:val="000000"/>
                        <w:sz w:val="24"/>
                        <w:szCs w:val="24"/>
                      </w:rPr>
                      <m:t>T</m:t>
                    </m:r>
                  </m:sub>
                </m:sSub>
              </m:den>
            </m:f>
          </m:e>
        </m:d>
      </m:oMath>
      <w:r w:rsidRPr="00520B61">
        <w:rPr>
          <w:rFonts w:ascii="Times New Roman Bold" w:hAnsi="Times New Roman Bold" w:cs="Times New Roman"/>
          <w:b/>
          <w:kern w:val="24"/>
          <w:sz w:val="24"/>
          <w:szCs w:val="24"/>
          <w:vertAlign w:val="subscript"/>
        </w:rPr>
        <w:t xml:space="preserve"> </w:t>
      </w:r>
    </w:p>
    <w:p w:rsidR="000B287C" w:rsidRPr="000B287C" w:rsidP="000B287C" w14:paraId="7846E6CC" w14:textId="540B83A2">
      <w:pPr>
        <w:pBdr>
          <w:top w:val="single" w:sz="4" w:space="1" w:color="auto"/>
          <w:left w:val="single" w:sz="4" w:space="4" w:color="auto"/>
          <w:bottom w:val="single" w:sz="4" w:space="1" w:color="auto"/>
          <w:right w:val="single" w:sz="4" w:space="4" w:color="auto"/>
        </w:pBdr>
        <w:ind w:left="2160" w:right="1530" w:hanging="630"/>
        <w:rPr>
          <w:rFonts w:ascii="Times New Roman" w:hAnsi="Times New Roman" w:cs="Times New Roman"/>
          <w:bCs/>
          <w:sz w:val="10"/>
          <w:szCs w:val="10"/>
        </w:rPr>
      </w:pPr>
      <w:r w:rsidRPr="00EC3871">
        <w:rPr>
          <w:rFonts w:ascii="Times New Roman" w:hAnsi="Times New Roman" w:cs="Times New Roman"/>
          <w:bCs/>
          <w:sz w:val="24"/>
          <w:szCs w:val="24"/>
        </w:rPr>
        <w:tab/>
      </w:r>
      <w:r w:rsidRPr="00EC3871">
        <w:rPr>
          <w:rFonts w:ascii="Times New Roman" w:hAnsi="Times New Roman" w:cs="Times New Roman"/>
          <w:bCs/>
        </w:rPr>
        <w:t>A</w:t>
      </w:r>
      <w:r w:rsidRPr="00EC3871">
        <w:rPr>
          <w:rFonts w:ascii="Times New Roman" w:hAnsi="Times New Roman" w:cs="Times New Roman"/>
          <w:bCs/>
        </w:rPr>
        <w:tab/>
        <w:t>=</w:t>
      </w:r>
      <w:r w:rsidRPr="00EC3871">
        <w:rPr>
          <w:rFonts w:ascii="Times New Roman" w:hAnsi="Times New Roman" w:cs="Times New Roman"/>
          <w:bCs/>
        </w:rPr>
        <w:tab/>
        <w:t>Maximum Full-Time Rate Per Month</w:t>
      </w:r>
      <w:r w:rsidRPr="00EC3871">
        <w:rPr>
          <w:rFonts w:ascii="Times New Roman" w:hAnsi="Times New Roman" w:cs="Times New Roman"/>
          <w:bCs/>
        </w:rPr>
        <w:br/>
        <w:t>T</w:t>
      </w:r>
      <w:r w:rsidRPr="00EC3871">
        <w:rPr>
          <w:rFonts w:ascii="Times New Roman" w:hAnsi="Times New Roman" w:cs="Times New Roman"/>
          <w:bCs/>
        </w:rPr>
        <w:tab/>
        <w:t>=</w:t>
      </w:r>
      <w:r w:rsidRPr="00EC3871">
        <w:rPr>
          <w:rFonts w:ascii="Times New Roman" w:hAnsi="Times New Roman" w:cs="Times New Roman"/>
          <w:bCs/>
        </w:rPr>
        <w:tab/>
        <w:t>Elected Tier</w:t>
      </w:r>
      <w:r w:rsidRPr="00EC3871">
        <w:rPr>
          <w:rFonts w:ascii="Times New Roman" w:hAnsi="Times New Roman" w:cs="Times New Roman"/>
          <w:bCs/>
        </w:rPr>
        <w:br/>
        <w:t>R</w:t>
      </w:r>
      <w:r w:rsidRPr="00EC3871">
        <w:rPr>
          <w:rFonts w:ascii="Times New Roman" w:hAnsi="Times New Roman" w:cs="Times New Roman"/>
          <w:bCs/>
        </w:rPr>
        <w:tab/>
        <w:t>=</w:t>
      </w:r>
      <w:r w:rsidRPr="00EC3871">
        <w:rPr>
          <w:rFonts w:ascii="Times New Roman" w:hAnsi="Times New Roman" w:cs="Times New Roman"/>
          <w:bCs/>
        </w:rPr>
        <w:tab/>
        <w:t>Total Tier Monthly Subscriber Revenue</w:t>
      </w:r>
      <w:r w:rsidRPr="00EC3871">
        <w:rPr>
          <w:rFonts w:ascii="Times New Roman" w:hAnsi="Times New Roman" w:cs="Times New Roman"/>
          <w:bCs/>
        </w:rPr>
        <w:br/>
        <w:t>K</w:t>
      </w:r>
      <w:r w:rsidRPr="00EC3871">
        <w:rPr>
          <w:rFonts w:ascii="Times New Roman" w:hAnsi="Times New Roman" w:cs="Times New Roman"/>
          <w:bCs/>
        </w:rPr>
        <w:tab/>
        <w:t>=</w:t>
      </w:r>
      <w:r w:rsidRPr="00EC3871">
        <w:rPr>
          <w:rFonts w:ascii="Times New Roman" w:hAnsi="Times New Roman" w:cs="Times New Roman"/>
          <w:bCs/>
        </w:rPr>
        <w:tab/>
        <w:t>Total Tier Monthly Programming Costs</w:t>
      </w:r>
      <w:r w:rsidRPr="00EC3871">
        <w:rPr>
          <w:rFonts w:ascii="Times New Roman" w:hAnsi="Times New Roman" w:cs="Times New Roman"/>
          <w:bCs/>
        </w:rPr>
        <w:br/>
        <w:t>C</w:t>
      </w:r>
      <w:r w:rsidRPr="00EC3871">
        <w:rPr>
          <w:rFonts w:ascii="Times New Roman" w:hAnsi="Times New Roman" w:cs="Times New Roman"/>
          <w:bCs/>
        </w:rPr>
        <w:tab/>
        <w:t>=</w:t>
      </w:r>
      <w:r w:rsidRPr="00EC3871">
        <w:rPr>
          <w:rFonts w:ascii="Times New Roman" w:hAnsi="Times New Roman" w:cs="Times New Roman"/>
          <w:bCs/>
        </w:rPr>
        <w:tab/>
        <w:t>Number of Channels</w:t>
      </w:r>
      <w:r>
        <w:rPr>
          <w:rFonts w:ascii="Times New Roman" w:hAnsi="Times New Roman" w:cs="Times New Roman"/>
          <w:bCs/>
        </w:rPr>
        <w:br/>
      </w:r>
    </w:p>
    <w:p w:rsidR="00564B97" w:rsidRPr="00EC3871" w:rsidP="00564B97" w14:paraId="7C31C237" w14:textId="394DA8BF">
      <w:pPr>
        <w:rPr>
          <w:rFonts w:ascii="Times New Roman" w:hAnsi="Times New Roman" w:cs="Times New Roman"/>
          <w:bCs/>
          <w:sz w:val="24"/>
          <w:szCs w:val="24"/>
        </w:rPr>
      </w:pPr>
      <w:r>
        <w:rPr>
          <w:rFonts w:ascii="Times New Roman" w:hAnsi="Times New Roman" w:cs="Times New Roman"/>
          <w:bCs/>
          <w:sz w:val="24"/>
          <w:szCs w:val="24"/>
        </w:rPr>
        <w:t>In other words</w:t>
      </w:r>
      <w:r w:rsidR="00520B61">
        <w:rPr>
          <w:rFonts w:ascii="Times New Roman" w:hAnsi="Times New Roman" w:cs="Times New Roman"/>
          <w:bCs/>
          <w:sz w:val="24"/>
          <w:szCs w:val="24"/>
        </w:rPr>
        <w:t>—pursuant to 47 C.F.R. § 76.970(e) as amended—</w:t>
      </w:r>
      <w:r w:rsidRPr="00EC3871" w:rsidR="0027032C">
        <w:rPr>
          <w:rFonts w:ascii="Times New Roman" w:hAnsi="Times New Roman" w:cs="Times New Roman"/>
          <w:bCs/>
          <w:sz w:val="24"/>
          <w:szCs w:val="24"/>
        </w:rPr>
        <w:t>t</w:t>
      </w:r>
      <w:r w:rsidRPr="00EC3871" w:rsidR="00633473">
        <w:rPr>
          <w:rFonts w:ascii="Times New Roman" w:hAnsi="Times New Roman" w:cs="Times New Roman"/>
          <w:bCs/>
          <w:sz w:val="24"/>
          <w:szCs w:val="24"/>
        </w:rPr>
        <w:t xml:space="preserve">he </w:t>
      </w:r>
      <w:r w:rsidRPr="00EC3871" w:rsidR="001A2779">
        <w:rPr>
          <w:rFonts w:ascii="Times New Roman" w:hAnsi="Times New Roman" w:cs="Times New Roman"/>
          <w:bCs/>
          <w:sz w:val="24"/>
          <w:szCs w:val="24"/>
        </w:rPr>
        <w:t xml:space="preserve">average implicit fee will </w:t>
      </w:r>
      <w:r w:rsidRPr="00EC3871" w:rsidR="00650FD9">
        <w:rPr>
          <w:rFonts w:ascii="Times New Roman" w:hAnsi="Times New Roman" w:cs="Times New Roman"/>
          <w:bCs/>
          <w:sz w:val="24"/>
          <w:szCs w:val="24"/>
        </w:rPr>
        <w:t xml:space="preserve">now </w:t>
      </w:r>
      <w:r w:rsidRPr="00EC3871" w:rsidR="001A2779">
        <w:rPr>
          <w:rFonts w:ascii="Times New Roman" w:hAnsi="Times New Roman" w:cs="Times New Roman"/>
          <w:bCs/>
          <w:sz w:val="24"/>
          <w:szCs w:val="24"/>
        </w:rPr>
        <w:t>be calculated by</w:t>
      </w:r>
      <w:r w:rsidRPr="00EC3871">
        <w:rPr>
          <w:rFonts w:ascii="Times New Roman" w:hAnsi="Times New Roman" w:cs="Times New Roman"/>
          <w:bCs/>
          <w:sz w:val="24"/>
          <w:szCs w:val="24"/>
        </w:rPr>
        <w:t>:</w:t>
      </w:r>
    </w:p>
    <w:p w:rsidR="00564B97" w:rsidRPr="00EC3871" w:rsidP="00564B97" w14:paraId="45885D3D" w14:textId="29F9A3FA">
      <w:pPr>
        <w:pStyle w:val="ListParagraph"/>
        <w:numPr>
          <w:ilvl w:val="0"/>
          <w:numId w:val="18"/>
        </w:numPr>
        <w:rPr>
          <w:rFonts w:ascii="Times New Roman" w:hAnsi="Times New Roman" w:cs="Times New Roman"/>
          <w:bCs/>
          <w:sz w:val="24"/>
          <w:szCs w:val="24"/>
        </w:rPr>
      </w:pPr>
      <w:r w:rsidRPr="00EC3871">
        <w:rPr>
          <w:rFonts w:ascii="Times New Roman" w:hAnsi="Times New Roman" w:cs="Times New Roman"/>
          <w:bCs/>
          <w:sz w:val="24"/>
          <w:szCs w:val="24"/>
        </w:rPr>
        <w:t>D</w:t>
      </w:r>
      <w:r w:rsidRPr="00EC3871" w:rsidR="001A2779">
        <w:rPr>
          <w:rFonts w:ascii="Times New Roman" w:hAnsi="Times New Roman" w:cs="Times New Roman"/>
          <w:bCs/>
          <w:sz w:val="24"/>
          <w:szCs w:val="24"/>
        </w:rPr>
        <w:t xml:space="preserve">etermining the </w:t>
      </w:r>
      <w:r w:rsidR="00694F3A">
        <w:rPr>
          <w:rFonts w:ascii="Times New Roman" w:hAnsi="Times New Roman" w:cs="Times New Roman"/>
          <w:bCs/>
          <w:sz w:val="24"/>
          <w:szCs w:val="24"/>
        </w:rPr>
        <w:t>operator’s</w:t>
      </w:r>
      <w:r w:rsidRPr="00EC3871" w:rsidR="001A2779">
        <w:rPr>
          <w:rFonts w:ascii="Times New Roman" w:hAnsi="Times New Roman" w:cs="Times New Roman"/>
          <w:bCs/>
          <w:sz w:val="24"/>
          <w:szCs w:val="24"/>
        </w:rPr>
        <w:t xml:space="preserve"> </w:t>
      </w:r>
      <w:r w:rsidR="001D6725">
        <w:rPr>
          <w:rFonts w:ascii="Times New Roman" w:hAnsi="Times New Roman" w:cs="Times New Roman"/>
          <w:bCs/>
          <w:sz w:val="24"/>
          <w:szCs w:val="24"/>
        </w:rPr>
        <w:t xml:space="preserve">total </w:t>
      </w:r>
      <w:r w:rsidRPr="00EC3871" w:rsidR="001A2779">
        <w:rPr>
          <w:rFonts w:ascii="Times New Roman" w:hAnsi="Times New Roman" w:cs="Times New Roman"/>
          <w:bCs/>
          <w:sz w:val="24"/>
          <w:szCs w:val="24"/>
        </w:rPr>
        <w:t xml:space="preserve">subscriber revenue per month for programming on the tier </w:t>
      </w:r>
      <w:r w:rsidR="00694F3A">
        <w:rPr>
          <w:rFonts w:ascii="Times New Roman" w:hAnsi="Times New Roman" w:cs="Times New Roman"/>
          <w:bCs/>
          <w:sz w:val="24"/>
          <w:szCs w:val="24"/>
        </w:rPr>
        <w:t>where</w:t>
      </w:r>
      <w:r w:rsidRPr="00EC3871" w:rsidR="001A2779">
        <w:rPr>
          <w:rFonts w:ascii="Times New Roman" w:hAnsi="Times New Roman" w:cs="Times New Roman"/>
          <w:bCs/>
          <w:sz w:val="24"/>
          <w:szCs w:val="24"/>
        </w:rPr>
        <w:t xml:space="preserve"> the leased channel will be placed</w:t>
      </w:r>
      <w:r w:rsidRPr="00EC3871" w:rsidR="00633473">
        <w:rPr>
          <w:rFonts w:ascii="Times New Roman" w:hAnsi="Times New Roman" w:cs="Times New Roman"/>
          <w:bCs/>
          <w:sz w:val="24"/>
          <w:szCs w:val="24"/>
        </w:rPr>
        <w:t>,</w:t>
      </w:r>
    </w:p>
    <w:p w:rsidR="00564B97" w:rsidRPr="00EC3871" w:rsidP="00564B97" w14:paraId="6D9BF628" w14:textId="77777777">
      <w:pPr>
        <w:pStyle w:val="ListParagraph"/>
        <w:numPr>
          <w:ilvl w:val="0"/>
          <w:numId w:val="18"/>
        </w:numPr>
        <w:rPr>
          <w:rFonts w:ascii="Times New Roman" w:hAnsi="Times New Roman" w:cs="Times New Roman"/>
          <w:bCs/>
          <w:sz w:val="24"/>
          <w:szCs w:val="24"/>
        </w:rPr>
      </w:pPr>
      <w:r w:rsidRPr="00EC3871">
        <w:rPr>
          <w:rFonts w:ascii="Times New Roman" w:hAnsi="Times New Roman" w:cs="Times New Roman"/>
          <w:bCs/>
          <w:sz w:val="24"/>
          <w:szCs w:val="24"/>
        </w:rPr>
        <w:t>S</w:t>
      </w:r>
      <w:r w:rsidRPr="00EC3871" w:rsidR="00633473">
        <w:rPr>
          <w:rFonts w:ascii="Times New Roman" w:hAnsi="Times New Roman" w:cs="Times New Roman"/>
          <w:bCs/>
          <w:sz w:val="24"/>
          <w:szCs w:val="24"/>
        </w:rPr>
        <w:t>ubtracting</w:t>
      </w:r>
      <w:r w:rsidRPr="00EC3871" w:rsidR="001A2779">
        <w:rPr>
          <w:rFonts w:ascii="Times New Roman" w:hAnsi="Times New Roman" w:cs="Times New Roman"/>
          <w:bCs/>
          <w:sz w:val="24"/>
          <w:szCs w:val="24"/>
        </w:rPr>
        <w:t xml:space="preserve"> the total </w:t>
      </w:r>
      <w:r w:rsidRPr="00EC3871" w:rsidR="001A2779">
        <w:rPr>
          <w:rFonts w:ascii="Times New Roman" w:hAnsi="Times New Roman" w:cs="Times New Roman"/>
          <w:bCs/>
          <w:sz w:val="24"/>
          <w:szCs w:val="24"/>
        </w:rPr>
        <w:t>amount</w:t>
      </w:r>
      <w:r w:rsidRPr="00EC3871" w:rsidR="001A2779">
        <w:rPr>
          <w:rFonts w:ascii="Times New Roman" w:hAnsi="Times New Roman" w:cs="Times New Roman"/>
          <w:bCs/>
          <w:sz w:val="24"/>
          <w:szCs w:val="24"/>
        </w:rPr>
        <w:t xml:space="preserve"> </w:t>
      </w:r>
      <w:r w:rsidRPr="00EC3871" w:rsidR="00633473">
        <w:rPr>
          <w:rFonts w:ascii="Times New Roman" w:hAnsi="Times New Roman" w:cs="Times New Roman"/>
          <w:bCs/>
          <w:sz w:val="24"/>
          <w:szCs w:val="24"/>
        </w:rPr>
        <w:t>the operator</w:t>
      </w:r>
      <w:r w:rsidRPr="00EC3871" w:rsidR="001A2779">
        <w:rPr>
          <w:rFonts w:ascii="Times New Roman" w:hAnsi="Times New Roman" w:cs="Times New Roman"/>
          <w:bCs/>
          <w:sz w:val="24"/>
          <w:szCs w:val="24"/>
        </w:rPr>
        <w:t xml:space="preserve"> pays in programming costs per month for that tier</w:t>
      </w:r>
      <w:r w:rsidRPr="00EC3871" w:rsidR="00633473">
        <w:rPr>
          <w:rFonts w:ascii="Times New Roman" w:hAnsi="Times New Roman" w:cs="Times New Roman"/>
          <w:bCs/>
          <w:sz w:val="24"/>
          <w:szCs w:val="24"/>
        </w:rPr>
        <w:t xml:space="preserve">, and </w:t>
      </w:r>
    </w:p>
    <w:p w:rsidR="001E61CA" w:rsidP="00564B97" w14:paraId="2CD942D3" w14:textId="523E1B1D">
      <w:pPr>
        <w:pStyle w:val="ListParagraph"/>
        <w:numPr>
          <w:ilvl w:val="0"/>
          <w:numId w:val="18"/>
        </w:numPr>
        <w:rPr>
          <w:rFonts w:ascii="Times New Roman" w:hAnsi="Times New Roman" w:cs="Times New Roman"/>
          <w:bCs/>
          <w:sz w:val="24"/>
          <w:szCs w:val="24"/>
        </w:rPr>
      </w:pPr>
      <w:r w:rsidRPr="00EC3871">
        <w:rPr>
          <w:rFonts w:ascii="Times New Roman" w:hAnsi="Times New Roman" w:cs="Times New Roman"/>
          <w:bCs/>
          <w:sz w:val="24"/>
          <w:szCs w:val="24"/>
        </w:rPr>
        <w:t>D</w:t>
      </w:r>
      <w:r w:rsidRPr="00EC3871" w:rsidR="00633473">
        <w:rPr>
          <w:rFonts w:ascii="Times New Roman" w:hAnsi="Times New Roman" w:cs="Times New Roman"/>
          <w:bCs/>
          <w:sz w:val="24"/>
          <w:szCs w:val="24"/>
        </w:rPr>
        <w:t xml:space="preserve">ividing </w:t>
      </w:r>
      <w:r w:rsidRPr="00EC3871" w:rsidR="001A2779">
        <w:rPr>
          <w:rFonts w:ascii="Times New Roman" w:hAnsi="Times New Roman" w:cs="Times New Roman"/>
          <w:bCs/>
          <w:sz w:val="24"/>
          <w:szCs w:val="24"/>
        </w:rPr>
        <w:t>th</w:t>
      </w:r>
      <w:r w:rsidR="00694F3A">
        <w:rPr>
          <w:rFonts w:ascii="Times New Roman" w:hAnsi="Times New Roman" w:cs="Times New Roman"/>
          <w:bCs/>
          <w:sz w:val="24"/>
          <w:szCs w:val="24"/>
        </w:rPr>
        <w:t>e resulting</w:t>
      </w:r>
      <w:r w:rsidRPr="00EC3871" w:rsidR="001A2779">
        <w:rPr>
          <w:rFonts w:ascii="Times New Roman" w:hAnsi="Times New Roman" w:cs="Times New Roman"/>
          <w:bCs/>
          <w:sz w:val="24"/>
          <w:szCs w:val="24"/>
        </w:rPr>
        <w:t xml:space="preserve"> figure by the number of channels on that tier</w:t>
      </w:r>
      <w:r w:rsidR="000905FF">
        <w:rPr>
          <w:rFonts w:ascii="Times New Roman" w:hAnsi="Times New Roman" w:cs="Times New Roman"/>
          <w:bCs/>
          <w:sz w:val="24"/>
          <w:szCs w:val="24"/>
        </w:rPr>
        <w:t>.</w:t>
      </w:r>
    </w:p>
    <w:p w:rsidR="001A2779" w:rsidRPr="001E61CA" w:rsidP="001E61CA" w14:paraId="1FE39F07" w14:textId="3AF6C72D">
      <w:pPr>
        <w:rPr>
          <w:rFonts w:ascii="Times New Roman" w:hAnsi="Times New Roman" w:cs="Times New Roman"/>
          <w:bCs/>
          <w:sz w:val="24"/>
          <w:szCs w:val="24"/>
        </w:rPr>
      </w:pPr>
      <w:r w:rsidRPr="001E61CA">
        <w:rPr>
          <w:rFonts w:ascii="Times New Roman" w:hAnsi="Times New Roman" w:cs="Times New Roman"/>
          <w:bCs/>
          <w:sz w:val="24"/>
          <w:szCs w:val="24"/>
        </w:rPr>
        <w:t>This</w:t>
      </w:r>
      <w:r w:rsidR="000B287C">
        <w:rPr>
          <w:rFonts w:ascii="Times New Roman" w:hAnsi="Times New Roman" w:cs="Times New Roman"/>
          <w:bCs/>
          <w:sz w:val="24"/>
          <w:szCs w:val="24"/>
        </w:rPr>
        <w:t xml:space="preserve"> tier-specific</w:t>
      </w:r>
      <w:r w:rsidRPr="001E61CA">
        <w:rPr>
          <w:rFonts w:ascii="Times New Roman" w:hAnsi="Times New Roman" w:cs="Times New Roman"/>
          <w:bCs/>
          <w:sz w:val="24"/>
          <w:szCs w:val="24"/>
        </w:rPr>
        <w:t xml:space="preserve"> rate calculation </w:t>
      </w:r>
      <w:r w:rsidR="000B287C">
        <w:rPr>
          <w:rFonts w:ascii="Times New Roman" w:hAnsi="Times New Roman" w:cs="Times New Roman"/>
          <w:bCs/>
          <w:sz w:val="24"/>
          <w:szCs w:val="24"/>
        </w:rPr>
        <w:t xml:space="preserve">is the same </w:t>
      </w:r>
      <w:r w:rsidRPr="001E61CA">
        <w:rPr>
          <w:rFonts w:ascii="Times New Roman" w:hAnsi="Times New Roman" w:cs="Times New Roman"/>
          <w:bCs/>
          <w:sz w:val="24"/>
          <w:szCs w:val="24"/>
        </w:rPr>
        <w:t>method used previously for channels placed on tiers with less than 50 percent subscriber penetration</w:t>
      </w:r>
      <w:r w:rsidRPr="001E61CA" w:rsidR="00505B6C">
        <w:rPr>
          <w:rFonts w:ascii="Times New Roman" w:hAnsi="Times New Roman" w:cs="Times New Roman"/>
          <w:bCs/>
          <w:sz w:val="24"/>
          <w:szCs w:val="24"/>
        </w:rPr>
        <w:t>.  It</w:t>
      </w:r>
      <w:r w:rsidRPr="001E61CA">
        <w:rPr>
          <w:rFonts w:ascii="Times New Roman" w:hAnsi="Times New Roman" w:cs="Times New Roman"/>
          <w:bCs/>
          <w:sz w:val="24"/>
          <w:szCs w:val="24"/>
        </w:rPr>
        <w:t xml:space="preserve"> represents a more accurate assessment of the channel’s value on that particular tier.  </w:t>
      </w:r>
      <w:r w:rsidRPr="001E61CA">
        <w:rPr>
          <w:rFonts w:ascii="Times New Roman" w:hAnsi="Times New Roman" w:cs="Times New Roman"/>
          <w:bCs/>
          <w:sz w:val="24"/>
          <w:szCs w:val="24"/>
        </w:rPr>
        <w:t>Rates are likely to decrease if leased access programmers request channel capacity on less profitable tiers, whereas rates are likely to rise if programmers request channel capacity on more profitable tiers.</w:t>
      </w:r>
    </w:p>
    <w:p w:rsidR="005A7330" w:rsidRPr="000B287C" w14:paraId="29191695" w14:textId="6CD2A0C3">
      <w:pPr>
        <w:rPr>
          <w:rFonts w:ascii="Times New Roman" w:hAnsi="Times New Roman" w:cs="Times New Roman"/>
          <w:bCs/>
          <w:sz w:val="24"/>
          <w:szCs w:val="24"/>
        </w:rPr>
      </w:pPr>
      <w:r w:rsidRPr="00EC3871">
        <w:rPr>
          <w:rFonts w:ascii="Times New Roman" w:hAnsi="Times New Roman" w:cs="Times New Roman"/>
          <w:b/>
          <w:sz w:val="24"/>
          <w:szCs w:val="24"/>
        </w:rPr>
        <w:t>Annual Calculation.</w:t>
      </w:r>
      <w:r w:rsidRPr="00EC3871" w:rsidR="008526CF">
        <w:rPr>
          <w:rFonts w:ascii="Times New Roman" w:hAnsi="Times New Roman" w:cs="Times New Roman"/>
          <w:b/>
          <w:sz w:val="24"/>
          <w:szCs w:val="24"/>
        </w:rPr>
        <w:t xml:space="preserve">  </w:t>
      </w:r>
      <w:r w:rsidRPr="00EC3871" w:rsidR="008526CF">
        <w:rPr>
          <w:rFonts w:ascii="Times New Roman" w:hAnsi="Times New Roman" w:cs="Times New Roman"/>
          <w:bCs/>
          <w:sz w:val="24"/>
          <w:szCs w:val="24"/>
        </w:rPr>
        <w:t xml:space="preserve">In the 2020 </w:t>
      </w:r>
      <w:r w:rsidR="00CE0822">
        <w:rPr>
          <w:rFonts w:ascii="Times New Roman" w:hAnsi="Times New Roman" w:cs="Times New Roman"/>
          <w:bCs/>
          <w:sz w:val="24"/>
          <w:szCs w:val="24"/>
        </w:rPr>
        <w:t xml:space="preserve">Leased Access </w:t>
      </w:r>
      <w:r w:rsidRPr="00EC3871" w:rsidR="008526CF">
        <w:rPr>
          <w:rFonts w:ascii="Times New Roman" w:hAnsi="Times New Roman" w:cs="Times New Roman"/>
          <w:bCs/>
          <w:sz w:val="24"/>
          <w:szCs w:val="24"/>
        </w:rPr>
        <w:t xml:space="preserve">Order, the Commission also codified the determination set forth in </w:t>
      </w:r>
      <w:r w:rsidR="00505B6C">
        <w:rPr>
          <w:rFonts w:ascii="Times New Roman" w:hAnsi="Times New Roman" w:cs="Times New Roman"/>
          <w:bCs/>
          <w:sz w:val="24"/>
          <w:szCs w:val="24"/>
        </w:rPr>
        <w:t>its</w:t>
      </w:r>
      <w:r w:rsidRPr="00EC3871" w:rsidR="008526CF">
        <w:rPr>
          <w:rFonts w:ascii="Times New Roman" w:hAnsi="Times New Roman" w:cs="Times New Roman"/>
          <w:bCs/>
          <w:sz w:val="24"/>
          <w:szCs w:val="24"/>
        </w:rPr>
        <w:t xml:space="preserve"> </w:t>
      </w:r>
      <w:r w:rsidRPr="00505B6C" w:rsidR="008526CF">
        <w:rPr>
          <w:rFonts w:ascii="Times New Roman" w:hAnsi="Times New Roman" w:cs="Times New Roman"/>
          <w:bCs/>
          <w:sz w:val="24"/>
          <w:szCs w:val="24"/>
        </w:rPr>
        <w:t>1993 Rate Regulation Order</w:t>
      </w:r>
      <w:r w:rsidR="00505B6C">
        <w:rPr>
          <w:rFonts w:ascii="Times New Roman" w:hAnsi="Times New Roman" w:cs="Times New Roman"/>
          <w:bCs/>
          <w:sz w:val="24"/>
          <w:szCs w:val="24"/>
        </w:rPr>
        <w:t xml:space="preserve">, which provided </w:t>
      </w:r>
      <w:r w:rsidRPr="00EC3871" w:rsidR="008526CF">
        <w:rPr>
          <w:rFonts w:ascii="Times New Roman" w:hAnsi="Times New Roman" w:cs="Times New Roman"/>
          <w:bCs/>
          <w:sz w:val="24"/>
          <w:szCs w:val="24"/>
        </w:rPr>
        <w:t>that the average implicit fee shall be calculated annually based on contracts in effect in the previous calendar year, rather than at the time of each request.</w:t>
      </w:r>
    </w:p>
    <w:p w:rsidR="004749A4" w:rsidRPr="00EC3871" w:rsidP="00EC3871" w14:paraId="21D3C485" w14:textId="5ACDED65">
      <w:pPr>
        <w:ind w:hanging="450"/>
        <w:jc w:val="center"/>
        <w:rPr>
          <w:rFonts w:ascii="Times New Roman" w:hAnsi="Times New Roman" w:cs="Times New Roman"/>
          <w:b/>
          <w:sz w:val="24"/>
          <w:szCs w:val="24"/>
        </w:rPr>
      </w:pPr>
      <w:r w:rsidRPr="00EC3871">
        <w:rPr>
          <w:rFonts w:ascii="Times New Roman" w:hAnsi="Times New Roman" w:cs="Times New Roman"/>
          <w:b/>
          <w:sz w:val="24"/>
          <w:szCs w:val="24"/>
        </w:rPr>
        <w:t>I</w:t>
      </w:r>
      <w:r w:rsidRPr="00EC3871" w:rsidR="00BA1697">
        <w:rPr>
          <w:rFonts w:ascii="Times New Roman" w:hAnsi="Times New Roman" w:cs="Times New Roman"/>
          <w:b/>
          <w:sz w:val="24"/>
          <w:szCs w:val="24"/>
        </w:rPr>
        <w:t>II.</w:t>
      </w:r>
      <w:r w:rsidRPr="00EC3871" w:rsidR="00286EA8">
        <w:rPr>
          <w:rFonts w:ascii="Times New Roman" w:hAnsi="Times New Roman" w:cs="Times New Roman"/>
          <w:b/>
          <w:sz w:val="24"/>
          <w:szCs w:val="24"/>
        </w:rPr>
        <w:tab/>
      </w:r>
      <w:r w:rsidRPr="00EC3871" w:rsidR="00DE567B">
        <w:rPr>
          <w:rFonts w:ascii="Times New Roman" w:hAnsi="Times New Roman" w:cs="Times New Roman"/>
          <w:b/>
          <w:sz w:val="24"/>
          <w:szCs w:val="24"/>
          <w:u w:val="single"/>
        </w:rPr>
        <w:t xml:space="preserve">RECORDKEEPING </w:t>
      </w:r>
      <w:r w:rsidRPr="00EC3871" w:rsidR="00292357">
        <w:rPr>
          <w:rFonts w:ascii="Times New Roman" w:hAnsi="Times New Roman" w:cs="Times New Roman"/>
          <w:b/>
          <w:sz w:val="24"/>
          <w:szCs w:val="24"/>
          <w:u w:val="single"/>
        </w:rPr>
        <w:t xml:space="preserve">AND REPORTING </w:t>
      </w:r>
      <w:r w:rsidRPr="00EC3871" w:rsidR="00DE567B">
        <w:rPr>
          <w:rFonts w:ascii="Times New Roman" w:hAnsi="Times New Roman" w:cs="Times New Roman"/>
          <w:b/>
          <w:sz w:val="24"/>
          <w:szCs w:val="24"/>
          <w:u w:val="single"/>
        </w:rPr>
        <w:t>REQUIREMENTS</w:t>
      </w:r>
    </w:p>
    <w:p w:rsidR="001961AA" w:rsidRPr="00EC3871" w:rsidP="00511023" w14:paraId="1ED3D0C5" w14:textId="2ABA5453">
      <w:pPr>
        <w:spacing w:after="0"/>
        <w:rPr>
          <w:rFonts w:ascii="Times New Roman" w:hAnsi="Times New Roman" w:cs="Times New Roman"/>
          <w:color w:val="010101"/>
          <w:sz w:val="24"/>
          <w:szCs w:val="24"/>
        </w:rPr>
      </w:pPr>
      <w:r w:rsidRPr="00EC3871">
        <w:rPr>
          <w:rFonts w:ascii="Times New Roman" w:hAnsi="Times New Roman" w:cs="Times New Roman"/>
          <w:color w:val="010101"/>
          <w:sz w:val="24"/>
          <w:szCs w:val="24"/>
        </w:rPr>
        <w:t xml:space="preserve">The Commission’s actions in the </w:t>
      </w:r>
      <w:r w:rsidR="00BD099F">
        <w:rPr>
          <w:rFonts w:ascii="Times New Roman" w:hAnsi="Times New Roman" w:cs="Times New Roman"/>
          <w:color w:val="010101"/>
          <w:sz w:val="24"/>
          <w:szCs w:val="24"/>
        </w:rPr>
        <w:t>2020 Leased Access</w:t>
      </w:r>
      <w:r w:rsidRPr="00E6683B" w:rsidR="00E6683B">
        <w:rPr>
          <w:rFonts w:ascii="Times New Roman" w:hAnsi="Times New Roman" w:cs="Times New Roman"/>
          <w:bCs/>
          <w:i/>
          <w:iCs/>
          <w:sz w:val="24"/>
          <w:szCs w:val="24"/>
        </w:rPr>
        <w:t xml:space="preserve"> </w:t>
      </w:r>
      <w:r w:rsidRPr="007624E3" w:rsidR="00E6683B">
        <w:rPr>
          <w:rFonts w:ascii="Times New Roman" w:hAnsi="Times New Roman" w:cs="Times New Roman"/>
          <w:bCs/>
          <w:sz w:val="24"/>
          <w:szCs w:val="24"/>
        </w:rPr>
        <w:t>Order</w:t>
      </w:r>
      <w:r w:rsidR="00C33F86">
        <w:rPr>
          <w:rFonts w:ascii="Times New Roman" w:hAnsi="Times New Roman" w:cs="Times New Roman"/>
          <w:bCs/>
          <w:sz w:val="24"/>
          <w:szCs w:val="24"/>
        </w:rPr>
        <w:t xml:space="preserve"> </w:t>
      </w:r>
      <w:r w:rsidRPr="00EC3871" w:rsidR="000D790A">
        <w:rPr>
          <w:rFonts w:ascii="Times New Roman" w:hAnsi="Times New Roman" w:cs="Times New Roman"/>
          <w:color w:val="010101"/>
          <w:sz w:val="24"/>
          <w:szCs w:val="24"/>
        </w:rPr>
        <w:t>did</w:t>
      </w:r>
      <w:r w:rsidRPr="00EC3871">
        <w:rPr>
          <w:rFonts w:ascii="Times New Roman" w:hAnsi="Times New Roman" w:cs="Times New Roman"/>
          <w:color w:val="010101"/>
          <w:sz w:val="24"/>
          <w:szCs w:val="24"/>
        </w:rPr>
        <w:t xml:space="preserve"> not create any </w:t>
      </w:r>
      <w:r w:rsidR="000B287C">
        <w:rPr>
          <w:rFonts w:ascii="Times New Roman" w:hAnsi="Times New Roman" w:cs="Times New Roman"/>
          <w:color w:val="010101"/>
          <w:sz w:val="24"/>
          <w:szCs w:val="24"/>
        </w:rPr>
        <w:t>additional</w:t>
      </w:r>
      <w:r w:rsidRPr="00EC3871">
        <w:rPr>
          <w:rFonts w:ascii="Times New Roman" w:hAnsi="Times New Roman" w:cs="Times New Roman"/>
          <w:color w:val="010101"/>
          <w:sz w:val="24"/>
          <w:szCs w:val="24"/>
        </w:rPr>
        <w:t xml:space="preserve"> recordkeeping </w:t>
      </w:r>
      <w:r w:rsidRPr="00EC3871" w:rsidR="00013982">
        <w:rPr>
          <w:rFonts w:ascii="Times New Roman" w:hAnsi="Times New Roman" w:cs="Times New Roman"/>
          <w:color w:val="010101"/>
          <w:sz w:val="24"/>
          <w:szCs w:val="24"/>
        </w:rPr>
        <w:t xml:space="preserve">or reporting </w:t>
      </w:r>
      <w:r w:rsidRPr="00EC3871">
        <w:rPr>
          <w:rFonts w:ascii="Times New Roman" w:hAnsi="Times New Roman" w:cs="Times New Roman"/>
          <w:color w:val="010101"/>
          <w:sz w:val="24"/>
          <w:szCs w:val="24"/>
        </w:rPr>
        <w:t>requirements.</w:t>
      </w:r>
    </w:p>
    <w:p w:rsidR="005A7330" w:rsidRPr="00EC3871" w:rsidP="007F0A80" w14:paraId="5FBDA71F" w14:textId="77777777">
      <w:pPr>
        <w:spacing w:after="0"/>
        <w:rPr>
          <w:rFonts w:ascii="Times New Roman" w:hAnsi="Times New Roman" w:cs="Times New Roman"/>
          <w:b/>
          <w:sz w:val="24"/>
          <w:szCs w:val="24"/>
        </w:rPr>
      </w:pPr>
    </w:p>
    <w:p w:rsidR="00066CB4" w:rsidRPr="00EC3871" w:rsidP="00EC3871" w14:paraId="2F69183C" w14:textId="7612FBF9">
      <w:pPr>
        <w:spacing w:after="0"/>
        <w:ind w:hanging="450"/>
        <w:jc w:val="center"/>
        <w:rPr>
          <w:rFonts w:ascii="Times New Roman" w:hAnsi="Times New Roman" w:cs="Times New Roman"/>
          <w:b/>
          <w:sz w:val="24"/>
          <w:szCs w:val="24"/>
        </w:rPr>
      </w:pPr>
      <w:r w:rsidRPr="00EC3871">
        <w:rPr>
          <w:rFonts w:ascii="Times New Roman" w:hAnsi="Times New Roman" w:cs="Times New Roman"/>
          <w:b/>
          <w:sz w:val="24"/>
          <w:szCs w:val="24"/>
        </w:rPr>
        <w:t>I</w:t>
      </w:r>
      <w:r w:rsidRPr="00EC3871">
        <w:rPr>
          <w:rFonts w:ascii="Times New Roman" w:hAnsi="Times New Roman" w:cs="Times New Roman"/>
          <w:b/>
          <w:sz w:val="24"/>
          <w:szCs w:val="24"/>
        </w:rPr>
        <w:t xml:space="preserve">V. </w:t>
      </w:r>
      <w:r w:rsidRPr="00EC3871" w:rsidR="00286EA8">
        <w:rPr>
          <w:rFonts w:ascii="Times New Roman" w:hAnsi="Times New Roman" w:cs="Times New Roman"/>
          <w:b/>
          <w:sz w:val="24"/>
          <w:szCs w:val="24"/>
        </w:rPr>
        <w:tab/>
      </w:r>
      <w:r w:rsidRPr="00EC3871">
        <w:rPr>
          <w:rFonts w:ascii="Times New Roman" w:hAnsi="Times New Roman" w:cs="Times New Roman"/>
          <w:b/>
          <w:sz w:val="24"/>
          <w:szCs w:val="24"/>
          <w:u w:val="single"/>
        </w:rPr>
        <w:t>IMPLEMENTATION</w:t>
      </w:r>
      <w:r w:rsidRPr="00EC3871" w:rsidR="00716724">
        <w:rPr>
          <w:rFonts w:ascii="Times New Roman" w:hAnsi="Times New Roman" w:cs="Times New Roman"/>
          <w:b/>
          <w:sz w:val="24"/>
          <w:szCs w:val="24"/>
          <w:u w:val="single"/>
        </w:rPr>
        <w:t xml:space="preserve"> DATE</w:t>
      </w:r>
    </w:p>
    <w:p w:rsidR="00066CB4" w:rsidRPr="00EC3871" w:rsidP="007F0A80" w14:paraId="6DD3727C" w14:textId="77777777">
      <w:pPr>
        <w:spacing w:after="0"/>
        <w:rPr>
          <w:rFonts w:ascii="Times New Roman" w:hAnsi="Times New Roman" w:cs="Times New Roman"/>
          <w:b/>
          <w:sz w:val="24"/>
          <w:szCs w:val="24"/>
        </w:rPr>
      </w:pPr>
    </w:p>
    <w:p w:rsidR="00AB1D1E" w:rsidP="00A41A97" w14:paraId="33EBBABA" w14:textId="1AFC6456">
      <w:pPr>
        <w:pStyle w:val="ParaNum"/>
        <w:numPr>
          <w:ilvl w:val="0"/>
          <w:numId w:val="0"/>
        </w:numPr>
        <w:rPr>
          <w:sz w:val="24"/>
          <w:szCs w:val="24"/>
        </w:rPr>
      </w:pPr>
      <w:r w:rsidRPr="00EC3871">
        <w:rPr>
          <w:sz w:val="24"/>
          <w:szCs w:val="24"/>
        </w:rPr>
        <w:t>T</w:t>
      </w:r>
      <w:r w:rsidRPr="00EC3871" w:rsidR="00491F77">
        <w:rPr>
          <w:sz w:val="24"/>
          <w:szCs w:val="24"/>
        </w:rPr>
        <w:t xml:space="preserve">he </w:t>
      </w:r>
      <w:r w:rsidR="00A41A97">
        <w:rPr>
          <w:sz w:val="24"/>
          <w:szCs w:val="24"/>
        </w:rPr>
        <w:t xml:space="preserve">amended </w:t>
      </w:r>
      <w:r w:rsidRPr="00EC3871" w:rsidR="00491F77">
        <w:rPr>
          <w:sz w:val="24"/>
          <w:szCs w:val="24"/>
        </w:rPr>
        <w:t>rules</w:t>
      </w:r>
      <w:r w:rsidR="00132323">
        <w:rPr>
          <w:sz w:val="24"/>
          <w:szCs w:val="24"/>
        </w:rPr>
        <w:t xml:space="preserve"> shall become</w:t>
      </w:r>
      <w:r w:rsidRPr="00EC3871" w:rsidR="00491F77">
        <w:rPr>
          <w:sz w:val="24"/>
          <w:szCs w:val="24"/>
        </w:rPr>
        <w:t xml:space="preserve"> effective </w:t>
      </w:r>
      <w:r w:rsidR="00A41A97">
        <w:rPr>
          <w:sz w:val="24"/>
          <w:szCs w:val="24"/>
        </w:rPr>
        <w:t>30</w:t>
      </w:r>
      <w:r w:rsidRPr="00EC3871" w:rsidR="001338B0">
        <w:rPr>
          <w:sz w:val="24"/>
          <w:szCs w:val="24"/>
        </w:rPr>
        <w:t xml:space="preserve"> </w:t>
      </w:r>
      <w:r w:rsidRPr="00EC3871" w:rsidR="00491F77">
        <w:rPr>
          <w:sz w:val="24"/>
          <w:szCs w:val="24"/>
        </w:rPr>
        <w:t xml:space="preserve">days after </w:t>
      </w:r>
      <w:r w:rsidR="00BD099F">
        <w:rPr>
          <w:sz w:val="24"/>
          <w:szCs w:val="24"/>
        </w:rPr>
        <w:t xml:space="preserve">the date of </w:t>
      </w:r>
      <w:r w:rsidRPr="00EC3871" w:rsidR="00491F77">
        <w:rPr>
          <w:sz w:val="24"/>
          <w:szCs w:val="24"/>
        </w:rPr>
        <w:t xml:space="preserve">publication </w:t>
      </w:r>
      <w:r w:rsidRPr="00EC3871" w:rsidR="001338B0">
        <w:rPr>
          <w:sz w:val="24"/>
          <w:szCs w:val="24"/>
        </w:rPr>
        <w:t xml:space="preserve">in the Federal </w:t>
      </w:r>
      <w:r w:rsidRPr="008A65E4" w:rsidR="001338B0">
        <w:rPr>
          <w:sz w:val="24"/>
          <w:szCs w:val="24"/>
        </w:rPr>
        <w:t>Register</w:t>
      </w:r>
      <w:r w:rsidRPr="008A65E4" w:rsidR="00132323">
        <w:rPr>
          <w:sz w:val="24"/>
          <w:szCs w:val="24"/>
        </w:rPr>
        <w:t xml:space="preserve">, which </w:t>
      </w:r>
      <w:r w:rsidRPr="008A65E4" w:rsidR="008A65E4">
        <w:rPr>
          <w:sz w:val="24"/>
          <w:szCs w:val="24"/>
        </w:rPr>
        <w:t>is on</w:t>
      </w:r>
      <w:r w:rsidR="008A65E4">
        <w:rPr>
          <w:sz w:val="24"/>
          <w:szCs w:val="24"/>
        </w:rPr>
        <w:t xml:space="preserve"> September 21, 2020.</w:t>
      </w:r>
    </w:p>
    <w:p w:rsidR="005A7330" w:rsidRPr="00A41A97" w:rsidP="00A41A97" w14:paraId="574461E5" w14:textId="77777777">
      <w:pPr>
        <w:pStyle w:val="ParaNum"/>
        <w:numPr>
          <w:ilvl w:val="0"/>
          <w:numId w:val="0"/>
        </w:numPr>
        <w:rPr>
          <w:sz w:val="24"/>
          <w:szCs w:val="24"/>
        </w:rPr>
      </w:pPr>
    </w:p>
    <w:p w:rsidR="00AA0135" w:rsidP="00EC3871" w14:paraId="35473842" w14:textId="77777777">
      <w:pPr>
        <w:spacing w:after="0"/>
        <w:ind w:hanging="360"/>
        <w:jc w:val="center"/>
        <w:rPr>
          <w:rFonts w:ascii="Times New Roman" w:hAnsi="Times New Roman" w:cs="Times New Roman"/>
          <w:b/>
          <w:sz w:val="24"/>
          <w:szCs w:val="24"/>
        </w:rPr>
      </w:pPr>
      <w:r>
        <w:rPr>
          <w:rFonts w:ascii="Times New Roman" w:hAnsi="Times New Roman" w:cs="Times New Roman"/>
          <w:b/>
          <w:sz w:val="24"/>
          <w:szCs w:val="24"/>
        </w:rPr>
        <w:br w:type="page"/>
      </w:r>
    </w:p>
    <w:p w:rsidR="00C5062A" w:rsidRPr="00EC3871" w:rsidP="00EC3871" w14:paraId="79679D59" w14:textId="0E1E2391">
      <w:pPr>
        <w:spacing w:after="0"/>
        <w:ind w:hanging="360"/>
        <w:jc w:val="center"/>
        <w:rPr>
          <w:rFonts w:ascii="Times New Roman" w:hAnsi="Times New Roman" w:cs="Times New Roman"/>
          <w:b/>
          <w:sz w:val="24"/>
          <w:szCs w:val="24"/>
        </w:rPr>
      </w:pPr>
      <w:r w:rsidRPr="00EC3871">
        <w:rPr>
          <w:rFonts w:ascii="Times New Roman" w:hAnsi="Times New Roman" w:cs="Times New Roman"/>
          <w:b/>
          <w:sz w:val="24"/>
          <w:szCs w:val="24"/>
        </w:rPr>
        <w:t>V.</w:t>
      </w:r>
      <w:r w:rsidRPr="00EC3871">
        <w:rPr>
          <w:rFonts w:ascii="Times New Roman" w:hAnsi="Times New Roman" w:cs="Times New Roman"/>
          <w:b/>
          <w:sz w:val="24"/>
          <w:szCs w:val="24"/>
        </w:rPr>
        <w:tab/>
      </w:r>
      <w:r w:rsidRPr="00EC3871">
        <w:rPr>
          <w:rFonts w:ascii="Times New Roman" w:hAnsi="Times New Roman" w:cs="Times New Roman"/>
          <w:b/>
          <w:sz w:val="24"/>
          <w:szCs w:val="24"/>
          <w:u w:val="single"/>
        </w:rPr>
        <w:t>INTERNET LINKS</w:t>
      </w:r>
    </w:p>
    <w:p w:rsidR="00485B77" w:rsidRPr="00EC3871" w:rsidP="00C5062A" w14:paraId="636038EB" w14:textId="77777777">
      <w:pPr>
        <w:spacing w:after="0"/>
        <w:rPr>
          <w:rFonts w:ascii="Times New Roman" w:hAnsi="Times New Roman" w:cs="Times New Roman"/>
          <w:b/>
          <w:sz w:val="24"/>
          <w:szCs w:val="24"/>
        </w:rPr>
      </w:pPr>
    </w:p>
    <w:p w:rsidR="00E6683B" w:rsidRPr="00132323" w:rsidP="00C5062A" w14:paraId="174CB730" w14:textId="45A9573D">
      <w:pPr>
        <w:spacing w:after="0"/>
        <w:rPr>
          <w:bCs/>
        </w:rPr>
      </w:pPr>
      <w:r w:rsidRPr="00132323">
        <w:rPr>
          <w:rFonts w:ascii="Times New Roman" w:hAnsi="Times New Roman" w:cs="Times New Roman"/>
          <w:bCs/>
          <w:sz w:val="24"/>
          <w:szCs w:val="24"/>
        </w:rPr>
        <w:t xml:space="preserve">A copy of the </w:t>
      </w:r>
      <w:r w:rsidRPr="00132323" w:rsidR="00132323">
        <w:rPr>
          <w:rFonts w:ascii="Times New Roman" w:hAnsi="Times New Roman" w:cs="Times New Roman"/>
          <w:bCs/>
          <w:iCs/>
          <w:sz w:val="24"/>
          <w:szCs w:val="24"/>
        </w:rPr>
        <w:t>Second Report and Order, FCC 20-95,</w:t>
      </w:r>
      <w:r w:rsidRPr="00132323">
        <w:rPr>
          <w:rFonts w:ascii="Times New Roman" w:hAnsi="Times New Roman" w:cs="Times New Roman"/>
          <w:bCs/>
          <w:iCs/>
          <w:sz w:val="24"/>
          <w:szCs w:val="24"/>
        </w:rPr>
        <w:t xml:space="preserve"> MB Docket Nos. 07-42 and 17-105</w:t>
      </w:r>
      <w:r w:rsidRPr="00132323">
        <w:rPr>
          <w:rFonts w:ascii="Times New Roman" w:hAnsi="Times New Roman" w:cs="Times New Roman"/>
          <w:bCs/>
          <w:i/>
          <w:sz w:val="24"/>
          <w:szCs w:val="24"/>
        </w:rPr>
        <w:t xml:space="preserve"> </w:t>
      </w:r>
      <w:r w:rsidRPr="00132323">
        <w:rPr>
          <w:rFonts w:ascii="Times New Roman" w:hAnsi="Times New Roman" w:cs="Times New Roman"/>
          <w:bCs/>
          <w:sz w:val="24"/>
          <w:szCs w:val="24"/>
        </w:rPr>
        <w:t xml:space="preserve">is available at: </w:t>
      </w:r>
      <w:hyperlink r:id="rId8" w:history="1">
        <w:r w:rsidRPr="00132323">
          <w:rPr>
            <w:rStyle w:val="Hyperlink"/>
            <w:rFonts w:ascii="Times New Roman" w:hAnsi="Times New Roman" w:cs="Times New Roman"/>
            <w:bCs/>
          </w:rPr>
          <w:t>https://docs.fcc.gov/public/attachments/FCC-20-95A1.pdf</w:t>
        </w:r>
      </w:hyperlink>
      <w:r w:rsidRPr="00132323">
        <w:rPr>
          <w:rFonts w:ascii="Times New Roman" w:hAnsi="Times New Roman" w:cs="Times New Roman"/>
          <w:bCs/>
        </w:rPr>
        <w:t>.</w:t>
      </w:r>
    </w:p>
    <w:p w:rsidR="002973BD" w:rsidRPr="00132323" w:rsidP="00C5062A" w14:paraId="5819B98F" w14:textId="77777777">
      <w:pPr>
        <w:spacing w:after="0"/>
        <w:rPr>
          <w:rFonts w:ascii="Times New Roman" w:hAnsi="Times New Roman" w:cs="Times New Roman"/>
          <w:bCs/>
          <w:sz w:val="24"/>
          <w:szCs w:val="24"/>
        </w:rPr>
      </w:pPr>
    </w:p>
    <w:p w:rsidR="004008B8" w:rsidRPr="008A65E4" w:rsidP="00972776" w14:paraId="76D7AB80" w14:textId="49923A9D">
      <w:pPr>
        <w:spacing w:after="0"/>
        <w:rPr>
          <w:rFonts w:ascii="Times New Roman" w:hAnsi="Times New Roman" w:cs="Times New Roman"/>
          <w:bCs/>
          <w:sz w:val="24"/>
          <w:szCs w:val="24"/>
        </w:rPr>
      </w:pPr>
      <w:r w:rsidRPr="00132323">
        <w:rPr>
          <w:rFonts w:ascii="Times New Roman" w:hAnsi="Times New Roman" w:cs="Times New Roman"/>
          <w:bCs/>
          <w:sz w:val="24"/>
          <w:szCs w:val="24"/>
        </w:rPr>
        <w:t xml:space="preserve">A copy of the Federal Register Summary </w:t>
      </w:r>
      <w:r w:rsidRPr="008A65E4">
        <w:rPr>
          <w:rFonts w:ascii="Times New Roman" w:hAnsi="Times New Roman" w:cs="Times New Roman"/>
          <w:bCs/>
          <w:sz w:val="24"/>
          <w:szCs w:val="24"/>
        </w:rPr>
        <w:t xml:space="preserve">of the </w:t>
      </w:r>
      <w:r w:rsidRPr="008A65E4" w:rsidR="00E6683B">
        <w:rPr>
          <w:rFonts w:ascii="Times New Roman" w:hAnsi="Times New Roman" w:cs="Times New Roman"/>
          <w:bCs/>
          <w:iCs/>
          <w:sz w:val="24"/>
          <w:szCs w:val="24"/>
        </w:rPr>
        <w:t>Second Report and Order</w:t>
      </w:r>
      <w:r w:rsidRPr="008A65E4" w:rsidR="00E6683B">
        <w:rPr>
          <w:rFonts w:ascii="Times New Roman" w:hAnsi="Times New Roman" w:cs="Times New Roman"/>
          <w:bCs/>
          <w:i/>
          <w:sz w:val="24"/>
          <w:szCs w:val="24"/>
        </w:rPr>
        <w:t xml:space="preserve"> </w:t>
      </w:r>
      <w:r w:rsidRPr="008A65E4">
        <w:rPr>
          <w:rFonts w:ascii="Times New Roman" w:hAnsi="Times New Roman" w:cs="Times New Roman"/>
          <w:bCs/>
          <w:sz w:val="24"/>
          <w:szCs w:val="24"/>
        </w:rPr>
        <w:t>is available at:</w:t>
      </w:r>
      <w:r w:rsidRPr="008A65E4" w:rsidR="008A65E4">
        <w:rPr>
          <w:rFonts w:ascii="Times New Roman" w:hAnsi="Times New Roman" w:cs="Times New Roman"/>
          <w:bCs/>
          <w:sz w:val="24"/>
          <w:szCs w:val="24"/>
        </w:rPr>
        <w:t xml:space="preserve"> </w:t>
      </w:r>
      <w:hyperlink r:id="rId9" w:history="1">
        <w:r w:rsidRPr="008A65E4" w:rsidR="008A65E4">
          <w:rPr>
            <w:rStyle w:val="Hyperlink"/>
            <w:rFonts w:ascii="Times New Roman" w:hAnsi="Times New Roman" w:cs="Times New Roman"/>
            <w:sz w:val="24"/>
            <w:szCs w:val="24"/>
          </w:rPr>
          <w:t>https://www.govinfo.gov/content/pkg/FR-2020-08-20/pdf/2020-16557.pdf</w:t>
        </w:r>
      </w:hyperlink>
      <w:r w:rsidRPr="008A65E4" w:rsidR="008A65E4">
        <w:rPr>
          <w:rFonts w:ascii="Times New Roman" w:hAnsi="Times New Roman" w:cs="Times New Roman"/>
          <w:sz w:val="24"/>
          <w:szCs w:val="24"/>
        </w:rPr>
        <w:t>.</w:t>
      </w:r>
    </w:p>
    <w:sectPr w:rsidSect="005A7330">
      <w:headerReference w:type="default" r:id="rId10"/>
      <w:footerReference w:type="default" r:id="rId11"/>
      <w:pgSz w:w="12240" w:h="15840"/>
      <w:pgMar w:top="1440" w:right="1440" w:bottom="1008" w:left="1440" w:header="720" w:footer="18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0BF0" w:rsidP="00034878" w14:paraId="1C202223" w14:textId="77777777">
      <w:pPr>
        <w:spacing w:after="0" w:line="240" w:lineRule="auto"/>
      </w:pPr>
      <w:r>
        <w:separator/>
      </w:r>
    </w:p>
  </w:footnote>
  <w:footnote w:type="continuationSeparator" w:id="1">
    <w:p w:rsidR="00050BF0" w:rsidP="00034878" w14:paraId="4652AB8D" w14:textId="77777777">
      <w:pPr>
        <w:spacing w:after="0" w:line="240" w:lineRule="auto"/>
      </w:pPr>
      <w:r>
        <w:continuationSeparator/>
      </w:r>
    </w:p>
  </w:footnote>
  <w:footnote w:id="2">
    <w:p w:rsidR="006B3C3D" w:rsidRPr="00775673" w:rsidP="00775673" w14:paraId="7F50F877" w14:textId="3EAB4C6F">
      <w:pPr>
        <w:pStyle w:val="FootnoteText"/>
        <w:spacing w:after="120"/>
        <w:rPr>
          <w:rFonts w:ascii="Times New Roman" w:hAnsi="Times New Roman" w:cs="Times New Roman"/>
        </w:rPr>
      </w:pPr>
      <w:r w:rsidRPr="00775673">
        <w:rPr>
          <w:rStyle w:val="FootnoteReference"/>
          <w:rFonts w:ascii="Times New Roman" w:hAnsi="Times New Roman" w:cs="Times New Roman"/>
        </w:rPr>
        <w:footnoteRef/>
      </w:r>
      <w:r w:rsidRPr="00775673">
        <w:rPr>
          <w:rFonts w:ascii="Times New Roman" w:hAnsi="Times New Roman" w:cs="Times New Roman"/>
        </w:rPr>
        <w:t xml:space="preserve"> 47 U.S.C. § 532.</w:t>
      </w:r>
    </w:p>
  </w:footnote>
  <w:footnote w:id="3">
    <w:p w:rsidR="006B3C3D" w:rsidRPr="00775673" w:rsidP="00775673" w14:paraId="331F8833" w14:textId="4F4A4426">
      <w:pPr>
        <w:pStyle w:val="FootnoteText"/>
        <w:widowControl w:val="0"/>
        <w:spacing w:after="120"/>
        <w:rPr>
          <w:rFonts w:ascii="Times New Roman" w:hAnsi="Times New Roman" w:cs="Times New Roman"/>
        </w:rPr>
      </w:pPr>
      <w:r w:rsidRPr="00775673">
        <w:rPr>
          <w:rStyle w:val="FootnoteReference"/>
          <w:rFonts w:ascii="Times New Roman" w:hAnsi="Times New Roman" w:cs="Times New Roman"/>
        </w:rPr>
        <w:footnoteRef/>
      </w:r>
      <w:r w:rsidRPr="00775673">
        <w:rPr>
          <w:rFonts w:ascii="Times New Roman" w:hAnsi="Times New Roman" w:cs="Times New Roman"/>
        </w:rPr>
        <w:t xml:space="preserve"> </w:t>
      </w:r>
      <w:r w:rsidRPr="00775673">
        <w:rPr>
          <w:rFonts w:ascii="Times New Roman" w:hAnsi="Times New Roman" w:cs="Times New Roman"/>
          <w:i/>
        </w:rPr>
        <w:t>See ValueVision, Inc. v. FCC</w:t>
      </w:r>
      <w:r w:rsidRPr="00775673">
        <w:rPr>
          <w:rFonts w:ascii="Times New Roman" w:hAnsi="Times New Roman" w:cs="Times New Roman"/>
        </w:rPr>
        <w:t xml:space="preserve">, 149 F.3d 1204 (D.C. Cir. 1998).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CE24E8" w:rsidP="00CE24E8" w14:paraId="0B5C5E41" w14:textId="7761A93B">
    <w:pPr>
      <w:pStyle w:val="Header"/>
      <w:tabs>
        <w:tab w:val="center" w:pos="4320"/>
        <w:tab w:val="clear" w:pos="4680"/>
      </w:tabs>
      <w:spacing w:before="360" w:line="228" w:lineRule="auto"/>
      <w:jc w:val="center"/>
      <w:rPr>
        <w:rFonts w:ascii="CG Times (W1)" w:hAnsi="CG Times (W1)"/>
        <w:sz w:val="28"/>
      </w:rP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5pt;height:64.85pt;margin-top:6.85pt;margin-left:-15.75pt;mso-position-horizontal-relative:margin;position:absolute;visibility:visible;z-index:-251658240" o:oleicon="f" o:allowincell="f" wrapcoords="-251 0 -251 21349 21600 21349 21600 0 -251 0" fillcolor="#3cc">
          <v:imagedata r:id="rId1" o:title=""/>
          <w10:wrap anchorx="margin"/>
        </v:shape>
        <o:OLEObject Type="Embed" ProgID="Word.Picture.8" ShapeID="_x0000_s2049" DrawAspect="Content" ObjectID="_1667021805" r:id="rId2"/>
      </w:pict>
    </w:r>
    <w:r>
      <w:rPr>
        <w:rFonts w:ascii="CG Times (W1)" w:hAnsi="CG Times (W1)"/>
        <w:sz w:val="28"/>
      </w:rPr>
      <w:t>Federal Communications Commission</w:t>
    </w:r>
  </w:p>
  <w:p w:rsidR="00121A4A" w:rsidP="000273B2" w14:paraId="71989AC2" w14:textId="77777777">
    <w:pPr>
      <w:tabs>
        <w:tab w:val="center" w:pos="4320"/>
      </w:tabs>
      <w:jc w:val="center"/>
      <w:rPr>
        <w:rFonts w:ascii="CG Times (W1)" w:hAnsi="CG Times (W1)"/>
        <w:sz w:val="28"/>
      </w:rPr>
    </w:pPr>
    <w:r>
      <w:rPr>
        <w:rFonts w:ascii="CG Times (W1)" w:hAnsi="CG Times (W1)"/>
        <w:sz w:val="28"/>
      </w:rPr>
      <w:t>Washington, D.C. 20554</w:t>
    </w:r>
  </w:p>
  <w:p w:rsidR="00121A4A" w:rsidRPr="003172B5" w:rsidP="000273B2" w14:paraId="0675F8B2" w14:textId="53493301">
    <w:pPr>
      <w:tabs>
        <w:tab w:val="center" w:pos="4320"/>
      </w:tabs>
      <w:jc w:val="center"/>
      <w:rPr>
        <w:sz w:val="24"/>
        <w:szCs w:val="24"/>
      </w:rPr>
    </w:pPr>
    <w:r w:rsidRPr="002E12F5">
      <w:rPr>
        <w:rFonts w:ascii="CG Times (W1)" w:hAnsi="CG Times (W1)"/>
        <w:sz w:val="24"/>
        <w:szCs w:val="24"/>
      </w:rPr>
      <w:t>November 16,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877FF"/>
    <w:multiLevelType w:val="hybridMultilevel"/>
    <w:tmpl w:val="27F89D5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F416A0"/>
    <w:multiLevelType w:val="hybridMultilevel"/>
    <w:tmpl w:val="6E8ECB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7F72E66"/>
    <w:multiLevelType w:val="hybridMultilevel"/>
    <w:tmpl w:val="61186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110E86"/>
    <w:multiLevelType w:val="hybridMultilevel"/>
    <w:tmpl w:val="DC2641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CB697E"/>
    <w:multiLevelType w:val="hybridMultilevel"/>
    <w:tmpl w:val="E638951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49458C1"/>
    <w:multiLevelType w:val="hybridMultilevel"/>
    <w:tmpl w:val="E85CD6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5"/>
  </w:num>
  <w:num w:numId="3">
    <w:abstractNumId w:val="12"/>
  </w:num>
  <w:num w:numId="4">
    <w:abstractNumId w:val="4"/>
  </w:num>
  <w:num w:numId="5">
    <w:abstractNumId w:val="16"/>
  </w:num>
  <w:num w:numId="6">
    <w:abstractNumId w:val="7"/>
  </w:num>
  <w:num w:numId="7">
    <w:abstractNumId w:val="2"/>
  </w:num>
  <w:num w:numId="8">
    <w:abstractNumId w:val="14"/>
  </w:num>
  <w:num w:numId="9">
    <w:abstractNumId w:val="10"/>
  </w:num>
  <w:num w:numId="10">
    <w:abstractNumId w:val="3"/>
  </w:num>
  <w:num w:numId="11">
    <w:abstractNumId w:val="8"/>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3"/>
    </w:lvlOverride>
  </w:num>
  <w:num w:numId="14">
    <w:abstractNumId w:val="17"/>
  </w:num>
  <w:num w:numId="15">
    <w:abstractNumId w:val="9"/>
  </w:num>
  <w:num w:numId="16">
    <w:abstractNumId w:val="6"/>
  </w:num>
  <w:num w:numId="17">
    <w:abstractNumId w:val="15"/>
  </w:num>
  <w:num w:numId="18">
    <w:abstractNumId w:val="1"/>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1DA9"/>
    <w:rsid w:val="00013982"/>
    <w:rsid w:val="0001453A"/>
    <w:rsid w:val="00025AB0"/>
    <w:rsid w:val="000273B2"/>
    <w:rsid w:val="0003033B"/>
    <w:rsid w:val="000320CC"/>
    <w:rsid w:val="00034878"/>
    <w:rsid w:val="00050BF0"/>
    <w:rsid w:val="000517A1"/>
    <w:rsid w:val="000601FD"/>
    <w:rsid w:val="00066CB4"/>
    <w:rsid w:val="00074CA4"/>
    <w:rsid w:val="00082B4E"/>
    <w:rsid w:val="00087BBD"/>
    <w:rsid w:val="000905FF"/>
    <w:rsid w:val="0009430B"/>
    <w:rsid w:val="000B287C"/>
    <w:rsid w:val="000B79AD"/>
    <w:rsid w:val="000B7E9D"/>
    <w:rsid w:val="000C0DD4"/>
    <w:rsid w:val="000C1FA6"/>
    <w:rsid w:val="000D28AA"/>
    <w:rsid w:val="000D2F0F"/>
    <w:rsid w:val="000D790A"/>
    <w:rsid w:val="000D7DA0"/>
    <w:rsid w:val="000E4E16"/>
    <w:rsid w:val="000E68E5"/>
    <w:rsid w:val="000F616D"/>
    <w:rsid w:val="000F7BE7"/>
    <w:rsid w:val="00115515"/>
    <w:rsid w:val="00116EB8"/>
    <w:rsid w:val="00121A4A"/>
    <w:rsid w:val="00131CCC"/>
    <w:rsid w:val="00132323"/>
    <w:rsid w:val="001338B0"/>
    <w:rsid w:val="00133D08"/>
    <w:rsid w:val="001364A1"/>
    <w:rsid w:val="00152909"/>
    <w:rsid w:val="001544BD"/>
    <w:rsid w:val="0015771C"/>
    <w:rsid w:val="00173AB8"/>
    <w:rsid w:val="001743EF"/>
    <w:rsid w:val="001961AA"/>
    <w:rsid w:val="001970B0"/>
    <w:rsid w:val="001A1EAC"/>
    <w:rsid w:val="001A2779"/>
    <w:rsid w:val="001D6690"/>
    <w:rsid w:val="001D6725"/>
    <w:rsid w:val="001E61CA"/>
    <w:rsid w:val="001E70C1"/>
    <w:rsid w:val="001F6DAA"/>
    <w:rsid w:val="00230205"/>
    <w:rsid w:val="00230CCB"/>
    <w:rsid w:val="00233B90"/>
    <w:rsid w:val="00243CE9"/>
    <w:rsid w:val="00247E1B"/>
    <w:rsid w:val="0027032C"/>
    <w:rsid w:val="002766E1"/>
    <w:rsid w:val="00280147"/>
    <w:rsid w:val="00282849"/>
    <w:rsid w:val="00286EA8"/>
    <w:rsid w:val="00292357"/>
    <w:rsid w:val="002973BD"/>
    <w:rsid w:val="002A1167"/>
    <w:rsid w:val="002A2311"/>
    <w:rsid w:val="002A57BD"/>
    <w:rsid w:val="002A73FE"/>
    <w:rsid w:val="002B11B3"/>
    <w:rsid w:val="002B27B9"/>
    <w:rsid w:val="002B6FD0"/>
    <w:rsid w:val="002C1EA9"/>
    <w:rsid w:val="002D04F1"/>
    <w:rsid w:val="002D0DED"/>
    <w:rsid w:val="002E12F5"/>
    <w:rsid w:val="002F051D"/>
    <w:rsid w:val="002F683E"/>
    <w:rsid w:val="002F7376"/>
    <w:rsid w:val="003017A1"/>
    <w:rsid w:val="003149AB"/>
    <w:rsid w:val="003172B5"/>
    <w:rsid w:val="00320D58"/>
    <w:rsid w:val="00321E7D"/>
    <w:rsid w:val="00330480"/>
    <w:rsid w:val="003322AF"/>
    <w:rsid w:val="00334EB4"/>
    <w:rsid w:val="00335A6A"/>
    <w:rsid w:val="003423E5"/>
    <w:rsid w:val="0034659A"/>
    <w:rsid w:val="00353650"/>
    <w:rsid w:val="00356327"/>
    <w:rsid w:val="00364D35"/>
    <w:rsid w:val="00367858"/>
    <w:rsid w:val="003733F4"/>
    <w:rsid w:val="00375CF9"/>
    <w:rsid w:val="003837F4"/>
    <w:rsid w:val="003D1B5B"/>
    <w:rsid w:val="003D226E"/>
    <w:rsid w:val="003E344A"/>
    <w:rsid w:val="003F1DFC"/>
    <w:rsid w:val="003F5CB7"/>
    <w:rsid w:val="004008B8"/>
    <w:rsid w:val="00400FF1"/>
    <w:rsid w:val="0040311E"/>
    <w:rsid w:val="00411EF3"/>
    <w:rsid w:val="004126D5"/>
    <w:rsid w:val="0041380C"/>
    <w:rsid w:val="00417062"/>
    <w:rsid w:val="00463A2A"/>
    <w:rsid w:val="004740BF"/>
    <w:rsid w:val="004749A4"/>
    <w:rsid w:val="00485452"/>
    <w:rsid w:val="00485B77"/>
    <w:rsid w:val="00491D54"/>
    <w:rsid w:val="00491F77"/>
    <w:rsid w:val="004A2AFD"/>
    <w:rsid w:val="004B6491"/>
    <w:rsid w:val="004B7242"/>
    <w:rsid w:val="004F3108"/>
    <w:rsid w:val="004F373A"/>
    <w:rsid w:val="004F68F6"/>
    <w:rsid w:val="005008FB"/>
    <w:rsid w:val="005024CC"/>
    <w:rsid w:val="0050544C"/>
    <w:rsid w:val="00505B6C"/>
    <w:rsid w:val="00505CCD"/>
    <w:rsid w:val="00511023"/>
    <w:rsid w:val="00514667"/>
    <w:rsid w:val="00520B61"/>
    <w:rsid w:val="005275C1"/>
    <w:rsid w:val="00527F85"/>
    <w:rsid w:val="005449FD"/>
    <w:rsid w:val="00564B97"/>
    <w:rsid w:val="005717FB"/>
    <w:rsid w:val="005869BB"/>
    <w:rsid w:val="005A7330"/>
    <w:rsid w:val="005B3852"/>
    <w:rsid w:val="005B6FAD"/>
    <w:rsid w:val="005C1817"/>
    <w:rsid w:val="005E3606"/>
    <w:rsid w:val="005E70B7"/>
    <w:rsid w:val="005F78F7"/>
    <w:rsid w:val="00610B56"/>
    <w:rsid w:val="006175DB"/>
    <w:rsid w:val="00632E73"/>
    <w:rsid w:val="00633473"/>
    <w:rsid w:val="00637613"/>
    <w:rsid w:val="00650FD9"/>
    <w:rsid w:val="00657EA8"/>
    <w:rsid w:val="0067119C"/>
    <w:rsid w:val="0067392B"/>
    <w:rsid w:val="00677244"/>
    <w:rsid w:val="00677F81"/>
    <w:rsid w:val="00683C2E"/>
    <w:rsid w:val="00685DDE"/>
    <w:rsid w:val="00694F3A"/>
    <w:rsid w:val="00694F82"/>
    <w:rsid w:val="006A0193"/>
    <w:rsid w:val="006B3C3D"/>
    <w:rsid w:val="006B4F31"/>
    <w:rsid w:val="006B60FD"/>
    <w:rsid w:val="006C2E70"/>
    <w:rsid w:val="006E50A3"/>
    <w:rsid w:val="006E542F"/>
    <w:rsid w:val="006E7B42"/>
    <w:rsid w:val="006F117F"/>
    <w:rsid w:val="006F2901"/>
    <w:rsid w:val="006F411B"/>
    <w:rsid w:val="00701319"/>
    <w:rsid w:val="0071360D"/>
    <w:rsid w:val="00716724"/>
    <w:rsid w:val="007342F4"/>
    <w:rsid w:val="00734B5A"/>
    <w:rsid w:val="00735330"/>
    <w:rsid w:val="00740ED6"/>
    <w:rsid w:val="007624E3"/>
    <w:rsid w:val="00765ABD"/>
    <w:rsid w:val="007738A7"/>
    <w:rsid w:val="00775673"/>
    <w:rsid w:val="00780699"/>
    <w:rsid w:val="00791348"/>
    <w:rsid w:val="007A138B"/>
    <w:rsid w:val="007C0CC3"/>
    <w:rsid w:val="007C5016"/>
    <w:rsid w:val="007D75AA"/>
    <w:rsid w:val="007E1CC7"/>
    <w:rsid w:val="007E64DB"/>
    <w:rsid w:val="007F0A80"/>
    <w:rsid w:val="008104E2"/>
    <w:rsid w:val="008178D8"/>
    <w:rsid w:val="00821520"/>
    <w:rsid w:val="00831688"/>
    <w:rsid w:val="0084286B"/>
    <w:rsid w:val="008526CF"/>
    <w:rsid w:val="00864203"/>
    <w:rsid w:val="00883728"/>
    <w:rsid w:val="00897CAF"/>
    <w:rsid w:val="008A65E4"/>
    <w:rsid w:val="008C3B06"/>
    <w:rsid w:val="008D4AA5"/>
    <w:rsid w:val="008E2841"/>
    <w:rsid w:val="008F02BA"/>
    <w:rsid w:val="008F4C1C"/>
    <w:rsid w:val="009464B8"/>
    <w:rsid w:val="0095028B"/>
    <w:rsid w:val="0095132F"/>
    <w:rsid w:val="00951C24"/>
    <w:rsid w:val="00972776"/>
    <w:rsid w:val="00972B46"/>
    <w:rsid w:val="0097413E"/>
    <w:rsid w:val="009827ED"/>
    <w:rsid w:val="00986928"/>
    <w:rsid w:val="00996590"/>
    <w:rsid w:val="009A3E24"/>
    <w:rsid w:val="009A61EC"/>
    <w:rsid w:val="009B3815"/>
    <w:rsid w:val="009B41FC"/>
    <w:rsid w:val="009C0BDE"/>
    <w:rsid w:val="009C40A8"/>
    <w:rsid w:val="009C5AF7"/>
    <w:rsid w:val="009C7F6E"/>
    <w:rsid w:val="009E4BA3"/>
    <w:rsid w:val="00A215D3"/>
    <w:rsid w:val="00A22487"/>
    <w:rsid w:val="00A41A97"/>
    <w:rsid w:val="00A422B6"/>
    <w:rsid w:val="00A675C2"/>
    <w:rsid w:val="00A96765"/>
    <w:rsid w:val="00AA0135"/>
    <w:rsid w:val="00AA34B7"/>
    <w:rsid w:val="00AA7D23"/>
    <w:rsid w:val="00AB1D1E"/>
    <w:rsid w:val="00AB1E95"/>
    <w:rsid w:val="00AC1A95"/>
    <w:rsid w:val="00AC5039"/>
    <w:rsid w:val="00AC6478"/>
    <w:rsid w:val="00AD0BD0"/>
    <w:rsid w:val="00AD7A25"/>
    <w:rsid w:val="00AE0CC9"/>
    <w:rsid w:val="00B0585E"/>
    <w:rsid w:val="00B06D94"/>
    <w:rsid w:val="00B12C82"/>
    <w:rsid w:val="00B15ED8"/>
    <w:rsid w:val="00B453A9"/>
    <w:rsid w:val="00B47D0B"/>
    <w:rsid w:val="00B629FE"/>
    <w:rsid w:val="00B6546C"/>
    <w:rsid w:val="00B7401E"/>
    <w:rsid w:val="00B8024D"/>
    <w:rsid w:val="00B81F96"/>
    <w:rsid w:val="00B849ED"/>
    <w:rsid w:val="00B93D89"/>
    <w:rsid w:val="00BA1697"/>
    <w:rsid w:val="00BA219C"/>
    <w:rsid w:val="00BA4F7D"/>
    <w:rsid w:val="00BB1633"/>
    <w:rsid w:val="00BD099F"/>
    <w:rsid w:val="00BF51F0"/>
    <w:rsid w:val="00C0420D"/>
    <w:rsid w:val="00C235FA"/>
    <w:rsid w:val="00C23B71"/>
    <w:rsid w:val="00C33F86"/>
    <w:rsid w:val="00C37AC8"/>
    <w:rsid w:val="00C37EF3"/>
    <w:rsid w:val="00C419A9"/>
    <w:rsid w:val="00C47CEF"/>
    <w:rsid w:val="00C5062A"/>
    <w:rsid w:val="00C67CA7"/>
    <w:rsid w:val="00CB1B5A"/>
    <w:rsid w:val="00CC1EC9"/>
    <w:rsid w:val="00CC7874"/>
    <w:rsid w:val="00CD59E5"/>
    <w:rsid w:val="00CD624E"/>
    <w:rsid w:val="00CE0822"/>
    <w:rsid w:val="00CE24E8"/>
    <w:rsid w:val="00D02A8A"/>
    <w:rsid w:val="00D03495"/>
    <w:rsid w:val="00D3573A"/>
    <w:rsid w:val="00D37518"/>
    <w:rsid w:val="00D4618C"/>
    <w:rsid w:val="00D47DB5"/>
    <w:rsid w:val="00D5380F"/>
    <w:rsid w:val="00D61721"/>
    <w:rsid w:val="00D661E5"/>
    <w:rsid w:val="00DA51FF"/>
    <w:rsid w:val="00DA673B"/>
    <w:rsid w:val="00DA6B99"/>
    <w:rsid w:val="00DB4D1A"/>
    <w:rsid w:val="00DB784D"/>
    <w:rsid w:val="00DC5B9C"/>
    <w:rsid w:val="00DD2774"/>
    <w:rsid w:val="00DE567B"/>
    <w:rsid w:val="00DE653F"/>
    <w:rsid w:val="00E154FC"/>
    <w:rsid w:val="00E2092F"/>
    <w:rsid w:val="00E25752"/>
    <w:rsid w:val="00E432AB"/>
    <w:rsid w:val="00E446F0"/>
    <w:rsid w:val="00E47D90"/>
    <w:rsid w:val="00E56A46"/>
    <w:rsid w:val="00E6683B"/>
    <w:rsid w:val="00E97A21"/>
    <w:rsid w:val="00EA4DD4"/>
    <w:rsid w:val="00EB2506"/>
    <w:rsid w:val="00EB64E6"/>
    <w:rsid w:val="00EC30F1"/>
    <w:rsid w:val="00EC3871"/>
    <w:rsid w:val="00EC680B"/>
    <w:rsid w:val="00EC6C76"/>
    <w:rsid w:val="00EC723E"/>
    <w:rsid w:val="00ED5EC2"/>
    <w:rsid w:val="00ED606F"/>
    <w:rsid w:val="00ED7745"/>
    <w:rsid w:val="00EF4B82"/>
    <w:rsid w:val="00F0469C"/>
    <w:rsid w:val="00F10035"/>
    <w:rsid w:val="00F1379B"/>
    <w:rsid w:val="00F25963"/>
    <w:rsid w:val="00F306FA"/>
    <w:rsid w:val="00F41273"/>
    <w:rsid w:val="00F426F6"/>
    <w:rsid w:val="00F4281B"/>
    <w:rsid w:val="00F445A1"/>
    <w:rsid w:val="00F4551F"/>
    <w:rsid w:val="00F67BC0"/>
    <w:rsid w:val="00F75BD2"/>
    <w:rsid w:val="00F84924"/>
    <w:rsid w:val="00F976BA"/>
    <w:rsid w:val="00FA448F"/>
    <w:rsid w:val="00FC2A30"/>
    <w:rsid w:val="00FE30EB"/>
    <w:rsid w:val="00FE34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E6683B"/>
    <w:rPr>
      <w:color w:val="605E5C"/>
      <w:shd w:val="clear" w:color="auto" w:fill="E1DFDD"/>
    </w:rPr>
  </w:style>
  <w:style w:type="character" w:styleId="PlaceholderText">
    <w:name w:val="Placeholder Text"/>
    <w:basedOn w:val="DefaultParagraphFont"/>
    <w:uiPriority w:val="99"/>
    <w:semiHidden/>
    <w:rsid w:val="001E6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docs.fcc.gov/public/attachments/FCC-20-95A1.pdf" TargetMode="External" /><Relationship Id="rId9" Type="http://schemas.openxmlformats.org/officeDocument/2006/relationships/hyperlink" Target="https://www.govinfo.gov/content/pkg/FR-2020-08-20/pdf/2020-16557.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