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6A273BD5" w14:textId="77777777">
      <w:pPr>
        <w:jc w:val="right"/>
        <w:rPr>
          <w:sz w:val="24"/>
        </w:rPr>
      </w:pPr>
    </w:p>
    <w:p w:rsidR="005614FA" w:rsidP="005614FA" w14:paraId="32566C35" w14:textId="7EDADA48">
      <w:pPr>
        <w:widowControl/>
        <w:suppressAutoHyphens/>
        <w:jc w:val="right"/>
        <w:rPr>
          <w:b/>
          <w:color w:val="000000"/>
        </w:rPr>
      </w:pPr>
      <w:r>
        <w:rPr>
          <w:b/>
          <w:color w:val="000000"/>
        </w:rPr>
        <w:t>DA 20-</w:t>
      </w:r>
      <w:r w:rsidR="00466B8E">
        <w:rPr>
          <w:b/>
          <w:color w:val="000000"/>
        </w:rPr>
        <w:t>135</w:t>
      </w:r>
      <w:bookmarkStart w:id="0" w:name="_GoBack"/>
      <w:bookmarkEnd w:id="0"/>
    </w:p>
    <w:p w:rsidR="005614FA" w:rsidP="005614FA" w14:paraId="3881F3E9" w14:textId="33B8F2F1">
      <w:pPr>
        <w:widowControl/>
        <w:suppressAutoHyphens/>
        <w:spacing w:after="240"/>
        <w:jc w:val="right"/>
        <w:rPr>
          <w:b/>
          <w:color w:val="000000"/>
        </w:rPr>
      </w:pPr>
      <w:r>
        <w:rPr>
          <w:b/>
          <w:color w:val="000000"/>
        </w:rPr>
        <w:t xml:space="preserve">Released:  February </w:t>
      </w:r>
      <w:r w:rsidR="002334CD">
        <w:rPr>
          <w:b/>
          <w:color w:val="000000"/>
        </w:rPr>
        <w:t>6</w:t>
      </w:r>
      <w:r>
        <w:rPr>
          <w:b/>
          <w:color w:val="000000"/>
        </w:rPr>
        <w:t>, 2020</w:t>
      </w:r>
    </w:p>
    <w:p w:rsidR="005614FA" w:rsidRPr="00307030" w:rsidP="005614FA" w14:paraId="6C77167F" w14:textId="77777777">
      <w:pPr>
        <w:autoSpaceDE w:val="0"/>
        <w:autoSpaceDN w:val="0"/>
        <w:adjustRightInd w:val="0"/>
        <w:jc w:val="center"/>
        <w:rPr>
          <w:b/>
          <w:szCs w:val="22"/>
        </w:rPr>
      </w:pPr>
      <w:r w:rsidRPr="00307030">
        <w:rPr>
          <w:b/>
          <w:szCs w:val="22"/>
        </w:rPr>
        <w:t xml:space="preserve">APPLICATIONS </w:t>
      </w:r>
      <w:r>
        <w:rPr>
          <w:b/>
          <w:szCs w:val="22"/>
        </w:rPr>
        <w:t>GRANTED</w:t>
      </w:r>
      <w:r w:rsidRPr="00307030">
        <w:rPr>
          <w:b/>
          <w:szCs w:val="22"/>
        </w:rPr>
        <w:t xml:space="preserve"> FOR THE TRANSFER OF CONTROL OF </w:t>
      </w:r>
    </w:p>
    <w:p w:rsidR="005614FA" w:rsidRPr="00825E7D" w:rsidP="005614FA" w14:paraId="2FA6F2B6" w14:textId="565764E1">
      <w:pPr>
        <w:autoSpaceDE w:val="0"/>
        <w:autoSpaceDN w:val="0"/>
        <w:adjustRightInd w:val="0"/>
        <w:jc w:val="center"/>
        <w:rPr>
          <w:b/>
          <w:bCs/>
          <w:szCs w:val="22"/>
        </w:rPr>
      </w:pPr>
      <w:r w:rsidRPr="00825E7D">
        <w:rPr>
          <w:b/>
          <w:bCs/>
          <w:szCs w:val="22"/>
        </w:rPr>
        <w:t xml:space="preserve">ZAYO GROUP, LLC, ELECTRIC LIGHTWAVE, LLC, AND </w:t>
      </w:r>
    </w:p>
    <w:p w:rsidR="003E7B6C" w:rsidP="005614FA" w14:paraId="2F35F037" w14:textId="77777777">
      <w:pPr>
        <w:autoSpaceDE w:val="0"/>
        <w:autoSpaceDN w:val="0"/>
        <w:adjustRightInd w:val="0"/>
        <w:jc w:val="center"/>
        <w:rPr>
          <w:b/>
          <w:bCs/>
          <w:szCs w:val="22"/>
        </w:rPr>
      </w:pPr>
      <w:r w:rsidRPr="00825E7D">
        <w:rPr>
          <w:b/>
          <w:bCs/>
          <w:szCs w:val="22"/>
        </w:rPr>
        <w:t xml:space="preserve">ALLSTREAM BUSINESS US, LLC </w:t>
      </w:r>
      <w:r w:rsidR="00642E7B">
        <w:rPr>
          <w:b/>
          <w:bCs/>
          <w:szCs w:val="22"/>
        </w:rPr>
        <w:t xml:space="preserve">FROM ZAYO GROUP HOLDINGS, INC. </w:t>
      </w:r>
    </w:p>
    <w:p w:rsidR="005614FA" w:rsidRPr="00825E7D" w:rsidP="005614FA" w14:paraId="32B9EB3D" w14:textId="359BA5D7">
      <w:pPr>
        <w:autoSpaceDE w:val="0"/>
        <w:autoSpaceDN w:val="0"/>
        <w:adjustRightInd w:val="0"/>
        <w:jc w:val="center"/>
        <w:rPr>
          <w:b/>
          <w:bCs/>
          <w:szCs w:val="22"/>
        </w:rPr>
      </w:pPr>
      <w:r w:rsidRPr="00825E7D">
        <w:rPr>
          <w:b/>
          <w:bCs/>
          <w:szCs w:val="22"/>
        </w:rPr>
        <w:t xml:space="preserve">TO FRONT RANGE TOPCO, INC. </w:t>
      </w:r>
    </w:p>
    <w:p w:rsidR="005614FA" w:rsidRPr="00307030" w:rsidP="005614FA" w14:paraId="218242B4" w14:textId="77777777">
      <w:pPr>
        <w:autoSpaceDE w:val="0"/>
        <w:autoSpaceDN w:val="0"/>
        <w:adjustRightInd w:val="0"/>
        <w:jc w:val="center"/>
        <w:rPr>
          <w:b/>
          <w:szCs w:val="22"/>
        </w:rPr>
      </w:pPr>
    </w:p>
    <w:p w:rsidR="005614FA" w:rsidRPr="00307030" w:rsidP="005614FA" w14:paraId="1D45A811" w14:textId="77777777">
      <w:pPr>
        <w:autoSpaceDE w:val="0"/>
        <w:autoSpaceDN w:val="0"/>
        <w:adjustRightInd w:val="0"/>
        <w:jc w:val="center"/>
        <w:rPr>
          <w:b/>
          <w:szCs w:val="22"/>
        </w:rPr>
      </w:pPr>
      <w:r w:rsidRPr="00307030">
        <w:rPr>
          <w:b/>
          <w:szCs w:val="22"/>
        </w:rPr>
        <w:t>WC Docket No. 19-</w:t>
      </w:r>
      <w:r>
        <w:rPr>
          <w:b/>
          <w:szCs w:val="22"/>
        </w:rPr>
        <w:t xml:space="preserve">166 </w:t>
      </w:r>
    </w:p>
    <w:p w:rsidR="005614FA" w:rsidP="005614FA" w14:paraId="144D6241" w14:textId="77777777">
      <w:pPr>
        <w:widowControl/>
        <w:suppressAutoHyphens/>
        <w:rPr>
          <w:b/>
          <w:color w:val="000000"/>
        </w:rPr>
      </w:pPr>
    </w:p>
    <w:p w:rsidR="005614FA" w:rsidP="005614FA" w14:paraId="77BF156D" w14:textId="20A6A782">
      <w:pPr>
        <w:autoSpaceDE w:val="0"/>
        <w:autoSpaceDN w:val="0"/>
        <w:adjustRightInd w:val="0"/>
        <w:ind w:firstLine="720"/>
        <w:rPr>
          <w:snapToGrid/>
          <w:kern w:val="0"/>
          <w:szCs w:val="22"/>
        </w:rPr>
      </w:pPr>
      <w:r w:rsidRPr="00DF1B24">
        <w:rPr>
          <w:color w:val="000000"/>
        </w:rPr>
        <w:t xml:space="preserve">By this Public Notice, </w:t>
      </w:r>
      <w:r>
        <w:rPr>
          <w:szCs w:val="22"/>
        </w:rPr>
        <w:t xml:space="preserve">the Wireline Competition Bureau, International Bureau, and Wireless Telecommunications Bureau (Bureaus) </w:t>
      </w:r>
      <w:r>
        <w:rPr>
          <w:color w:val="000000"/>
        </w:rPr>
        <w:t>grant</w:t>
      </w:r>
      <w:r w:rsidR="004D22C3">
        <w:rPr>
          <w:color w:val="000000"/>
        </w:rPr>
        <w:t>, as conditioned,</w:t>
      </w:r>
      <w:r w:rsidRPr="00DF1B24">
        <w:rPr>
          <w:color w:val="000000"/>
        </w:rPr>
        <w:t xml:space="preserve"> </w:t>
      </w:r>
      <w:r>
        <w:rPr>
          <w:color w:val="000000"/>
        </w:rPr>
        <w:t xml:space="preserve">the </w:t>
      </w:r>
      <w:r w:rsidRPr="00DF1B24">
        <w:rPr>
          <w:color w:val="000000"/>
        </w:rPr>
        <w:t>application</w:t>
      </w:r>
      <w:r>
        <w:rPr>
          <w:color w:val="000000"/>
        </w:rPr>
        <w:t>s</w:t>
      </w:r>
      <w:r w:rsidRPr="00DF1B24">
        <w:rPr>
          <w:color w:val="000000"/>
        </w:rPr>
        <w:t xml:space="preserve"> filed </w:t>
      </w:r>
      <w:r>
        <w:rPr>
          <w:color w:val="000000"/>
        </w:rPr>
        <w:t>by</w:t>
      </w:r>
      <w:r w:rsidRPr="00FB3EDD">
        <w:rPr>
          <w:color w:val="231F20"/>
          <w:szCs w:val="22"/>
        </w:rPr>
        <w:t xml:space="preserve"> </w:t>
      </w:r>
      <w:r>
        <w:rPr>
          <w:color w:val="231F20"/>
          <w:szCs w:val="22"/>
        </w:rPr>
        <w:t xml:space="preserve">Zayo Group Holdings, Inc. (Zayo) and its subsidiaries, Zayo Group, LLC (ZGL), Electric Lightwave, LLC (Electric Lightwave), and Allstream </w:t>
      </w:r>
      <w:r w:rsidRPr="00C367FB">
        <w:rPr>
          <w:szCs w:val="22"/>
        </w:rPr>
        <w:t xml:space="preserve">Business US, LLC (Allstream) (ZGL, Electric Lightwave, and Allstream, together, Licensees), and Front Range TopCo, Inc. (Front Range) (Zayo, Licensees, </w:t>
      </w:r>
      <w:r>
        <w:rPr>
          <w:color w:val="231F20"/>
          <w:szCs w:val="22"/>
        </w:rPr>
        <w:t>and Front Range, collectively,</w:t>
      </w:r>
      <w:r w:rsidRPr="00FB3EDD">
        <w:rPr>
          <w:color w:val="231F20"/>
          <w:szCs w:val="22"/>
        </w:rPr>
        <w:t xml:space="preserve"> Applicants)</w:t>
      </w:r>
      <w:r>
        <w:rPr>
          <w:color w:val="231F20"/>
          <w:szCs w:val="22"/>
        </w:rPr>
        <w:t xml:space="preserve">, </w:t>
      </w:r>
      <w:r w:rsidRPr="00C07140">
        <w:rPr>
          <w:szCs w:val="22"/>
        </w:rPr>
        <w:t xml:space="preserve">pursuant to </w:t>
      </w:r>
      <w:r w:rsidRPr="009A65B8">
        <w:rPr>
          <w:szCs w:val="22"/>
        </w:rPr>
        <w:t>sections 214 and 310(d) of the Communications Act of 1934, as amended (Act),</w:t>
      </w:r>
      <w:r>
        <w:rPr>
          <w:szCs w:val="22"/>
          <w:vertAlign w:val="superscript"/>
        </w:rPr>
        <w:footnoteReference w:id="3"/>
      </w:r>
      <w:r w:rsidRPr="009A65B8">
        <w:rPr>
          <w:szCs w:val="22"/>
        </w:rPr>
        <w:t xml:space="preserve"> the Cable Landing License Act of 1921,</w:t>
      </w:r>
      <w:r>
        <w:rPr>
          <w:szCs w:val="22"/>
          <w:vertAlign w:val="superscript"/>
        </w:rPr>
        <w:footnoteReference w:id="4"/>
      </w:r>
      <w:r w:rsidRPr="009A65B8">
        <w:rPr>
          <w:szCs w:val="22"/>
        </w:rPr>
        <w:t xml:space="preserve"> and sections 1.767, 1.948, 63.03-04, 63.18, and 63.24 of the Commission’s rules</w:t>
      </w:r>
      <w:r>
        <w:rPr>
          <w:szCs w:val="22"/>
        </w:rPr>
        <w:t>,</w:t>
      </w:r>
      <w:r>
        <w:rPr>
          <w:szCs w:val="22"/>
          <w:vertAlign w:val="superscript"/>
        </w:rPr>
        <w:footnoteReference w:id="5"/>
      </w:r>
      <w:r w:rsidRPr="00620F82">
        <w:rPr>
          <w:szCs w:val="22"/>
        </w:rPr>
        <w:t xml:space="preserve"> </w:t>
      </w:r>
      <w:r w:rsidRPr="00FB3EDD">
        <w:rPr>
          <w:szCs w:val="22"/>
        </w:rPr>
        <w:t xml:space="preserve">requesting consent </w:t>
      </w:r>
      <w:r>
        <w:rPr>
          <w:szCs w:val="22"/>
        </w:rPr>
        <w:t>for the</w:t>
      </w:r>
      <w:r w:rsidRPr="00FB3EDD">
        <w:rPr>
          <w:szCs w:val="22"/>
        </w:rPr>
        <w:t xml:space="preserve"> </w:t>
      </w:r>
      <w:r>
        <w:rPr>
          <w:szCs w:val="22"/>
        </w:rPr>
        <w:t xml:space="preserve">transfer of </w:t>
      </w:r>
      <w:r w:rsidRPr="00FB3EDD">
        <w:rPr>
          <w:szCs w:val="22"/>
        </w:rPr>
        <w:t>control of</w:t>
      </w:r>
      <w:r>
        <w:rPr>
          <w:szCs w:val="22"/>
        </w:rPr>
        <w:t xml:space="preserve"> Zayo and the Licensees to Front Range.</w:t>
      </w:r>
      <w:r>
        <w:rPr>
          <w:szCs w:val="22"/>
          <w:vertAlign w:val="superscript"/>
        </w:rPr>
        <w:footnoteReference w:id="6"/>
      </w:r>
      <w:r>
        <w:rPr>
          <w:szCs w:val="22"/>
        </w:rPr>
        <w:t xml:space="preserve">  The Bureaus also grant</w:t>
      </w:r>
      <w:r w:rsidR="009B3988">
        <w:rPr>
          <w:szCs w:val="22"/>
        </w:rPr>
        <w:t>, as conditioned,</w:t>
      </w:r>
      <w:r>
        <w:rPr>
          <w:szCs w:val="22"/>
        </w:rPr>
        <w:t xml:space="preserve"> the </w:t>
      </w:r>
      <w:r w:rsidRPr="00D04868">
        <w:rPr>
          <w:snapToGrid/>
          <w:kern w:val="0"/>
          <w:szCs w:val="22"/>
        </w:rPr>
        <w:t xml:space="preserve">petition for declaratory ruling </w:t>
      </w:r>
      <w:r w:rsidR="008C2513">
        <w:rPr>
          <w:snapToGrid/>
          <w:kern w:val="0"/>
          <w:szCs w:val="22"/>
        </w:rPr>
        <w:t xml:space="preserve">(Petition) </w:t>
      </w:r>
      <w:r>
        <w:rPr>
          <w:snapToGrid/>
          <w:kern w:val="0"/>
          <w:szCs w:val="22"/>
        </w:rPr>
        <w:t xml:space="preserve">that ZGL and Front Range </w:t>
      </w:r>
      <w:r w:rsidR="001F1CB2">
        <w:rPr>
          <w:snapToGrid/>
          <w:kern w:val="0"/>
          <w:szCs w:val="22"/>
        </w:rPr>
        <w:t xml:space="preserve">(together, Petitioners) </w:t>
      </w:r>
      <w:r>
        <w:rPr>
          <w:snapToGrid/>
          <w:kern w:val="0"/>
          <w:szCs w:val="22"/>
        </w:rPr>
        <w:t xml:space="preserve">filed </w:t>
      </w:r>
      <w:r w:rsidR="00642E7B">
        <w:rPr>
          <w:snapToGrid/>
          <w:kern w:val="0"/>
          <w:szCs w:val="22"/>
        </w:rPr>
        <w:t xml:space="preserve">seeking approval for </w:t>
      </w:r>
      <w:r w:rsidRPr="00D04868">
        <w:rPr>
          <w:snapToGrid/>
          <w:kern w:val="0"/>
          <w:szCs w:val="22"/>
        </w:rPr>
        <w:t>foreign investment in Zayo above the 25</w:t>
      </w:r>
      <w:r>
        <w:rPr>
          <w:snapToGrid/>
          <w:kern w:val="0"/>
          <w:szCs w:val="22"/>
        </w:rPr>
        <w:t>%</w:t>
      </w:r>
      <w:r w:rsidRPr="00D04868">
        <w:rPr>
          <w:snapToGrid/>
          <w:kern w:val="0"/>
          <w:szCs w:val="22"/>
        </w:rPr>
        <w:t xml:space="preserve"> benchmark in section 310(b)(4) of the Act </w:t>
      </w:r>
      <w:r w:rsidRPr="00D04868">
        <w:rPr>
          <w:snapToGrid/>
          <w:color w:val="000000"/>
          <w:kern w:val="0"/>
          <w:szCs w:val="22"/>
        </w:rPr>
        <w:t>and section 1.5000(a)(1) of the Commission’s rules.</w:t>
      </w:r>
      <w:r>
        <w:rPr>
          <w:snapToGrid/>
          <w:color w:val="000000"/>
          <w:kern w:val="0"/>
          <w:szCs w:val="22"/>
          <w:vertAlign w:val="superscript"/>
        </w:rPr>
        <w:footnoteReference w:id="7"/>
      </w:r>
      <w:r w:rsidRPr="00D04868">
        <w:rPr>
          <w:snapToGrid/>
          <w:kern w:val="0"/>
          <w:szCs w:val="22"/>
        </w:rPr>
        <w:t xml:space="preserve"> </w:t>
      </w:r>
      <w:r>
        <w:rPr>
          <w:snapToGrid/>
          <w:kern w:val="0"/>
          <w:szCs w:val="22"/>
        </w:rPr>
        <w:t xml:space="preserve"> </w:t>
      </w:r>
    </w:p>
    <w:p w:rsidR="005614FA" w:rsidP="005614FA" w14:paraId="78A5F12D" w14:textId="77777777">
      <w:pPr>
        <w:autoSpaceDE w:val="0"/>
        <w:autoSpaceDN w:val="0"/>
        <w:adjustRightInd w:val="0"/>
        <w:ind w:firstLine="720"/>
        <w:rPr>
          <w:snapToGrid/>
          <w:kern w:val="0"/>
          <w:szCs w:val="22"/>
        </w:rPr>
      </w:pPr>
    </w:p>
    <w:p w:rsidR="005614FA" w:rsidP="005614FA" w14:paraId="112251D9" w14:textId="77777777">
      <w:pPr>
        <w:autoSpaceDE w:val="0"/>
        <w:autoSpaceDN w:val="0"/>
        <w:adjustRightInd w:val="0"/>
        <w:ind w:firstLine="720"/>
        <w:rPr>
          <w:szCs w:val="22"/>
        </w:rPr>
      </w:pPr>
      <w:r>
        <w:rPr>
          <w:color w:val="000000"/>
          <w:szCs w:val="24"/>
        </w:rPr>
        <w:t xml:space="preserve">On July 5, 2019, </w:t>
      </w:r>
      <w:r>
        <w:rPr>
          <w:color w:val="000000"/>
        </w:rPr>
        <w:t>the Bureaus released a public notice seeking comment on the Applications</w:t>
      </w:r>
      <w:r>
        <w:rPr>
          <w:color w:val="000000"/>
          <w:szCs w:val="22"/>
        </w:rPr>
        <w:t>.</w:t>
      </w:r>
      <w:r>
        <w:rPr>
          <w:rStyle w:val="FootnoteReference"/>
          <w:szCs w:val="22"/>
        </w:rPr>
        <w:footnoteReference w:id="8"/>
      </w:r>
      <w:r>
        <w:rPr>
          <w:color w:val="000000"/>
          <w:szCs w:val="22"/>
        </w:rPr>
        <w:t xml:space="preserve">  </w:t>
      </w:r>
      <w:r>
        <w:rPr>
          <w:szCs w:val="22"/>
        </w:rPr>
        <w:t>The Bureaus did not receive comments or petitions in opposition to these Applications.</w:t>
      </w:r>
    </w:p>
    <w:p w:rsidR="005614FA" w:rsidP="005614FA" w14:paraId="6CAAA71B" w14:textId="77777777">
      <w:pPr>
        <w:autoSpaceDE w:val="0"/>
        <w:autoSpaceDN w:val="0"/>
        <w:adjustRightInd w:val="0"/>
        <w:rPr>
          <w:szCs w:val="22"/>
        </w:rPr>
      </w:pPr>
    </w:p>
    <w:p w:rsidR="005614FA" w:rsidRPr="004F4239" w:rsidP="005614FA" w14:paraId="69D99644" w14:textId="77777777">
      <w:pPr>
        <w:autoSpaceDE w:val="0"/>
        <w:autoSpaceDN w:val="0"/>
        <w:adjustRightInd w:val="0"/>
        <w:rPr>
          <w:b/>
          <w:szCs w:val="22"/>
          <w:u w:val="single"/>
        </w:rPr>
      </w:pPr>
      <w:r w:rsidRPr="004F4239">
        <w:rPr>
          <w:b/>
          <w:szCs w:val="22"/>
          <w:u w:val="single"/>
        </w:rPr>
        <w:t>Applicants and Services Provided</w:t>
      </w:r>
    </w:p>
    <w:p w:rsidR="005614FA" w:rsidP="005614FA" w14:paraId="5B66986D" w14:textId="77777777">
      <w:pPr>
        <w:autoSpaceDE w:val="0"/>
        <w:autoSpaceDN w:val="0"/>
        <w:adjustRightInd w:val="0"/>
        <w:ind w:firstLine="720"/>
        <w:rPr>
          <w:szCs w:val="22"/>
        </w:rPr>
      </w:pPr>
    </w:p>
    <w:p w:rsidR="005614FA" w:rsidP="005614FA" w14:paraId="09F272C1" w14:textId="77777777">
      <w:pPr>
        <w:widowControl/>
        <w:autoSpaceDE w:val="0"/>
        <w:autoSpaceDN w:val="0"/>
        <w:adjustRightInd w:val="0"/>
        <w:ind w:firstLine="720"/>
        <w:rPr>
          <w:snapToGrid/>
          <w:kern w:val="0"/>
          <w:szCs w:val="22"/>
        </w:rPr>
      </w:pPr>
      <w:r w:rsidRPr="00D04868">
        <w:rPr>
          <w:snapToGrid/>
          <w:kern w:val="0"/>
          <w:szCs w:val="22"/>
        </w:rPr>
        <w:t xml:space="preserve">Zayo, a publicly traded Delaware holding company, wholly owns Licensees, which are authorized to provide competitive local exchange </w:t>
      </w:r>
      <w:r>
        <w:rPr>
          <w:snapToGrid/>
          <w:kern w:val="0"/>
          <w:szCs w:val="22"/>
        </w:rPr>
        <w:t xml:space="preserve">carrier (LEC) </w:t>
      </w:r>
      <w:r w:rsidRPr="00D04868">
        <w:rPr>
          <w:snapToGrid/>
          <w:kern w:val="0"/>
          <w:szCs w:val="22"/>
        </w:rPr>
        <w:t>and other services in the District of Columbia and every state except Alaska.</w:t>
      </w:r>
      <w:r>
        <w:rPr>
          <w:rStyle w:val="FootnoteReference"/>
          <w:snapToGrid/>
          <w:kern w:val="0"/>
          <w:szCs w:val="22"/>
        </w:rPr>
        <w:footnoteReference w:id="9"/>
      </w:r>
      <w:r w:rsidRPr="00D04868">
        <w:rPr>
          <w:snapToGrid/>
          <w:kern w:val="0"/>
          <w:szCs w:val="22"/>
        </w:rPr>
        <w:t xml:space="preserve">  Licensees serve primarily carrier and enterprise customers requiring bandwidth-intensive services over regional and metropolitan fiber networks.</w:t>
      </w:r>
      <w:r>
        <w:rPr>
          <w:rStyle w:val="FootnoteReference"/>
          <w:snapToGrid/>
          <w:kern w:val="0"/>
          <w:szCs w:val="22"/>
        </w:rPr>
        <w:footnoteReference w:id="10"/>
      </w:r>
      <w:r w:rsidRPr="00D04868">
        <w:rPr>
          <w:snapToGrid/>
          <w:kern w:val="0"/>
          <w:szCs w:val="22"/>
        </w:rPr>
        <w:t xml:space="preserve">  Licensees also hold international section 214 authority.</w:t>
      </w:r>
      <w:r>
        <w:rPr>
          <w:rStyle w:val="FootnoteReference"/>
          <w:snapToGrid/>
          <w:kern w:val="0"/>
          <w:szCs w:val="22"/>
        </w:rPr>
        <w:footnoteReference w:id="11"/>
      </w:r>
      <w:r w:rsidRPr="00D04868">
        <w:rPr>
          <w:snapToGrid/>
          <w:kern w:val="0"/>
          <w:szCs w:val="22"/>
        </w:rPr>
        <w:t xml:space="preserve">  ZGL is a licensee on the AmeriCan-1 submarine cable.</w:t>
      </w:r>
      <w:r>
        <w:rPr>
          <w:rStyle w:val="FootnoteReference"/>
          <w:snapToGrid/>
          <w:kern w:val="0"/>
          <w:szCs w:val="22"/>
        </w:rPr>
        <w:footnoteReference w:id="12"/>
      </w:r>
    </w:p>
    <w:p w:rsidR="005614FA" w:rsidP="005614FA" w14:paraId="352911D5" w14:textId="77777777">
      <w:pPr>
        <w:widowControl/>
        <w:autoSpaceDE w:val="0"/>
        <w:autoSpaceDN w:val="0"/>
        <w:adjustRightInd w:val="0"/>
        <w:ind w:firstLine="720"/>
        <w:rPr>
          <w:snapToGrid/>
          <w:kern w:val="0"/>
          <w:szCs w:val="22"/>
        </w:rPr>
      </w:pPr>
    </w:p>
    <w:p w:rsidR="005614FA" w:rsidP="005614FA" w14:paraId="039DE94E" w14:textId="77777777">
      <w:pPr>
        <w:widowControl/>
        <w:autoSpaceDE w:val="0"/>
        <w:autoSpaceDN w:val="0"/>
        <w:adjustRightInd w:val="0"/>
        <w:ind w:firstLine="720"/>
        <w:rPr>
          <w:szCs w:val="22"/>
        </w:rPr>
      </w:pPr>
      <w:r w:rsidRPr="007D6054">
        <w:rPr>
          <w:snapToGrid/>
          <w:kern w:val="0"/>
          <w:szCs w:val="22"/>
        </w:rPr>
        <w:t>Front Range, a Delaware holding company, was created for purposes of the proposed transaction to aggregate the ownership of various investment and co-investment vehicles ultimately managed by (i) affiliates of EQT AB (EQT), a Swedish investment firm, and (ii) affiliates of Digital Colony GP, LLC (Digital Colony), a Delaware investment firm.</w:t>
      </w:r>
      <w:r>
        <w:rPr>
          <w:snapToGrid/>
          <w:kern w:val="0"/>
          <w:szCs w:val="22"/>
          <w:vertAlign w:val="superscript"/>
        </w:rPr>
        <w:footnoteReference w:id="13"/>
      </w:r>
      <w:r w:rsidRPr="004F4239">
        <w:rPr>
          <w:szCs w:val="22"/>
        </w:rPr>
        <w:t xml:space="preserve">  Front Range is affiliated with two incumbent LECs, Lumos Telephone Inc. and Lumos Telephone of Botetourt Inc. (together, Lumos Networks), both Virginia entities serving rural Virginia.  In addition, Front Range is affiliated with other providers of competitive telecommunications services operating in several states, all U.S. entities:  Lumos Networks Inc., Lumos Networks of West Virginia Inc., Lumos Networks LLC, FiberNet of Ohio, LLC, FiberNet Telecommunications of Pennsylvania, LLC, FiberNet of Virginia, Inc., LMK Communications, LLC, South Carolina Telecommunications Group Holdings, LLC, South Carolina Net, Inc. d/b/a Spirit Telecom, PalmettoNet, Inc., and FRC, LLC.</w:t>
      </w:r>
      <w:r>
        <w:rPr>
          <w:rStyle w:val="FootnoteReference"/>
          <w:szCs w:val="22"/>
        </w:rPr>
        <w:footnoteReference w:id="14"/>
      </w:r>
      <w:r w:rsidRPr="004F4239">
        <w:rPr>
          <w:szCs w:val="22"/>
        </w:rPr>
        <w:t xml:space="preserve">  Applicants state that there are no enterprise building overlaps where both the Licensees and a domestic telecommunications service provider affiliate of Front Range offer lit service, including in Virginia</w:t>
      </w:r>
      <w:r>
        <w:rPr>
          <w:szCs w:val="22"/>
        </w:rPr>
        <w:t>,</w:t>
      </w:r>
      <w:r w:rsidRPr="004F4239">
        <w:rPr>
          <w:szCs w:val="22"/>
        </w:rPr>
        <w:t xml:space="preserve"> where Lumos Networks provides </w:t>
      </w:r>
      <w:r>
        <w:rPr>
          <w:szCs w:val="22"/>
        </w:rPr>
        <w:t xml:space="preserve">incumbent LEC </w:t>
      </w:r>
      <w:r w:rsidRPr="004F4239">
        <w:rPr>
          <w:szCs w:val="22"/>
        </w:rPr>
        <w:t>service.</w:t>
      </w:r>
      <w:r>
        <w:rPr>
          <w:rStyle w:val="FootnoteReference"/>
          <w:szCs w:val="22"/>
        </w:rPr>
        <w:footnoteReference w:id="15"/>
      </w:r>
      <w:r w:rsidRPr="004F4239">
        <w:rPr>
          <w:szCs w:val="22"/>
        </w:rPr>
        <w:t xml:space="preserve">  </w:t>
      </w:r>
    </w:p>
    <w:p w:rsidR="005614FA" w:rsidRPr="007D6054" w:rsidP="005614FA" w14:paraId="5C0C0F67" w14:textId="77777777">
      <w:pPr>
        <w:widowControl/>
        <w:autoSpaceDE w:val="0"/>
        <w:autoSpaceDN w:val="0"/>
        <w:adjustRightInd w:val="0"/>
        <w:ind w:firstLine="720"/>
        <w:rPr>
          <w:snapToGrid/>
          <w:kern w:val="0"/>
          <w:szCs w:val="22"/>
        </w:rPr>
      </w:pPr>
    </w:p>
    <w:p w:rsidR="005614FA" w:rsidP="005614FA" w14:paraId="55B7D9DA"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color w:val="000000"/>
          <w:u w:val="single"/>
        </w:rPr>
      </w:pPr>
      <w:r>
        <w:rPr>
          <w:b/>
          <w:color w:val="000000"/>
          <w:u w:val="single"/>
        </w:rPr>
        <w:t>National Security, Law Enforcement, Foreign Policy and Trade Policy Concerns</w:t>
      </w:r>
    </w:p>
    <w:p w:rsidR="005614FA" w:rsidRPr="004F4239" w:rsidP="005614FA" w14:paraId="092D6E91"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color w:val="000000"/>
          <w:u w:val="single"/>
        </w:rPr>
      </w:pPr>
    </w:p>
    <w:p w:rsidR="005614FA" w:rsidRPr="004F4239" w:rsidP="005614FA" w14:paraId="2EF77982" w14:textId="72A018A1">
      <w:pPr>
        <w:widowControl/>
        <w:autoSpaceDE w:val="0"/>
        <w:autoSpaceDN w:val="0"/>
        <w:adjustRightInd w:val="0"/>
        <w:ind w:firstLine="720"/>
        <w:rPr>
          <w:color w:val="000000"/>
        </w:rPr>
      </w:pPr>
      <w:r>
        <w:rPr>
          <w:color w:val="000000"/>
        </w:rPr>
        <w:t xml:space="preserve">On July 10, 2019, the Department of Justice (DOJ), with the concurrence of the Department of Homeland Security (DHS) and the Department of Defense (DOD) </w:t>
      </w:r>
      <w:r>
        <w:rPr>
          <w:color w:val="000000"/>
          <w:szCs w:val="24"/>
        </w:rPr>
        <w:t xml:space="preserve">(collectively, Executive Branch </w:t>
      </w:r>
      <w:r>
        <w:rPr>
          <w:color w:val="000000"/>
          <w:szCs w:val="24"/>
        </w:rPr>
        <w:t>agencies)</w:t>
      </w:r>
      <w:r>
        <w:rPr>
          <w:color w:val="000000"/>
        </w:rPr>
        <w:t>, filed a letter requesting that the Commission defer action</w:t>
      </w:r>
      <w:r>
        <w:rPr>
          <w:color w:val="000000"/>
          <w:szCs w:val="24"/>
        </w:rPr>
        <w:t xml:space="preserve"> on these Applications while they reviewed potential national security, law enforcement, and public safety issues.</w:t>
      </w:r>
      <w:r>
        <w:rPr>
          <w:rStyle w:val="FootnoteReference"/>
          <w:color w:val="000000"/>
          <w:sz w:val="20"/>
        </w:rPr>
        <w:footnoteReference w:id="16"/>
      </w:r>
      <w:r>
        <w:rPr>
          <w:color w:val="000000"/>
          <w:szCs w:val="24"/>
        </w:rPr>
        <w:t xml:space="preserve">  We deferred action in response to this request.  </w:t>
      </w:r>
      <w:r w:rsidRPr="0007304F">
        <w:rPr>
          <w:color w:val="212121"/>
          <w:szCs w:val="22"/>
        </w:rPr>
        <w:t xml:space="preserve">On </w:t>
      </w:r>
      <w:r>
        <w:rPr>
          <w:color w:val="212121"/>
          <w:szCs w:val="22"/>
        </w:rPr>
        <w:t>January 22, 2020</w:t>
      </w:r>
      <w:r w:rsidRPr="0007304F">
        <w:rPr>
          <w:color w:val="212121"/>
          <w:szCs w:val="22"/>
        </w:rPr>
        <w:t xml:space="preserve">, </w:t>
      </w:r>
      <w:r>
        <w:rPr>
          <w:color w:val="212121"/>
          <w:szCs w:val="22"/>
        </w:rPr>
        <w:t>DOJ, with the concurrence of DHS,</w:t>
      </w:r>
      <w:r w:rsidRPr="0007304F">
        <w:rPr>
          <w:color w:val="212121"/>
          <w:szCs w:val="22"/>
        </w:rPr>
        <w:t xml:space="preserve"> submitted a Petition to Adopt Conditions</w:t>
      </w:r>
      <w:r>
        <w:rPr>
          <w:color w:val="212121"/>
          <w:szCs w:val="22"/>
        </w:rPr>
        <w:t xml:space="preserve"> to Authorizations and Licenses (DOJ Petition)</w:t>
      </w:r>
      <w:r w:rsidRPr="0007304F">
        <w:rPr>
          <w:color w:val="212121"/>
          <w:szCs w:val="22"/>
        </w:rPr>
        <w:t>.</w:t>
      </w:r>
      <w:r>
        <w:rPr>
          <w:rStyle w:val="FootnoteReference"/>
          <w:szCs w:val="22"/>
        </w:rPr>
        <w:footnoteReference w:id="17"/>
      </w:r>
      <w:r w:rsidRPr="0007304F">
        <w:rPr>
          <w:color w:val="212121"/>
          <w:szCs w:val="22"/>
        </w:rPr>
        <w:t xml:space="preserve">  In </w:t>
      </w:r>
      <w:r>
        <w:rPr>
          <w:color w:val="212121"/>
          <w:szCs w:val="22"/>
        </w:rPr>
        <w:t>its p</w:t>
      </w:r>
      <w:r w:rsidRPr="0007304F">
        <w:rPr>
          <w:color w:val="212121"/>
          <w:szCs w:val="22"/>
        </w:rPr>
        <w:t xml:space="preserve">etition, </w:t>
      </w:r>
      <w:r>
        <w:rPr>
          <w:color w:val="212121"/>
          <w:szCs w:val="22"/>
        </w:rPr>
        <w:t>DOJ advises</w:t>
      </w:r>
      <w:r w:rsidRPr="0007304F">
        <w:rPr>
          <w:color w:val="212121"/>
          <w:szCs w:val="22"/>
        </w:rPr>
        <w:t xml:space="preserve"> the Commission that </w:t>
      </w:r>
      <w:r>
        <w:rPr>
          <w:color w:val="212121"/>
          <w:szCs w:val="22"/>
        </w:rPr>
        <w:t>it has</w:t>
      </w:r>
      <w:r w:rsidRPr="0007304F">
        <w:rPr>
          <w:color w:val="212121"/>
          <w:szCs w:val="22"/>
        </w:rPr>
        <w:t xml:space="preserve"> no objection to the Commission approving the</w:t>
      </w:r>
      <w:r>
        <w:rPr>
          <w:color w:val="212121"/>
          <w:szCs w:val="22"/>
        </w:rPr>
        <w:t xml:space="preserve"> Applications and the section 310(b)(4) petition</w:t>
      </w:r>
      <w:r w:rsidRPr="0007304F">
        <w:rPr>
          <w:color w:val="212121"/>
          <w:szCs w:val="22"/>
        </w:rPr>
        <w:t xml:space="preserve"> provided </w:t>
      </w:r>
      <w:r>
        <w:rPr>
          <w:color w:val="212121"/>
          <w:szCs w:val="22"/>
        </w:rPr>
        <w:t xml:space="preserve">that </w:t>
      </w:r>
      <w:r w:rsidRPr="0007304F">
        <w:rPr>
          <w:color w:val="212121"/>
          <w:szCs w:val="22"/>
        </w:rPr>
        <w:t xml:space="preserve">the Commission conditions its approval on </w:t>
      </w:r>
      <w:r>
        <w:rPr>
          <w:color w:val="212121"/>
          <w:szCs w:val="22"/>
        </w:rPr>
        <w:t xml:space="preserve">the assurance of </w:t>
      </w:r>
      <w:r w:rsidRPr="00C50A2E">
        <w:rPr>
          <w:color w:val="212121"/>
          <w:szCs w:val="22"/>
        </w:rPr>
        <w:t xml:space="preserve">Zayo, </w:t>
      </w:r>
      <w:r w:rsidR="001F1CB2">
        <w:rPr>
          <w:color w:val="212121"/>
          <w:szCs w:val="22"/>
        </w:rPr>
        <w:t>ZGL</w:t>
      </w:r>
      <w:r w:rsidRPr="00C50A2E">
        <w:rPr>
          <w:color w:val="212121"/>
          <w:szCs w:val="22"/>
        </w:rPr>
        <w:t>, Electric Lightwave, and Allstream</w:t>
      </w:r>
      <w:r>
        <w:rPr>
          <w:color w:val="212121"/>
          <w:szCs w:val="22"/>
        </w:rPr>
        <w:t xml:space="preserve"> </w:t>
      </w:r>
      <w:r w:rsidRPr="0007304F">
        <w:rPr>
          <w:color w:val="212121"/>
          <w:szCs w:val="22"/>
        </w:rPr>
        <w:t>to abide by</w:t>
      </w:r>
      <w:r>
        <w:rPr>
          <w:color w:val="212121"/>
          <w:szCs w:val="22"/>
        </w:rPr>
        <w:t xml:space="preserve"> the commitments and </w:t>
      </w:r>
      <w:r w:rsidRPr="0007304F">
        <w:rPr>
          <w:color w:val="212121"/>
          <w:szCs w:val="22"/>
        </w:rPr>
        <w:t xml:space="preserve">undertakings set forth in the </w:t>
      </w:r>
      <w:r>
        <w:rPr>
          <w:color w:val="212121"/>
          <w:szCs w:val="22"/>
        </w:rPr>
        <w:t>January 21, 2020</w:t>
      </w:r>
      <w:r w:rsidRPr="0007304F">
        <w:rPr>
          <w:color w:val="212121"/>
          <w:szCs w:val="22"/>
        </w:rPr>
        <w:t xml:space="preserve"> </w:t>
      </w:r>
      <w:r>
        <w:rPr>
          <w:color w:val="212121"/>
          <w:szCs w:val="22"/>
        </w:rPr>
        <w:t>Letter of Agreement.</w:t>
      </w:r>
      <w:r>
        <w:rPr>
          <w:rStyle w:val="FootnoteReference"/>
          <w:szCs w:val="22"/>
        </w:rPr>
        <w:footnoteReference w:id="18"/>
      </w:r>
      <w:r w:rsidRPr="0007304F">
        <w:rPr>
          <w:color w:val="212121"/>
          <w:szCs w:val="22"/>
        </w:rPr>
        <w:t xml:space="preserve">  </w:t>
      </w:r>
      <w:r w:rsidRPr="00ED6F96">
        <w:rPr>
          <w:color w:val="000000"/>
          <w:szCs w:val="22"/>
        </w:rPr>
        <w:t xml:space="preserve"> </w:t>
      </w:r>
    </w:p>
    <w:p w:rsidR="005614FA" w:rsidRPr="00F73399" w:rsidP="005614FA" w14:paraId="66FD38FB"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rPr>
      </w:pPr>
    </w:p>
    <w:p w:rsidR="005614FA" w:rsidP="005614FA" w14:paraId="1B7FDD56" w14:textId="5D385A84">
      <w:pPr>
        <w:widowControl/>
        <w:ind w:firstLine="720"/>
        <w:rPr>
          <w:rFonts w:ascii="Arial" w:hAnsi="Arial" w:cs="Arial"/>
          <w:color w:val="212121"/>
          <w:sz w:val="21"/>
          <w:szCs w:val="21"/>
        </w:rPr>
      </w:pPr>
      <w:r>
        <w:rPr>
          <w:color w:val="000000"/>
          <w:szCs w:val="22"/>
        </w:rPr>
        <w:t xml:space="preserve">In accordance with the request of DOJ and in the absence of any objection from the </w:t>
      </w:r>
      <w:r w:rsidR="007D3761">
        <w:rPr>
          <w:color w:val="000000"/>
          <w:szCs w:val="22"/>
        </w:rPr>
        <w:t>Applicants</w:t>
      </w:r>
      <w:r w:rsidR="003E7B6C">
        <w:rPr>
          <w:color w:val="000000"/>
          <w:szCs w:val="22"/>
        </w:rPr>
        <w:t>,</w:t>
      </w:r>
      <w:r w:rsidR="007D3761">
        <w:rPr>
          <w:color w:val="000000"/>
          <w:szCs w:val="22"/>
        </w:rPr>
        <w:t xml:space="preserve"> </w:t>
      </w:r>
      <w:r>
        <w:rPr>
          <w:color w:val="000000"/>
          <w:szCs w:val="22"/>
        </w:rPr>
        <w:t xml:space="preserve">we grant the DOJ </w:t>
      </w:r>
      <w:r w:rsidRPr="0007304F">
        <w:rPr>
          <w:color w:val="212121"/>
          <w:szCs w:val="22"/>
        </w:rPr>
        <w:t>Petition</w:t>
      </w:r>
      <w:r>
        <w:rPr>
          <w:color w:val="212121"/>
          <w:szCs w:val="22"/>
        </w:rPr>
        <w:t>, and,</w:t>
      </w:r>
      <w:r>
        <w:rPr>
          <w:color w:val="000000"/>
          <w:szCs w:val="22"/>
        </w:rPr>
        <w:t xml:space="preserve"> accordingly, we condition grant of the Applications</w:t>
      </w:r>
      <w:r>
        <w:rPr>
          <w:color w:val="212121"/>
          <w:szCs w:val="22"/>
        </w:rPr>
        <w:t xml:space="preserve"> and section 310(b)(4) petition</w:t>
      </w:r>
      <w:r w:rsidRPr="0007304F">
        <w:rPr>
          <w:color w:val="212121"/>
          <w:szCs w:val="22"/>
        </w:rPr>
        <w:t xml:space="preserve"> </w:t>
      </w:r>
      <w:r>
        <w:rPr>
          <w:color w:val="212121"/>
          <w:szCs w:val="22"/>
        </w:rPr>
        <w:t xml:space="preserve">on compliance by </w:t>
      </w:r>
      <w:r w:rsidR="001F1CB2">
        <w:rPr>
          <w:color w:val="212121"/>
          <w:szCs w:val="22"/>
        </w:rPr>
        <w:t xml:space="preserve">Zayo, ZGL, </w:t>
      </w:r>
      <w:r w:rsidRPr="00C50A2E">
        <w:rPr>
          <w:color w:val="212121"/>
          <w:szCs w:val="22"/>
        </w:rPr>
        <w:t xml:space="preserve">Electric Lightwave, and Allstream </w:t>
      </w:r>
      <w:r>
        <w:rPr>
          <w:color w:val="212121"/>
          <w:szCs w:val="22"/>
        </w:rPr>
        <w:t xml:space="preserve"> with the commitments and undertaking</w:t>
      </w:r>
      <w:r w:rsidR="004903BF">
        <w:rPr>
          <w:color w:val="212121"/>
          <w:szCs w:val="22"/>
        </w:rPr>
        <w:t>s</w:t>
      </w:r>
      <w:r>
        <w:rPr>
          <w:color w:val="212121"/>
          <w:szCs w:val="22"/>
        </w:rPr>
        <w:t xml:space="preserve"> set out in the </w:t>
      </w:r>
      <w:r>
        <w:t>letter from Michael Mooney, General Counsel</w:t>
      </w:r>
      <w:r w:rsidR="001F1CB2">
        <w:t xml:space="preserve"> of</w:t>
      </w:r>
      <w:r>
        <w:t xml:space="preserve"> Zayo</w:t>
      </w:r>
      <w:r w:rsidR="001F1CB2">
        <w:t>,</w:t>
      </w:r>
      <w:r>
        <w:t xml:space="preserve"> Z</w:t>
      </w:r>
      <w:r w:rsidR="001F1CB2">
        <w:t>GL</w:t>
      </w:r>
      <w:r>
        <w:t xml:space="preserve">, Electric Lightwave, </w:t>
      </w:r>
      <w:r w:rsidR="001F1CB2">
        <w:t xml:space="preserve">and </w:t>
      </w:r>
      <w:r>
        <w:t>Allstream to the Assistant Attorney General for National Security, United States Department of Justice, National Security Division</w:t>
      </w:r>
      <w:r w:rsidR="003E7B6C">
        <w:t>,</w:t>
      </w:r>
      <w:r>
        <w:t xml:space="preserve"> and the Assistant Secretary for Border, Immigration and Trade Office of Policy, U.S. Department of Homeland Security (</w:t>
      </w:r>
      <w:r>
        <w:rPr>
          <w:color w:val="212121"/>
          <w:szCs w:val="22"/>
        </w:rPr>
        <w:t>LOA).</w:t>
      </w:r>
      <w:r>
        <w:rPr>
          <w:rStyle w:val="FootnoteReference"/>
          <w:szCs w:val="22"/>
        </w:rPr>
        <w:footnoteReference w:id="19"/>
      </w:r>
      <w:r>
        <w:rPr>
          <w:color w:val="212121"/>
          <w:szCs w:val="22"/>
        </w:rPr>
        <w:t xml:space="preserve">  </w:t>
      </w:r>
      <w:r w:rsidRPr="00DB54CA">
        <w:rPr>
          <w:color w:val="212121"/>
          <w:szCs w:val="22"/>
        </w:rPr>
        <w:t xml:space="preserve">A failure to comply with and/or remain in compliance with any of the provisions of the </w:t>
      </w:r>
      <w:r>
        <w:rPr>
          <w:color w:val="212121"/>
          <w:szCs w:val="22"/>
        </w:rPr>
        <w:t>LOA</w:t>
      </w:r>
      <w:r w:rsidRPr="00DB54CA">
        <w:rPr>
          <w:color w:val="212121"/>
          <w:szCs w:val="22"/>
        </w:rPr>
        <w:t xml:space="preserve"> shall constitute a failure to meet a condition of th</w:t>
      </w:r>
      <w:r>
        <w:rPr>
          <w:color w:val="212121"/>
          <w:szCs w:val="22"/>
        </w:rPr>
        <w:t>ese</w:t>
      </w:r>
      <w:r w:rsidRPr="00DB54CA">
        <w:rPr>
          <w:color w:val="212121"/>
          <w:szCs w:val="22"/>
        </w:rPr>
        <w:t xml:space="preserve"> authorization</w:t>
      </w:r>
      <w:r>
        <w:rPr>
          <w:color w:val="212121"/>
          <w:szCs w:val="22"/>
        </w:rPr>
        <w:t>s</w:t>
      </w:r>
      <w:r w:rsidRPr="00DB54CA">
        <w:rPr>
          <w:color w:val="212121"/>
          <w:szCs w:val="22"/>
        </w:rPr>
        <w:t xml:space="preserve"> </w:t>
      </w:r>
      <w:r>
        <w:rPr>
          <w:color w:val="212121"/>
          <w:szCs w:val="22"/>
        </w:rPr>
        <w:t xml:space="preserve">and the underlying authorizations and licenses </w:t>
      </w:r>
      <w:r w:rsidRPr="00DB54CA">
        <w:rPr>
          <w:color w:val="212121"/>
          <w:szCs w:val="22"/>
        </w:rPr>
        <w:t xml:space="preserve">and thus grounds for declaring the underlying </w:t>
      </w:r>
      <w:r>
        <w:rPr>
          <w:color w:val="212121"/>
          <w:szCs w:val="22"/>
        </w:rPr>
        <w:t xml:space="preserve">authorizations and licenses </w:t>
      </w:r>
      <w:r w:rsidRPr="00DB54CA">
        <w:rPr>
          <w:color w:val="212121"/>
          <w:szCs w:val="22"/>
        </w:rPr>
        <w:t>terminated without further action on the part of the Commission.  Failure to meet a condition of th</w:t>
      </w:r>
      <w:r>
        <w:rPr>
          <w:color w:val="212121"/>
          <w:szCs w:val="22"/>
        </w:rPr>
        <w:t>ese</w:t>
      </w:r>
      <w:r w:rsidRPr="00DB54CA">
        <w:rPr>
          <w:color w:val="212121"/>
          <w:szCs w:val="22"/>
        </w:rPr>
        <w:t xml:space="preserve"> authorization</w:t>
      </w:r>
      <w:r>
        <w:rPr>
          <w:color w:val="212121"/>
          <w:szCs w:val="22"/>
        </w:rPr>
        <w:t>s</w:t>
      </w:r>
      <w:r w:rsidRPr="00DB54CA">
        <w:rPr>
          <w:color w:val="212121"/>
          <w:szCs w:val="22"/>
        </w:rPr>
        <w:t xml:space="preserve"> may also result in monetary sanctions or other enforcement action by the Commission.</w:t>
      </w:r>
      <w:r w:rsidRPr="00DB54CA">
        <w:rPr>
          <w:rFonts w:ascii="Arial" w:hAnsi="Arial" w:cs="Arial"/>
          <w:color w:val="212121"/>
          <w:sz w:val="21"/>
          <w:szCs w:val="21"/>
        </w:rPr>
        <w:t xml:space="preserve">  </w:t>
      </w:r>
    </w:p>
    <w:p w:rsidR="005614FA" w:rsidP="005614FA" w14:paraId="135AF227" w14:textId="77777777">
      <w:pPr>
        <w:widowControl/>
        <w:rPr>
          <w:rFonts w:ascii="Arial" w:hAnsi="Arial" w:cs="Arial"/>
          <w:color w:val="212121"/>
          <w:sz w:val="21"/>
          <w:szCs w:val="21"/>
        </w:rPr>
      </w:pPr>
    </w:p>
    <w:p w:rsidR="005614FA" w:rsidRPr="001330FF" w:rsidP="005614FA" w14:paraId="230887B4" w14:textId="77777777">
      <w:pPr>
        <w:widowControl/>
        <w:rPr>
          <w:b/>
          <w:color w:val="212121"/>
          <w:szCs w:val="22"/>
          <w:u w:val="single"/>
        </w:rPr>
      </w:pPr>
      <w:r w:rsidRPr="001330FF">
        <w:rPr>
          <w:b/>
          <w:color w:val="212121"/>
          <w:szCs w:val="22"/>
          <w:u w:val="single"/>
        </w:rPr>
        <w:t>Grant of Petition for Declaratory Ruling Under Section 310(b)(4)</w:t>
      </w:r>
    </w:p>
    <w:p w:rsidR="005614FA" w:rsidRPr="004F4239" w:rsidP="005614FA" w14:paraId="194ACD73" w14:textId="77777777">
      <w:pPr>
        <w:widowControl/>
        <w:ind w:firstLine="720"/>
        <w:rPr>
          <w:color w:val="212121"/>
          <w:szCs w:val="22"/>
        </w:rPr>
      </w:pPr>
    </w:p>
    <w:p w:rsidR="005614FA" w:rsidRPr="001539F3" w:rsidP="005614FA" w14:paraId="65B86C13" w14:textId="2068F843">
      <w:pPr>
        <w:widowControl/>
        <w:ind w:firstLine="720"/>
        <w:rPr>
          <w:szCs w:val="22"/>
          <w:shd w:val="clear" w:color="auto" w:fill="FFFFFF"/>
        </w:rPr>
      </w:pPr>
      <w:r w:rsidRPr="001539F3">
        <w:rPr>
          <w:szCs w:val="22"/>
          <w:shd w:val="clear" w:color="auto" w:fill="FFFFFF"/>
        </w:rPr>
        <w:t xml:space="preserve">In connection with the proposed transaction, Petitioners </w:t>
      </w:r>
      <w:r>
        <w:rPr>
          <w:szCs w:val="22"/>
          <w:shd w:val="clear" w:color="auto" w:fill="FFFFFF"/>
        </w:rPr>
        <w:t xml:space="preserve">filed a Petition </w:t>
      </w:r>
      <w:r w:rsidRPr="001539F3">
        <w:rPr>
          <w:szCs w:val="22"/>
          <w:shd w:val="clear" w:color="auto" w:fill="FFFFFF"/>
        </w:rPr>
        <w:t>request</w:t>
      </w:r>
      <w:r>
        <w:rPr>
          <w:szCs w:val="22"/>
          <w:shd w:val="clear" w:color="auto" w:fill="FFFFFF"/>
        </w:rPr>
        <w:t>ing</w:t>
      </w:r>
      <w:r w:rsidRPr="001539F3">
        <w:rPr>
          <w:szCs w:val="22"/>
          <w:shd w:val="clear" w:color="auto" w:fill="FFFFFF"/>
        </w:rPr>
        <w:t xml:space="preserve"> that the Commission </w:t>
      </w:r>
      <w:r>
        <w:rPr>
          <w:szCs w:val="22"/>
          <w:shd w:val="clear" w:color="auto" w:fill="FFFFFF"/>
        </w:rPr>
        <w:t xml:space="preserve">find, </w:t>
      </w:r>
      <w:r w:rsidRPr="001539F3">
        <w:rPr>
          <w:szCs w:val="22"/>
          <w:shd w:val="clear" w:color="auto" w:fill="FFFFFF"/>
        </w:rPr>
        <w:t xml:space="preserve">pursuant to section 310(b)(4) of the Act and section 1.5000(a)(1) of the Commission’s </w:t>
      </w:r>
      <w:r w:rsidRPr="001539F3">
        <w:rPr>
          <w:szCs w:val="22"/>
          <w:shd w:val="clear" w:color="auto" w:fill="FFFFFF"/>
        </w:rPr>
        <w:t>rules, that foreign ownership of ZGL’s controlling U.S. parent, Zayo, above the 25</w:t>
      </w:r>
      <w:r>
        <w:rPr>
          <w:szCs w:val="22"/>
          <w:shd w:val="clear" w:color="auto" w:fill="FFFFFF"/>
        </w:rPr>
        <w:t>%</w:t>
      </w:r>
      <w:r w:rsidRPr="001539F3">
        <w:rPr>
          <w:szCs w:val="22"/>
          <w:shd w:val="clear" w:color="auto" w:fill="FFFFFF"/>
        </w:rPr>
        <w:t xml:space="preserve"> benchmark in section 310(b)(4) is in the public interest.</w:t>
      </w:r>
      <w:r>
        <w:rPr>
          <w:szCs w:val="22"/>
          <w:shd w:val="clear" w:color="auto" w:fill="FFFFFF"/>
          <w:vertAlign w:val="superscript"/>
        </w:rPr>
        <w:footnoteReference w:id="20"/>
      </w:r>
    </w:p>
    <w:p w:rsidR="005614FA" w:rsidRPr="00A6263A" w:rsidP="005614FA" w14:paraId="6F16F0B0" w14:textId="77777777">
      <w:pPr>
        <w:widowControl/>
        <w:ind w:firstLine="720"/>
        <w:rPr>
          <w:szCs w:val="22"/>
          <w:shd w:val="clear" w:color="auto" w:fill="FFFFFF"/>
        </w:rPr>
      </w:pPr>
    </w:p>
    <w:p w:rsidR="005614FA" w:rsidRPr="00A6263A" w:rsidP="005614FA" w14:paraId="5E1C7D55" w14:textId="7608EB3E">
      <w:pPr>
        <w:widowControl/>
        <w:ind w:firstLine="720"/>
        <w:rPr>
          <w:szCs w:val="22"/>
          <w:shd w:val="clear" w:color="auto" w:fill="FFFFFF"/>
        </w:rPr>
      </w:pPr>
      <w:r w:rsidRPr="00A6263A">
        <w:rPr>
          <w:szCs w:val="22"/>
          <w:shd w:val="clear" w:color="auto" w:fill="FFFFFF"/>
        </w:rPr>
        <w:t xml:space="preserve">The Petition states that, upon completion of the proposed transaction, </w:t>
      </w:r>
      <w:r>
        <w:rPr>
          <w:szCs w:val="22"/>
          <w:shd w:val="clear" w:color="auto" w:fill="FFFFFF"/>
        </w:rPr>
        <w:t xml:space="preserve">Zayo </w:t>
      </w:r>
      <w:r w:rsidRPr="00A6263A">
        <w:rPr>
          <w:szCs w:val="22"/>
          <w:shd w:val="clear" w:color="auto" w:fill="FFFFFF"/>
        </w:rPr>
        <w:t>would have</w:t>
      </w:r>
      <w:r>
        <w:rPr>
          <w:szCs w:val="22"/>
          <w:shd w:val="clear" w:color="auto" w:fill="FFFFFF"/>
        </w:rPr>
        <w:t xml:space="preserve"> </w:t>
      </w:r>
      <w:r w:rsidRPr="00A6263A">
        <w:rPr>
          <w:szCs w:val="22"/>
          <w:shd w:val="clear" w:color="auto" w:fill="FFFFFF"/>
        </w:rPr>
        <w:t>aggregate</w:t>
      </w:r>
      <w:r>
        <w:rPr>
          <w:szCs w:val="22"/>
          <w:shd w:val="clear" w:color="auto" w:fill="FFFFFF"/>
        </w:rPr>
        <w:t xml:space="preserve"> indirect</w:t>
      </w:r>
      <w:r w:rsidRPr="00A6263A">
        <w:rPr>
          <w:szCs w:val="22"/>
          <w:shd w:val="clear" w:color="auto" w:fill="FFFFFF"/>
        </w:rPr>
        <w:t xml:space="preserve"> </w:t>
      </w:r>
      <w:r>
        <w:rPr>
          <w:szCs w:val="22"/>
          <w:shd w:val="clear" w:color="auto" w:fill="FFFFFF"/>
        </w:rPr>
        <w:t xml:space="preserve">foreign </w:t>
      </w:r>
      <w:r w:rsidRPr="00A6263A">
        <w:rPr>
          <w:szCs w:val="22"/>
          <w:shd w:val="clear" w:color="auto" w:fill="FFFFFF"/>
        </w:rPr>
        <w:t>equity and voting interests of 49.57% and 100%, respectively.</w:t>
      </w:r>
      <w:r>
        <w:rPr>
          <w:rStyle w:val="FootnoteReference"/>
          <w:szCs w:val="22"/>
          <w:shd w:val="clear" w:color="auto" w:fill="FFFFFF"/>
        </w:rPr>
        <w:footnoteReference w:id="21"/>
      </w:r>
      <w:r w:rsidRPr="00A6263A">
        <w:rPr>
          <w:szCs w:val="22"/>
          <w:shd w:val="clear" w:color="auto" w:fill="FFFFFF"/>
        </w:rPr>
        <w:t xml:space="preserve">  </w:t>
      </w:r>
      <w:r>
        <w:rPr>
          <w:szCs w:val="22"/>
          <w:shd w:val="clear" w:color="auto" w:fill="FFFFFF"/>
        </w:rPr>
        <w:t xml:space="preserve">As discussed above, </w:t>
      </w:r>
      <w:r w:rsidRPr="007D6054">
        <w:rPr>
          <w:snapToGrid/>
          <w:kern w:val="0"/>
          <w:szCs w:val="22"/>
        </w:rPr>
        <w:t>Front Ran</w:t>
      </w:r>
      <w:r>
        <w:rPr>
          <w:snapToGrid/>
          <w:kern w:val="0"/>
          <w:szCs w:val="22"/>
        </w:rPr>
        <w:t xml:space="preserve">ge </w:t>
      </w:r>
      <w:r w:rsidRPr="007D6054">
        <w:rPr>
          <w:snapToGrid/>
          <w:kern w:val="0"/>
          <w:szCs w:val="22"/>
        </w:rPr>
        <w:t xml:space="preserve">was created for purposes of the proposed transaction to aggregate the ownership of various investment and co-investment vehicles ultimately managed by (i) affiliates of </w:t>
      </w:r>
      <w:r>
        <w:rPr>
          <w:snapToGrid/>
          <w:kern w:val="0"/>
          <w:szCs w:val="22"/>
        </w:rPr>
        <w:t>EQT</w:t>
      </w:r>
      <w:r w:rsidRPr="007D6054">
        <w:rPr>
          <w:snapToGrid/>
          <w:kern w:val="0"/>
          <w:szCs w:val="22"/>
        </w:rPr>
        <w:t xml:space="preserve">, a Swedish investment firm, and (ii) affiliates of </w:t>
      </w:r>
      <w:r>
        <w:rPr>
          <w:snapToGrid/>
          <w:kern w:val="0"/>
          <w:szCs w:val="22"/>
        </w:rPr>
        <w:t>Digital Colony</w:t>
      </w:r>
      <w:r w:rsidRPr="007D6054">
        <w:rPr>
          <w:snapToGrid/>
          <w:kern w:val="0"/>
          <w:szCs w:val="22"/>
        </w:rPr>
        <w:t>, a Delaware investment firm</w:t>
      </w:r>
      <w:r>
        <w:rPr>
          <w:snapToGrid/>
          <w:kern w:val="0"/>
          <w:szCs w:val="22"/>
        </w:rPr>
        <w:t xml:space="preserve"> that is controlled by Colony Capital, Inc., a publicly traded, widely held U.S. corporation</w:t>
      </w:r>
      <w:r w:rsidRPr="007D6054">
        <w:rPr>
          <w:snapToGrid/>
          <w:kern w:val="0"/>
          <w:szCs w:val="22"/>
        </w:rPr>
        <w:t>.</w:t>
      </w:r>
      <w:r>
        <w:rPr>
          <w:rStyle w:val="FootnoteReference"/>
          <w:snapToGrid/>
          <w:kern w:val="0"/>
          <w:szCs w:val="22"/>
        </w:rPr>
        <w:footnoteReference w:id="22"/>
      </w:r>
      <w:r>
        <w:rPr>
          <w:snapToGrid/>
          <w:kern w:val="0"/>
          <w:szCs w:val="22"/>
        </w:rPr>
        <w:t xml:space="preserve">  </w:t>
      </w:r>
      <w:r>
        <w:rPr>
          <w:szCs w:val="22"/>
          <w:shd w:val="clear" w:color="auto" w:fill="FFFFFF"/>
        </w:rPr>
        <w:t>Front Range, through several intermediate U.S.-organized holding companies, is indirectly wholly owned by Front Range JV, LP (JV LP), a Delaware entity.  JV LP’s equity and voting interests are held by U.S. and foreign investment entities ultimately controlled by EQT and Digital Colony.</w:t>
      </w:r>
      <w:r>
        <w:rPr>
          <w:rStyle w:val="FootnoteReference"/>
          <w:szCs w:val="22"/>
          <w:shd w:val="clear" w:color="auto" w:fill="FFFFFF"/>
        </w:rPr>
        <w:footnoteReference w:id="23"/>
      </w:r>
      <w:r>
        <w:rPr>
          <w:szCs w:val="22"/>
          <w:shd w:val="clear" w:color="auto" w:fill="FFFFFF"/>
        </w:rPr>
        <w:t xml:space="preserve">  The general partner of JV LP is Front Range JV GP, LLC (JV GP), a Delaware entity.  According to </w:t>
      </w:r>
      <w:r w:rsidR="008C2513">
        <w:rPr>
          <w:szCs w:val="22"/>
          <w:shd w:val="clear" w:color="auto" w:fill="FFFFFF"/>
        </w:rPr>
        <w:t>P</w:t>
      </w:r>
      <w:r>
        <w:rPr>
          <w:szCs w:val="22"/>
          <w:shd w:val="clear" w:color="auto" w:fill="FFFFFF"/>
        </w:rPr>
        <w:t>etitioners, EQT and Digital Colony will exercise control over Front Range through the board of directors of JV GP.</w:t>
      </w:r>
      <w:r>
        <w:rPr>
          <w:rStyle w:val="FootnoteReference"/>
          <w:szCs w:val="22"/>
          <w:shd w:val="clear" w:color="auto" w:fill="FFFFFF"/>
        </w:rPr>
        <w:footnoteReference w:id="24"/>
      </w:r>
      <w:r>
        <w:rPr>
          <w:szCs w:val="22"/>
          <w:shd w:val="clear" w:color="auto" w:fill="FFFFFF"/>
        </w:rPr>
        <w:t xml:space="preserve">  Following consummation of the transaction, EQT Infrastructure IV Fund (EQT Fund) and Digital Colony Partners, LP fund (DCP Fund), along with their respective co-investors, will each hold approximately 45.3% of Zayo’s equity, and FMR, LLC, a Delaware entity, will have approximately 7.6% of the equity.</w:t>
      </w:r>
      <w:r>
        <w:rPr>
          <w:rStyle w:val="FootnoteReference"/>
          <w:szCs w:val="22"/>
          <w:shd w:val="clear" w:color="auto" w:fill="FFFFFF"/>
        </w:rPr>
        <w:footnoteReference w:id="25"/>
      </w:r>
      <w:r>
        <w:rPr>
          <w:szCs w:val="22"/>
          <w:shd w:val="clear" w:color="auto" w:fill="FFFFFF"/>
        </w:rPr>
        <w:t xml:space="preserve">  The remaining equity (approximately 1.8%) will be held by current members of Zayo’s management.</w:t>
      </w:r>
      <w:r>
        <w:rPr>
          <w:rStyle w:val="FootnoteReference"/>
          <w:szCs w:val="22"/>
          <w:shd w:val="clear" w:color="auto" w:fill="FFFFFF"/>
        </w:rPr>
        <w:footnoteReference w:id="26"/>
      </w:r>
      <w:r>
        <w:rPr>
          <w:szCs w:val="22"/>
          <w:shd w:val="clear" w:color="auto" w:fill="FFFFFF"/>
        </w:rPr>
        <w:t xml:space="preserve">  </w:t>
      </w:r>
    </w:p>
    <w:p w:rsidR="005614FA" w:rsidRPr="00A6263A" w:rsidP="005614FA" w14:paraId="06010737" w14:textId="77777777">
      <w:pPr>
        <w:widowControl/>
        <w:ind w:firstLine="720"/>
        <w:rPr>
          <w:szCs w:val="22"/>
          <w:shd w:val="clear" w:color="auto" w:fill="FFFFFF"/>
        </w:rPr>
      </w:pPr>
    </w:p>
    <w:p w:rsidR="005614FA" w:rsidP="005614FA" w14:paraId="707E7A95" w14:textId="3474F401">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Pursuant to section 1.5001(i) of the rules,</w:t>
      </w:r>
      <w:r>
        <w:rPr>
          <w:rStyle w:val="FootnoteReference"/>
          <w:rFonts w:cs="TimesNewRomanPSMT"/>
          <w:snapToGrid/>
          <w:kern w:val="0"/>
          <w:szCs w:val="22"/>
        </w:rPr>
        <w:footnoteReference w:id="27"/>
      </w:r>
      <w:r>
        <w:rPr>
          <w:rFonts w:ascii="TimesNewRomanPSMT" w:hAnsi="TimesNewRomanPSMT" w:cs="TimesNewRomanPSMT"/>
          <w:snapToGrid/>
          <w:kern w:val="0"/>
          <w:sz w:val="14"/>
          <w:szCs w:val="14"/>
        </w:rPr>
        <w:t xml:space="preserve"> </w:t>
      </w:r>
      <w:r>
        <w:rPr>
          <w:rFonts w:ascii="TimesNewRomanPSMT" w:hAnsi="TimesNewRomanPSMT" w:cs="TimesNewRomanPSMT"/>
          <w:snapToGrid/>
          <w:kern w:val="0"/>
          <w:szCs w:val="22"/>
        </w:rPr>
        <w:t xml:space="preserve">Petitioners request that the Commission specifically approve the direct and/or indirect foreign equity and/or voting interests that would be held in </w:t>
      </w:r>
      <w:r w:rsidR="00F14D69">
        <w:rPr>
          <w:rFonts w:ascii="TimesNewRomanPSMT" w:hAnsi="TimesNewRomanPSMT" w:cs="TimesNewRomanPSMT"/>
          <w:snapToGrid/>
          <w:kern w:val="0"/>
          <w:szCs w:val="22"/>
        </w:rPr>
        <w:t>Zayo</w:t>
      </w:r>
      <w:r>
        <w:rPr>
          <w:rFonts w:ascii="TimesNewRomanPSMT" w:hAnsi="TimesNewRomanPSMT" w:cs="TimesNewRomanPSMT"/>
          <w:snapToGrid/>
          <w:kern w:val="0"/>
          <w:szCs w:val="22"/>
        </w:rPr>
        <w:t xml:space="preserve"> upon completion of the proposed transaction by foreign-organized entities as follows:</w:t>
      </w:r>
    </w:p>
    <w:p w:rsidR="005614FA" w:rsidP="005614FA" w14:paraId="3F318969" w14:textId="77777777">
      <w:pPr>
        <w:widowControl/>
        <w:autoSpaceDE w:val="0"/>
        <w:autoSpaceDN w:val="0"/>
        <w:adjustRightInd w:val="0"/>
        <w:ind w:firstLine="720"/>
        <w:rPr>
          <w:rFonts w:ascii="TimesNewRomanPSMT" w:hAnsi="TimesNewRomanPSMT" w:cs="TimesNewRomanPSMT"/>
          <w:snapToGrid/>
          <w:kern w:val="0"/>
          <w:szCs w:val="22"/>
        </w:rPr>
      </w:pPr>
    </w:p>
    <w:p w:rsidR="005614FA" w:rsidRPr="00A950E2" w:rsidP="005614FA" w14:paraId="6A714E8B" w14:textId="77777777">
      <w:pPr>
        <w:widowControl/>
        <w:autoSpaceDE w:val="0"/>
        <w:autoSpaceDN w:val="0"/>
        <w:adjustRightInd w:val="0"/>
        <w:ind w:firstLine="720"/>
        <w:rPr>
          <w:rFonts w:ascii="TimesNewRomanPSMT" w:hAnsi="TimesNewRomanPSMT" w:cs="TimesNewRomanPSMT"/>
          <w:snapToGrid/>
          <w:kern w:val="0"/>
          <w:szCs w:val="22"/>
        </w:rPr>
      </w:pPr>
      <w:r w:rsidRPr="00A950E2">
        <w:rPr>
          <w:rFonts w:ascii="TimesNewRomanPSMT" w:hAnsi="TimesNewRomanPSMT" w:cs="TimesNewRomanPSMT"/>
          <w:snapToGrid/>
          <w:kern w:val="0"/>
          <w:szCs w:val="22"/>
        </w:rPr>
        <w:t>EQT Saber Side Car (No. 1) EUR SCSp (6.26% equity and voting) (Luxembourg)</w:t>
      </w:r>
      <w:r>
        <w:rPr>
          <w:rFonts w:ascii="TimesNewRomanPSMT" w:hAnsi="TimesNewRomanPSMT" w:cs="TimesNewRomanPSMT"/>
          <w:snapToGrid/>
          <w:kern w:val="0"/>
          <w:szCs w:val="22"/>
        </w:rPr>
        <w:t>;</w:t>
      </w:r>
    </w:p>
    <w:p w:rsidR="005614FA" w:rsidRPr="00A950E2" w:rsidP="005614FA" w14:paraId="17DF1CB1" w14:textId="77777777">
      <w:pPr>
        <w:widowControl/>
        <w:autoSpaceDE w:val="0"/>
        <w:autoSpaceDN w:val="0"/>
        <w:adjustRightInd w:val="0"/>
        <w:ind w:firstLine="720"/>
        <w:rPr>
          <w:szCs w:val="22"/>
        </w:rPr>
      </w:pPr>
      <w:r w:rsidRPr="00A950E2">
        <w:rPr>
          <w:szCs w:val="22"/>
        </w:rPr>
        <w:t>EQT Saber (B) Blocker SCSp (11.47% equity and voting) (Luxembourg)</w:t>
      </w:r>
      <w:r>
        <w:rPr>
          <w:szCs w:val="22"/>
        </w:rPr>
        <w:t>;</w:t>
      </w:r>
    </w:p>
    <w:p w:rsidR="005614FA" w:rsidRPr="00A950E2" w:rsidP="005614FA" w14:paraId="655C5EE2" w14:textId="77777777">
      <w:pPr>
        <w:widowControl/>
        <w:autoSpaceDE w:val="0"/>
        <w:autoSpaceDN w:val="0"/>
        <w:adjustRightInd w:val="0"/>
        <w:ind w:left="1440" w:hanging="720"/>
        <w:rPr>
          <w:szCs w:val="22"/>
        </w:rPr>
      </w:pPr>
      <w:r w:rsidRPr="00A950E2">
        <w:rPr>
          <w:szCs w:val="22"/>
        </w:rPr>
        <w:t>EQT Infrastructure IV Co-Investment (B) SCSp (11.47% equity and voting) (Luxembourg)</w:t>
      </w:r>
      <w:r>
        <w:rPr>
          <w:szCs w:val="22"/>
        </w:rPr>
        <w:t>;</w:t>
      </w:r>
    </w:p>
    <w:p w:rsidR="005614FA" w:rsidRPr="00A950E2" w:rsidP="005614FA" w14:paraId="23B0E0DD" w14:textId="77777777">
      <w:pPr>
        <w:widowControl/>
        <w:autoSpaceDE w:val="0"/>
        <w:autoSpaceDN w:val="0"/>
        <w:adjustRightInd w:val="0"/>
        <w:ind w:left="1440" w:hanging="720"/>
        <w:rPr>
          <w:szCs w:val="22"/>
        </w:rPr>
      </w:pPr>
      <w:r w:rsidRPr="00A950E2">
        <w:rPr>
          <w:color w:val="212121"/>
          <w:szCs w:val="22"/>
        </w:rPr>
        <w:t xml:space="preserve">EQT Infrastructure IV (GP) SCS </w:t>
      </w:r>
      <w:r w:rsidRPr="00A950E2">
        <w:rPr>
          <w:szCs w:val="22"/>
        </w:rPr>
        <w:t>(below 1% equity, 45% voting) (Luxembourg)</w:t>
      </w:r>
      <w:r>
        <w:rPr>
          <w:szCs w:val="22"/>
        </w:rPr>
        <w:t>;</w:t>
      </w:r>
    </w:p>
    <w:p w:rsidR="005614FA" w:rsidRPr="00A950E2" w:rsidP="005614FA" w14:paraId="53AF532E" w14:textId="770552DE">
      <w:pPr>
        <w:widowControl/>
        <w:autoSpaceDE w:val="0"/>
        <w:autoSpaceDN w:val="0"/>
        <w:adjustRightInd w:val="0"/>
        <w:ind w:left="1440" w:hanging="720"/>
        <w:rPr>
          <w:szCs w:val="22"/>
        </w:rPr>
      </w:pPr>
      <w:r w:rsidRPr="00A950E2">
        <w:rPr>
          <w:szCs w:val="22"/>
        </w:rPr>
        <w:t>EQT Infrastructure IV (General Partner), S.à r.l. (below 1% equity, 45% voting) (Luxembourg)</w:t>
      </w:r>
      <w:r>
        <w:rPr>
          <w:szCs w:val="22"/>
        </w:rPr>
        <w:t>;</w:t>
      </w:r>
    </w:p>
    <w:p w:rsidR="005614FA" w:rsidRPr="00A950E2" w:rsidP="005614FA" w14:paraId="0816DDD6" w14:textId="77777777">
      <w:pPr>
        <w:widowControl/>
        <w:autoSpaceDE w:val="0"/>
        <w:autoSpaceDN w:val="0"/>
        <w:adjustRightInd w:val="0"/>
        <w:ind w:left="1440" w:hanging="720"/>
        <w:rPr>
          <w:szCs w:val="22"/>
        </w:rPr>
      </w:pPr>
      <w:r w:rsidRPr="00A950E2">
        <w:rPr>
          <w:szCs w:val="22"/>
        </w:rPr>
        <w:t>EQT Holdings Infrastructure IV Coöperatief U.A. (below 1% equity, 45% voting) (Netherlands)</w:t>
      </w:r>
      <w:r>
        <w:rPr>
          <w:szCs w:val="22"/>
        </w:rPr>
        <w:t>;</w:t>
      </w:r>
    </w:p>
    <w:p w:rsidR="005614FA" w:rsidRPr="00A950E2" w:rsidP="005614FA" w14:paraId="70491136" w14:textId="77777777">
      <w:pPr>
        <w:widowControl/>
        <w:autoSpaceDE w:val="0"/>
        <w:autoSpaceDN w:val="0"/>
        <w:adjustRightInd w:val="0"/>
        <w:ind w:left="1440" w:hanging="720"/>
        <w:rPr>
          <w:szCs w:val="22"/>
        </w:rPr>
      </w:pPr>
      <w:r w:rsidRPr="00A950E2">
        <w:rPr>
          <w:szCs w:val="22"/>
        </w:rPr>
        <w:t>EQT Fund Management S.à r.l. (below 1% equity, 45% voting) (Luxembourg)</w:t>
      </w:r>
      <w:r>
        <w:rPr>
          <w:szCs w:val="22"/>
        </w:rPr>
        <w:t>;</w:t>
      </w:r>
    </w:p>
    <w:p w:rsidR="005614FA" w:rsidRPr="00A950E2" w:rsidP="005614FA" w14:paraId="3E2646D8" w14:textId="77777777">
      <w:pPr>
        <w:widowControl/>
        <w:autoSpaceDE w:val="0"/>
        <w:autoSpaceDN w:val="0"/>
        <w:adjustRightInd w:val="0"/>
        <w:ind w:left="1440" w:hanging="720"/>
        <w:rPr>
          <w:szCs w:val="22"/>
        </w:rPr>
      </w:pPr>
      <w:r w:rsidRPr="00A950E2">
        <w:rPr>
          <w:szCs w:val="22"/>
        </w:rPr>
        <w:t>EQT Management S.à r.l. (below 1% equity, 45% voting) (Luxembourg)</w:t>
      </w:r>
      <w:r>
        <w:rPr>
          <w:szCs w:val="22"/>
        </w:rPr>
        <w:t>;</w:t>
      </w:r>
    </w:p>
    <w:p w:rsidR="005614FA" w:rsidRPr="00A950E2" w:rsidP="005614FA" w14:paraId="5D789A9E" w14:textId="77777777">
      <w:pPr>
        <w:widowControl/>
        <w:autoSpaceDE w:val="0"/>
        <w:autoSpaceDN w:val="0"/>
        <w:adjustRightInd w:val="0"/>
        <w:ind w:left="1440" w:hanging="720"/>
        <w:rPr>
          <w:szCs w:val="22"/>
        </w:rPr>
      </w:pPr>
      <w:r w:rsidRPr="00A950E2">
        <w:rPr>
          <w:szCs w:val="22"/>
        </w:rPr>
        <w:t>EQT Holdings B.V. (below 1% equity, 42.71% voting) (Netherlands)</w:t>
      </w:r>
      <w:r>
        <w:rPr>
          <w:szCs w:val="22"/>
        </w:rPr>
        <w:t>;</w:t>
      </w:r>
    </w:p>
    <w:p w:rsidR="005614FA" w:rsidRPr="00A950E2" w:rsidP="005614FA" w14:paraId="76D08A8B" w14:textId="77777777">
      <w:pPr>
        <w:widowControl/>
        <w:autoSpaceDE w:val="0"/>
        <w:autoSpaceDN w:val="0"/>
        <w:adjustRightInd w:val="0"/>
        <w:ind w:left="1440" w:hanging="720"/>
        <w:rPr>
          <w:szCs w:val="22"/>
        </w:rPr>
      </w:pPr>
      <w:r w:rsidRPr="00A950E2">
        <w:rPr>
          <w:szCs w:val="22"/>
        </w:rPr>
        <w:t>EQT AB (below 1% equity, 42.71% voting) (Sweden)</w:t>
      </w:r>
      <w:r>
        <w:rPr>
          <w:szCs w:val="22"/>
        </w:rPr>
        <w:t>;</w:t>
      </w:r>
    </w:p>
    <w:p w:rsidR="005614FA" w:rsidRPr="00A950E2" w:rsidP="005614FA" w14:paraId="395FECF5" w14:textId="77777777">
      <w:pPr>
        <w:widowControl/>
        <w:autoSpaceDE w:val="0"/>
        <w:autoSpaceDN w:val="0"/>
        <w:adjustRightInd w:val="0"/>
        <w:ind w:left="1440" w:hanging="720"/>
        <w:rPr>
          <w:szCs w:val="22"/>
        </w:rPr>
      </w:pPr>
      <w:r w:rsidRPr="00A950E2">
        <w:rPr>
          <w:szCs w:val="22"/>
        </w:rPr>
        <w:t>Investor Investments Holding AB (below 1% equity, 10.45% voting) (Sweden)</w:t>
      </w:r>
      <w:r>
        <w:rPr>
          <w:szCs w:val="22"/>
        </w:rPr>
        <w:t>;</w:t>
      </w:r>
    </w:p>
    <w:p w:rsidR="005614FA" w:rsidRPr="00A950E2" w:rsidP="005614FA" w14:paraId="30125396" w14:textId="77777777">
      <w:pPr>
        <w:widowControl/>
        <w:autoSpaceDE w:val="0"/>
        <w:autoSpaceDN w:val="0"/>
        <w:adjustRightInd w:val="0"/>
        <w:ind w:left="1440" w:hanging="720"/>
        <w:rPr>
          <w:szCs w:val="22"/>
        </w:rPr>
      </w:pPr>
      <w:r w:rsidRPr="00A950E2">
        <w:rPr>
          <w:szCs w:val="22"/>
        </w:rPr>
        <w:t>Investor Holding AB (below 1% equity, 10.47% voting) (Sweden)</w:t>
      </w:r>
      <w:r>
        <w:rPr>
          <w:szCs w:val="22"/>
        </w:rPr>
        <w:t>;</w:t>
      </w:r>
    </w:p>
    <w:p w:rsidR="005614FA" w:rsidRPr="00A950E2" w:rsidP="005614FA" w14:paraId="4A1D8080" w14:textId="77777777">
      <w:pPr>
        <w:widowControl/>
        <w:autoSpaceDE w:val="0"/>
        <w:autoSpaceDN w:val="0"/>
        <w:adjustRightInd w:val="0"/>
        <w:ind w:left="1440" w:hanging="720"/>
        <w:rPr>
          <w:szCs w:val="22"/>
        </w:rPr>
      </w:pPr>
      <w:r w:rsidRPr="00A950E2">
        <w:rPr>
          <w:szCs w:val="22"/>
        </w:rPr>
        <w:t>Investor AB (below 1% equity, 10.47% voting) (Sweden)</w:t>
      </w:r>
      <w:r>
        <w:rPr>
          <w:szCs w:val="22"/>
        </w:rPr>
        <w:t>;</w:t>
      </w:r>
    </w:p>
    <w:p w:rsidR="005614FA" w:rsidRPr="00A950E2" w:rsidP="005614FA" w14:paraId="68D794A0" w14:textId="77777777">
      <w:pPr>
        <w:widowControl/>
        <w:autoSpaceDE w:val="0"/>
        <w:autoSpaceDN w:val="0"/>
        <w:adjustRightInd w:val="0"/>
        <w:ind w:left="1440" w:hanging="720"/>
        <w:rPr>
          <w:rFonts w:ascii="TimesNewRomanPSMT" w:hAnsi="TimesNewRomanPSMT" w:cs="TimesNewRomanPSMT"/>
          <w:snapToGrid/>
          <w:kern w:val="0"/>
          <w:szCs w:val="22"/>
        </w:rPr>
      </w:pPr>
      <w:r w:rsidRPr="00A950E2">
        <w:rPr>
          <w:szCs w:val="22"/>
        </w:rPr>
        <w:t xml:space="preserve">EQT Infrastructure IV Co-Investment (D) SCSp </w:t>
      </w:r>
      <w:r w:rsidRPr="00A950E2">
        <w:rPr>
          <w:rFonts w:ascii="TimesNewRomanPSMT" w:hAnsi="TimesNewRomanPSMT" w:cs="TimesNewRomanPSMT"/>
          <w:snapToGrid/>
          <w:kern w:val="0"/>
          <w:szCs w:val="22"/>
        </w:rPr>
        <w:t>(13.48% equity and voting) (Luxembourg)</w:t>
      </w:r>
      <w:r>
        <w:rPr>
          <w:rFonts w:ascii="TimesNewRomanPSMT" w:hAnsi="TimesNewRomanPSMT" w:cs="TimesNewRomanPSMT"/>
          <w:snapToGrid/>
          <w:kern w:val="0"/>
          <w:szCs w:val="22"/>
        </w:rPr>
        <w:t xml:space="preserve">; and </w:t>
      </w:r>
    </w:p>
    <w:p w:rsidR="005614FA" w:rsidRPr="00A950E2" w:rsidP="005614FA" w14:paraId="316DAE12" w14:textId="77777777">
      <w:pPr>
        <w:widowControl/>
        <w:autoSpaceDE w:val="0"/>
        <w:autoSpaceDN w:val="0"/>
        <w:adjustRightInd w:val="0"/>
        <w:ind w:left="1440" w:hanging="720"/>
        <w:rPr>
          <w:rFonts w:ascii="TimesNewRomanPSMT" w:hAnsi="TimesNewRomanPSMT" w:cs="TimesNewRomanPSMT"/>
          <w:snapToGrid/>
          <w:kern w:val="0"/>
          <w:szCs w:val="22"/>
        </w:rPr>
      </w:pPr>
      <w:r w:rsidRPr="00A950E2">
        <w:rPr>
          <w:szCs w:val="22"/>
        </w:rPr>
        <w:t xml:space="preserve">Bark Partners AB </w:t>
      </w:r>
      <w:r w:rsidRPr="00A950E2">
        <w:rPr>
          <w:rFonts w:ascii="TimesNewRomanPSMT" w:hAnsi="TimesNewRomanPSMT" w:cs="TimesNewRomanPSMT"/>
          <w:snapToGrid/>
          <w:kern w:val="0"/>
          <w:szCs w:val="22"/>
        </w:rPr>
        <w:t>(6.91% equity and voting) (Sweden)</w:t>
      </w:r>
      <w:r>
        <w:rPr>
          <w:rFonts w:ascii="TimesNewRomanPSMT" w:hAnsi="TimesNewRomanPSMT" w:cs="TimesNewRomanPSMT"/>
          <w:snapToGrid/>
          <w:kern w:val="0"/>
          <w:szCs w:val="22"/>
        </w:rPr>
        <w:t>.</w:t>
      </w:r>
    </w:p>
    <w:p w:rsidR="005614FA" w:rsidRPr="00A950E2" w:rsidP="005614FA" w14:paraId="57BBAA40" w14:textId="77777777">
      <w:pPr>
        <w:widowControl/>
        <w:autoSpaceDE w:val="0"/>
        <w:autoSpaceDN w:val="0"/>
        <w:adjustRightInd w:val="0"/>
        <w:ind w:left="1440" w:hanging="720"/>
        <w:rPr>
          <w:color w:val="212121"/>
          <w:szCs w:val="22"/>
        </w:rPr>
      </w:pPr>
    </w:p>
    <w:p w:rsidR="005614FA" w:rsidP="005614FA" w14:paraId="557F3E8D" w14:textId="375BE388">
      <w:pPr>
        <w:widowControl/>
        <w:autoSpaceDE w:val="0"/>
        <w:autoSpaceDN w:val="0"/>
        <w:adjustRightInd w:val="0"/>
        <w:ind w:firstLine="720"/>
        <w:rPr>
          <w:color w:val="000000"/>
          <w:szCs w:val="22"/>
        </w:rPr>
      </w:pPr>
      <w:r>
        <w:rPr>
          <w:rFonts w:ascii="TimesNewRomanPSMT" w:hAnsi="TimesNewRomanPSMT" w:cs="TimesNewRomanPSMT"/>
          <w:snapToGrid/>
          <w:kern w:val="0"/>
          <w:szCs w:val="22"/>
        </w:rPr>
        <w:t>We received no comments regarding foreign ownership, and, as discussed above, the DOJ has advised the Commission that it</w:t>
      </w:r>
      <w:r w:rsidR="002A6D6A">
        <w:rPr>
          <w:rFonts w:ascii="TimesNewRomanPSMT" w:hAnsi="TimesNewRomanPSMT" w:cs="TimesNewRomanPSMT"/>
          <w:snapToGrid/>
          <w:kern w:val="0"/>
          <w:szCs w:val="22"/>
        </w:rPr>
        <w:t>, with the concurrence of DHS and DOD,</w:t>
      </w:r>
      <w:r>
        <w:rPr>
          <w:rFonts w:ascii="TimesNewRomanPSMT" w:hAnsi="TimesNewRomanPSMT" w:cs="TimesNewRomanPSMT"/>
          <w:snapToGrid/>
          <w:kern w:val="0"/>
          <w:szCs w:val="22"/>
        </w:rPr>
        <w:t xml:space="preserve"> has no objection to the Commission approving the authority sought, provided that the Commission conditions its approval on the compliance by </w:t>
      </w:r>
      <w:r w:rsidRPr="00C50A2E">
        <w:rPr>
          <w:color w:val="212121"/>
          <w:szCs w:val="22"/>
        </w:rPr>
        <w:t>Zayo</w:t>
      </w:r>
      <w:r w:rsidR="007C2228">
        <w:rPr>
          <w:color w:val="212121"/>
          <w:szCs w:val="22"/>
        </w:rPr>
        <w:t xml:space="preserve">, ZGL, </w:t>
      </w:r>
      <w:r w:rsidRPr="00C50A2E">
        <w:rPr>
          <w:color w:val="212121"/>
          <w:szCs w:val="22"/>
        </w:rPr>
        <w:t xml:space="preserve">Electric Lightwave, and Allstream Business </w:t>
      </w:r>
      <w:r w:rsidR="007C2228">
        <w:rPr>
          <w:color w:val="212121"/>
          <w:szCs w:val="22"/>
        </w:rPr>
        <w:t>with</w:t>
      </w:r>
      <w:r w:rsidRPr="0007304F">
        <w:rPr>
          <w:color w:val="212121"/>
          <w:szCs w:val="22"/>
        </w:rPr>
        <w:t xml:space="preserve"> the </w:t>
      </w:r>
      <w:r w:rsidR="002A6D6A">
        <w:rPr>
          <w:color w:val="212121"/>
          <w:szCs w:val="22"/>
        </w:rPr>
        <w:t xml:space="preserve">terms of the </w:t>
      </w:r>
      <w:r>
        <w:rPr>
          <w:color w:val="212121"/>
          <w:szCs w:val="22"/>
        </w:rPr>
        <w:t>January 21, 2020</w:t>
      </w:r>
      <w:r w:rsidRPr="0007304F">
        <w:rPr>
          <w:color w:val="212121"/>
          <w:szCs w:val="22"/>
        </w:rPr>
        <w:t xml:space="preserve"> </w:t>
      </w:r>
      <w:r>
        <w:rPr>
          <w:color w:val="212121"/>
          <w:szCs w:val="22"/>
        </w:rPr>
        <w:t>LOA.</w:t>
      </w:r>
      <w:r>
        <w:rPr>
          <w:rStyle w:val="FootnoteReference"/>
          <w:szCs w:val="22"/>
        </w:rPr>
        <w:footnoteReference w:id="28"/>
      </w:r>
      <w:r w:rsidRPr="0007304F">
        <w:rPr>
          <w:color w:val="212121"/>
          <w:szCs w:val="22"/>
        </w:rPr>
        <w:t xml:space="preserve"> </w:t>
      </w:r>
      <w:r w:rsidRPr="00ED6F96">
        <w:rPr>
          <w:color w:val="000000"/>
          <w:szCs w:val="22"/>
        </w:rPr>
        <w:t xml:space="preserve"> </w:t>
      </w:r>
    </w:p>
    <w:p w:rsidR="005614FA" w:rsidP="005614FA" w14:paraId="0D8F973E" w14:textId="77777777">
      <w:pPr>
        <w:widowControl/>
        <w:autoSpaceDE w:val="0"/>
        <w:autoSpaceDN w:val="0"/>
        <w:adjustRightInd w:val="0"/>
        <w:rPr>
          <w:color w:val="000000"/>
          <w:szCs w:val="22"/>
        </w:rPr>
      </w:pPr>
    </w:p>
    <w:p w:rsidR="005614FA" w:rsidRPr="004F4239" w:rsidP="005614FA" w14:paraId="58A9EE34" w14:textId="5C19A385">
      <w:pPr>
        <w:widowControl/>
        <w:autoSpaceDE w:val="0"/>
        <w:autoSpaceDN w:val="0"/>
        <w:adjustRightInd w:val="0"/>
        <w:ind w:firstLine="720"/>
        <w:rPr>
          <w:color w:val="212121"/>
          <w:szCs w:val="22"/>
        </w:rPr>
      </w:pPr>
      <w:r w:rsidRPr="00A950E2">
        <w:rPr>
          <w:color w:val="212121"/>
          <w:szCs w:val="22"/>
        </w:rPr>
        <w:t>Based on our review of the record, under section 310(b)(4) of the Act and the Commission’s foreign ownership rules and policies, we find that the public interest would not be served by prohibiting foreign ownership of Zayo, the controlling U.S parent of ZGL, in excess of the 25% benchmark in section 310(b)(4) of the Act.</w:t>
      </w:r>
      <w:r>
        <w:rPr>
          <w:color w:val="212121"/>
          <w:szCs w:val="22"/>
        </w:rPr>
        <w:t xml:space="preserve">  </w:t>
      </w:r>
      <w:r w:rsidRPr="00A950E2">
        <w:rPr>
          <w:color w:val="212121"/>
          <w:szCs w:val="22"/>
        </w:rPr>
        <w:t xml:space="preserve">We therefore grant the Petition subject to the conditions set out herein. </w:t>
      </w:r>
      <w:r w:rsidR="007C2228">
        <w:rPr>
          <w:color w:val="212121"/>
          <w:szCs w:val="22"/>
        </w:rPr>
        <w:t xml:space="preserve"> </w:t>
      </w:r>
      <w:bookmarkStart w:id="4" w:name="_Hlk31803301"/>
      <w:r w:rsidRPr="00A950E2">
        <w:rPr>
          <w:color w:val="212121"/>
          <w:szCs w:val="22"/>
        </w:rPr>
        <w:t xml:space="preserve">This ruling authorizes, first, </w:t>
      </w:r>
      <w:r>
        <w:rPr>
          <w:color w:val="212121"/>
          <w:szCs w:val="22"/>
        </w:rPr>
        <w:t xml:space="preserve">100% </w:t>
      </w:r>
      <w:r w:rsidRPr="00A6263A">
        <w:rPr>
          <w:szCs w:val="22"/>
          <w:shd w:val="clear" w:color="auto" w:fill="FFFFFF"/>
        </w:rPr>
        <w:t xml:space="preserve">aggregate </w:t>
      </w:r>
      <w:r>
        <w:rPr>
          <w:szCs w:val="22"/>
          <w:shd w:val="clear" w:color="auto" w:fill="FFFFFF"/>
        </w:rPr>
        <w:t xml:space="preserve">foreign ownership </w:t>
      </w:r>
      <w:r w:rsidRPr="00A6263A">
        <w:rPr>
          <w:szCs w:val="22"/>
          <w:shd w:val="clear" w:color="auto" w:fill="FFFFFF"/>
        </w:rPr>
        <w:t>of</w:t>
      </w:r>
      <w:r>
        <w:rPr>
          <w:szCs w:val="22"/>
          <w:shd w:val="clear" w:color="auto" w:fill="FFFFFF"/>
        </w:rPr>
        <w:t xml:space="preserve"> Zayo</w:t>
      </w:r>
      <w:r w:rsidRPr="00A950E2">
        <w:rPr>
          <w:color w:val="212121"/>
          <w:szCs w:val="22"/>
        </w:rPr>
        <w:t>, as the controlling U.S. parent of</w:t>
      </w:r>
      <w:r>
        <w:rPr>
          <w:color w:val="212121"/>
          <w:szCs w:val="22"/>
        </w:rPr>
        <w:t xml:space="preserve"> ZGL</w:t>
      </w:r>
      <w:r w:rsidRPr="00A950E2">
        <w:rPr>
          <w:color w:val="212121"/>
          <w:szCs w:val="22"/>
        </w:rPr>
        <w:t>,</w:t>
      </w:r>
      <w:r>
        <w:rPr>
          <w:color w:val="212121"/>
          <w:szCs w:val="22"/>
        </w:rPr>
        <w:t xml:space="preserve"> s</w:t>
      </w:r>
      <w:r w:rsidRPr="00A950E2">
        <w:rPr>
          <w:color w:val="212121"/>
          <w:szCs w:val="22"/>
        </w:rPr>
        <w:t>ubject to the terms and conditions set forth in section 1.5004 of the Commission's rules</w:t>
      </w:r>
      <w:r w:rsidR="005E74A9">
        <w:rPr>
          <w:color w:val="212121"/>
          <w:szCs w:val="22"/>
        </w:rPr>
        <w:t>.</w:t>
      </w:r>
      <w:r>
        <w:rPr>
          <w:rStyle w:val="FootnoteReference"/>
        </w:rPr>
        <w:footnoteReference w:id="29"/>
      </w:r>
      <w:bookmarkEnd w:id="4"/>
      <w:r>
        <w:rPr>
          <w:color w:val="212121"/>
          <w:szCs w:val="22"/>
        </w:rPr>
        <w:t xml:space="preserve">  </w:t>
      </w:r>
      <w:r w:rsidRPr="00395F38">
        <w:rPr>
          <w:color w:val="212121"/>
          <w:szCs w:val="22"/>
        </w:rPr>
        <w:t>In addition, pursuant to section 1.5001(i) of the rules, we approve the foreign equity and</w:t>
      </w:r>
      <w:r>
        <w:rPr>
          <w:color w:val="212121"/>
          <w:szCs w:val="22"/>
        </w:rPr>
        <w:t xml:space="preserve"> </w:t>
      </w:r>
      <w:r w:rsidRPr="00395F38">
        <w:rPr>
          <w:color w:val="212121"/>
          <w:szCs w:val="22"/>
        </w:rPr>
        <w:t xml:space="preserve">voting interests that would be held in </w:t>
      </w:r>
      <w:r>
        <w:rPr>
          <w:color w:val="212121"/>
          <w:szCs w:val="22"/>
        </w:rPr>
        <w:t>Zayo</w:t>
      </w:r>
      <w:r w:rsidRPr="00395F38">
        <w:rPr>
          <w:color w:val="212121"/>
          <w:szCs w:val="22"/>
        </w:rPr>
        <w:t xml:space="preserve"> by each of the </w:t>
      </w:r>
      <w:r>
        <w:rPr>
          <w:color w:val="212121"/>
          <w:szCs w:val="22"/>
        </w:rPr>
        <w:t>aforementioned foreign entities</w:t>
      </w:r>
      <w:r w:rsidRPr="00395F38">
        <w:rPr>
          <w:color w:val="212121"/>
          <w:szCs w:val="22"/>
        </w:rPr>
        <w:t xml:space="preserve"> in the amounts specified above.</w:t>
      </w:r>
    </w:p>
    <w:p w:rsidR="005614FA" w:rsidP="005614FA" w14:paraId="0A242214" w14:textId="77777777">
      <w:pPr>
        <w:widowControl/>
        <w:ind w:firstLine="720"/>
        <w:rPr>
          <w:rFonts w:ascii="Arial" w:hAnsi="Arial" w:cs="Arial"/>
          <w:color w:val="212121"/>
          <w:sz w:val="21"/>
          <w:szCs w:val="21"/>
        </w:rPr>
      </w:pPr>
    </w:p>
    <w:p w:rsidR="005614FA" w:rsidP="005614FA" w14:paraId="273BFCEF" w14:textId="77777777">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Finally, under this ruling, Petitioners have an affirmative duty to monitor their foreign</w:t>
      </w:r>
    </w:p>
    <w:p w:rsidR="005614FA" w:rsidP="005614FA" w14:paraId="436321FC" w14:textId="77777777">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equity and voting interests, calculate these interests consistent with the principles enunciated by the</w:t>
      </w:r>
    </w:p>
    <w:p w:rsidR="005614FA" w:rsidP="005614FA" w14:paraId="4D1B8D20" w14:textId="77777777">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Commission, including the standards and criteria set forth in sections 1.5002 through 1.5003 of the</w:t>
      </w:r>
    </w:p>
    <w:p w:rsidR="005614FA" w:rsidP="005614FA" w14:paraId="3501D087" w14:textId="77777777">
      <w:pPr>
        <w:widowControl/>
        <w:autoSpaceDE w:val="0"/>
        <w:autoSpaceDN w:val="0"/>
        <w:adjustRightInd w:val="0"/>
        <w:rPr>
          <w:rFonts w:ascii="TimesNewRomanPSMT" w:hAnsi="TimesNewRomanPSMT" w:cs="TimesNewRomanPSMT"/>
          <w:snapToGrid/>
          <w:kern w:val="0"/>
          <w:sz w:val="13"/>
          <w:szCs w:val="13"/>
        </w:rPr>
      </w:pPr>
      <w:r>
        <w:rPr>
          <w:rFonts w:ascii="TimesNewRomanPSMT" w:hAnsi="TimesNewRomanPSMT" w:cs="TimesNewRomanPSMT"/>
          <w:snapToGrid/>
          <w:kern w:val="0"/>
          <w:szCs w:val="22"/>
        </w:rPr>
        <w:t>rules,</w:t>
      </w:r>
      <w:r>
        <w:rPr>
          <w:rStyle w:val="FootnoteReference"/>
          <w:rFonts w:cs="TimesNewRomanPSMT"/>
          <w:snapToGrid/>
          <w:kern w:val="0"/>
          <w:szCs w:val="22"/>
        </w:rPr>
        <w:footnoteReference w:id="30"/>
      </w:r>
      <w:r>
        <w:rPr>
          <w:rFonts w:ascii="TimesNewRomanPSMT" w:hAnsi="TimesNewRomanPSMT" w:cs="TimesNewRomanPSMT"/>
          <w:snapToGrid/>
          <w:kern w:val="0"/>
          <w:sz w:val="13"/>
          <w:szCs w:val="13"/>
        </w:rPr>
        <w:t xml:space="preserve"> </w:t>
      </w:r>
      <w:r>
        <w:rPr>
          <w:rFonts w:ascii="TimesNewRomanPSMT" w:hAnsi="TimesNewRomanPSMT" w:cs="TimesNewRomanPSMT"/>
          <w:snapToGrid/>
          <w:kern w:val="0"/>
          <w:szCs w:val="22"/>
        </w:rPr>
        <w:t>and otherwise ensure continuing compliance with the provisions of section 310(b) of the Act.</w:t>
      </w:r>
      <w:r>
        <w:rPr>
          <w:rStyle w:val="FootnoteReference"/>
          <w:rFonts w:cs="TimesNewRomanPSMT"/>
          <w:snapToGrid/>
          <w:kern w:val="0"/>
          <w:szCs w:val="22"/>
        </w:rPr>
        <w:footnoteReference w:id="31"/>
      </w:r>
    </w:p>
    <w:p w:rsidR="005614FA" w:rsidP="005614FA" w14:paraId="21A9A4F6" w14:textId="31636FCD">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A failure to comply and/or remain in compliance with a condition of this authorization shall constitute</w:t>
      </w:r>
    </w:p>
    <w:p w:rsidR="005614FA" w:rsidP="005614FA" w14:paraId="042A23A6" w14:textId="77777777">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grounds for declaring it terminated without further action on the part of the Commission.  Failure to meet</w:t>
      </w:r>
    </w:p>
    <w:p w:rsidR="005614FA" w:rsidP="005614FA" w14:paraId="5FA64635" w14:textId="77777777">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a condition of this ruling may also result in monetary sanctions or other enforcement action by the Commission.</w:t>
      </w:r>
    </w:p>
    <w:p w:rsidR="005614FA" w:rsidP="005614FA" w14:paraId="08E05438" w14:textId="77777777">
      <w:pPr>
        <w:widowControl/>
        <w:autoSpaceDE w:val="0"/>
        <w:autoSpaceDN w:val="0"/>
        <w:adjustRightInd w:val="0"/>
        <w:rPr>
          <w:rFonts w:ascii="TimesNewRomanPSMT" w:hAnsi="TimesNewRomanPSMT" w:cs="TimesNewRomanPSMT"/>
          <w:snapToGrid/>
          <w:kern w:val="0"/>
          <w:szCs w:val="22"/>
        </w:rPr>
      </w:pPr>
    </w:p>
    <w:p w:rsidR="005614FA" w:rsidP="005614FA" w14:paraId="210BB094" w14:textId="4EC4D042">
      <w:pPr>
        <w:widowControl/>
        <w:autoSpaceDE w:val="0"/>
        <w:autoSpaceDN w:val="0"/>
        <w:adjustRightInd w:val="0"/>
        <w:rPr>
          <w:b/>
          <w:color w:val="212121"/>
          <w:szCs w:val="22"/>
          <w:u w:val="single"/>
        </w:rPr>
      </w:pPr>
      <w:r w:rsidRPr="001330FF">
        <w:rPr>
          <w:b/>
          <w:color w:val="212121"/>
          <w:szCs w:val="22"/>
          <w:u w:val="single"/>
        </w:rPr>
        <w:t xml:space="preserve">Grant of </w:t>
      </w:r>
      <w:r>
        <w:rPr>
          <w:b/>
          <w:color w:val="212121"/>
          <w:szCs w:val="22"/>
          <w:u w:val="single"/>
        </w:rPr>
        <w:t xml:space="preserve">Applications and </w:t>
      </w:r>
      <w:r w:rsidRPr="001330FF">
        <w:rPr>
          <w:b/>
          <w:color w:val="212121"/>
          <w:szCs w:val="22"/>
          <w:u w:val="single"/>
        </w:rPr>
        <w:t>Petition for Declaratory Ruling</w:t>
      </w:r>
      <w:r>
        <w:rPr>
          <w:b/>
          <w:color w:val="212121"/>
          <w:szCs w:val="22"/>
          <w:u w:val="single"/>
        </w:rPr>
        <w:t>, Subject to Condition</w:t>
      </w:r>
    </w:p>
    <w:p w:rsidR="005614FA" w:rsidP="005614FA" w14:paraId="5881D523" w14:textId="77777777">
      <w:pPr>
        <w:widowControl/>
        <w:autoSpaceDE w:val="0"/>
        <w:autoSpaceDN w:val="0"/>
        <w:adjustRightInd w:val="0"/>
        <w:rPr>
          <w:b/>
          <w:color w:val="212121"/>
          <w:szCs w:val="22"/>
          <w:u w:val="single"/>
        </w:rPr>
      </w:pPr>
    </w:p>
    <w:p w:rsidR="005614FA" w:rsidRPr="00D12B3C" w:rsidP="005614FA" w14:paraId="07DA8279" w14:textId="77777777">
      <w:pPr>
        <w:widowControl/>
        <w:autoSpaceDE w:val="0"/>
        <w:autoSpaceDN w:val="0"/>
        <w:adjustRightInd w:val="0"/>
        <w:ind w:firstLine="720"/>
        <w:rPr>
          <w:rFonts w:ascii="TimesNewRomanPSMT" w:hAnsi="TimesNewRomanPSMT" w:cs="TimesNewRomanPSMT"/>
          <w:snapToGrid/>
          <w:kern w:val="0"/>
          <w:szCs w:val="22"/>
        </w:rPr>
      </w:pPr>
      <w:r w:rsidRPr="00DB54CA">
        <w:rPr>
          <w:color w:val="000000"/>
        </w:rPr>
        <w:t>We find, upon consideration of the record, that the proposed transfer</w:t>
      </w:r>
      <w:r>
        <w:rPr>
          <w:color w:val="000000"/>
        </w:rPr>
        <w:t>s</w:t>
      </w:r>
      <w:r w:rsidRPr="00DB54CA">
        <w:rPr>
          <w:color w:val="000000"/>
        </w:rPr>
        <w:t xml:space="preserve"> will serve the public interest, convenience, and necessity</w:t>
      </w:r>
      <w:r w:rsidRPr="00F66D37">
        <w:t xml:space="preserve">.  </w:t>
      </w:r>
      <w:r w:rsidRPr="00F66D37">
        <w:rPr>
          <w:szCs w:val="22"/>
          <w:shd w:val="clear" w:color="auto" w:fill="FFFFFF"/>
        </w:rPr>
        <w:t>The proposed transfers present no significant competitive harms and should likely result in some public interest benefits related to network investment and the increased ability of the combined company to serve customers on its own facilities.</w:t>
      </w:r>
      <w:r>
        <w:rPr>
          <w:rStyle w:val="FootnoteReference"/>
          <w:szCs w:val="22"/>
        </w:rPr>
        <w:footnoteReference w:id="32"/>
      </w:r>
      <w:r w:rsidRPr="0083155B">
        <w:rPr>
          <w:color w:val="000000"/>
          <w:szCs w:val="22"/>
        </w:rPr>
        <w:t xml:space="preserve">  </w:t>
      </w:r>
      <w:r>
        <w:rPr>
          <w:color w:val="000000"/>
          <w:szCs w:val="22"/>
        </w:rPr>
        <w:t xml:space="preserve">This grant of the Applications and Petition is conditioned as set out in this Public Notice. </w:t>
      </w:r>
    </w:p>
    <w:p w:rsidR="005614FA" w:rsidP="005614FA" w14:paraId="05C90C5C" w14:textId="49584CF7">
      <w:pPr>
        <w:pStyle w:val="ParaNum"/>
        <w:numPr>
          <w:ilvl w:val="0"/>
          <w:numId w:val="0"/>
        </w:numPr>
        <w:spacing w:after="0"/>
        <w:ind w:firstLine="720"/>
      </w:pPr>
      <w:r>
        <w:t>P</w:t>
      </w:r>
      <w:r w:rsidRPr="00C7200D">
        <w:t xml:space="preserve">ursuant to </w:t>
      </w:r>
      <w:r>
        <w:t>s</w:t>
      </w:r>
      <w:r w:rsidRPr="00C7200D">
        <w:t xml:space="preserve">ections 214(a), 214(c), 303(r), 309, </w:t>
      </w:r>
      <w:r>
        <w:t>310(b)</w:t>
      </w:r>
      <w:r w:rsidR="00EB2C44">
        <w:t>,</w:t>
      </w:r>
      <w:r>
        <w:t xml:space="preserve"> </w:t>
      </w:r>
      <w:r w:rsidRPr="00C7200D">
        <w:t xml:space="preserve">and 310(d) of the </w:t>
      </w:r>
      <w:r>
        <w:t xml:space="preserve">Communications </w:t>
      </w:r>
      <w:r w:rsidRPr="00C7200D">
        <w:t>Act</w:t>
      </w:r>
      <w:r>
        <w:t xml:space="preserve"> of 1934</w:t>
      </w:r>
      <w:r w:rsidRPr="00C7200D">
        <w:t xml:space="preserve">, </w:t>
      </w:r>
      <w:r>
        <w:t xml:space="preserve">as amended, </w:t>
      </w:r>
      <w:r w:rsidRPr="00C7200D">
        <w:t xml:space="preserve">47 U.S.C. §§ 214(a), 214(c), 303(r), 309, </w:t>
      </w:r>
      <w:r>
        <w:t xml:space="preserve">310 (b), </w:t>
      </w:r>
      <w:r w:rsidRPr="00C7200D">
        <w:t>310(d)</w:t>
      </w:r>
      <w:r>
        <w:t xml:space="preserve">, the Cable Landing License Act of 1921, </w:t>
      </w:r>
      <w:r w:rsidRPr="00C7200D">
        <w:t xml:space="preserve">47 U.S.C. §§ </w:t>
      </w:r>
      <w:r>
        <w:t xml:space="preserve">34-39, </w:t>
      </w:r>
      <w:r w:rsidRPr="00C7200D">
        <w:t xml:space="preserve">and </w:t>
      </w:r>
      <w:r>
        <w:t>s</w:t>
      </w:r>
      <w:r w:rsidRPr="00B73C0C">
        <w:t>ection</w:t>
      </w:r>
      <w:r>
        <w:t>s</w:t>
      </w:r>
      <w:r w:rsidRPr="00B73C0C">
        <w:t xml:space="preserve"> </w:t>
      </w:r>
      <w:r>
        <w:t>1.767, 1.948, 1.5001-04, 63.</w:t>
      </w:r>
      <w:r w:rsidR="00413423">
        <w:t>03-</w:t>
      </w:r>
      <w:r>
        <w:t xml:space="preserve">04, 63.18, and 63.24 </w:t>
      </w:r>
      <w:r w:rsidRPr="00B73C0C">
        <w:t>of the Commission’s rules, 47 CFR §§</w:t>
      </w:r>
      <w:r>
        <w:t xml:space="preserve"> 1.767, 1.948,</w:t>
      </w:r>
      <w:r w:rsidRPr="00B73C0C">
        <w:t xml:space="preserve"> </w:t>
      </w:r>
      <w:r>
        <w:t xml:space="preserve">1.5001-04, </w:t>
      </w:r>
      <w:r w:rsidRPr="00B73C0C">
        <w:t>63.</w:t>
      </w:r>
      <w:r w:rsidR="00EB2C44">
        <w:t>03-</w:t>
      </w:r>
      <w:r w:rsidRPr="00B73C0C">
        <w:t xml:space="preserve">04, </w:t>
      </w:r>
      <w:r>
        <w:t xml:space="preserve">63.18, </w:t>
      </w:r>
      <w:r w:rsidRPr="00B73C0C">
        <w:t xml:space="preserve">63.24, and pursuant to the authority delegated under </w:t>
      </w:r>
      <w:r>
        <w:t>s</w:t>
      </w:r>
      <w:r w:rsidRPr="00C7200D">
        <w:t>ections 0.51</w:t>
      </w:r>
      <w:r>
        <w:t xml:space="preserve">, </w:t>
      </w:r>
      <w:r w:rsidRPr="00C7200D">
        <w:t xml:space="preserve">0.91, 0.131, 0.261, 0.291, and 0.331 of the Commission’s rules, 47 CFR §§ 0.51, 0.91, 0.131, 0.261, 0.291, 0.331, </w:t>
      </w:r>
      <w:r>
        <w:t>we</w:t>
      </w:r>
      <w:r w:rsidRPr="00C7200D">
        <w:t xml:space="preserve"> </w:t>
      </w:r>
      <w:r>
        <w:t xml:space="preserve">grant the </w:t>
      </w:r>
      <w:r w:rsidRPr="00C7200D">
        <w:t xml:space="preserve">Applications </w:t>
      </w:r>
      <w:r>
        <w:t xml:space="preserve">and Petition </w:t>
      </w:r>
      <w:r w:rsidRPr="00C7200D">
        <w:t>listed in A</w:t>
      </w:r>
      <w:r>
        <w:t>ttachment</w:t>
      </w:r>
      <w:r w:rsidRPr="00C7200D">
        <w:t xml:space="preserve"> A</w:t>
      </w:r>
      <w:r>
        <w:t xml:space="preserve"> to this Public Notice as conditioned in this Public Notice</w:t>
      </w:r>
      <w:r w:rsidRPr="00C7200D">
        <w:t xml:space="preserve">. </w:t>
      </w:r>
    </w:p>
    <w:p w:rsidR="005614FA" w:rsidP="005614FA" w14:paraId="0CEBD382" w14:textId="77777777">
      <w:pPr>
        <w:widowControl/>
        <w:ind w:firstLine="720"/>
        <w:rPr>
          <w:rFonts w:ascii="Arial" w:hAnsi="Arial" w:cs="Arial"/>
          <w:color w:val="212121"/>
          <w:sz w:val="21"/>
          <w:szCs w:val="21"/>
        </w:rPr>
      </w:pPr>
    </w:p>
    <w:p w:rsidR="005614FA" w:rsidP="005614FA" w14:paraId="4E1DCA8A" w14:textId="77777777">
      <w:pPr>
        <w:widowControl/>
        <w:ind w:firstLine="720"/>
        <w:rPr>
          <w:color w:val="000000"/>
        </w:rPr>
      </w:pPr>
      <w:r w:rsidRPr="00DB54CA">
        <w:rPr>
          <w:color w:val="000000"/>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5614FA" w:rsidP="005614FA" w14:paraId="67EFDF54" w14:textId="77777777">
      <w:pPr>
        <w:widowControl/>
        <w:ind w:firstLine="720"/>
        <w:rPr>
          <w:color w:val="000000"/>
        </w:rPr>
      </w:pPr>
    </w:p>
    <w:p w:rsidR="005614FA" w:rsidP="005614FA" w14:paraId="7857997D" w14:textId="77777777">
      <w:pPr>
        <w:widowControl/>
        <w:spacing w:after="240"/>
        <w:ind w:firstLine="720"/>
        <w:rPr>
          <w:szCs w:val="22"/>
        </w:rPr>
      </w:pPr>
      <w:r>
        <w:rPr>
          <w:szCs w:val="22"/>
        </w:rPr>
        <w:t>For further information, please contact Gregory Kwan, Wireline Competition Bureau, (202) 418-1191; Kimberly Cook, International Bureau, (202) 418-7532; Linda Ray, Wireless Telecommunications Bureau, (202) 418-0257.</w:t>
      </w:r>
    </w:p>
    <w:p w:rsidR="005614FA" w:rsidP="005614FA" w14:paraId="53A859E7" w14:textId="77777777">
      <w:pPr>
        <w:widowControl/>
        <w:spacing w:after="240"/>
        <w:rPr>
          <w:szCs w:val="22"/>
        </w:rPr>
      </w:pPr>
    </w:p>
    <w:p w:rsidR="005614FA" w:rsidRPr="00577322" w:rsidP="005614FA" w14:paraId="7C8DD8BE" w14:textId="77777777">
      <w:pPr>
        <w:keepNext/>
        <w:jc w:val="center"/>
        <w:rPr>
          <w:b/>
          <w:color w:val="000000"/>
          <w:szCs w:val="22"/>
        </w:rPr>
      </w:pPr>
      <w:r>
        <w:rPr>
          <w:b/>
          <w:color w:val="000000"/>
          <w:szCs w:val="22"/>
        </w:rPr>
        <w:br w:type="page"/>
      </w:r>
      <w:r w:rsidRPr="00577322">
        <w:rPr>
          <w:b/>
          <w:color w:val="000000"/>
          <w:szCs w:val="22"/>
        </w:rPr>
        <w:t>ATTACHMENT A</w:t>
      </w:r>
    </w:p>
    <w:p w:rsidR="005614FA" w:rsidRPr="00577322" w:rsidP="005614FA" w14:paraId="68C0EB74" w14:textId="77777777">
      <w:pPr>
        <w:keepNext/>
        <w:jc w:val="center"/>
        <w:rPr>
          <w:b/>
          <w:color w:val="000000"/>
          <w:szCs w:val="22"/>
        </w:rPr>
      </w:pPr>
    </w:p>
    <w:p w:rsidR="005614FA" w:rsidRPr="00577322" w:rsidP="005614FA" w14:paraId="4C15B9DA" w14:textId="77777777">
      <w:pPr>
        <w:keepNext/>
        <w:rPr>
          <w:b/>
          <w:color w:val="000000"/>
          <w:szCs w:val="22"/>
        </w:rPr>
      </w:pPr>
    </w:p>
    <w:p w:rsidR="005614FA" w:rsidRPr="00577322" w:rsidP="005614FA" w14:paraId="7887AB92" w14:textId="77777777">
      <w:pPr>
        <w:keepNext/>
        <w:rPr>
          <w:color w:val="000000"/>
          <w:szCs w:val="22"/>
        </w:rPr>
      </w:pPr>
      <w:r w:rsidRPr="00577322">
        <w:rPr>
          <w:b/>
          <w:color w:val="000000"/>
          <w:szCs w:val="22"/>
        </w:rPr>
        <w:t>SECTION 214 AUTHORIZATIONS</w:t>
      </w:r>
    </w:p>
    <w:p w:rsidR="005614FA" w:rsidRPr="00577322" w:rsidP="005614FA" w14:paraId="07CDF5E8" w14:textId="77777777">
      <w:pPr>
        <w:keepNext/>
        <w:rPr>
          <w:color w:val="000000"/>
          <w:szCs w:val="22"/>
        </w:rPr>
      </w:pPr>
    </w:p>
    <w:p w:rsidR="005614FA" w:rsidP="007D3761" w14:paraId="035F6E1F" w14:textId="032D65D6">
      <w:pPr>
        <w:keepNext/>
        <w:numPr>
          <w:ilvl w:val="0"/>
          <w:numId w:val="7"/>
        </w:numPr>
        <w:rPr>
          <w:b/>
          <w:color w:val="000000"/>
          <w:szCs w:val="22"/>
        </w:rPr>
      </w:pPr>
      <w:r w:rsidRPr="00577322">
        <w:rPr>
          <w:b/>
          <w:color w:val="000000"/>
          <w:szCs w:val="22"/>
        </w:rPr>
        <w:t>International</w:t>
      </w:r>
    </w:p>
    <w:p w:rsidR="007C2228" w:rsidP="007C2228" w14:paraId="7F17BCAB" w14:textId="69403007">
      <w:pPr>
        <w:keepNext/>
        <w:rPr>
          <w:b/>
          <w:color w:val="000000"/>
          <w:szCs w:val="22"/>
        </w:rPr>
      </w:pPr>
    </w:p>
    <w:tbl>
      <w:tblPr>
        <w:tblW w:w="9738" w:type="dxa"/>
        <w:tblLook w:val="01E0"/>
      </w:tblPr>
      <w:tblGrid>
        <w:gridCol w:w="2880"/>
        <w:gridCol w:w="3888"/>
        <w:gridCol w:w="2970"/>
      </w:tblGrid>
      <w:tr w14:paraId="24D72D76" w14:textId="77777777" w:rsidTr="00581C61">
        <w:tblPrEx>
          <w:tblW w:w="9738" w:type="dxa"/>
          <w:tblLook w:val="01E0"/>
        </w:tblPrEx>
        <w:tc>
          <w:tcPr>
            <w:tcW w:w="2880" w:type="dxa"/>
          </w:tcPr>
          <w:p w:rsidR="005614FA" w:rsidRPr="00577322" w:rsidP="00581C61" w14:paraId="2FA0DAB9" w14:textId="77777777">
            <w:pPr>
              <w:rPr>
                <w:b/>
                <w:color w:val="000000"/>
                <w:szCs w:val="22"/>
              </w:rPr>
            </w:pPr>
            <w:bookmarkStart w:id="5" w:name="_Hlk1656452"/>
            <w:r w:rsidRPr="00577322">
              <w:rPr>
                <w:b/>
                <w:color w:val="000000"/>
                <w:szCs w:val="22"/>
                <w:u w:val="single"/>
              </w:rPr>
              <w:t>File Number</w:t>
            </w:r>
          </w:p>
        </w:tc>
        <w:tc>
          <w:tcPr>
            <w:tcW w:w="3888" w:type="dxa"/>
          </w:tcPr>
          <w:p w:rsidR="005614FA" w:rsidRPr="00577322" w:rsidP="00581C61" w14:paraId="48F3AAAC" w14:textId="77777777">
            <w:pPr>
              <w:rPr>
                <w:b/>
                <w:color w:val="000000"/>
                <w:szCs w:val="22"/>
              </w:rPr>
            </w:pPr>
            <w:r w:rsidRPr="00577322">
              <w:rPr>
                <w:b/>
                <w:color w:val="000000"/>
                <w:szCs w:val="22"/>
                <w:u w:val="single"/>
              </w:rPr>
              <w:t>Authorization Holder</w:t>
            </w:r>
          </w:p>
        </w:tc>
        <w:tc>
          <w:tcPr>
            <w:tcW w:w="2970" w:type="dxa"/>
          </w:tcPr>
          <w:p w:rsidR="005614FA" w:rsidRPr="00577322" w:rsidP="00581C61" w14:paraId="46E75C8E" w14:textId="77777777">
            <w:pPr>
              <w:rPr>
                <w:b/>
                <w:color w:val="000000"/>
                <w:szCs w:val="22"/>
                <w:u w:val="single"/>
              </w:rPr>
            </w:pPr>
            <w:r w:rsidRPr="00577322">
              <w:rPr>
                <w:b/>
                <w:color w:val="000000"/>
                <w:szCs w:val="22"/>
                <w:u w:val="single"/>
              </w:rPr>
              <w:t>Authorization Number</w:t>
            </w:r>
          </w:p>
          <w:p w:rsidR="005614FA" w:rsidRPr="00577322" w:rsidP="00581C61" w14:paraId="34D685C9" w14:textId="77777777">
            <w:pPr>
              <w:rPr>
                <w:b/>
                <w:color w:val="000000"/>
                <w:szCs w:val="22"/>
                <w:u w:val="single"/>
              </w:rPr>
            </w:pPr>
          </w:p>
        </w:tc>
      </w:tr>
      <w:bookmarkEnd w:id="5"/>
      <w:tr w14:paraId="10822839" w14:textId="77777777" w:rsidTr="00581C61">
        <w:tblPrEx>
          <w:tblW w:w="9738" w:type="dxa"/>
          <w:tblLook w:val="01E0"/>
        </w:tblPrEx>
        <w:tc>
          <w:tcPr>
            <w:tcW w:w="2880" w:type="dxa"/>
          </w:tcPr>
          <w:p w:rsidR="005614FA" w:rsidRPr="0022664E" w:rsidP="00581C61" w14:paraId="4F98ABEB" w14:textId="77777777">
            <w:pPr>
              <w:rPr>
                <w:color w:val="000000"/>
                <w:szCs w:val="22"/>
              </w:rPr>
            </w:pPr>
            <w:r w:rsidRPr="0022664E">
              <w:rPr>
                <w:color w:val="000000"/>
                <w:szCs w:val="22"/>
              </w:rPr>
              <w:t>ITC-T/C-2019</w:t>
            </w:r>
            <w:r>
              <w:rPr>
                <w:color w:val="000000"/>
                <w:szCs w:val="22"/>
              </w:rPr>
              <w:t>0614-00121</w:t>
            </w:r>
          </w:p>
        </w:tc>
        <w:tc>
          <w:tcPr>
            <w:tcW w:w="3888" w:type="dxa"/>
          </w:tcPr>
          <w:p w:rsidR="005614FA" w:rsidRPr="00DA77F0" w:rsidP="00581C61" w14:paraId="2F082499" w14:textId="77777777">
            <w:pPr>
              <w:rPr>
                <w:szCs w:val="22"/>
              </w:rPr>
            </w:pPr>
            <w:r w:rsidRPr="00DA77F0">
              <w:rPr>
                <w:szCs w:val="22"/>
              </w:rPr>
              <w:t>Allstream Business US, LLC</w:t>
            </w:r>
          </w:p>
        </w:tc>
        <w:tc>
          <w:tcPr>
            <w:tcW w:w="2970" w:type="dxa"/>
          </w:tcPr>
          <w:p w:rsidR="005614FA" w:rsidRPr="00DA77F0" w:rsidP="00581C61" w14:paraId="6670CD55" w14:textId="77777777">
            <w:pPr>
              <w:rPr>
                <w:szCs w:val="22"/>
              </w:rPr>
            </w:pPr>
            <w:r w:rsidRPr="00DA77F0">
              <w:rPr>
                <w:szCs w:val="22"/>
              </w:rPr>
              <w:t>ITC-214-19970820-00500</w:t>
            </w:r>
          </w:p>
        </w:tc>
      </w:tr>
      <w:tr w14:paraId="794945A6" w14:textId="77777777" w:rsidTr="00581C61">
        <w:tblPrEx>
          <w:tblW w:w="9738" w:type="dxa"/>
          <w:tblLook w:val="01E0"/>
        </w:tblPrEx>
        <w:tc>
          <w:tcPr>
            <w:tcW w:w="2880" w:type="dxa"/>
          </w:tcPr>
          <w:p w:rsidR="005614FA" w:rsidRPr="0022664E" w:rsidP="00581C61" w14:paraId="6C4DCD39" w14:textId="77777777">
            <w:pPr>
              <w:rPr>
                <w:color w:val="000000"/>
                <w:szCs w:val="22"/>
              </w:rPr>
            </w:pPr>
            <w:r w:rsidRPr="0022664E">
              <w:rPr>
                <w:color w:val="000000"/>
                <w:szCs w:val="22"/>
              </w:rPr>
              <w:t>ITC-T/C-2019</w:t>
            </w:r>
            <w:r>
              <w:rPr>
                <w:color w:val="000000"/>
                <w:szCs w:val="22"/>
              </w:rPr>
              <w:t>0614-00122</w:t>
            </w:r>
          </w:p>
        </w:tc>
        <w:tc>
          <w:tcPr>
            <w:tcW w:w="3888" w:type="dxa"/>
          </w:tcPr>
          <w:p w:rsidR="005614FA" w:rsidRPr="00DA77F0" w:rsidP="00581C61" w14:paraId="7FC6FE96" w14:textId="77777777">
            <w:pPr>
              <w:rPr>
                <w:szCs w:val="22"/>
              </w:rPr>
            </w:pPr>
            <w:r w:rsidRPr="00DA77F0">
              <w:rPr>
                <w:szCs w:val="22"/>
              </w:rPr>
              <w:t xml:space="preserve">Electric Lightwave, LLC </w:t>
            </w:r>
          </w:p>
        </w:tc>
        <w:tc>
          <w:tcPr>
            <w:tcW w:w="2970" w:type="dxa"/>
          </w:tcPr>
          <w:p w:rsidR="005614FA" w:rsidRPr="00DA77F0" w:rsidP="00581C61" w14:paraId="1021BC80" w14:textId="77777777">
            <w:pPr>
              <w:rPr>
                <w:szCs w:val="22"/>
              </w:rPr>
            </w:pPr>
            <w:r w:rsidRPr="00DA77F0">
              <w:rPr>
                <w:szCs w:val="22"/>
              </w:rPr>
              <w:t>ITC-214-19940415-00137</w:t>
            </w:r>
          </w:p>
        </w:tc>
      </w:tr>
      <w:tr w14:paraId="4DE91A2F" w14:textId="77777777" w:rsidTr="00581C61">
        <w:tblPrEx>
          <w:tblW w:w="9738" w:type="dxa"/>
          <w:tblLook w:val="01E0"/>
        </w:tblPrEx>
        <w:tc>
          <w:tcPr>
            <w:tcW w:w="2880" w:type="dxa"/>
          </w:tcPr>
          <w:p w:rsidR="005614FA" w:rsidRPr="0022664E" w:rsidP="00581C61" w14:paraId="0B01F8A1" w14:textId="77777777">
            <w:pPr>
              <w:rPr>
                <w:color w:val="000000"/>
                <w:szCs w:val="22"/>
              </w:rPr>
            </w:pPr>
          </w:p>
        </w:tc>
        <w:tc>
          <w:tcPr>
            <w:tcW w:w="3888" w:type="dxa"/>
          </w:tcPr>
          <w:p w:rsidR="005614FA" w:rsidRPr="00DA77F0" w:rsidP="00581C61" w14:paraId="65ABEDC3" w14:textId="77777777">
            <w:pPr>
              <w:rPr>
                <w:szCs w:val="22"/>
              </w:rPr>
            </w:pPr>
          </w:p>
        </w:tc>
        <w:tc>
          <w:tcPr>
            <w:tcW w:w="2970" w:type="dxa"/>
          </w:tcPr>
          <w:p w:rsidR="005614FA" w:rsidRPr="00DA77F0" w:rsidP="00581C61" w14:paraId="0FCD314D" w14:textId="77777777">
            <w:pPr>
              <w:rPr>
                <w:szCs w:val="22"/>
              </w:rPr>
            </w:pPr>
            <w:r w:rsidRPr="00DA77F0">
              <w:rPr>
                <w:szCs w:val="22"/>
              </w:rPr>
              <w:t>ITC-214-19980619-00425</w:t>
            </w:r>
          </w:p>
        </w:tc>
      </w:tr>
      <w:tr w14:paraId="316D2FB7" w14:textId="77777777" w:rsidTr="00581C61">
        <w:tblPrEx>
          <w:tblW w:w="9738" w:type="dxa"/>
          <w:tblLook w:val="01E0"/>
        </w:tblPrEx>
        <w:tc>
          <w:tcPr>
            <w:tcW w:w="2880" w:type="dxa"/>
          </w:tcPr>
          <w:p w:rsidR="005614FA" w:rsidP="00581C61" w14:paraId="3114D309" w14:textId="77777777">
            <w:pPr>
              <w:rPr>
                <w:color w:val="000000"/>
                <w:szCs w:val="22"/>
              </w:rPr>
            </w:pPr>
          </w:p>
          <w:p w:rsidR="007C2228" w:rsidP="00581C61" w14:paraId="0942CC85" w14:textId="77777777">
            <w:pPr>
              <w:rPr>
                <w:color w:val="000000"/>
                <w:szCs w:val="22"/>
              </w:rPr>
            </w:pPr>
            <w:r w:rsidRPr="0022664E">
              <w:rPr>
                <w:color w:val="000000"/>
                <w:szCs w:val="22"/>
              </w:rPr>
              <w:t>ITC-T/C-2019</w:t>
            </w:r>
            <w:r>
              <w:rPr>
                <w:color w:val="000000"/>
                <w:szCs w:val="22"/>
              </w:rPr>
              <w:t>0617-00123</w:t>
            </w:r>
          </w:p>
          <w:p w:rsidR="007C2228" w:rsidRPr="0022664E" w:rsidP="00581C61" w14:paraId="5646701E" w14:textId="26D9B6B4">
            <w:pPr>
              <w:rPr>
                <w:color w:val="000000"/>
                <w:szCs w:val="22"/>
              </w:rPr>
            </w:pPr>
          </w:p>
        </w:tc>
        <w:tc>
          <w:tcPr>
            <w:tcW w:w="3888" w:type="dxa"/>
          </w:tcPr>
          <w:p w:rsidR="005614FA" w:rsidP="00581C61" w14:paraId="3484A73D" w14:textId="77777777">
            <w:pPr>
              <w:rPr>
                <w:szCs w:val="22"/>
              </w:rPr>
            </w:pPr>
          </w:p>
          <w:p w:rsidR="007C2228" w:rsidP="00581C61" w14:paraId="16BAD4C7" w14:textId="77777777">
            <w:pPr>
              <w:rPr>
                <w:szCs w:val="22"/>
              </w:rPr>
            </w:pPr>
            <w:r>
              <w:rPr>
                <w:szCs w:val="22"/>
              </w:rPr>
              <w:t>Zayo Group, LLC</w:t>
            </w:r>
          </w:p>
          <w:p w:rsidR="007C2228" w:rsidRPr="00DA77F0" w:rsidP="00581C61" w14:paraId="67481A58" w14:textId="62ACB579">
            <w:pPr>
              <w:rPr>
                <w:szCs w:val="22"/>
              </w:rPr>
            </w:pPr>
          </w:p>
        </w:tc>
        <w:tc>
          <w:tcPr>
            <w:tcW w:w="2970" w:type="dxa"/>
          </w:tcPr>
          <w:p w:rsidR="005614FA" w:rsidP="00581C61" w14:paraId="54278DF1" w14:textId="7C4EA252">
            <w:pPr>
              <w:rPr>
                <w:szCs w:val="22"/>
              </w:rPr>
            </w:pPr>
            <w:r w:rsidRPr="00DA77F0">
              <w:rPr>
                <w:szCs w:val="22"/>
              </w:rPr>
              <w:t>ITC-214-19990729-00490</w:t>
            </w:r>
          </w:p>
          <w:p w:rsidR="007C2228" w:rsidP="00581C61" w14:paraId="6FB61D65" w14:textId="18818666">
            <w:pPr>
              <w:rPr>
                <w:szCs w:val="22"/>
              </w:rPr>
            </w:pPr>
            <w:r w:rsidRPr="00DA77F0">
              <w:rPr>
                <w:szCs w:val="22"/>
              </w:rPr>
              <w:t>ITC-214-20091106-00475</w:t>
            </w:r>
          </w:p>
          <w:p w:rsidR="007C2228" w:rsidRPr="00DA77F0" w:rsidP="00581C61" w14:paraId="3C0DC20F" w14:textId="77777777">
            <w:pPr>
              <w:rPr>
                <w:szCs w:val="22"/>
              </w:rPr>
            </w:pPr>
          </w:p>
          <w:p w:rsidR="005614FA" w:rsidRPr="00DA77F0" w:rsidP="00581C61" w14:paraId="0C7D2694" w14:textId="77777777">
            <w:pPr>
              <w:rPr>
                <w:szCs w:val="22"/>
              </w:rPr>
            </w:pPr>
          </w:p>
          <w:p w:rsidR="005614FA" w:rsidRPr="00DA77F0" w:rsidP="00581C61" w14:paraId="383DAEF1" w14:textId="77777777">
            <w:pPr>
              <w:rPr>
                <w:szCs w:val="22"/>
              </w:rPr>
            </w:pPr>
          </w:p>
        </w:tc>
      </w:tr>
    </w:tbl>
    <w:p w:rsidR="005614FA" w:rsidRPr="00577322" w:rsidP="005614FA" w14:paraId="7B6F0AEF" w14:textId="77777777">
      <w:pPr>
        <w:keepNext/>
        <w:ind w:firstLine="720"/>
        <w:rPr>
          <w:b/>
          <w:color w:val="000000"/>
          <w:szCs w:val="22"/>
        </w:rPr>
      </w:pPr>
      <w:r w:rsidRPr="00577322">
        <w:rPr>
          <w:b/>
          <w:color w:val="000000"/>
          <w:szCs w:val="22"/>
        </w:rPr>
        <w:t>B.</w:t>
      </w:r>
      <w:r w:rsidRPr="00577322">
        <w:rPr>
          <w:b/>
          <w:color w:val="000000"/>
          <w:szCs w:val="22"/>
        </w:rPr>
        <w:tab/>
        <w:t>Domestic</w:t>
      </w:r>
    </w:p>
    <w:p w:rsidR="005614FA" w:rsidRPr="00577322" w:rsidP="005614FA" w14:paraId="6E035A5F" w14:textId="77777777">
      <w:pPr>
        <w:keepNext/>
        <w:rPr>
          <w:color w:val="000000"/>
          <w:szCs w:val="22"/>
        </w:rPr>
      </w:pPr>
    </w:p>
    <w:p w:rsidR="005614FA" w:rsidRPr="00577322" w:rsidP="005614FA" w14:paraId="11AEEFEB" w14:textId="13D8DC66">
      <w:pPr>
        <w:ind w:firstLine="720"/>
        <w:rPr>
          <w:szCs w:val="22"/>
        </w:rPr>
      </w:pPr>
      <w:r w:rsidRPr="00FC565D">
        <w:rPr>
          <w:color w:val="000000"/>
          <w:szCs w:val="22"/>
        </w:rPr>
        <w:t xml:space="preserve">The </w:t>
      </w:r>
      <w:r w:rsidR="00CC6A10">
        <w:rPr>
          <w:color w:val="000000"/>
          <w:szCs w:val="22"/>
        </w:rPr>
        <w:t xml:space="preserve">Wireline Competition </w:t>
      </w:r>
      <w:r>
        <w:rPr>
          <w:color w:val="000000"/>
          <w:szCs w:val="22"/>
        </w:rPr>
        <w:t>Bureau grant</w:t>
      </w:r>
      <w:r w:rsidR="00CC6A10">
        <w:rPr>
          <w:color w:val="000000"/>
          <w:szCs w:val="22"/>
        </w:rPr>
        <w:t>s</w:t>
      </w:r>
      <w:r>
        <w:rPr>
          <w:color w:val="000000"/>
          <w:szCs w:val="22"/>
        </w:rPr>
        <w:t xml:space="preserve"> the </w:t>
      </w:r>
      <w:r w:rsidRPr="00FC565D">
        <w:rPr>
          <w:color w:val="000000"/>
          <w:szCs w:val="22"/>
        </w:rPr>
        <w:t>application to transfer control of do</w:t>
      </w:r>
      <w:r>
        <w:rPr>
          <w:color w:val="000000"/>
          <w:szCs w:val="22"/>
        </w:rPr>
        <w:t>mestic s</w:t>
      </w:r>
      <w:r w:rsidRPr="00FC565D">
        <w:rPr>
          <w:color w:val="000000"/>
          <w:szCs w:val="22"/>
        </w:rPr>
        <w:t>ection 214 authority in connection with</w:t>
      </w:r>
      <w:r>
        <w:rPr>
          <w:color w:val="000000"/>
          <w:szCs w:val="22"/>
        </w:rPr>
        <w:t xml:space="preserve"> the proposed transaction, WC Docket No. 19-166.  </w:t>
      </w:r>
    </w:p>
    <w:tbl>
      <w:tblPr>
        <w:tblW w:w="9744" w:type="dxa"/>
        <w:tblLook w:val="01E0"/>
      </w:tblPr>
      <w:tblGrid>
        <w:gridCol w:w="2882"/>
        <w:gridCol w:w="3890"/>
        <w:gridCol w:w="2972"/>
      </w:tblGrid>
      <w:tr w14:paraId="39F05906" w14:textId="77777777" w:rsidTr="00581C61">
        <w:tblPrEx>
          <w:tblW w:w="9744" w:type="dxa"/>
          <w:tblLook w:val="01E0"/>
        </w:tblPrEx>
        <w:trPr>
          <w:trHeight w:val="297"/>
        </w:trPr>
        <w:tc>
          <w:tcPr>
            <w:tcW w:w="2882" w:type="dxa"/>
          </w:tcPr>
          <w:p w:rsidR="005614FA" w:rsidRPr="00577322" w:rsidP="00581C61" w14:paraId="7F36B228" w14:textId="77777777">
            <w:pPr>
              <w:rPr>
                <w:color w:val="000000"/>
                <w:szCs w:val="22"/>
              </w:rPr>
            </w:pPr>
          </w:p>
        </w:tc>
        <w:tc>
          <w:tcPr>
            <w:tcW w:w="3890" w:type="dxa"/>
          </w:tcPr>
          <w:p w:rsidR="005614FA" w:rsidRPr="00577322" w:rsidP="00581C61" w14:paraId="705D93AD" w14:textId="77777777">
            <w:pPr>
              <w:rPr>
                <w:color w:val="000000"/>
                <w:szCs w:val="22"/>
              </w:rPr>
            </w:pPr>
          </w:p>
        </w:tc>
        <w:tc>
          <w:tcPr>
            <w:tcW w:w="2972" w:type="dxa"/>
          </w:tcPr>
          <w:p w:rsidR="005614FA" w:rsidRPr="00577322" w:rsidP="00581C61" w14:paraId="50F74A75" w14:textId="77777777">
            <w:pPr>
              <w:rPr>
                <w:color w:val="000000"/>
                <w:szCs w:val="22"/>
              </w:rPr>
            </w:pPr>
          </w:p>
        </w:tc>
      </w:tr>
    </w:tbl>
    <w:p w:rsidR="005614FA" w:rsidP="005614FA" w14:paraId="549411F2" w14:textId="77777777">
      <w:pPr>
        <w:keepNext/>
        <w:rPr>
          <w:b/>
          <w:color w:val="000000"/>
          <w:szCs w:val="22"/>
        </w:rPr>
      </w:pPr>
    </w:p>
    <w:p w:rsidR="005614FA" w:rsidP="005614FA" w14:paraId="4F8157CA" w14:textId="6545298B">
      <w:pPr>
        <w:keepNext/>
        <w:rPr>
          <w:b/>
          <w:color w:val="000000"/>
          <w:szCs w:val="22"/>
        </w:rPr>
      </w:pPr>
      <w:r w:rsidRPr="00D8081B">
        <w:rPr>
          <w:b/>
          <w:color w:val="000000"/>
          <w:szCs w:val="22"/>
        </w:rPr>
        <w:t>CABLE LANDING LICENSES</w:t>
      </w:r>
    </w:p>
    <w:p w:rsidR="005614FA" w:rsidRPr="00D8081B" w:rsidP="005614FA" w14:paraId="3011C949" w14:textId="77777777">
      <w:pPr>
        <w:keepNext/>
        <w:rPr>
          <w:b/>
          <w:color w:val="000000"/>
          <w:szCs w:val="22"/>
        </w:rPr>
      </w:pPr>
      <w:r w:rsidRPr="00D8081B">
        <w:rPr>
          <w:b/>
          <w:color w:val="000000"/>
          <w:szCs w:val="22"/>
        </w:rPr>
        <w:tab/>
      </w:r>
    </w:p>
    <w:tbl>
      <w:tblPr>
        <w:tblW w:w="9738" w:type="dxa"/>
        <w:tblLook w:val="01E0"/>
      </w:tblPr>
      <w:tblGrid>
        <w:gridCol w:w="2880"/>
        <w:gridCol w:w="3888"/>
        <w:gridCol w:w="2970"/>
      </w:tblGrid>
      <w:tr w14:paraId="468FBFF8" w14:textId="77777777" w:rsidTr="00581C61">
        <w:tblPrEx>
          <w:tblW w:w="9738" w:type="dxa"/>
          <w:tblLook w:val="01E0"/>
        </w:tblPrEx>
        <w:tc>
          <w:tcPr>
            <w:tcW w:w="2880" w:type="dxa"/>
          </w:tcPr>
          <w:p w:rsidR="005614FA" w:rsidRPr="00D8081B" w:rsidP="00581C61" w14:paraId="3563B463" w14:textId="77777777">
            <w:pPr>
              <w:keepNext/>
              <w:rPr>
                <w:b/>
                <w:color w:val="000000"/>
                <w:szCs w:val="22"/>
              </w:rPr>
            </w:pPr>
            <w:r w:rsidRPr="00D8081B">
              <w:rPr>
                <w:b/>
                <w:color w:val="000000"/>
                <w:szCs w:val="22"/>
                <w:u w:val="single"/>
              </w:rPr>
              <w:t>File Number</w:t>
            </w:r>
          </w:p>
        </w:tc>
        <w:tc>
          <w:tcPr>
            <w:tcW w:w="3888" w:type="dxa"/>
          </w:tcPr>
          <w:p w:rsidR="005614FA" w:rsidRPr="00D8081B" w:rsidP="00581C61" w14:paraId="4D0BFCA7" w14:textId="77777777">
            <w:pPr>
              <w:keepNext/>
              <w:rPr>
                <w:b/>
                <w:color w:val="000000"/>
                <w:szCs w:val="22"/>
                <w:u w:val="single"/>
              </w:rPr>
            </w:pPr>
            <w:r w:rsidRPr="00D8081B">
              <w:rPr>
                <w:b/>
                <w:color w:val="000000"/>
                <w:szCs w:val="22"/>
                <w:u w:val="single"/>
              </w:rPr>
              <w:t>Licensee</w:t>
            </w:r>
          </w:p>
        </w:tc>
        <w:tc>
          <w:tcPr>
            <w:tcW w:w="2970" w:type="dxa"/>
          </w:tcPr>
          <w:p w:rsidR="005614FA" w:rsidRPr="00D8081B" w:rsidP="00581C61" w14:paraId="5FE85F78" w14:textId="77777777">
            <w:pPr>
              <w:keepNext/>
              <w:rPr>
                <w:b/>
                <w:color w:val="000000"/>
                <w:szCs w:val="22"/>
                <w:u w:val="single"/>
              </w:rPr>
            </w:pPr>
            <w:r w:rsidRPr="00D8081B">
              <w:rPr>
                <w:b/>
                <w:color w:val="000000"/>
                <w:szCs w:val="22"/>
                <w:u w:val="single"/>
              </w:rPr>
              <w:t>License Number</w:t>
            </w:r>
          </w:p>
          <w:p w:rsidR="005614FA" w:rsidRPr="00D8081B" w:rsidP="00581C61" w14:paraId="70A35F66" w14:textId="77777777">
            <w:pPr>
              <w:keepNext/>
              <w:rPr>
                <w:b/>
                <w:color w:val="000000"/>
                <w:szCs w:val="22"/>
                <w:u w:val="single"/>
              </w:rPr>
            </w:pPr>
          </w:p>
        </w:tc>
      </w:tr>
      <w:tr w14:paraId="797F2E27" w14:textId="77777777" w:rsidTr="00581C61">
        <w:tblPrEx>
          <w:tblW w:w="9738" w:type="dxa"/>
          <w:tblLook w:val="01E0"/>
        </w:tblPrEx>
        <w:tc>
          <w:tcPr>
            <w:tcW w:w="2880" w:type="dxa"/>
          </w:tcPr>
          <w:p w:rsidR="005614FA" w:rsidRPr="00890537" w:rsidP="00581C61" w14:paraId="13C466F0" w14:textId="77777777">
            <w:pPr>
              <w:keepNext/>
              <w:rPr>
                <w:color w:val="000000"/>
                <w:szCs w:val="22"/>
              </w:rPr>
            </w:pPr>
            <w:r w:rsidRPr="00890537">
              <w:rPr>
                <w:color w:val="000000"/>
                <w:szCs w:val="22"/>
              </w:rPr>
              <w:t>SCL-T/C-20190614-00018</w:t>
            </w:r>
          </w:p>
        </w:tc>
        <w:tc>
          <w:tcPr>
            <w:tcW w:w="3888" w:type="dxa"/>
          </w:tcPr>
          <w:p w:rsidR="005614FA" w:rsidRPr="00890537" w:rsidP="00581C61" w14:paraId="70ADB07E" w14:textId="77777777">
            <w:pPr>
              <w:keepNext/>
              <w:rPr>
                <w:color w:val="000000"/>
                <w:szCs w:val="22"/>
              </w:rPr>
            </w:pPr>
            <w:r w:rsidRPr="00890537">
              <w:rPr>
                <w:color w:val="000000"/>
                <w:szCs w:val="22"/>
              </w:rPr>
              <w:t>Zayo Group, LLC</w:t>
            </w:r>
          </w:p>
          <w:p w:rsidR="005614FA" w:rsidRPr="00890537" w:rsidP="00581C61" w14:paraId="5258D186" w14:textId="77777777">
            <w:pPr>
              <w:keepNext/>
              <w:rPr>
                <w:color w:val="000000"/>
                <w:szCs w:val="22"/>
              </w:rPr>
            </w:pPr>
          </w:p>
        </w:tc>
        <w:tc>
          <w:tcPr>
            <w:tcW w:w="2970" w:type="dxa"/>
          </w:tcPr>
          <w:p w:rsidR="005614FA" w:rsidRPr="00890537" w:rsidP="00581C61" w14:paraId="346AF658" w14:textId="77777777">
            <w:pPr>
              <w:keepNext/>
              <w:rPr>
                <w:color w:val="000000"/>
                <w:szCs w:val="22"/>
              </w:rPr>
            </w:pPr>
            <w:r w:rsidRPr="00890537">
              <w:rPr>
                <w:color w:val="000000"/>
                <w:szCs w:val="22"/>
              </w:rPr>
              <w:t>SCL-LIC-19980123-00002</w:t>
            </w:r>
          </w:p>
          <w:p w:rsidR="005614FA" w:rsidRPr="00890537" w:rsidP="00581C61" w14:paraId="067960B2" w14:textId="77777777">
            <w:pPr>
              <w:keepNext/>
              <w:rPr>
                <w:color w:val="000000"/>
                <w:szCs w:val="22"/>
              </w:rPr>
            </w:pPr>
            <w:r w:rsidRPr="00890537">
              <w:rPr>
                <w:color w:val="000000"/>
                <w:szCs w:val="22"/>
              </w:rPr>
              <w:t>SCL-MOD-19990901-00016</w:t>
            </w:r>
          </w:p>
        </w:tc>
      </w:tr>
    </w:tbl>
    <w:p w:rsidR="005614FA" w:rsidP="005614FA" w14:paraId="59F13787" w14:textId="77777777">
      <w:pPr>
        <w:keepNext/>
        <w:rPr>
          <w:b/>
          <w:color w:val="000000"/>
          <w:szCs w:val="22"/>
        </w:rPr>
      </w:pPr>
    </w:p>
    <w:p w:rsidR="005614FA" w:rsidRPr="00577322" w:rsidP="005614FA" w14:paraId="15EC2B62" w14:textId="77777777">
      <w:pPr>
        <w:keepNext/>
        <w:rPr>
          <w:b/>
          <w:color w:val="000000"/>
          <w:szCs w:val="22"/>
        </w:rPr>
      </w:pPr>
      <w:r w:rsidRPr="00577322">
        <w:rPr>
          <w:b/>
          <w:color w:val="000000"/>
          <w:szCs w:val="22"/>
        </w:rPr>
        <w:t>SECTION 310(d) APPLICATIONS</w:t>
      </w:r>
    </w:p>
    <w:p w:rsidR="005614FA" w:rsidP="005614FA" w14:paraId="20491350" w14:textId="77777777">
      <w:pPr>
        <w:rPr>
          <w:rFonts w:ascii="Arial" w:hAnsi="Arial" w:cs="Arial"/>
          <w:color w:val="212121"/>
          <w:sz w:val="21"/>
          <w:szCs w:val="21"/>
        </w:rPr>
      </w:pPr>
    </w:p>
    <w:p w:rsidR="005614FA" w:rsidP="005614FA" w14:paraId="2E76AD32" w14:textId="202E08A0">
      <w:pPr>
        <w:rPr>
          <w:b/>
          <w:color w:val="000000"/>
          <w:szCs w:val="22"/>
        </w:rPr>
      </w:pPr>
      <w:r w:rsidRPr="00577322">
        <w:rPr>
          <w:b/>
          <w:color w:val="000000"/>
          <w:szCs w:val="22"/>
        </w:rPr>
        <w:t xml:space="preserve">WIRELESS </w:t>
      </w:r>
      <w:r>
        <w:rPr>
          <w:b/>
          <w:color w:val="000000"/>
          <w:szCs w:val="22"/>
        </w:rPr>
        <w:t>LICENSE</w:t>
      </w:r>
      <w:r w:rsidRPr="00577322">
        <w:rPr>
          <w:b/>
          <w:color w:val="000000"/>
          <w:szCs w:val="22"/>
        </w:rPr>
        <w:t xml:space="preserve"> </w:t>
      </w:r>
    </w:p>
    <w:p w:rsidR="005614FA" w:rsidRPr="00577322" w:rsidP="005614FA" w14:paraId="19DF156F" w14:textId="77777777">
      <w:pPr>
        <w:rPr>
          <w:b/>
          <w:color w:val="000000"/>
          <w:szCs w:val="22"/>
        </w:rPr>
      </w:pPr>
    </w:p>
    <w:tbl>
      <w:tblPr>
        <w:tblW w:w="9738" w:type="dxa"/>
        <w:tblLook w:val="01E0"/>
      </w:tblPr>
      <w:tblGrid>
        <w:gridCol w:w="2880"/>
        <w:gridCol w:w="3888"/>
        <w:gridCol w:w="2970"/>
      </w:tblGrid>
      <w:tr w14:paraId="35A6E15C" w14:textId="77777777" w:rsidTr="00581C61">
        <w:tblPrEx>
          <w:tblW w:w="9738" w:type="dxa"/>
          <w:tblLook w:val="01E0"/>
        </w:tblPrEx>
        <w:trPr>
          <w:trHeight w:val="648"/>
        </w:trPr>
        <w:tc>
          <w:tcPr>
            <w:tcW w:w="2880" w:type="dxa"/>
          </w:tcPr>
          <w:p w:rsidR="005614FA" w:rsidRPr="00D8081B" w:rsidP="00581C61" w14:paraId="1E45F4A1" w14:textId="77777777">
            <w:pPr>
              <w:rPr>
                <w:b/>
                <w:color w:val="000000"/>
                <w:szCs w:val="22"/>
              </w:rPr>
            </w:pPr>
            <w:r w:rsidRPr="00D8081B">
              <w:rPr>
                <w:b/>
                <w:color w:val="000000"/>
                <w:szCs w:val="22"/>
                <w:u w:val="single"/>
              </w:rPr>
              <w:t>ULS File Number</w:t>
            </w:r>
          </w:p>
        </w:tc>
        <w:tc>
          <w:tcPr>
            <w:tcW w:w="3888" w:type="dxa"/>
          </w:tcPr>
          <w:p w:rsidR="005614FA" w:rsidRPr="00D8081B" w:rsidP="00581C61" w14:paraId="7CC68BE4" w14:textId="77777777">
            <w:pPr>
              <w:rPr>
                <w:b/>
                <w:color w:val="000000"/>
                <w:szCs w:val="22"/>
                <w:u w:val="single"/>
              </w:rPr>
            </w:pPr>
            <w:r w:rsidRPr="00D8081B">
              <w:rPr>
                <w:b/>
                <w:color w:val="000000"/>
                <w:szCs w:val="22"/>
                <w:u w:val="single"/>
              </w:rPr>
              <w:t>Licensee</w:t>
            </w:r>
          </w:p>
        </w:tc>
        <w:tc>
          <w:tcPr>
            <w:tcW w:w="2970" w:type="dxa"/>
          </w:tcPr>
          <w:p w:rsidR="005614FA" w:rsidRPr="00D8081B" w:rsidP="00581C61" w14:paraId="67F1AE00" w14:textId="77777777">
            <w:pPr>
              <w:rPr>
                <w:b/>
                <w:color w:val="000000"/>
                <w:szCs w:val="22"/>
                <w:u w:val="single"/>
              </w:rPr>
            </w:pPr>
            <w:r w:rsidRPr="00D8081B">
              <w:rPr>
                <w:b/>
                <w:color w:val="000000"/>
                <w:szCs w:val="22"/>
                <w:u w:val="single"/>
              </w:rPr>
              <w:t>Lead Call Sign</w:t>
            </w:r>
          </w:p>
          <w:p w:rsidR="005614FA" w:rsidRPr="00D8081B" w:rsidP="00581C61" w14:paraId="3DAD1FB9" w14:textId="77777777">
            <w:pPr>
              <w:rPr>
                <w:b/>
                <w:color w:val="000000"/>
                <w:szCs w:val="22"/>
                <w:u w:val="single"/>
              </w:rPr>
            </w:pPr>
          </w:p>
        </w:tc>
      </w:tr>
    </w:tbl>
    <w:p w:rsidR="005614FA" w:rsidRPr="00890537" w:rsidP="005614FA" w14:paraId="5E206880" w14:textId="77777777">
      <w:pPr>
        <w:rPr>
          <w:color w:val="000000"/>
          <w:szCs w:val="22"/>
        </w:rPr>
      </w:pPr>
      <w:r w:rsidRPr="00890537">
        <w:rPr>
          <w:color w:val="000000"/>
          <w:szCs w:val="22"/>
        </w:rPr>
        <w:t>0008686969                                Zayo Group, LLC</w:t>
      </w:r>
      <w:r w:rsidRPr="00890537">
        <w:rPr>
          <w:color w:val="000000"/>
          <w:szCs w:val="22"/>
        </w:rPr>
        <w:tab/>
      </w:r>
      <w:r w:rsidRPr="00890537">
        <w:rPr>
          <w:color w:val="000000"/>
          <w:szCs w:val="22"/>
        </w:rPr>
        <w:tab/>
        <w:t xml:space="preserve">                  WQOD968                          </w:t>
      </w:r>
    </w:p>
    <w:p w:rsidR="005614FA" w:rsidP="005614FA" w14:paraId="1C55EDCA" w14:textId="77777777">
      <w:pPr>
        <w:rPr>
          <w:b/>
          <w:color w:val="000000"/>
          <w:szCs w:val="22"/>
        </w:rPr>
      </w:pPr>
    </w:p>
    <w:p w:rsidR="005614FA" w:rsidP="005614FA" w14:paraId="27901874" w14:textId="77777777">
      <w:pPr>
        <w:rPr>
          <w:b/>
          <w:color w:val="000000"/>
          <w:szCs w:val="22"/>
        </w:rPr>
      </w:pPr>
    </w:p>
    <w:p w:rsidR="005614FA" w:rsidRPr="001A6361" w:rsidP="005614FA" w14:paraId="5E06EB36" w14:textId="58CF485F">
      <w:pPr>
        <w:widowControl/>
        <w:rPr>
          <w:b/>
          <w:bCs/>
          <w:snapToGrid/>
          <w:color w:val="000000"/>
          <w:kern w:val="0"/>
          <w:szCs w:val="22"/>
        </w:rPr>
      </w:pPr>
      <w:r>
        <w:rPr>
          <w:b/>
          <w:bCs/>
          <w:snapToGrid/>
          <w:color w:val="000000"/>
          <w:kern w:val="0"/>
          <w:szCs w:val="22"/>
        </w:rPr>
        <w:t>PETITI</w:t>
      </w:r>
      <w:r w:rsidR="00631B71">
        <w:rPr>
          <w:b/>
          <w:bCs/>
          <w:snapToGrid/>
          <w:color w:val="000000"/>
          <w:kern w:val="0"/>
          <w:szCs w:val="22"/>
        </w:rPr>
        <w:t>O</w:t>
      </w:r>
      <w:r>
        <w:rPr>
          <w:b/>
          <w:bCs/>
          <w:snapToGrid/>
          <w:color w:val="000000"/>
          <w:kern w:val="0"/>
          <w:szCs w:val="22"/>
        </w:rPr>
        <w:t>N FOR DECLARATORY RULING UNDER SECTION 310(b)(4)</w:t>
      </w:r>
    </w:p>
    <w:p w:rsidR="005614FA" w:rsidP="005614FA" w14:paraId="4A7A64FC" w14:textId="77777777">
      <w:pPr>
        <w:widowControl/>
        <w:rPr>
          <w:snapToGrid/>
          <w:color w:val="000000"/>
          <w:kern w:val="0"/>
          <w:szCs w:val="22"/>
        </w:rPr>
      </w:pPr>
    </w:p>
    <w:p w:rsidR="005614FA" w:rsidRPr="00880549" w:rsidP="007C2228" w14:paraId="548106BD" w14:textId="44FE517F">
      <w:pPr>
        <w:widowControl/>
        <w:rPr>
          <w:snapToGrid/>
          <w:color w:val="000000"/>
          <w:kern w:val="0"/>
          <w:szCs w:val="22"/>
        </w:rPr>
      </w:pPr>
      <w:r w:rsidRPr="00880549">
        <w:rPr>
          <w:snapToGrid/>
          <w:color w:val="000000"/>
          <w:kern w:val="0"/>
          <w:szCs w:val="22"/>
        </w:rPr>
        <w:t xml:space="preserve">The </w:t>
      </w:r>
      <w:r w:rsidR="00CC6A10">
        <w:rPr>
          <w:snapToGrid/>
          <w:color w:val="000000"/>
          <w:kern w:val="0"/>
          <w:szCs w:val="22"/>
        </w:rPr>
        <w:t xml:space="preserve">International </w:t>
      </w:r>
      <w:r>
        <w:rPr>
          <w:snapToGrid/>
          <w:color w:val="000000"/>
          <w:kern w:val="0"/>
          <w:szCs w:val="22"/>
        </w:rPr>
        <w:t>Bureau grant</w:t>
      </w:r>
      <w:r w:rsidR="00CC6A10">
        <w:rPr>
          <w:snapToGrid/>
          <w:color w:val="000000"/>
          <w:kern w:val="0"/>
          <w:szCs w:val="22"/>
        </w:rPr>
        <w:t>s</w:t>
      </w:r>
      <w:r w:rsidR="009B3988">
        <w:rPr>
          <w:snapToGrid/>
          <w:color w:val="000000"/>
          <w:kern w:val="0"/>
          <w:szCs w:val="22"/>
        </w:rPr>
        <w:t>, as conditioned,</w:t>
      </w:r>
      <w:r>
        <w:rPr>
          <w:snapToGrid/>
          <w:color w:val="000000"/>
          <w:kern w:val="0"/>
          <w:szCs w:val="22"/>
        </w:rPr>
        <w:t xml:space="preserve"> the </w:t>
      </w:r>
      <w:r w:rsidRPr="00880549">
        <w:rPr>
          <w:snapToGrid/>
          <w:color w:val="000000"/>
          <w:kern w:val="0"/>
          <w:szCs w:val="22"/>
        </w:rPr>
        <w:t>Petition for Declaratory Ruling</w:t>
      </w:r>
      <w:r>
        <w:rPr>
          <w:snapToGrid/>
          <w:color w:val="000000"/>
          <w:kern w:val="0"/>
          <w:szCs w:val="22"/>
        </w:rPr>
        <w:t>,</w:t>
      </w:r>
      <w:r w:rsidRPr="00880549">
        <w:rPr>
          <w:snapToGrid/>
          <w:color w:val="000000"/>
          <w:kern w:val="0"/>
          <w:szCs w:val="22"/>
        </w:rPr>
        <w:t xml:space="preserve"> File No. </w:t>
      </w:r>
      <w:bookmarkStart w:id="6" w:name="_Hlk31190633"/>
      <w:r w:rsidRPr="00880549">
        <w:rPr>
          <w:snapToGrid/>
          <w:color w:val="000000"/>
          <w:kern w:val="0"/>
          <w:szCs w:val="22"/>
        </w:rPr>
        <w:t>ISP-PDR-20190620-00004</w:t>
      </w:r>
      <w:bookmarkEnd w:id="6"/>
      <w:r w:rsidRPr="00880549">
        <w:rPr>
          <w:snapToGrid/>
          <w:color w:val="000000"/>
          <w:kern w:val="0"/>
          <w:szCs w:val="22"/>
        </w:rPr>
        <w:t>.</w:t>
      </w:r>
    </w:p>
    <w:p w:rsidR="005614FA" w:rsidP="005614FA" w14:paraId="74EC6FC7" w14:textId="77777777">
      <w:pPr>
        <w:rPr>
          <w:b/>
          <w:color w:val="000000"/>
          <w:szCs w:val="22"/>
        </w:rPr>
      </w:pPr>
    </w:p>
    <w:p w:rsidR="00930ECF" w:rsidRPr="00930ECF" w:rsidP="002B0207" w14:paraId="7E2F4466" w14:textId="2D890D72">
      <w:pPr>
        <w:jc w:val="center"/>
        <w:rPr>
          <w:sz w:val="24"/>
        </w:rPr>
      </w:pPr>
      <w:r w:rsidRPr="00D8472B">
        <w:rPr>
          <w:b/>
          <w:color w:val="000000"/>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4D696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74723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670131E"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F10B0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36AB" w14:paraId="7A40654C" w14:textId="77777777">
      <w:r>
        <w:separator/>
      </w:r>
    </w:p>
  </w:footnote>
  <w:footnote w:type="continuationSeparator" w:id="1">
    <w:p w:rsidR="009D36AB" w14:paraId="73AC4360" w14:textId="77777777">
      <w:pPr>
        <w:rPr>
          <w:sz w:val="20"/>
        </w:rPr>
      </w:pPr>
      <w:r>
        <w:rPr>
          <w:sz w:val="20"/>
        </w:rPr>
        <w:t xml:space="preserve">(Continued from previous page)  </w:t>
      </w:r>
      <w:r>
        <w:rPr>
          <w:sz w:val="20"/>
        </w:rPr>
        <w:separator/>
      </w:r>
    </w:p>
  </w:footnote>
  <w:footnote w:type="continuationNotice" w:id="2">
    <w:p w:rsidR="009D36AB" w:rsidP="00910F12" w14:paraId="00C88A77" w14:textId="77777777">
      <w:pPr>
        <w:jc w:val="right"/>
        <w:rPr>
          <w:sz w:val="20"/>
        </w:rPr>
      </w:pPr>
      <w:r>
        <w:rPr>
          <w:sz w:val="20"/>
        </w:rPr>
        <w:t>(continued….)</w:t>
      </w:r>
    </w:p>
  </w:footnote>
  <w:footnote w:id="3">
    <w:p w:rsidR="005614FA" w:rsidP="00B82285" w14:paraId="7DD59478" w14:textId="77777777">
      <w:pPr>
        <w:pStyle w:val="FootnoteText"/>
      </w:pPr>
      <w:r>
        <w:rPr>
          <w:rStyle w:val="FootnoteReference"/>
        </w:rPr>
        <w:footnoteRef/>
      </w:r>
      <w:r>
        <w:t xml:space="preserve"> </w:t>
      </w:r>
      <w:r w:rsidRPr="00DE4B07">
        <w:t>47 U.S.C. §§ 214, 310(d)</w:t>
      </w:r>
      <w:r>
        <w:t>.</w:t>
      </w:r>
    </w:p>
  </w:footnote>
  <w:footnote w:id="4">
    <w:p w:rsidR="005614FA" w:rsidP="00B82285" w14:paraId="05ADB96E" w14:textId="5ABB1E05">
      <w:pPr>
        <w:pStyle w:val="FootnoteText"/>
      </w:pPr>
      <w:r>
        <w:rPr>
          <w:rStyle w:val="FootnoteReference"/>
        </w:rPr>
        <w:footnoteRef/>
      </w:r>
      <w:r>
        <w:t xml:space="preserve"> </w:t>
      </w:r>
      <w:r w:rsidRPr="009B63B0">
        <w:t>47 U.S.C. §§ 34</w:t>
      </w:r>
      <w:r w:rsidRPr="00550354">
        <w:rPr>
          <w:color w:val="000000"/>
        </w:rPr>
        <w:t>-</w:t>
      </w:r>
      <w:r w:rsidRPr="009B63B0">
        <w:t>39</w:t>
      </w:r>
      <w:r w:rsidRPr="00550354">
        <w:rPr>
          <w:color w:val="000000"/>
        </w:rPr>
        <w:t xml:space="preserve">; </w:t>
      </w:r>
      <w:r w:rsidRPr="00550354">
        <w:rPr>
          <w:i/>
          <w:color w:val="000000"/>
        </w:rPr>
        <w:t>s</w:t>
      </w:r>
      <w:r w:rsidRPr="00550354">
        <w:rPr>
          <w:i/>
          <w:iCs/>
          <w:color w:val="000000"/>
        </w:rPr>
        <w:t>ee also</w:t>
      </w:r>
      <w:r w:rsidRPr="00550354">
        <w:rPr>
          <w:color w:val="000000"/>
        </w:rPr>
        <w:t xml:space="preserve"> </w:t>
      </w:r>
      <w:r w:rsidRPr="009B63B0">
        <w:t>Exec. Ord. No. 10530</w:t>
      </w:r>
      <w:r w:rsidRPr="00550354">
        <w:rPr>
          <w:color w:val="000000"/>
        </w:rPr>
        <w:t xml:space="preserve">, Sec. 5(a), reprinted as amended at </w:t>
      </w:r>
      <w:r w:rsidRPr="009B63B0">
        <w:t>3 U.S.C. § 301</w:t>
      </w:r>
      <w:r>
        <w:rPr>
          <w:color w:val="000000"/>
        </w:rPr>
        <w:t xml:space="preserve"> (delegating the President’s authority under the Cable Landing License Act to the Commission).</w:t>
      </w:r>
    </w:p>
  </w:footnote>
  <w:footnote w:id="5">
    <w:p w:rsidR="005614FA" w:rsidRPr="00DE4B07" w:rsidP="00B82285" w14:paraId="74AF71EC" w14:textId="77777777">
      <w:pPr>
        <w:pStyle w:val="FootnoteText"/>
      </w:pPr>
      <w:r w:rsidRPr="00DE4B07">
        <w:rPr>
          <w:rStyle w:val="FootnoteReference"/>
        </w:rPr>
        <w:footnoteRef/>
      </w:r>
      <w:r w:rsidRPr="00DE4B07">
        <w:t xml:space="preserve"> 47 CFR §§ </w:t>
      </w:r>
      <w:r>
        <w:t xml:space="preserve">1.767, 1.948, </w:t>
      </w:r>
      <w:r w:rsidRPr="00DE4B07">
        <w:t>63.03-04, 63.18, 63.24.</w:t>
      </w:r>
    </w:p>
  </w:footnote>
  <w:footnote w:id="6">
    <w:p w:rsidR="005614FA" w:rsidRPr="00DE4B07" w:rsidP="00B82285" w14:paraId="09B25716" w14:textId="202781A8">
      <w:pPr>
        <w:pStyle w:val="FootnoteText"/>
      </w:pPr>
      <w:r w:rsidRPr="00DE4B07">
        <w:rPr>
          <w:rStyle w:val="FootnoteReference"/>
        </w:rPr>
        <w:footnoteRef/>
      </w:r>
      <w:r w:rsidRPr="00DE4B07">
        <w:t xml:space="preserve"> </w:t>
      </w:r>
      <w:r>
        <w:t xml:space="preserve">Joint Application of Zayo Group Holdings, Inc., Allstream Business US, LLC, Electric Lightwave, LLC, and Zayo Group, LLC for Authority Pursuant to Section 214 of the Communications Act of 1934, as Amended, to Transfer Indirect Control of Domestic and International Section 214 Authorization Holders to Front Range TopCo, Inc., WC Docket No. 19-166 (filed June 17, 2019) (Lead Application, together with applications listed in Attachment A, Applications)).  Applicants filed supplements to the Lead Application on July 10, 2019, August 21, 2019, and </w:t>
      </w:r>
      <w:r w:rsidRPr="00090879">
        <w:t>December 11, 2019</w:t>
      </w:r>
      <w:r>
        <w:t xml:space="preserve">.  Letter from Danielle Burt, </w:t>
      </w:r>
      <w:r w:rsidRPr="00AD50D4">
        <w:rPr>
          <w:i/>
          <w:iCs/>
        </w:rPr>
        <w:t>et al</w:t>
      </w:r>
      <w:r>
        <w:t xml:space="preserve">., Counsel to Applicants, to Marlene H. Dortch, Secretary, FCC, WC Docket No. 19-166, IB File No. SCL-T/C-20190614-00018 (July 10, 2019) </w:t>
      </w:r>
      <w:bookmarkStart w:id="1" w:name="_Hlk31696879"/>
      <w:r>
        <w:t>(on file in WC Docket No. 19-166)</w:t>
      </w:r>
      <w:bookmarkEnd w:id="1"/>
      <w:r>
        <w:t>; Letter from Ulises R. Pin</w:t>
      </w:r>
      <w:r w:rsidR="00413423">
        <w:t>,</w:t>
      </w:r>
      <w:r>
        <w:t xml:space="preserve"> </w:t>
      </w:r>
      <w:r w:rsidRPr="00943B23">
        <w:rPr>
          <w:i/>
          <w:iCs/>
        </w:rPr>
        <w:t>et al</w:t>
      </w:r>
      <w:r>
        <w:t xml:space="preserve">., Counsel to Applicants, to Marlene H. Dortch, Secretary, FCC, WC Docket No. 19-166, File Nos. </w:t>
      </w:r>
      <w:r>
        <w:rPr>
          <w:color w:val="000000"/>
        </w:rPr>
        <w:t xml:space="preserve">ITC-T/C-20190614-00121, ITC-T/C-20190614-00122, ITC-T/C-20190617-00123, </w:t>
      </w:r>
      <w:r>
        <w:t xml:space="preserve">SCL-T/C-20190614-00018 (Aug. 21, 2019) (on file in WC Docket No. 19-166) (Applicants’ Aug. 21, 2019 </w:t>
      </w:r>
      <w:r>
        <w:rPr>
          <w:i/>
        </w:rPr>
        <w:t>Ex Parte</w:t>
      </w:r>
      <w:r>
        <w:t xml:space="preserve">); Letter from </w:t>
      </w:r>
      <w:r w:rsidR="00413423">
        <w:t>Ulises R. Pin</w:t>
      </w:r>
      <w:r>
        <w:t xml:space="preserve">, </w:t>
      </w:r>
      <w:r w:rsidRPr="00943B23">
        <w:rPr>
          <w:i/>
          <w:iCs/>
        </w:rPr>
        <w:t>et al</w:t>
      </w:r>
      <w:r>
        <w:t xml:space="preserve">., Counsel to Applicants, to Marlene H. Dortch, Secretary, FCC, WC Docket No. 19-166, File Nos. </w:t>
      </w:r>
      <w:r>
        <w:rPr>
          <w:color w:val="000000"/>
        </w:rPr>
        <w:t xml:space="preserve">ITC-T/C-20190614-00121, ITC-T/C-20190614-00122, ITC-T/C-20190617-00123, </w:t>
      </w:r>
      <w:r>
        <w:t>SCL-T/C-20190614-00018 (</w:t>
      </w:r>
      <w:r w:rsidR="00413423">
        <w:t>Dec. 11</w:t>
      </w:r>
      <w:r>
        <w:t xml:space="preserve">, 2019) (on file in WC Docket No. 19-166).  Applicants also filed applications seeking Commission approval for the transfer of control of Licensees’ submarine cable landing license and wireless licenses.  </w:t>
      </w:r>
      <w:r w:rsidRPr="00F73399">
        <w:t xml:space="preserve">The file numbers for the applications associated with this transaction are set out in Attachment </w:t>
      </w:r>
      <w:r>
        <w:t>A</w:t>
      </w:r>
      <w:r w:rsidRPr="00F73399">
        <w:t xml:space="preserve">. </w:t>
      </w:r>
      <w:r>
        <w:t xml:space="preserve"> </w:t>
      </w:r>
    </w:p>
  </w:footnote>
  <w:footnote w:id="7">
    <w:p w:rsidR="005614FA" w:rsidRPr="00D238CC" w:rsidP="001F1CB2" w14:paraId="19C38D49" w14:textId="77777777">
      <w:pPr>
        <w:pStyle w:val="FootnoteText"/>
      </w:pPr>
      <w:r w:rsidRPr="00D238CC">
        <w:rPr>
          <w:rStyle w:val="FootnoteReference"/>
        </w:rPr>
        <w:footnoteRef/>
      </w:r>
      <w:r w:rsidRPr="00D238CC">
        <w:t xml:space="preserve"> </w:t>
      </w:r>
      <w:r>
        <w:t xml:space="preserve">47 U.S.C. § 310(b)(4); </w:t>
      </w:r>
      <w:r w:rsidRPr="00D238CC">
        <w:t xml:space="preserve">47 CFR </w:t>
      </w:r>
      <w:r w:rsidRPr="003602FC">
        <w:t>§</w:t>
      </w:r>
      <w:r w:rsidRPr="00D238CC">
        <w:t xml:space="preserve"> 1.5000(a)(1)</w:t>
      </w:r>
      <w:r>
        <w:t xml:space="preserve">; Petition for Declaratory Ruling, File No. </w:t>
      </w:r>
      <w:r w:rsidRPr="005D0403">
        <w:t>ISP-PDR-20190620-00004</w:t>
      </w:r>
      <w:r>
        <w:t xml:space="preserve"> (filed June 20, 2019) (Petition); Supplement to Petition for Declaratory Ruling, ISP-PDR-</w:t>
      </w:r>
      <w:r w:rsidRPr="005D0403">
        <w:t>20190620-00004</w:t>
      </w:r>
      <w:r>
        <w:t xml:space="preserve"> (filed Aug. 23, 2019) (August 23, 2019 Supplement); Supplement to Petition for Declaratory Ruling, ISP-PDR-</w:t>
      </w:r>
      <w:r w:rsidRPr="005D0403">
        <w:t>20190620-00004</w:t>
      </w:r>
      <w:r>
        <w:t xml:space="preserve"> (filed Jan. 17, 2020) (January 17, 2020 Supplement); Supplement to Petition for Declaratory Ruling, ISP-PDR-</w:t>
      </w:r>
      <w:r w:rsidRPr="005D0403">
        <w:t>20190620-00004</w:t>
      </w:r>
      <w:r>
        <w:t xml:space="preserve"> (filed Jan. 27, 2020) (January 27, 2020 Supplement).</w:t>
      </w:r>
    </w:p>
  </w:footnote>
  <w:footnote w:id="8">
    <w:p w:rsidR="005614FA" w:rsidP="001F1CB2" w14:paraId="7E0FD606" w14:textId="77777777">
      <w:pPr>
        <w:pStyle w:val="FootnoteText"/>
      </w:pPr>
      <w:r>
        <w:rPr>
          <w:rStyle w:val="FootnoteReference"/>
        </w:rPr>
        <w:footnoteRef/>
      </w:r>
      <w:r>
        <w:t xml:space="preserve"> </w:t>
      </w:r>
      <w:r w:rsidRPr="004928F5">
        <w:rPr>
          <w:i/>
        </w:rPr>
        <w:t>Applications Filed for the Transfer of Control of</w:t>
      </w:r>
      <w:r>
        <w:rPr>
          <w:i/>
        </w:rPr>
        <w:t xml:space="preserve"> Zayo Group, LLC, Electric Lightwave, LLC, and Allstream Business US, LLC to Front Range TopCo, Inc.</w:t>
      </w:r>
      <w:r>
        <w:t>, WC Docket No. 19-166, Public Notice, DA 19-629</w:t>
      </w:r>
      <w:r w:rsidRPr="008670A1">
        <w:t xml:space="preserve"> </w:t>
      </w:r>
      <w:r>
        <w:t xml:space="preserve">(WCB, IB, WTB 2019).     </w:t>
      </w:r>
    </w:p>
  </w:footnote>
  <w:footnote w:id="9">
    <w:p w:rsidR="005614FA" w:rsidP="001F1CB2" w14:paraId="4092A056" w14:textId="77777777">
      <w:pPr>
        <w:pStyle w:val="FootnoteText"/>
      </w:pPr>
      <w:r>
        <w:rPr>
          <w:rStyle w:val="FootnoteReference"/>
        </w:rPr>
        <w:footnoteRef/>
      </w:r>
      <w:r>
        <w:t xml:space="preserve"> Lead Application at 4-5, 15-16.</w:t>
      </w:r>
    </w:p>
  </w:footnote>
  <w:footnote w:id="10">
    <w:p w:rsidR="005614FA" w:rsidRPr="00D04868" w:rsidP="001F1CB2" w14:paraId="541DDC55" w14:textId="77777777">
      <w:pPr>
        <w:pStyle w:val="FootnoteText"/>
      </w:pPr>
      <w:r>
        <w:rPr>
          <w:rStyle w:val="FootnoteReference"/>
        </w:rPr>
        <w:footnoteRef/>
      </w:r>
      <w:r>
        <w:t xml:space="preserve"> </w:t>
      </w:r>
      <w:r>
        <w:rPr>
          <w:i/>
        </w:rPr>
        <w:t>Id</w:t>
      </w:r>
      <w:r>
        <w:t>. at 4-5.</w:t>
      </w:r>
    </w:p>
  </w:footnote>
  <w:footnote w:id="11">
    <w:p w:rsidR="005614FA" w:rsidRPr="00D04868" w:rsidP="001F1CB2" w14:paraId="189A8199" w14:textId="77777777">
      <w:pPr>
        <w:pStyle w:val="FootnoteText"/>
      </w:pPr>
      <w:r>
        <w:rPr>
          <w:rStyle w:val="FootnoteReference"/>
        </w:rPr>
        <w:footnoteRef/>
      </w:r>
      <w:r>
        <w:t xml:space="preserve"> </w:t>
      </w:r>
      <w:r>
        <w:rPr>
          <w:i/>
        </w:rPr>
        <w:t>Id</w:t>
      </w:r>
      <w:r>
        <w:t>.</w:t>
      </w:r>
    </w:p>
  </w:footnote>
  <w:footnote w:id="12">
    <w:p w:rsidR="005614FA" w:rsidRPr="002F7221" w:rsidP="001F1CB2" w14:paraId="7A6A8074" w14:textId="77777777">
      <w:pPr>
        <w:pStyle w:val="FootnoteText"/>
      </w:pPr>
      <w:r>
        <w:rPr>
          <w:rStyle w:val="FootnoteReference"/>
        </w:rPr>
        <w:footnoteRef/>
      </w:r>
      <w:r>
        <w:t xml:space="preserve"> </w:t>
      </w:r>
      <w:r w:rsidRPr="003A3FC6">
        <w:rPr>
          <w:i/>
        </w:rPr>
        <w:t>Id</w:t>
      </w:r>
      <w:r w:rsidRPr="002F7221">
        <w:t>. at 17.</w:t>
      </w:r>
    </w:p>
  </w:footnote>
  <w:footnote w:id="13">
    <w:p w:rsidR="005614FA" w:rsidRPr="001B158F" w:rsidP="007D3761" w14:paraId="3380D64E" w14:textId="26A5DD94">
      <w:pPr>
        <w:autoSpaceDE w:val="0"/>
        <w:autoSpaceDN w:val="0"/>
        <w:adjustRightInd w:val="0"/>
        <w:spacing w:after="120"/>
        <w:rPr>
          <w:szCs w:val="22"/>
        </w:rPr>
      </w:pPr>
      <w:r w:rsidRPr="004F4239">
        <w:rPr>
          <w:rStyle w:val="FootnoteReference"/>
          <w:sz w:val="20"/>
        </w:rPr>
        <w:footnoteRef/>
      </w:r>
      <w:r w:rsidRPr="004F4239">
        <w:rPr>
          <w:sz w:val="20"/>
        </w:rPr>
        <w:t xml:space="preserve"> </w:t>
      </w:r>
      <w:r w:rsidR="00413423">
        <w:rPr>
          <w:i/>
          <w:iCs/>
          <w:sz w:val="20"/>
        </w:rPr>
        <w:t>Id</w:t>
      </w:r>
      <w:r w:rsidR="00413423">
        <w:rPr>
          <w:sz w:val="20"/>
        </w:rPr>
        <w:t>.</w:t>
      </w:r>
      <w:r w:rsidRPr="004F4239">
        <w:rPr>
          <w:sz w:val="20"/>
        </w:rPr>
        <w:t xml:space="preserve"> at 2-3, Exh. C (Ownership Structure); Applicants’ Aug. 21, 2019 </w:t>
      </w:r>
      <w:r w:rsidRPr="004F4239">
        <w:rPr>
          <w:i/>
          <w:sz w:val="20"/>
        </w:rPr>
        <w:t>Ex Parte</w:t>
      </w:r>
      <w:r w:rsidRPr="003A3FC6">
        <w:rPr>
          <w:sz w:val="20"/>
        </w:rPr>
        <w:t xml:space="preserve"> </w:t>
      </w:r>
      <w:r w:rsidRPr="002F7221">
        <w:rPr>
          <w:sz w:val="20"/>
        </w:rPr>
        <w:t xml:space="preserve">at 2-4 </w:t>
      </w:r>
      <w:r>
        <w:rPr>
          <w:sz w:val="20"/>
        </w:rPr>
        <w:t xml:space="preserve">(explaining changes in the ownership structure since the filing of the Lead Application impacting the entities controlling Digital Colony GP, LLC and listing entities that will and will not hold indirect interests in Zayo and the Licensees) </w:t>
      </w:r>
      <w:r w:rsidRPr="002F7221">
        <w:rPr>
          <w:sz w:val="20"/>
        </w:rPr>
        <w:t>and Exh. A (Revised Post-Transaction Corporate Ownership Charts).</w:t>
      </w:r>
      <w:r>
        <w:rPr>
          <w:sz w:val="20"/>
        </w:rPr>
        <w:t xml:space="preserve">  </w:t>
      </w:r>
      <w:r w:rsidRPr="0021655B">
        <w:rPr>
          <w:i/>
          <w:sz w:val="20"/>
        </w:rPr>
        <w:t>See</w:t>
      </w:r>
      <w:r>
        <w:rPr>
          <w:sz w:val="20"/>
        </w:rPr>
        <w:t xml:space="preserve"> </w:t>
      </w:r>
      <w:r w:rsidRPr="0021655B">
        <w:rPr>
          <w:i/>
          <w:sz w:val="20"/>
        </w:rPr>
        <w:t>also</w:t>
      </w:r>
      <w:r>
        <w:rPr>
          <w:sz w:val="20"/>
        </w:rPr>
        <w:t xml:space="preserve"> August 23, 2019 Supplement (same); January 17, 2020 Supplement (adding Bark Partners AB, a Swedish entity, to the list of foreign-organized entities for which the petition for declaratory requests specific approval and providing a replacement post-closing Chart 6).</w:t>
      </w:r>
    </w:p>
  </w:footnote>
  <w:footnote w:id="14">
    <w:p w:rsidR="005614FA" w:rsidP="00B82285" w14:paraId="70AA301F" w14:textId="77777777">
      <w:pPr>
        <w:pStyle w:val="FootnoteText"/>
      </w:pPr>
      <w:r>
        <w:rPr>
          <w:rStyle w:val="FootnoteReference"/>
        </w:rPr>
        <w:footnoteRef/>
      </w:r>
      <w:r>
        <w:t xml:space="preserve"> Lead Application at 16. </w:t>
      </w:r>
    </w:p>
  </w:footnote>
  <w:footnote w:id="15">
    <w:p w:rsidR="005614FA" w:rsidP="001F1CB2" w14:paraId="4C050188" w14:textId="77777777">
      <w:pPr>
        <w:pStyle w:val="FootnoteText"/>
      </w:pPr>
      <w:r>
        <w:rPr>
          <w:rStyle w:val="FootnoteReference"/>
        </w:rPr>
        <w:footnoteRef/>
      </w:r>
      <w:r>
        <w:t xml:space="preserve"> </w:t>
      </w:r>
      <w:r w:rsidRPr="007D6054">
        <w:rPr>
          <w:i/>
        </w:rPr>
        <w:t>Id</w:t>
      </w:r>
      <w:r>
        <w:t>. at Exh. B (Public Interest Statement) at 3.</w:t>
      </w:r>
    </w:p>
  </w:footnote>
  <w:footnote w:id="16">
    <w:p w:rsidR="005614FA" w:rsidP="001F1CB2" w14:paraId="7718AA60" w14:textId="69E33CBC">
      <w:pPr>
        <w:pStyle w:val="FootnoteText"/>
        <w:rPr>
          <w:color w:val="000000"/>
        </w:rPr>
      </w:pPr>
      <w:r>
        <w:rPr>
          <w:rStyle w:val="FootnoteReference"/>
          <w:color w:val="000000"/>
        </w:rPr>
        <w:footnoteRef/>
      </w:r>
      <w:r>
        <w:rPr>
          <w:color w:val="000000"/>
        </w:rPr>
        <w:t xml:space="preserve">  Letter from Lee Licata, U.S. Department of Justice, to Marlene H. Dortch, FCC, WC Docket Nos. </w:t>
      </w:r>
      <w:bookmarkStart w:id="2" w:name="_Hlk22153464"/>
      <w:r>
        <w:rPr>
          <w:color w:val="000000"/>
        </w:rPr>
        <w:t xml:space="preserve">19-166; File Nos. </w:t>
      </w:r>
      <w:bookmarkStart w:id="3" w:name="_Hlk25580821"/>
      <w:r>
        <w:rPr>
          <w:color w:val="000000"/>
        </w:rPr>
        <w:t>ITC-T/C-20190614-00121, ITC-T/C-20190614-001222, ITC-T/C-20190617-00123</w:t>
      </w:r>
      <w:bookmarkEnd w:id="3"/>
      <w:r>
        <w:rPr>
          <w:color w:val="000000"/>
        </w:rPr>
        <w:t>; SCL-T/C-20190614-00018;</w:t>
      </w:r>
      <w:r w:rsidRPr="00B36901">
        <w:rPr>
          <w:color w:val="000000"/>
        </w:rPr>
        <w:t xml:space="preserve"> </w:t>
      </w:r>
      <w:r>
        <w:rPr>
          <w:color w:val="000000"/>
        </w:rPr>
        <w:t>ISP-PDR-20190620-00004, ULS 0008686969</w:t>
      </w:r>
      <w:bookmarkEnd w:id="2"/>
      <w:r w:rsidRPr="00620DBB">
        <w:rPr>
          <w:color w:val="000000"/>
        </w:rPr>
        <w:t xml:space="preserve"> </w:t>
      </w:r>
      <w:r>
        <w:rPr>
          <w:color w:val="000000"/>
        </w:rPr>
        <w:t>(July 10, 2019)</w:t>
      </w:r>
      <w:r w:rsidR="00413423">
        <w:rPr>
          <w:color w:val="000000"/>
        </w:rPr>
        <w:t xml:space="preserve"> (</w:t>
      </w:r>
      <w:r w:rsidR="00413423">
        <w:t>on file in WC Docket No. 19-166)</w:t>
      </w:r>
      <w:r>
        <w:rPr>
          <w:color w:val="000000"/>
        </w:rPr>
        <w:t>.</w:t>
      </w:r>
    </w:p>
  </w:footnote>
  <w:footnote w:id="17">
    <w:p w:rsidR="005614FA" w:rsidP="001F1CB2" w14:paraId="084D1B44" w14:textId="5E5D2759">
      <w:pPr>
        <w:pStyle w:val="FootnoteText"/>
      </w:pPr>
      <w:r>
        <w:rPr>
          <w:rStyle w:val="FootnoteReference"/>
        </w:rPr>
        <w:footnoteRef/>
      </w:r>
      <w:r>
        <w:t xml:space="preserve"> </w:t>
      </w:r>
      <w:r>
        <w:rPr>
          <w:color w:val="000000"/>
        </w:rPr>
        <w:t>Petition to Adopt Conditions to Authorizations and Licenses,</w:t>
      </w:r>
      <w:r w:rsidRPr="004243FE">
        <w:rPr>
          <w:color w:val="000000"/>
        </w:rPr>
        <w:t xml:space="preserve"> </w:t>
      </w:r>
      <w:r>
        <w:rPr>
          <w:color w:val="000000"/>
        </w:rPr>
        <w:t xml:space="preserve">WC Docket Nos. </w:t>
      </w:r>
      <w:r w:rsidRPr="00F73399">
        <w:rPr>
          <w:color w:val="000000"/>
        </w:rPr>
        <w:t xml:space="preserve">19-166; File Nos. ITC-T/C-20190614-00121, ITC-T/C-20190614-00122, ITC-T/C-20190617-00123; SCL-T/C-20190614-00018; ISP-PDR-20190620-00004, ULS 0008686969 </w:t>
      </w:r>
      <w:r>
        <w:rPr>
          <w:color w:val="000000"/>
        </w:rPr>
        <w:t>(filed January 22, 2020) (DOJ Petition)</w:t>
      </w:r>
      <w:r w:rsidR="00413423">
        <w:rPr>
          <w:color w:val="000000"/>
        </w:rPr>
        <w:t xml:space="preserve"> (</w:t>
      </w:r>
      <w:r w:rsidR="00413423">
        <w:t>on file in WC Docket No. 19-166)</w:t>
      </w:r>
      <w:r>
        <w:rPr>
          <w:color w:val="000000"/>
        </w:rPr>
        <w:t>.</w:t>
      </w:r>
    </w:p>
  </w:footnote>
  <w:footnote w:id="18">
    <w:p w:rsidR="005614FA" w:rsidRPr="00ED33DB" w:rsidP="001F1CB2" w14:paraId="111BB2E2" w14:textId="75BBC30D">
      <w:pPr>
        <w:pStyle w:val="FootnoteText"/>
        <w:rPr>
          <w:color w:val="000000"/>
          <w:highlight w:val="yellow"/>
        </w:rPr>
      </w:pPr>
      <w:r>
        <w:rPr>
          <w:rStyle w:val="FootnoteReference"/>
        </w:rPr>
        <w:footnoteRef/>
      </w:r>
      <w:r>
        <w:t xml:space="preserve"> </w:t>
      </w:r>
      <w:r w:rsidRPr="00B84BD2">
        <w:rPr>
          <w:i/>
        </w:rPr>
        <w:t>Id</w:t>
      </w:r>
      <w:r>
        <w:t>. at 1 and Letter from Michael Mooney, General Counsel, Zayo Group Holdings, Inc., Zayo Group, LLC, Electric Lightwave, LLC, Allstream Business US, LLC</w:t>
      </w:r>
      <w:r w:rsidR="00413423">
        <w:t>,</w:t>
      </w:r>
      <w:r>
        <w:t xml:space="preserve"> to the Assistant Attorney General for National Security, United States Department of Justice, National Security Division</w:t>
      </w:r>
      <w:r w:rsidR="00413423">
        <w:t>,</w:t>
      </w:r>
      <w:r>
        <w:t xml:space="preserve"> and the Assistant Secretary for Border, Immigration and Trade Office of Policy, U.S. Department of Homeland Security, </w:t>
      </w:r>
      <w:r>
        <w:rPr>
          <w:color w:val="000000"/>
        </w:rPr>
        <w:t xml:space="preserve">WC Docket No. </w:t>
      </w:r>
      <w:r w:rsidRPr="00F73399">
        <w:rPr>
          <w:color w:val="000000"/>
        </w:rPr>
        <w:t xml:space="preserve">19-166; File Nos. ITC-T/C-20190614-00121, </w:t>
      </w:r>
      <w:r w:rsidRPr="00F37BD3">
        <w:rPr>
          <w:i/>
          <w:iCs/>
          <w:color w:val="000000"/>
        </w:rPr>
        <w:t>et al</w:t>
      </w:r>
      <w:r>
        <w:rPr>
          <w:color w:val="000000"/>
        </w:rPr>
        <w:t xml:space="preserve">. </w:t>
      </w:r>
      <w:r>
        <w:t>(dated Jan. 21, 2020) (LOA)</w:t>
      </w:r>
      <w:r w:rsidR="00413423">
        <w:t xml:space="preserve"> (on file in WC Docket No. 19-166)</w:t>
      </w:r>
      <w:r>
        <w:rPr>
          <w:color w:val="000000"/>
        </w:rPr>
        <w:t>.</w:t>
      </w:r>
      <w:r w:rsidRPr="008670A1">
        <w:rPr>
          <w:color w:val="000000"/>
          <w:highlight w:val="yellow"/>
        </w:rPr>
        <w:t xml:space="preserve">  </w:t>
      </w:r>
    </w:p>
  </w:footnote>
  <w:footnote w:id="19">
    <w:p w:rsidR="005614FA" w:rsidRPr="00EE0028" w:rsidP="001F1CB2" w14:paraId="6EAA3DE6" w14:textId="2965C6CA">
      <w:pPr>
        <w:widowControl/>
        <w:autoSpaceDE w:val="0"/>
        <w:autoSpaceDN w:val="0"/>
        <w:adjustRightInd w:val="0"/>
        <w:spacing w:after="120"/>
      </w:pPr>
      <w:r>
        <w:rPr>
          <w:rStyle w:val="FootnoteReference"/>
        </w:rPr>
        <w:footnoteRef/>
      </w:r>
      <w:r>
        <w:t xml:space="preserve"> </w:t>
      </w:r>
      <w:r>
        <w:rPr>
          <w:rFonts w:ascii="TimesNewRomanPS-ItalicMT" w:hAnsi="TimesNewRomanPS-ItalicMT" w:cs="TimesNewRomanPS-ItalicMT"/>
          <w:i/>
          <w:iCs/>
          <w:snapToGrid/>
          <w:kern w:val="0"/>
          <w:sz w:val="20"/>
        </w:rPr>
        <w:t>Applications of T-Mobile US, Inc. and Sprint Corporation for Consent to Transfer Control of Licenses and Authorizations, et al.</w:t>
      </w:r>
      <w:r>
        <w:rPr>
          <w:rFonts w:ascii="TimesNewRomanPSMT" w:hAnsi="TimesNewRomanPSMT" w:cs="TimesNewRomanPSMT"/>
          <w:snapToGrid/>
          <w:kern w:val="0"/>
          <w:sz w:val="20"/>
        </w:rPr>
        <w:t>, WT Docket 18-197, Memorandum Opinion and Order, Declaratory Ruling, and Order of Proposed Modification, 34 FCC Rcd 10578, 10732-33, para. 349</w:t>
      </w:r>
      <w:r w:rsidR="00E72298">
        <w:rPr>
          <w:rFonts w:ascii="TimesNewRomanPSMT" w:hAnsi="TimesNewRomanPSMT" w:cs="TimesNewRomanPSMT"/>
          <w:snapToGrid/>
          <w:kern w:val="0"/>
          <w:sz w:val="20"/>
        </w:rPr>
        <w:t xml:space="preserve"> (2019)</w:t>
      </w:r>
      <w:r>
        <w:rPr>
          <w:rFonts w:ascii="TimesNewRomanPSMT" w:hAnsi="TimesNewRomanPSMT" w:cs="TimesNewRomanPSMT"/>
          <w:snapToGrid/>
          <w:kern w:val="0"/>
          <w:sz w:val="20"/>
        </w:rPr>
        <w:t xml:space="preserve">; </w:t>
      </w:r>
      <w:r>
        <w:rPr>
          <w:rFonts w:ascii="TimesNewRomanPS-ItalicMT" w:hAnsi="TimesNewRomanPS-ItalicMT" w:cs="TimesNewRomanPS-ItalicMT"/>
          <w:i/>
          <w:iCs/>
          <w:snapToGrid/>
          <w:kern w:val="0"/>
          <w:sz w:val="20"/>
        </w:rPr>
        <w:t>Rules and Policies on Foreign Participation in the U.S.</w:t>
      </w:r>
      <w:r w:rsidR="007D3761">
        <w:rPr>
          <w:rFonts w:ascii="TimesNewRomanPS-ItalicMT" w:hAnsi="TimesNewRomanPS-ItalicMT" w:cs="TimesNewRomanPS-ItalicMT"/>
          <w:i/>
          <w:iCs/>
          <w:snapToGrid/>
          <w:kern w:val="0"/>
          <w:sz w:val="20"/>
        </w:rPr>
        <w:t xml:space="preserve"> </w:t>
      </w:r>
      <w:r>
        <w:rPr>
          <w:rFonts w:ascii="TimesNewRomanPS-ItalicMT" w:hAnsi="TimesNewRomanPS-ItalicMT" w:cs="TimesNewRomanPS-ItalicMT"/>
          <w:i/>
          <w:iCs/>
          <w:snapToGrid/>
          <w:kern w:val="0"/>
          <w:sz w:val="20"/>
        </w:rPr>
        <w:t>Telecommunications Market; Market Entry and Regulation of Foreign-Affiliated Entities</w:t>
      </w:r>
      <w:r>
        <w:rPr>
          <w:rFonts w:ascii="TimesNewRomanPSMT" w:hAnsi="TimesNewRomanPSMT" w:cs="TimesNewRomanPSMT"/>
          <w:snapToGrid/>
          <w:kern w:val="0"/>
          <w:sz w:val="20"/>
        </w:rPr>
        <w:t>, Report and Order and Order on Reconsideration, 12 FCC Rcd 23891, 23918-21, paras. 59-66 (1997) (</w:t>
      </w:r>
      <w:r>
        <w:rPr>
          <w:rFonts w:ascii="TimesNewRomanPS-ItalicMT" w:hAnsi="TimesNewRomanPS-ItalicMT" w:cs="TimesNewRomanPS-ItalicMT"/>
          <w:i/>
          <w:iCs/>
          <w:snapToGrid/>
          <w:kern w:val="0"/>
          <w:sz w:val="20"/>
        </w:rPr>
        <w:t>Foreign Participation Order</w:t>
      </w:r>
      <w:r>
        <w:rPr>
          <w:rFonts w:ascii="TimesNewRomanPSMT" w:hAnsi="TimesNewRomanPSMT" w:cs="TimesNewRomanPSMT"/>
          <w:snapToGrid/>
          <w:kern w:val="0"/>
          <w:sz w:val="20"/>
        </w:rPr>
        <w:t xml:space="preserve">), </w:t>
      </w:r>
      <w:r>
        <w:rPr>
          <w:rFonts w:ascii="TimesNewRomanPS-ItalicMT" w:hAnsi="TimesNewRomanPS-ItalicMT" w:cs="TimesNewRomanPS-ItalicMT"/>
          <w:i/>
          <w:iCs/>
          <w:snapToGrid/>
          <w:kern w:val="0"/>
          <w:sz w:val="20"/>
        </w:rPr>
        <w:t>recon. denied</w:t>
      </w:r>
      <w:r>
        <w:rPr>
          <w:rFonts w:ascii="TimesNewRomanPSMT" w:hAnsi="TimesNewRomanPSMT" w:cs="TimesNewRomanPSMT"/>
          <w:snapToGrid/>
          <w:kern w:val="0"/>
          <w:sz w:val="20"/>
        </w:rPr>
        <w:t>,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r w:rsidR="00E72298">
        <w:rPr>
          <w:rFonts w:ascii="TimesNewRomanPSMT" w:hAnsi="TimesNewRomanPSMT" w:cs="TimesNewRomanPSMT"/>
          <w:snapToGrid/>
          <w:kern w:val="0"/>
          <w:sz w:val="20"/>
        </w:rPr>
        <w:t>)</w:t>
      </w:r>
      <w:r>
        <w:rPr>
          <w:color w:val="000000"/>
        </w:rPr>
        <w:t xml:space="preserve">.  </w:t>
      </w:r>
    </w:p>
  </w:footnote>
  <w:footnote w:id="20">
    <w:p w:rsidR="005614FA" w:rsidP="001F1CB2" w14:paraId="14158A6E" w14:textId="7EC01E3E">
      <w:pPr>
        <w:pStyle w:val="FootnoteText"/>
      </w:pPr>
      <w:r>
        <w:rPr>
          <w:rStyle w:val="FootnoteReference"/>
        </w:rPr>
        <w:footnoteRef/>
      </w:r>
      <w:r>
        <w:t xml:space="preserve"> </w:t>
      </w:r>
      <w:r w:rsidRPr="003C2436">
        <w:t>Petition, Exh. B at 2-4.</w:t>
      </w:r>
      <w:r>
        <w:t xml:space="preserve">  ZGL holds common carrier, fixed point-to-point microwave</w:t>
      </w:r>
      <w:r w:rsidR="008068FD">
        <w:t>,</w:t>
      </w:r>
      <w:r>
        <w:t xml:space="preserve"> and millimeter wave 70/80/90 GHZ services licenses, which are the subject of a transfer of control application filed in this proceeding under lead call sign WQOD 968 (ULS 0008686969). </w:t>
      </w:r>
    </w:p>
  </w:footnote>
  <w:footnote w:id="21">
    <w:p w:rsidR="005614FA" w:rsidP="008C2513" w14:paraId="196C6AC4" w14:textId="77777777">
      <w:pPr>
        <w:pStyle w:val="FootnoteText"/>
      </w:pPr>
      <w:r>
        <w:rPr>
          <w:rStyle w:val="FootnoteReference"/>
        </w:rPr>
        <w:footnoteRef/>
      </w:r>
      <w:r>
        <w:t xml:space="preserve"> Petition, Exh. B at 1.</w:t>
      </w:r>
    </w:p>
  </w:footnote>
  <w:footnote w:id="22">
    <w:p w:rsidR="005614FA" w:rsidP="008C2513" w14:paraId="6F489BA5" w14:textId="77777777">
      <w:pPr>
        <w:pStyle w:val="FootnoteText"/>
      </w:pPr>
      <w:r>
        <w:rPr>
          <w:rStyle w:val="FootnoteReference"/>
        </w:rPr>
        <w:footnoteRef/>
      </w:r>
      <w:r>
        <w:t xml:space="preserve"> August 23, 2019 Supplement at 1-2.</w:t>
      </w:r>
    </w:p>
  </w:footnote>
  <w:footnote w:id="23">
    <w:p w:rsidR="005614FA" w:rsidP="008C2513" w14:paraId="4F87FCDB" w14:textId="77777777">
      <w:pPr>
        <w:pStyle w:val="FootnoteText"/>
      </w:pPr>
      <w:r>
        <w:rPr>
          <w:rStyle w:val="FootnoteReference"/>
        </w:rPr>
        <w:footnoteRef/>
      </w:r>
      <w:r>
        <w:t xml:space="preserve"> Petition, Exh. A at 3-4.</w:t>
      </w:r>
    </w:p>
  </w:footnote>
  <w:footnote w:id="24">
    <w:p w:rsidR="005614FA" w:rsidP="008C2513" w14:paraId="2EFC3766" w14:textId="77777777">
      <w:pPr>
        <w:pStyle w:val="FootnoteText"/>
      </w:pPr>
      <w:r>
        <w:rPr>
          <w:rStyle w:val="FootnoteReference"/>
        </w:rPr>
        <w:footnoteRef/>
      </w:r>
      <w:r>
        <w:t xml:space="preserve"> Petition, Exh. A at 7.  JV GP’s board will consist of 10 members, with four directors nominated each by EQT and Digital Colony, one director nominated by FMR, LLC (a Delaware entity that will hold 7.6% of Zayo’s equity post-consummation), and the tenth member, an independent non-executive Chairman, chosen by consensus between EQT and Digital Colony.  </w:t>
      </w:r>
      <w:r w:rsidRPr="0021655B">
        <w:rPr>
          <w:i/>
        </w:rPr>
        <w:t>Id</w:t>
      </w:r>
      <w:r>
        <w:t>.</w:t>
      </w:r>
    </w:p>
  </w:footnote>
  <w:footnote w:id="25">
    <w:p w:rsidR="005614FA" w:rsidP="008C2513" w14:paraId="1CE615BB" w14:textId="77777777">
      <w:pPr>
        <w:pStyle w:val="FootnoteText"/>
      </w:pPr>
      <w:r>
        <w:rPr>
          <w:rStyle w:val="FootnoteReference"/>
        </w:rPr>
        <w:footnoteRef/>
      </w:r>
      <w:r>
        <w:t xml:space="preserve"> </w:t>
      </w:r>
      <w:r w:rsidRPr="001F1FF1">
        <w:t>January 27 Supplement (</w:t>
      </w:r>
      <w:r>
        <w:t xml:space="preserve">providing, </w:t>
      </w:r>
      <w:r w:rsidRPr="0021655B">
        <w:rPr>
          <w:i/>
        </w:rPr>
        <w:t>inter</w:t>
      </w:r>
      <w:r>
        <w:t xml:space="preserve"> </w:t>
      </w:r>
      <w:r w:rsidRPr="0021655B">
        <w:rPr>
          <w:i/>
        </w:rPr>
        <w:t>alia</w:t>
      </w:r>
      <w:r w:rsidRPr="001F1FF1">
        <w:t>, a revised Exhibit D</w:t>
      </w:r>
      <w:r>
        <w:t>, which</w:t>
      </w:r>
      <w:r w:rsidRPr="001F1FF1">
        <w:t xml:space="preserve"> </w:t>
      </w:r>
      <w:r>
        <w:t xml:space="preserve">lists the foreign investors and their respective equity and voting interests for which the Petitioners request specific approval under section 1.5000(i) of the Commission’s rules, </w:t>
      </w:r>
      <w:r w:rsidRPr="001F1FF1">
        <w:t xml:space="preserve">and </w:t>
      </w:r>
      <w:r>
        <w:t xml:space="preserve">confirming, as stated in the Petition, Exh. A at 5, that </w:t>
      </w:r>
      <w:r w:rsidRPr="001F1FF1">
        <w:t xml:space="preserve">investors and co-investors in the </w:t>
      </w:r>
      <w:r>
        <w:t xml:space="preserve">Digital Colony </w:t>
      </w:r>
      <w:r w:rsidRPr="001F1FF1">
        <w:t xml:space="preserve">and EQT funds participating in the Front Range investment in Zayo </w:t>
      </w:r>
      <w:r>
        <w:t>“</w:t>
      </w:r>
      <w:r w:rsidRPr="001F1FF1">
        <w:t>are limited partner passive investors with no right to exercise any control (as defined under applicable FCC Rules) regarding Zayo” and “are also insulated from active involvement in the management or operation of Fro</w:t>
      </w:r>
      <w:r>
        <w:t xml:space="preserve">nt Range and Zayo, other than </w:t>
      </w:r>
      <w:r w:rsidRPr="001F1FF1">
        <w:t>the small number of LP co-investors in the DCP Fund that have limited control rights that are consistent with the Commission’s rules regarding the usual and customary minority shareholder protections.”).</w:t>
      </w:r>
    </w:p>
  </w:footnote>
  <w:footnote w:id="26">
    <w:p w:rsidR="005614FA" w:rsidP="008C2513" w14:paraId="41DC59F6" w14:textId="77777777">
      <w:pPr>
        <w:pStyle w:val="FootnoteText"/>
      </w:pPr>
      <w:r>
        <w:rPr>
          <w:rStyle w:val="FootnoteReference"/>
        </w:rPr>
        <w:footnoteRef/>
      </w:r>
      <w:r>
        <w:t xml:space="preserve"> Petition, Exh. A at 3.</w:t>
      </w:r>
    </w:p>
  </w:footnote>
  <w:footnote w:id="27">
    <w:p w:rsidR="005614FA" w:rsidP="007C2228" w14:paraId="3D740098" w14:textId="77777777">
      <w:pPr>
        <w:pStyle w:val="FootnoteText"/>
      </w:pPr>
      <w:r>
        <w:rPr>
          <w:rStyle w:val="FootnoteReference"/>
        </w:rPr>
        <w:footnoteRef/>
      </w:r>
      <w:r>
        <w:t xml:space="preserve"> </w:t>
      </w:r>
      <w:r w:rsidRPr="00240A9F">
        <w:t>47 CFR § 1.5001(i).</w:t>
      </w:r>
    </w:p>
  </w:footnote>
  <w:footnote w:id="28">
    <w:p w:rsidR="005614FA" w:rsidRPr="00ED33DB" w:rsidP="007C2228" w14:paraId="264792F9" w14:textId="44323E8C">
      <w:pPr>
        <w:pStyle w:val="FootnoteText"/>
        <w:rPr>
          <w:color w:val="000000"/>
          <w:highlight w:val="yellow"/>
        </w:rPr>
      </w:pPr>
      <w:r>
        <w:rPr>
          <w:rStyle w:val="FootnoteReference"/>
        </w:rPr>
        <w:footnoteRef/>
      </w:r>
      <w:r>
        <w:rPr>
          <w:color w:val="000000"/>
        </w:rPr>
        <w:t xml:space="preserve"> </w:t>
      </w:r>
      <w:r w:rsidRPr="0021655B">
        <w:rPr>
          <w:i/>
          <w:color w:val="000000"/>
        </w:rPr>
        <w:t>See</w:t>
      </w:r>
      <w:r>
        <w:rPr>
          <w:color w:val="000000"/>
        </w:rPr>
        <w:t xml:space="preserve"> </w:t>
      </w:r>
      <w:r w:rsidRPr="0021655B">
        <w:rPr>
          <w:i/>
          <w:color w:val="000000"/>
        </w:rPr>
        <w:t>supra</w:t>
      </w:r>
      <w:r>
        <w:rPr>
          <w:color w:val="000000"/>
        </w:rPr>
        <w:t xml:space="preserve"> note </w:t>
      </w:r>
      <w:r w:rsidR="00E72298">
        <w:rPr>
          <w:color w:val="000000"/>
        </w:rPr>
        <w:t>16</w:t>
      </w:r>
      <w:r>
        <w:rPr>
          <w:color w:val="000000"/>
        </w:rPr>
        <w:t>.</w:t>
      </w:r>
      <w:r w:rsidRPr="008670A1">
        <w:rPr>
          <w:color w:val="000000"/>
          <w:highlight w:val="yellow"/>
        </w:rPr>
        <w:t xml:space="preserve">  </w:t>
      </w:r>
    </w:p>
  </w:footnote>
  <w:footnote w:id="29">
    <w:p w:rsidR="005614FA" w:rsidP="007C2228" w14:paraId="22DE2670" w14:textId="77777777">
      <w:pPr>
        <w:pStyle w:val="FootnoteText"/>
      </w:pPr>
      <w:r>
        <w:rPr>
          <w:rStyle w:val="FootnoteReference"/>
        </w:rPr>
        <w:footnoteRef/>
      </w:r>
      <w:r>
        <w:t xml:space="preserve"> </w:t>
      </w:r>
      <w:r>
        <w:rPr>
          <w:rFonts w:ascii="TimesNewRomanPSMT" w:hAnsi="TimesNewRomanPSMT" w:cs="TimesNewRomanPSMT"/>
        </w:rPr>
        <w:t>47 CFR § 1.5004.</w:t>
      </w:r>
    </w:p>
  </w:footnote>
  <w:footnote w:id="30">
    <w:p w:rsidR="005614FA" w:rsidP="007C2228" w14:paraId="3F755135" w14:textId="77777777">
      <w:pPr>
        <w:pStyle w:val="FootnoteText"/>
      </w:pPr>
      <w:r>
        <w:rPr>
          <w:rStyle w:val="FootnoteReference"/>
        </w:rPr>
        <w:footnoteRef/>
      </w:r>
      <w:r>
        <w:t xml:space="preserve"> </w:t>
      </w:r>
      <w:r>
        <w:rPr>
          <w:rFonts w:ascii="TimesNewRomanPSMT" w:hAnsi="TimesNewRomanPSMT" w:cs="TimesNewRomanPSMT"/>
        </w:rPr>
        <w:t>47 CFR §§ 1.5002-1.5003.</w:t>
      </w:r>
    </w:p>
  </w:footnote>
  <w:footnote w:id="31">
    <w:p w:rsidR="005614FA" w:rsidP="007C2228" w14:paraId="12B932C7" w14:textId="77777777">
      <w:pPr>
        <w:pStyle w:val="FootnoteText"/>
      </w:pPr>
      <w:r>
        <w:rPr>
          <w:rStyle w:val="FootnoteReference"/>
        </w:rPr>
        <w:footnoteRef/>
      </w:r>
      <w:r>
        <w:t xml:space="preserve"> </w:t>
      </w:r>
      <w:r>
        <w:rPr>
          <w:rFonts w:ascii="TimesNewRomanPSMT" w:hAnsi="TimesNewRomanPSMT" w:cs="TimesNewRomanPSMT"/>
        </w:rPr>
        <w:t>47 CFR § 1.5004, Note to paragraph (a).</w:t>
      </w:r>
    </w:p>
  </w:footnote>
  <w:footnote w:id="32">
    <w:p w:rsidR="005614FA" w14:paraId="65DDAB92" w14:textId="7474FC64">
      <w:pPr>
        <w:pStyle w:val="FootnoteText"/>
      </w:pPr>
      <w:r>
        <w:rPr>
          <w:rStyle w:val="FootnoteReference"/>
        </w:rPr>
        <w:footnoteRef/>
      </w:r>
      <w:r>
        <w:t xml:space="preserve"> </w:t>
      </w:r>
      <w:r w:rsidRPr="0025072B">
        <w:rPr>
          <w:i/>
        </w:rPr>
        <w:t>See</w:t>
      </w:r>
      <w:r>
        <w:rPr>
          <w:i/>
        </w:rPr>
        <w:t>, e.g</w:t>
      </w:r>
      <w:r>
        <w:t xml:space="preserve">., </w:t>
      </w:r>
      <w:r w:rsidRPr="004F4239">
        <w:rPr>
          <w:i/>
        </w:rPr>
        <w:t>Applications of Level 3 Communications, Inc. and CenturyLink, Inc. for Consent to Transfer Control of Licenses and Authorizations</w:t>
      </w:r>
      <w:r>
        <w:t>, Memorandum Opinion and Order, 32 FCC Rcd 9581, 9594, 9605, paras. 26 and 52 (2017) (finding no harm to competition in CenturyLink’s incumbent LEC territory, nor outside of CenturyLink’s incumbent LEC territory</w:t>
      </w:r>
      <w:r w:rsidR="00E72298">
        <w:t>,</w:t>
      </w:r>
      <w:r>
        <w:t xml:space="preserve"> where applicants operate as competitive LECs, and further finding </w:t>
      </w:r>
      <w:r w:rsidR="008068FD">
        <w:t>that the t</w:t>
      </w:r>
      <w:r w:rsidRPr="00516C98">
        <w:t xml:space="preserve">ransaction </w:t>
      </w:r>
      <w:r w:rsidR="008068FD">
        <w:t>“</w:t>
      </w:r>
      <w:r w:rsidRPr="00516C98">
        <w:t>will expand the on-net reach of the newly combined firm resulting in a more effective and stronger competitor against larger cable and incumbent LEC competitors, among others, particularly outside of Century Link's incumbent LEC region, where it, like </w:t>
      </w:r>
      <w:r w:rsidRPr="004F4239">
        <w:rPr>
          <w:bCs/>
        </w:rPr>
        <w:t>Level</w:t>
      </w:r>
      <w:r w:rsidRPr="001415BA">
        <w:t> </w:t>
      </w:r>
      <w:r w:rsidRPr="004F4239">
        <w:rPr>
          <w:bCs/>
        </w:rPr>
        <w:t>3</w:t>
      </w:r>
      <w:r w:rsidRPr="00516C98">
        <w:t>, operates as a competitive LEC.</w:t>
      </w:r>
      <w:r>
        <w:t>”).</w:t>
      </w:r>
      <w:r w:rsidRPr="00516C98">
        <w:t>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77371D2" w14:textId="410151A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2E2784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FF02046" w14:textId="326D94E9">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B6F5028" w14:textId="77777777">
                    <w:pPr>
                      <w:rPr>
                        <w:rFonts w:ascii="Arial" w:hAnsi="Arial"/>
                        <w:b/>
                      </w:rPr>
                    </w:pPr>
                    <w:r>
                      <w:rPr>
                        <w:rFonts w:ascii="Arial" w:hAnsi="Arial"/>
                        <w:b/>
                      </w:rPr>
                      <w:t>Federal Communications Commission</w:t>
                    </w:r>
                  </w:p>
                  <w:p w:rsidR="009838BC" w:rsidP="009838BC" w14:paraId="7862FE3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8C0B08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77919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A130C40" w14:textId="70AAF3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147C26D" w14:textId="77777777">
                    <w:pPr>
                      <w:spacing w:before="40"/>
                      <w:jc w:val="right"/>
                      <w:rPr>
                        <w:rFonts w:ascii="Arial" w:hAnsi="Arial"/>
                        <w:b/>
                        <w:sz w:val="16"/>
                      </w:rPr>
                    </w:pPr>
                    <w:r>
                      <w:rPr>
                        <w:rFonts w:ascii="Arial" w:hAnsi="Arial"/>
                        <w:b/>
                        <w:sz w:val="16"/>
                      </w:rPr>
                      <w:t>News Media Information 202 / 418-0500</w:t>
                    </w:r>
                  </w:p>
                  <w:p w:rsidR="009838BC" w:rsidP="009838BC" w14:paraId="58FA9F18"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21B65135" w14:textId="77777777">
                    <w:pPr>
                      <w:jc w:val="right"/>
                    </w:pPr>
                    <w:r>
                      <w:rPr>
                        <w:rFonts w:ascii="Arial" w:hAnsi="Arial"/>
                        <w:b/>
                        <w:sz w:val="16"/>
                      </w:rPr>
                      <w:t>TTY: 1-888-835-5322</w:t>
                    </w:r>
                  </w:p>
                </w:txbxContent>
              </v:textbox>
            </v:shape>
          </w:pict>
        </mc:Fallback>
      </mc:AlternateContent>
    </w:r>
  </w:p>
  <w:p w:rsidR="006F7393" w:rsidRPr="009838BC" w:rsidP="009838BC" w14:paraId="67C9BF8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72CE"/>
    <w:rsid w:val="00013A8B"/>
    <w:rsid w:val="00021445"/>
    <w:rsid w:val="00036039"/>
    <w:rsid w:val="00037F90"/>
    <w:rsid w:val="0007304F"/>
    <w:rsid w:val="000875BF"/>
    <w:rsid w:val="00090879"/>
    <w:rsid w:val="00096D8C"/>
    <w:rsid w:val="000A719C"/>
    <w:rsid w:val="000C0B65"/>
    <w:rsid w:val="000E3D42"/>
    <w:rsid w:val="000E5884"/>
    <w:rsid w:val="000E6601"/>
    <w:rsid w:val="000F7AFB"/>
    <w:rsid w:val="00122BD5"/>
    <w:rsid w:val="001330FF"/>
    <w:rsid w:val="001415BA"/>
    <w:rsid w:val="001539F3"/>
    <w:rsid w:val="001541A8"/>
    <w:rsid w:val="001979D9"/>
    <w:rsid w:val="001A6361"/>
    <w:rsid w:val="001B158F"/>
    <w:rsid w:val="001D6BCF"/>
    <w:rsid w:val="001E01CA"/>
    <w:rsid w:val="001F1CB2"/>
    <w:rsid w:val="001F1FF1"/>
    <w:rsid w:val="002060D9"/>
    <w:rsid w:val="002078DE"/>
    <w:rsid w:val="0021655B"/>
    <w:rsid w:val="0022664E"/>
    <w:rsid w:val="00226822"/>
    <w:rsid w:val="002334CD"/>
    <w:rsid w:val="00240A9F"/>
    <w:rsid w:val="0025072B"/>
    <w:rsid w:val="0025082C"/>
    <w:rsid w:val="00260594"/>
    <w:rsid w:val="00285017"/>
    <w:rsid w:val="002A2D2E"/>
    <w:rsid w:val="002A6D6A"/>
    <w:rsid w:val="002B0207"/>
    <w:rsid w:val="002D62DD"/>
    <w:rsid w:val="002F2339"/>
    <w:rsid w:val="002F7221"/>
    <w:rsid w:val="00307030"/>
    <w:rsid w:val="0031328E"/>
    <w:rsid w:val="00343749"/>
    <w:rsid w:val="00357D50"/>
    <w:rsid w:val="003602FC"/>
    <w:rsid w:val="003925DC"/>
    <w:rsid w:val="00395F38"/>
    <w:rsid w:val="003A3FC6"/>
    <w:rsid w:val="003B0550"/>
    <w:rsid w:val="003B694F"/>
    <w:rsid w:val="003C2436"/>
    <w:rsid w:val="003E7B6C"/>
    <w:rsid w:val="003F171C"/>
    <w:rsid w:val="00412FC5"/>
    <w:rsid w:val="00413423"/>
    <w:rsid w:val="00422276"/>
    <w:rsid w:val="004242F1"/>
    <w:rsid w:val="004243FE"/>
    <w:rsid w:val="00445A00"/>
    <w:rsid w:val="00451B0F"/>
    <w:rsid w:val="0046125F"/>
    <w:rsid w:val="00466B8E"/>
    <w:rsid w:val="00487524"/>
    <w:rsid w:val="004876D1"/>
    <w:rsid w:val="004903BF"/>
    <w:rsid w:val="004928F5"/>
    <w:rsid w:val="004943CA"/>
    <w:rsid w:val="00496106"/>
    <w:rsid w:val="004B091D"/>
    <w:rsid w:val="004C12D0"/>
    <w:rsid w:val="004C2EE3"/>
    <w:rsid w:val="004D22C3"/>
    <w:rsid w:val="004E4A22"/>
    <w:rsid w:val="004F4239"/>
    <w:rsid w:val="00511968"/>
    <w:rsid w:val="00516C98"/>
    <w:rsid w:val="00550354"/>
    <w:rsid w:val="0055614C"/>
    <w:rsid w:val="005614FA"/>
    <w:rsid w:val="00577322"/>
    <w:rsid w:val="00581C61"/>
    <w:rsid w:val="005C680A"/>
    <w:rsid w:val="005D0403"/>
    <w:rsid w:val="005E74A9"/>
    <w:rsid w:val="00607BA5"/>
    <w:rsid w:val="00620DBB"/>
    <w:rsid w:val="00620F82"/>
    <w:rsid w:val="00626EB6"/>
    <w:rsid w:val="006275B0"/>
    <w:rsid w:val="00631B71"/>
    <w:rsid w:val="006353A3"/>
    <w:rsid w:val="00642E7B"/>
    <w:rsid w:val="00655D03"/>
    <w:rsid w:val="00664AB4"/>
    <w:rsid w:val="00683F84"/>
    <w:rsid w:val="006A6A81"/>
    <w:rsid w:val="006B6F46"/>
    <w:rsid w:val="006D40DD"/>
    <w:rsid w:val="006E26AF"/>
    <w:rsid w:val="006F7393"/>
    <w:rsid w:val="0070224F"/>
    <w:rsid w:val="007115F7"/>
    <w:rsid w:val="00785689"/>
    <w:rsid w:val="0079754B"/>
    <w:rsid w:val="007A1E6D"/>
    <w:rsid w:val="007C2228"/>
    <w:rsid w:val="007C674D"/>
    <w:rsid w:val="007D3761"/>
    <w:rsid w:val="007D6054"/>
    <w:rsid w:val="008068FD"/>
    <w:rsid w:val="00822CE0"/>
    <w:rsid w:val="00825E7D"/>
    <w:rsid w:val="0083155B"/>
    <w:rsid w:val="00837C62"/>
    <w:rsid w:val="00841AB1"/>
    <w:rsid w:val="00845944"/>
    <w:rsid w:val="00851E64"/>
    <w:rsid w:val="008670A1"/>
    <w:rsid w:val="00880549"/>
    <w:rsid w:val="00890537"/>
    <w:rsid w:val="008C22FD"/>
    <w:rsid w:val="008C2513"/>
    <w:rsid w:val="00910F12"/>
    <w:rsid w:val="00926503"/>
    <w:rsid w:val="00930ECF"/>
    <w:rsid w:val="00943B23"/>
    <w:rsid w:val="00976129"/>
    <w:rsid w:val="009838BC"/>
    <w:rsid w:val="009A65B8"/>
    <w:rsid w:val="009B3988"/>
    <w:rsid w:val="009B63B0"/>
    <w:rsid w:val="009D36AB"/>
    <w:rsid w:val="009E0A80"/>
    <w:rsid w:val="00A45F4F"/>
    <w:rsid w:val="00A600A9"/>
    <w:rsid w:val="00A6263A"/>
    <w:rsid w:val="00A866AC"/>
    <w:rsid w:val="00A950E2"/>
    <w:rsid w:val="00AA55B7"/>
    <w:rsid w:val="00AA5B9E"/>
    <w:rsid w:val="00AB2407"/>
    <w:rsid w:val="00AB53DF"/>
    <w:rsid w:val="00AD50D4"/>
    <w:rsid w:val="00B07E5C"/>
    <w:rsid w:val="00B326E3"/>
    <w:rsid w:val="00B36901"/>
    <w:rsid w:val="00B44339"/>
    <w:rsid w:val="00B7124D"/>
    <w:rsid w:val="00B73C0C"/>
    <w:rsid w:val="00B811F7"/>
    <w:rsid w:val="00B82285"/>
    <w:rsid w:val="00B84BD2"/>
    <w:rsid w:val="00B959E6"/>
    <w:rsid w:val="00BA5DC6"/>
    <w:rsid w:val="00BA6196"/>
    <w:rsid w:val="00BC6D8C"/>
    <w:rsid w:val="00BD1F31"/>
    <w:rsid w:val="00C07140"/>
    <w:rsid w:val="00C16AF2"/>
    <w:rsid w:val="00C34006"/>
    <w:rsid w:val="00C35272"/>
    <w:rsid w:val="00C367FB"/>
    <w:rsid w:val="00C426B1"/>
    <w:rsid w:val="00C50A2E"/>
    <w:rsid w:val="00C7200D"/>
    <w:rsid w:val="00C82B6B"/>
    <w:rsid w:val="00C90D6A"/>
    <w:rsid w:val="00CC6A10"/>
    <w:rsid w:val="00CC72B6"/>
    <w:rsid w:val="00D0218D"/>
    <w:rsid w:val="00D04868"/>
    <w:rsid w:val="00D12B3C"/>
    <w:rsid w:val="00D216CD"/>
    <w:rsid w:val="00D238CC"/>
    <w:rsid w:val="00D8081B"/>
    <w:rsid w:val="00D8472B"/>
    <w:rsid w:val="00D851AB"/>
    <w:rsid w:val="00DA2529"/>
    <w:rsid w:val="00DA455F"/>
    <w:rsid w:val="00DA77F0"/>
    <w:rsid w:val="00DB130A"/>
    <w:rsid w:val="00DB54CA"/>
    <w:rsid w:val="00DC10A1"/>
    <w:rsid w:val="00DC655F"/>
    <w:rsid w:val="00DD0F22"/>
    <w:rsid w:val="00DD7EBD"/>
    <w:rsid w:val="00DE4B07"/>
    <w:rsid w:val="00DF1B24"/>
    <w:rsid w:val="00DF62B6"/>
    <w:rsid w:val="00E07225"/>
    <w:rsid w:val="00E155B7"/>
    <w:rsid w:val="00E5409F"/>
    <w:rsid w:val="00E72298"/>
    <w:rsid w:val="00E96B4B"/>
    <w:rsid w:val="00EB2C44"/>
    <w:rsid w:val="00EC0185"/>
    <w:rsid w:val="00ED33DB"/>
    <w:rsid w:val="00ED6F96"/>
    <w:rsid w:val="00EE0028"/>
    <w:rsid w:val="00F021FA"/>
    <w:rsid w:val="00F14D69"/>
    <w:rsid w:val="00F37BD3"/>
    <w:rsid w:val="00F57ACA"/>
    <w:rsid w:val="00F62E97"/>
    <w:rsid w:val="00F64209"/>
    <w:rsid w:val="00F66D37"/>
    <w:rsid w:val="00F72B31"/>
    <w:rsid w:val="00F73399"/>
    <w:rsid w:val="00F93BF5"/>
    <w:rsid w:val="00F96F63"/>
    <w:rsid w:val="00FA3284"/>
    <w:rsid w:val="00FB3EDD"/>
    <w:rsid w:val="00FC56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F807F96-1CE1-4CC6-AC61-DFFFA6A7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