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5B2ADBA" w14:textId="77777777">
      <w:pPr>
        <w:jc w:val="right"/>
        <w:rPr>
          <w:sz w:val="24"/>
        </w:rPr>
      </w:pPr>
    </w:p>
    <w:p w:rsidR="00013A8B" w:rsidRPr="00B20363" w:rsidP="00013A8B" w14:paraId="1935A545" w14:textId="01D12B34">
      <w:pPr>
        <w:jc w:val="right"/>
        <w:rPr>
          <w:b/>
          <w:sz w:val="24"/>
        </w:rPr>
      </w:pPr>
      <w:r>
        <w:rPr>
          <w:b/>
          <w:sz w:val="24"/>
        </w:rPr>
        <w:t>DA 20-</w:t>
      </w:r>
      <w:r w:rsidR="003C104C">
        <w:rPr>
          <w:b/>
          <w:sz w:val="24"/>
        </w:rPr>
        <w:t>1370</w:t>
      </w:r>
    </w:p>
    <w:p w:rsidR="00013A8B" w:rsidRPr="00B20363" w:rsidP="00013A8B" w14:paraId="3A1201B0" w14:textId="7F4A2ACF">
      <w:pPr>
        <w:spacing w:before="60"/>
        <w:jc w:val="right"/>
        <w:rPr>
          <w:b/>
          <w:sz w:val="24"/>
        </w:rPr>
      </w:pPr>
      <w:r>
        <w:rPr>
          <w:b/>
          <w:sz w:val="24"/>
        </w:rPr>
        <w:t xml:space="preserve">Released:  </w:t>
      </w:r>
      <w:r w:rsidR="00E27167">
        <w:rPr>
          <w:b/>
          <w:sz w:val="24"/>
        </w:rPr>
        <w:t xml:space="preserve">November </w:t>
      </w:r>
      <w:r w:rsidR="00C57035">
        <w:rPr>
          <w:b/>
          <w:sz w:val="24"/>
        </w:rPr>
        <w:t>18</w:t>
      </w:r>
      <w:r w:rsidR="00E27167">
        <w:rPr>
          <w:b/>
          <w:sz w:val="24"/>
        </w:rPr>
        <w:t>, 2020</w:t>
      </w:r>
    </w:p>
    <w:p w:rsidR="00013A8B" w:rsidP="00013A8B" w14:paraId="5FD78A90" w14:textId="77777777">
      <w:pPr>
        <w:jc w:val="right"/>
        <w:rPr>
          <w:sz w:val="24"/>
        </w:rPr>
      </w:pPr>
    </w:p>
    <w:p w:rsidR="00013A8B" w:rsidRPr="00E27167" w:rsidP="00013A8B" w14:paraId="6B0E6DF1" w14:textId="7C31554A">
      <w:pPr>
        <w:spacing w:after="240"/>
        <w:jc w:val="center"/>
        <w:rPr>
          <w:b/>
          <w:sz w:val="24"/>
          <w:szCs w:val="24"/>
        </w:rPr>
      </w:pPr>
      <w:r w:rsidRPr="00E27167">
        <w:rPr>
          <w:b/>
          <w:caps/>
          <w:sz w:val="24"/>
          <w:szCs w:val="24"/>
        </w:rPr>
        <w:t xml:space="preserve">NOTICE CONCERNING </w:t>
      </w:r>
      <w:r w:rsidRPr="00E27167">
        <w:rPr>
          <w:b/>
          <w:i/>
          <w:iCs/>
          <w:caps/>
          <w:sz w:val="24"/>
          <w:szCs w:val="24"/>
        </w:rPr>
        <w:t>EX PARTE</w:t>
      </w:r>
      <w:r w:rsidRPr="00E27167">
        <w:rPr>
          <w:b/>
          <w:caps/>
          <w:sz w:val="24"/>
          <w:szCs w:val="24"/>
        </w:rPr>
        <w:t xml:space="preserve"> STATUS OF COMMUNICATIONS WITH RESPECT TO THE 3.7 ghZ </w:t>
      </w:r>
      <w:r w:rsidR="00FD7BF0">
        <w:rPr>
          <w:b/>
          <w:caps/>
          <w:sz w:val="24"/>
          <w:szCs w:val="24"/>
        </w:rPr>
        <w:t xml:space="preserve">BAND </w:t>
      </w:r>
      <w:r w:rsidRPr="00E27167">
        <w:rPr>
          <w:b/>
          <w:caps/>
          <w:sz w:val="24"/>
          <w:szCs w:val="24"/>
        </w:rPr>
        <w:t>TRANSITION RELOCATION COORDINATOR AND RELOCATION PAYMENT CLEARINGHOUSE</w:t>
      </w:r>
    </w:p>
    <w:p w:rsidR="00E27167" w:rsidRPr="00E27167" w:rsidP="00E27167" w14:paraId="4E8D9465" w14:textId="77777777">
      <w:pPr>
        <w:spacing w:before="100" w:beforeAutospacing="1" w:after="100" w:afterAutospacing="1"/>
        <w:jc w:val="center"/>
        <w:rPr>
          <w:b/>
          <w:sz w:val="24"/>
          <w:szCs w:val="24"/>
        </w:rPr>
      </w:pPr>
      <w:bookmarkStart w:id="0" w:name="TOChere"/>
      <w:r w:rsidRPr="00E27167">
        <w:rPr>
          <w:b/>
          <w:sz w:val="24"/>
          <w:szCs w:val="24"/>
        </w:rPr>
        <w:t>GN Docket No. 18-122, IB Docket No. 20-205, GN Docket No. 20-305</w:t>
      </w:r>
    </w:p>
    <w:p w:rsidR="00E27167" w:rsidRPr="009B2D51" w:rsidP="00E27167" w14:paraId="58D4318E" w14:textId="684DC648">
      <w:pPr>
        <w:rPr>
          <w:szCs w:val="22"/>
        </w:rPr>
      </w:pPr>
      <w:r>
        <w:rPr>
          <w:sz w:val="24"/>
        </w:rPr>
        <w:tab/>
      </w:r>
      <w:r w:rsidRPr="009B2D51">
        <w:rPr>
          <w:szCs w:val="22"/>
        </w:rPr>
        <w:t xml:space="preserve">In the </w:t>
      </w:r>
      <w:r w:rsidRPr="009B2D51">
        <w:rPr>
          <w:i/>
          <w:iCs/>
          <w:szCs w:val="22"/>
        </w:rPr>
        <w:t>3.7 GHz Report and Order</w:t>
      </w:r>
      <w:r w:rsidRPr="009B2D51">
        <w:rPr>
          <w:szCs w:val="22"/>
        </w:rPr>
        <w:t>, the Commission adopted rules to make 280 megahertz of mid-band spectrum available for flexible use, plus a 20 megahertz guard band, throughout the contiguous United States by transitioning existing operations out of the lower portion (3.7-4.0 GHz) and into the upper 200 megahertz (4.0-4.2 GHz) of the band.</w:t>
      </w:r>
      <w:r>
        <w:rPr>
          <w:rStyle w:val="FootnoteReference"/>
          <w:szCs w:val="22"/>
        </w:rPr>
        <w:footnoteReference w:id="3"/>
      </w:r>
      <w:r w:rsidRPr="009B2D51">
        <w:rPr>
          <w:szCs w:val="22"/>
        </w:rPr>
        <w:t xml:space="preserve">  </w:t>
      </w:r>
      <w:r w:rsidR="00E77642">
        <w:rPr>
          <w:szCs w:val="22"/>
        </w:rPr>
        <w:t>The Commission also tasked multiple parties with roles designed to facilitate and help manage this transition</w:t>
      </w:r>
      <w:r w:rsidR="00224F0E">
        <w:rPr>
          <w:szCs w:val="22"/>
        </w:rPr>
        <w:t>, including requiring selection of a Relocation</w:t>
      </w:r>
      <w:r w:rsidR="00DF5DE5">
        <w:rPr>
          <w:szCs w:val="22"/>
        </w:rPr>
        <w:t xml:space="preserve"> </w:t>
      </w:r>
      <w:r w:rsidR="00224F0E">
        <w:rPr>
          <w:szCs w:val="22"/>
        </w:rPr>
        <w:t>Coordinator and a Relocation Payment Clearinghouse (Clearinghouse).  T</w:t>
      </w:r>
      <w:r w:rsidR="005500F6">
        <w:rPr>
          <w:szCs w:val="22"/>
        </w:rPr>
        <w:t xml:space="preserve">his Public Notice is </w:t>
      </w:r>
      <w:r w:rsidR="00E77642">
        <w:rPr>
          <w:szCs w:val="22"/>
        </w:rPr>
        <w:t xml:space="preserve">intended to set forth the Commission’s </w:t>
      </w:r>
      <w:r w:rsidRPr="00E77642" w:rsidR="00E77642">
        <w:rPr>
          <w:i/>
          <w:iCs/>
          <w:szCs w:val="22"/>
        </w:rPr>
        <w:t xml:space="preserve">ex </w:t>
      </w:r>
      <w:r w:rsidRPr="00E77642" w:rsidR="00E77642">
        <w:rPr>
          <w:i/>
          <w:iCs/>
          <w:szCs w:val="22"/>
        </w:rPr>
        <w:t>parte</w:t>
      </w:r>
      <w:r w:rsidR="00E77642">
        <w:rPr>
          <w:szCs w:val="22"/>
        </w:rPr>
        <w:t xml:space="preserve"> rules as applied to presentations regarding the transition by </w:t>
      </w:r>
      <w:r w:rsidR="00DF5DE5">
        <w:rPr>
          <w:szCs w:val="22"/>
        </w:rPr>
        <w:t>the Relocation Coordinator and Clearinghouse</w:t>
      </w:r>
      <w:r w:rsidR="00E77642">
        <w:rPr>
          <w:szCs w:val="22"/>
        </w:rPr>
        <w:t>.</w:t>
      </w:r>
    </w:p>
    <w:p w:rsidR="00F96F63" w:rsidRPr="009B2D51" w:rsidP="00F96F63" w14:paraId="48FD16D5" w14:textId="5F7DE86E">
      <w:pPr>
        <w:rPr>
          <w:szCs w:val="22"/>
        </w:rPr>
      </w:pPr>
    </w:p>
    <w:bookmarkEnd w:id="0"/>
    <w:p w:rsidR="00F96F63" w:rsidP="00E27167" w14:paraId="3061C923" w14:textId="1A8E3C6E">
      <w:pPr>
        <w:ind w:firstLine="720"/>
        <w:rPr>
          <w:bCs/>
          <w:szCs w:val="22"/>
        </w:rPr>
      </w:pPr>
      <w:r>
        <w:rPr>
          <w:szCs w:val="22"/>
        </w:rPr>
        <w:t>Specifically, t</w:t>
      </w:r>
      <w:r w:rsidRPr="009B2D51" w:rsidR="00E27167">
        <w:rPr>
          <w:szCs w:val="22"/>
        </w:rPr>
        <w:t xml:space="preserve">he </w:t>
      </w:r>
      <w:r w:rsidRPr="009B2D51" w:rsidR="00E27167">
        <w:rPr>
          <w:i/>
          <w:iCs/>
          <w:szCs w:val="22"/>
        </w:rPr>
        <w:t>3.7 GHz Report and Order</w:t>
      </w:r>
      <w:r w:rsidRPr="009B2D51" w:rsidR="00E27167">
        <w:rPr>
          <w:szCs w:val="22"/>
        </w:rPr>
        <w:t xml:space="preserve"> required eligible Fixed Satellite Service (FSS) space station operators to select</w:t>
      </w:r>
      <w:r w:rsidR="009B2D51">
        <w:rPr>
          <w:szCs w:val="22"/>
        </w:rPr>
        <w:t xml:space="preserve"> </w:t>
      </w:r>
      <w:r w:rsidRPr="009B2D51" w:rsidR="00E27167">
        <w:rPr>
          <w:szCs w:val="22"/>
        </w:rPr>
        <w:t>a Relocation Coordinator that will be responsible for managing the overall transition and coordinating relocation actions among eligible FSS space station operators, incumbent FSS earth station operators, and new 3.7 GHz Service overlay licensees.</w:t>
      </w:r>
      <w:r>
        <w:rPr>
          <w:rStyle w:val="FootnoteReference"/>
          <w:szCs w:val="22"/>
        </w:rPr>
        <w:footnoteReference w:id="4"/>
      </w:r>
      <w:r w:rsidRPr="009B2D51" w:rsidR="00E27167">
        <w:rPr>
          <w:szCs w:val="22"/>
        </w:rPr>
        <w:t xml:space="preserve">  </w:t>
      </w:r>
      <w:r w:rsidR="009B2D51">
        <w:rPr>
          <w:szCs w:val="22"/>
        </w:rPr>
        <w:t>On July 31, 2020, eligible space station operators announced that they had selected RSM US LLP (RSM) to serve as the Relocation Coordinator.</w:t>
      </w:r>
      <w:r>
        <w:rPr>
          <w:rStyle w:val="FootnoteReference"/>
          <w:szCs w:val="22"/>
        </w:rPr>
        <w:footnoteReference w:id="5"/>
      </w:r>
      <w:r w:rsidR="009B2D51">
        <w:rPr>
          <w:szCs w:val="22"/>
        </w:rPr>
        <w:t xml:space="preserve">  Following public comment, on September 25, 2020, </w:t>
      </w:r>
      <w:r w:rsidR="009A0E7B">
        <w:rPr>
          <w:szCs w:val="22"/>
        </w:rPr>
        <w:t>the Wireless Telecommunications Bureau (Bureau) issued an Order</w:t>
      </w:r>
      <w:r>
        <w:rPr>
          <w:rStyle w:val="FootnoteReference"/>
          <w:szCs w:val="22"/>
        </w:rPr>
        <w:footnoteReference w:id="6"/>
      </w:r>
      <w:r w:rsidR="009A0E7B">
        <w:rPr>
          <w:szCs w:val="22"/>
        </w:rPr>
        <w:t xml:space="preserve"> finding that </w:t>
      </w:r>
      <w:r w:rsidRPr="00963EBA" w:rsidR="009A0E7B">
        <w:rPr>
          <w:bCs/>
          <w:szCs w:val="22"/>
        </w:rPr>
        <w:t>RSM satisfie</w:t>
      </w:r>
      <w:r w:rsidR="00B05CDE">
        <w:rPr>
          <w:bCs/>
          <w:szCs w:val="22"/>
        </w:rPr>
        <w:t>s</w:t>
      </w:r>
      <w:r w:rsidRPr="00963EBA" w:rsidR="009A0E7B">
        <w:rPr>
          <w:bCs/>
          <w:szCs w:val="22"/>
        </w:rPr>
        <w:t xml:space="preserve"> the selection criteria established by the Commission in the </w:t>
      </w:r>
      <w:r w:rsidRPr="00963EBA" w:rsidR="009A0E7B">
        <w:rPr>
          <w:bCs/>
          <w:i/>
          <w:iCs/>
          <w:szCs w:val="22"/>
        </w:rPr>
        <w:t xml:space="preserve">3.7 GHz Report and Order </w:t>
      </w:r>
      <w:r w:rsidRPr="00963EBA" w:rsidR="009A0E7B">
        <w:rPr>
          <w:bCs/>
          <w:szCs w:val="22"/>
        </w:rPr>
        <w:t>and will serve as the Relocation Coordinator for the 3.7-4.2 GHz transition process.</w:t>
      </w:r>
      <w:r>
        <w:rPr>
          <w:rStyle w:val="FootnoteReference"/>
          <w:bCs/>
          <w:szCs w:val="22"/>
        </w:rPr>
        <w:footnoteReference w:id="7"/>
      </w:r>
    </w:p>
    <w:p w:rsidR="009A0E7B" w:rsidP="00E27167" w14:paraId="5C69870D" w14:textId="576ED9E2">
      <w:pPr>
        <w:ind w:firstLine="720"/>
        <w:rPr>
          <w:bCs/>
          <w:szCs w:val="22"/>
        </w:rPr>
      </w:pPr>
    </w:p>
    <w:p w:rsidR="009A0E7B" w:rsidP="00E27167" w14:paraId="52A99CF9" w14:textId="2D1077D8">
      <w:pPr>
        <w:ind w:firstLine="720"/>
        <w:rPr>
          <w:szCs w:val="22"/>
        </w:rPr>
      </w:pPr>
      <w:r w:rsidRPr="009B2D51">
        <w:rPr>
          <w:szCs w:val="22"/>
        </w:rPr>
        <w:t xml:space="preserve">The </w:t>
      </w:r>
      <w:r w:rsidRPr="009B2D51">
        <w:rPr>
          <w:i/>
          <w:iCs/>
          <w:szCs w:val="22"/>
        </w:rPr>
        <w:t>3.7 GHz Report and Order</w:t>
      </w:r>
      <w:r w:rsidRPr="009B2D51">
        <w:rPr>
          <w:szCs w:val="22"/>
        </w:rPr>
        <w:t xml:space="preserve"> </w:t>
      </w:r>
      <w:r>
        <w:rPr>
          <w:szCs w:val="22"/>
        </w:rPr>
        <w:t xml:space="preserve">also established a </w:t>
      </w:r>
      <w:r w:rsidRPr="003F261D">
        <w:rPr>
          <w:szCs w:val="22"/>
        </w:rPr>
        <w:t xml:space="preserve">search committee </w:t>
      </w:r>
      <w:r>
        <w:rPr>
          <w:szCs w:val="22"/>
        </w:rPr>
        <w:t xml:space="preserve">to select a </w:t>
      </w:r>
      <w:r w:rsidRPr="00460853" w:rsidR="00AE04CE">
        <w:rPr>
          <w:bCs/>
          <w:szCs w:val="22"/>
        </w:rPr>
        <w:t>Clearinghouse</w:t>
      </w:r>
      <w:r w:rsidR="00DF5DE5">
        <w:rPr>
          <w:bCs/>
          <w:szCs w:val="22"/>
        </w:rPr>
        <w:t xml:space="preserve"> </w:t>
      </w:r>
      <w:r>
        <w:rPr>
          <w:szCs w:val="22"/>
        </w:rPr>
        <w:t xml:space="preserve">that </w:t>
      </w:r>
      <w:r>
        <w:rPr>
          <w:szCs w:val="22"/>
        </w:rPr>
        <w:t>would be responsible for handling all cost-related aspects of the transition</w:t>
      </w:r>
      <w:r w:rsidRPr="003F261D">
        <w:rPr>
          <w:szCs w:val="22"/>
        </w:rPr>
        <w:t>.</w:t>
      </w:r>
      <w:r>
        <w:rPr>
          <w:rStyle w:val="FootnoteReference"/>
          <w:szCs w:val="22"/>
        </w:rPr>
        <w:footnoteReference w:id="8"/>
      </w:r>
      <w:r>
        <w:rPr>
          <w:szCs w:val="22"/>
        </w:rPr>
        <w:t xml:space="preserve">  On July 31, 2020, the search committee announced that </w:t>
      </w:r>
      <w:r w:rsidR="00224F0E">
        <w:rPr>
          <w:szCs w:val="22"/>
        </w:rPr>
        <w:t xml:space="preserve">it </w:t>
      </w:r>
      <w:r>
        <w:rPr>
          <w:szCs w:val="22"/>
        </w:rPr>
        <w:t xml:space="preserve">had selected </w:t>
      </w:r>
      <w:r w:rsidRPr="00FB591C">
        <w:rPr>
          <w:szCs w:val="22"/>
        </w:rPr>
        <w:t>CohnReznick</w:t>
      </w:r>
      <w:r w:rsidR="00AE04CE">
        <w:rPr>
          <w:szCs w:val="22"/>
        </w:rPr>
        <w:t xml:space="preserve"> LLP </w:t>
      </w:r>
      <w:r w:rsidRPr="00FB591C">
        <w:rPr>
          <w:szCs w:val="22"/>
        </w:rPr>
        <w:t>and subcontractors Squire Patton Boggs (US) LLP, an</w:t>
      </w:r>
      <w:bookmarkStart w:id="1" w:name="_GoBack"/>
      <w:bookmarkEnd w:id="1"/>
      <w:r w:rsidRPr="00FB591C">
        <w:rPr>
          <w:szCs w:val="22"/>
        </w:rPr>
        <w:t xml:space="preserve">d </w:t>
      </w:r>
      <w:r w:rsidRPr="00FB591C">
        <w:rPr>
          <w:szCs w:val="22"/>
        </w:rPr>
        <w:t>Intellicom</w:t>
      </w:r>
      <w:r w:rsidRPr="00FB591C">
        <w:rPr>
          <w:szCs w:val="22"/>
        </w:rPr>
        <w:t xml:space="preserve"> Technologies,</w:t>
      </w:r>
      <w:r>
        <w:rPr>
          <w:szCs w:val="22"/>
        </w:rPr>
        <w:t xml:space="preserve"> </w:t>
      </w:r>
      <w:r w:rsidRPr="00FB591C">
        <w:rPr>
          <w:szCs w:val="22"/>
        </w:rPr>
        <w:t>Inc.</w:t>
      </w:r>
      <w:r w:rsidRPr="00AE04CE" w:rsidR="00AE04CE">
        <w:rPr>
          <w:bCs/>
          <w:szCs w:val="22"/>
        </w:rPr>
        <w:t xml:space="preserve"> </w:t>
      </w:r>
      <w:r w:rsidRPr="00460853" w:rsidR="00AE04CE">
        <w:rPr>
          <w:bCs/>
          <w:szCs w:val="22"/>
        </w:rPr>
        <w:t xml:space="preserve">(collectively, </w:t>
      </w:r>
      <w:r w:rsidRPr="00460853" w:rsidR="00AE04CE">
        <w:rPr>
          <w:bCs/>
          <w:szCs w:val="22"/>
        </w:rPr>
        <w:t>CohnReznick</w:t>
      </w:r>
      <w:r w:rsidRPr="00460853" w:rsidR="00AE04CE">
        <w:rPr>
          <w:bCs/>
          <w:szCs w:val="22"/>
        </w:rPr>
        <w:t>)</w:t>
      </w:r>
      <w:r>
        <w:rPr>
          <w:szCs w:val="22"/>
        </w:rPr>
        <w:t xml:space="preserve"> to serve as the Clearinghouse.</w:t>
      </w:r>
      <w:r>
        <w:rPr>
          <w:rStyle w:val="FootnoteReference"/>
          <w:szCs w:val="22"/>
        </w:rPr>
        <w:footnoteReference w:id="9"/>
      </w:r>
      <w:r>
        <w:rPr>
          <w:szCs w:val="22"/>
        </w:rPr>
        <w:t xml:space="preserve">  Following public comment, on October 22, 2020, the Bureau issued an Order</w:t>
      </w:r>
      <w:r>
        <w:rPr>
          <w:rStyle w:val="FootnoteReference"/>
          <w:szCs w:val="22"/>
        </w:rPr>
        <w:footnoteReference w:id="10"/>
      </w:r>
      <w:r>
        <w:rPr>
          <w:szCs w:val="22"/>
        </w:rPr>
        <w:t xml:space="preserve"> determining that </w:t>
      </w:r>
      <w:r>
        <w:rPr>
          <w:bCs/>
          <w:szCs w:val="22"/>
        </w:rPr>
        <w:t xml:space="preserve">the </w:t>
      </w:r>
      <w:r w:rsidRPr="00460853">
        <w:rPr>
          <w:bCs/>
          <w:szCs w:val="22"/>
        </w:rPr>
        <w:t xml:space="preserve">selection </w:t>
      </w:r>
      <w:r>
        <w:rPr>
          <w:bCs/>
          <w:szCs w:val="22"/>
        </w:rPr>
        <w:t xml:space="preserve">by the search committee appointed by the Commission </w:t>
      </w:r>
      <w:r w:rsidRPr="00460853">
        <w:rPr>
          <w:bCs/>
          <w:szCs w:val="22"/>
        </w:rPr>
        <w:t xml:space="preserve">of </w:t>
      </w:r>
      <w:r w:rsidRPr="00460853">
        <w:rPr>
          <w:bCs/>
          <w:szCs w:val="22"/>
        </w:rPr>
        <w:t>CohnReznick</w:t>
      </w:r>
      <w:r w:rsidRPr="00460853">
        <w:rPr>
          <w:bCs/>
          <w:szCs w:val="22"/>
        </w:rPr>
        <w:t xml:space="preserve"> to serve as the Clearinghouse</w:t>
      </w:r>
      <w:r>
        <w:rPr>
          <w:bCs/>
          <w:szCs w:val="22"/>
        </w:rPr>
        <w:t xml:space="preserve"> satisfies the criteria set forth in section 27.1414 of the Commission’s rules and described in the </w:t>
      </w:r>
      <w:r>
        <w:rPr>
          <w:bCs/>
          <w:i/>
          <w:iCs/>
          <w:szCs w:val="22"/>
        </w:rPr>
        <w:t>3.7 GHz Report and Order</w:t>
      </w:r>
      <w:r w:rsidRPr="00460853">
        <w:rPr>
          <w:bCs/>
          <w:szCs w:val="22"/>
        </w:rPr>
        <w:t>.</w:t>
      </w:r>
      <w:r>
        <w:rPr>
          <w:rStyle w:val="FootnoteReference"/>
          <w:bCs/>
          <w:szCs w:val="22"/>
        </w:rPr>
        <w:footnoteReference w:id="11"/>
      </w:r>
      <w:r>
        <w:rPr>
          <w:szCs w:val="22"/>
        </w:rPr>
        <w:t xml:space="preserve"> </w:t>
      </w:r>
    </w:p>
    <w:p w:rsidR="00AE04CE" w:rsidP="00E27167" w14:paraId="163EA759" w14:textId="7CA6D0FA">
      <w:pPr>
        <w:ind w:firstLine="720"/>
        <w:rPr>
          <w:szCs w:val="22"/>
        </w:rPr>
      </w:pPr>
    </w:p>
    <w:p w:rsidR="00D04790" w:rsidRPr="00356FA4" w:rsidP="00E27167" w14:paraId="4A79B27C" w14:textId="67D3AE21">
      <w:pPr>
        <w:ind w:firstLine="720"/>
        <w:rPr>
          <w:szCs w:val="22"/>
        </w:rPr>
      </w:pPr>
      <w:r>
        <w:rPr>
          <w:szCs w:val="22"/>
        </w:rPr>
        <w:t xml:space="preserve">In order to effectively administer the 3.7 GHz band transition, Commission staff must communicate and meet with RSM and </w:t>
      </w:r>
      <w:r>
        <w:rPr>
          <w:szCs w:val="22"/>
        </w:rPr>
        <w:t>CohnReznick</w:t>
      </w:r>
      <w:r>
        <w:rPr>
          <w:szCs w:val="22"/>
        </w:rPr>
        <w:t xml:space="preserve"> on an ongoing basis.  Given the importance of a seamless and timely transition, the Bureau finds that it is in the public interest that the communications and meetings on issues around the 3.7 GHz band </w:t>
      </w:r>
      <w:r w:rsidRPr="00356FA4">
        <w:rPr>
          <w:szCs w:val="22"/>
        </w:rPr>
        <w:t xml:space="preserve">transition </w:t>
      </w:r>
      <w:r w:rsidRPr="00356FA4" w:rsidR="004E2FA9">
        <w:rPr>
          <w:szCs w:val="22"/>
        </w:rPr>
        <w:t xml:space="preserve">between the Commission and </w:t>
      </w:r>
      <w:r w:rsidRPr="00356FA4">
        <w:rPr>
          <w:szCs w:val="22"/>
        </w:rPr>
        <w:t xml:space="preserve">RSM </w:t>
      </w:r>
      <w:r w:rsidRPr="00356FA4" w:rsidR="004E2FA9">
        <w:rPr>
          <w:szCs w:val="22"/>
        </w:rPr>
        <w:t xml:space="preserve">or </w:t>
      </w:r>
      <w:r w:rsidRPr="00356FA4">
        <w:rPr>
          <w:szCs w:val="22"/>
        </w:rPr>
        <w:t>CohnReznick</w:t>
      </w:r>
      <w:r w:rsidRPr="00356FA4">
        <w:rPr>
          <w:szCs w:val="22"/>
        </w:rPr>
        <w:t xml:space="preserve"> be conducted as efficiently and expeditiously as possible.  Accordingly, by this Public Notice, pursuant to section 1.1200(a) of the Commission’s rules,</w:t>
      </w:r>
      <w:r>
        <w:rPr>
          <w:rStyle w:val="FootnoteReference"/>
          <w:szCs w:val="22"/>
        </w:rPr>
        <w:footnoteReference w:id="12"/>
      </w:r>
      <w:r w:rsidRPr="00356FA4">
        <w:rPr>
          <w:szCs w:val="22"/>
        </w:rPr>
        <w:t xml:space="preserve"> </w:t>
      </w:r>
      <w:r w:rsidRPr="00356FA4" w:rsidR="00743630">
        <w:rPr>
          <w:szCs w:val="22"/>
        </w:rPr>
        <w:t xml:space="preserve">the Bureau </w:t>
      </w:r>
      <w:r w:rsidRPr="00356FA4">
        <w:rPr>
          <w:szCs w:val="22"/>
        </w:rPr>
        <w:t>modif</w:t>
      </w:r>
      <w:r w:rsidRPr="00356FA4" w:rsidR="00743630">
        <w:rPr>
          <w:szCs w:val="22"/>
        </w:rPr>
        <w:t>ies</w:t>
      </w:r>
      <w:r w:rsidRPr="00356FA4">
        <w:rPr>
          <w:szCs w:val="22"/>
        </w:rPr>
        <w:t xml:space="preserve"> the applicability of the Commission’s </w:t>
      </w:r>
      <w:r w:rsidRPr="00356FA4">
        <w:rPr>
          <w:i/>
          <w:iCs/>
          <w:szCs w:val="22"/>
        </w:rPr>
        <w:t xml:space="preserve">ex </w:t>
      </w:r>
      <w:r w:rsidRPr="00356FA4">
        <w:rPr>
          <w:i/>
          <w:iCs/>
          <w:szCs w:val="22"/>
        </w:rPr>
        <w:t>parte</w:t>
      </w:r>
      <w:r w:rsidRPr="00356FA4">
        <w:rPr>
          <w:szCs w:val="22"/>
        </w:rPr>
        <w:t xml:space="preserve"> rules to treat as exempt </w:t>
      </w:r>
      <w:r w:rsidRPr="00356FA4">
        <w:rPr>
          <w:szCs w:val="22"/>
        </w:rPr>
        <w:t xml:space="preserve">any presentations made between or among </w:t>
      </w:r>
      <w:r w:rsidRPr="00356FA4" w:rsidR="00FD7BF0">
        <w:rPr>
          <w:szCs w:val="22"/>
        </w:rPr>
        <w:t xml:space="preserve">Commission staff, RSM, and </w:t>
      </w:r>
      <w:r w:rsidRPr="00356FA4" w:rsidR="00FD7BF0">
        <w:rPr>
          <w:szCs w:val="22"/>
        </w:rPr>
        <w:t>CohnReznick</w:t>
      </w:r>
      <w:r w:rsidRPr="00356FA4" w:rsidR="00FD7BF0">
        <w:rPr>
          <w:szCs w:val="22"/>
        </w:rPr>
        <w:t xml:space="preserve"> </w:t>
      </w:r>
      <w:r w:rsidRPr="00356FA4">
        <w:rPr>
          <w:szCs w:val="22"/>
        </w:rPr>
        <w:t xml:space="preserve">on the subjects described above.  We emphasize, however, that only information that is placed in the record may be relied upon in any decision </w:t>
      </w:r>
      <w:r w:rsidRPr="00356FA4" w:rsidR="00480262">
        <w:rPr>
          <w:szCs w:val="22"/>
        </w:rPr>
        <w:t xml:space="preserve">by the Commission or Bureau </w:t>
      </w:r>
      <w:r w:rsidRPr="00356FA4">
        <w:rPr>
          <w:szCs w:val="22"/>
        </w:rPr>
        <w:t xml:space="preserve">in this proceeding.  </w:t>
      </w:r>
      <w:r w:rsidRPr="00356FA4" w:rsidR="004D5F4E">
        <w:rPr>
          <w:szCs w:val="22"/>
        </w:rPr>
        <w:t>The</w:t>
      </w:r>
      <w:r w:rsidRPr="00356FA4" w:rsidR="00743630">
        <w:rPr>
          <w:szCs w:val="22"/>
        </w:rPr>
        <w:t xml:space="preserve"> Bureau </w:t>
      </w:r>
      <w:r w:rsidRPr="00356FA4" w:rsidR="00043DB5">
        <w:rPr>
          <w:szCs w:val="22"/>
        </w:rPr>
        <w:t xml:space="preserve">also </w:t>
      </w:r>
      <w:r w:rsidRPr="00356FA4" w:rsidR="00743630">
        <w:rPr>
          <w:szCs w:val="22"/>
        </w:rPr>
        <w:t>directs</w:t>
      </w:r>
      <w:r w:rsidRPr="00356FA4">
        <w:rPr>
          <w:szCs w:val="22"/>
        </w:rPr>
        <w:t xml:space="preserve"> RSM and </w:t>
      </w:r>
      <w:r w:rsidRPr="00356FA4">
        <w:rPr>
          <w:szCs w:val="22"/>
        </w:rPr>
        <w:t>CohnReznick</w:t>
      </w:r>
      <w:r w:rsidRPr="00356FA4" w:rsidR="00743630">
        <w:rPr>
          <w:szCs w:val="22"/>
        </w:rPr>
        <w:t xml:space="preserve"> to file their</w:t>
      </w:r>
      <w:r w:rsidRPr="00356FA4">
        <w:rPr>
          <w:szCs w:val="22"/>
        </w:rPr>
        <w:t xml:space="preserve"> regular status reports in the record and post</w:t>
      </w:r>
      <w:r w:rsidRPr="00356FA4" w:rsidR="00743630">
        <w:rPr>
          <w:szCs w:val="22"/>
        </w:rPr>
        <w:t xml:space="preserve"> them</w:t>
      </w:r>
      <w:r w:rsidRPr="00356FA4">
        <w:rPr>
          <w:szCs w:val="22"/>
        </w:rPr>
        <w:t xml:space="preserve"> on their websites.</w:t>
      </w:r>
      <w:r>
        <w:rPr>
          <w:rStyle w:val="FootnoteReference"/>
          <w:szCs w:val="22"/>
        </w:rPr>
        <w:footnoteReference w:id="13"/>
      </w:r>
      <w:r w:rsidRPr="00356FA4">
        <w:rPr>
          <w:szCs w:val="22"/>
        </w:rPr>
        <w:t xml:space="preserve">  </w:t>
      </w:r>
    </w:p>
    <w:p w:rsidR="00D04790" w:rsidRPr="00356FA4" w:rsidP="00E27167" w14:paraId="3FBC4FF3" w14:textId="77777777">
      <w:pPr>
        <w:ind w:firstLine="720"/>
        <w:rPr>
          <w:szCs w:val="22"/>
        </w:rPr>
      </w:pPr>
    </w:p>
    <w:p w:rsidR="00AE04CE" w:rsidP="00E27167" w14:paraId="26AC0A3F" w14:textId="40FBDBBA">
      <w:pPr>
        <w:ind w:firstLine="720"/>
        <w:rPr>
          <w:szCs w:val="22"/>
        </w:rPr>
      </w:pPr>
      <w:r w:rsidRPr="00356FA4">
        <w:rPr>
          <w:szCs w:val="22"/>
        </w:rPr>
        <w:t xml:space="preserve">This notice relates only to communications by RSM and </w:t>
      </w:r>
      <w:r w:rsidRPr="00356FA4">
        <w:rPr>
          <w:szCs w:val="22"/>
        </w:rPr>
        <w:t>CohnReznick</w:t>
      </w:r>
      <w:r w:rsidRPr="00356FA4">
        <w:rPr>
          <w:szCs w:val="22"/>
        </w:rPr>
        <w:t xml:space="preserve"> to the Commission.  In all other respects, this proceeding is subject to</w:t>
      </w:r>
      <w:r w:rsidRPr="00356FA4" w:rsidR="00D04790">
        <w:rPr>
          <w:szCs w:val="22"/>
        </w:rPr>
        <w:t xml:space="preserve"> the Commission’s requirements for “permit but disclose” proceedings under section 1.1206.</w:t>
      </w:r>
      <w:r>
        <w:rPr>
          <w:rStyle w:val="FootnoteReference"/>
          <w:szCs w:val="22"/>
        </w:rPr>
        <w:footnoteReference w:id="14"/>
      </w:r>
    </w:p>
    <w:p w:rsidR="00916ACC" w:rsidRPr="00371979" w:rsidP="00916ACC" w14:paraId="6C36CFB0" w14:textId="77777777"/>
    <w:p w:rsidR="00916ACC" w:rsidRPr="00371979" w:rsidP="00916ACC" w14:paraId="0DCA8B47" w14:textId="77777777">
      <w:pPr>
        <w:jc w:val="center"/>
        <w:rPr>
          <w:b/>
        </w:rPr>
      </w:pPr>
      <w:r w:rsidRPr="00371979">
        <w:rPr>
          <w:b/>
        </w:rPr>
        <w:t>- FCC -</w:t>
      </w:r>
    </w:p>
    <w:p w:rsidR="00916ACC" w:rsidRPr="009B2D51" w:rsidP="00E27167" w14:paraId="2DB5E1E1" w14:textId="77777777">
      <w:pPr>
        <w:ind w:firstLine="720"/>
        <w:rPr>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84A5E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2DD3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ABD37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52FF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0423" w14:paraId="344E8BB7" w14:textId="77777777">
      <w:r>
        <w:separator/>
      </w:r>
    </w:p>
  </w:footnote>
  <w:footnote w:type="continuationSeparator" w:id="1">
    <w:p w:rsidR="00760423" w14:paraId="32D97575" w14:textId="77777777">
      <w:pPr>
        <w:rPr>
          <w:sz w:val="20"/>
        </w:rPr>
      </w:pPr>
      <w:r>
        <w:rPr>
          <w:sz w:val="20"/>
        </w:rPr>
        <w:t xml:space="preserve">(Continued from previous page)  </w:t>
      </w:r>
      <w:r>
        <w:rPr>
          <w:sz w:val="20"/>
        </w:rPr>
        <w:separator/>
      </w:r>
    </w:p>
  </w:footnote>
  <w:footnote w:type="continuationNotice" w:id="2">
    <w:p w:rsidR="00760423" w:rsidP="00910F12" w14:paraId="3B09D5ED" w14:textId="77777777">
      <w:pPr>
        <w:jc w:val="right"/>
        <w:rPr>
          <w:sz w:val="20"/>
        </w:rPr>
      </w:pPr>
      <w:r>
        <w:rPr>
          <w:sz w:val="20"/>
        </w:rPr>
        <w:t>(continued….)</w:t>
      </w:r>
    </w:p>
  </w:footnote>
  <w:footnote w:id="3">
    <w:p w:rsidR="00E27167" w:rsidRPr="002D4711" w:rsidP="00E27167" w14:paraId="7C4AA79D" w14:textId="77777777">
      <w:pPr>
        <w:pStyle w:val="FootnoteText"/>
      </w:pPr>
      <w:r w:rsidRPr="002D4711">
        <w:rPr>
          <w:rStyle w:val="FootnoteReference"/>
          <w:sz w:val="20"/>
        </w:rPr>
        <w:footnoteRef/>
      </w:r>
      <w:r w:rsidRPr="002D4711">
        <w:t xml:space="preserve"> </w:t>
      </w:r>
      <w:r w:rsidRPr="002D4711">
        <w:rPr>
          <w:i/>
          <w:iCs/>
        </w:rPr>
        <w:t>Expanding Flexible Use of the 3.7 to 4.2 GHz Band</w:t>
      </w:r>
      <w:r w:rsidRPr="002D4711">
        <w:t xml:space="preserve">, Report and Order and Order of Proposed Modification, 35 FCC </w:t>
      </w:r>
      <w:r w:rsidRPr="002D4711">
        <w:t>Rcd</w:t>
      </w:r>
      <w:r w:rsidRPr="002D4711">
        <w:t xml:space="preserve"> 2343, 2345, para. 4</w:t>
      </w:r>
      <w:r>
        <w:t xml:space="preserve"> (</w:t>
      </w:r>
      <w:r>
        <w:rPr>
          <w:i/>
          <w:iCs/>
        </w:rPr>
        <w:t>3.7 GHz Report and Order</w:t>
      </w:r>
      <w:r>
        <w:t>)</w:t>
      </w:r>
      <w:r w:rsidRPr="002D4711">
        <w:t>.</w:t>
      </w:r>
    </w:p>
  </w:footnote>
  <w:footnote w:id="4">
    <w:p w:rsidR="00E27167" w:rsidRPr="002E1558" w:rsidP="00E27167" w14:paraId="01A835FD" w14:textId="79F3B755">
      <w:pPr>
        <w:pStyle w:val="FootnoteText"/>
      </w:pPr>
      <w:r w:rsidRPr="002E1558">
        <w:rPr>
          <w:rStyle w:val="FootnoteReference"/>
          <w:sz w:val="20"/>
        </w:rPr>
        <w:footnoteRef/>
      </w:r>
      <w:r w:rsidRPr="002E1558">
        <w:t xml:space="preserve"> </w:t>
      </w:r>
      <w:r>
        <w:rPr>
          <w:i/>
          <w:iCs/>
        </w:rPr>
        <w:t>Id.</w:t>
      </w:r>
      <w:r w:rsidRPr="002E1558">
        <w:t xml:space="preserve"> at 24</w:t>
      </w:r>
      <w:r>
        <w:t>59-61</w:t>
      </w:r>
      <w:r w:rsidRPr="002E1558">
        <w:t>, para</w:t>
      </w:r>
      <w:r>
        <w:t>s</w:t>
      </w:r>
      <w:r w:rsidRPr="002E1558">
        <w:t xml:space="preserve">. </w:t>
      </w:r>
      <w:r>
        <w:t>309, 313-14</w:t>
      </w:r>
      <w:r w:rsidRPr="002E1558">
        <w:t xml:space="preserve">. </w:t>
      </w:r>
      <w:r>
        <w:t xml:space="preserve"> </w:t>
      </w:r>
      <w:r w:rsidRPr="002E1558">
        <w:t xml:space="preserve">An eligible space station operator is defined as an incumbent </w:t>
      </w:r>
      <w:r>
        <w:t xml:space="preserve">FSS </w:t>
      </w:r>
      <w:r w:rsidRPr="002E1558">
        <w:t xml:space="preserve">space station operator that has demonstrated as of February 1, 2020, that it has an existing relationship to provide service via </w:t>
      </w:r>
      <w:r w:rsidR="00480262">
        <w:t xml:space="preserve">3.7-4.2 GHz </w:t>
      </w:r>
      <w:r w:rsidRPr="002E1558">
        <w:t>band satellite transmission to one or more incumbent earth stations in the contiguous United States.  47 CFR § 27.1411(b)(2).</w:t>
      </w:r>
    </w:p>
  </w:footnote>
  <w:footnote w:id="5">
    <w:p w:rsidR="009B2D51" w:rsidP="009B2D51" w14:paraId="1FC7C8D2" w14:textId="77777777">
      <w:pPr>
        <w:pStyle w:val="FootnoteText"/>
      </w:pPr>
      <w:r>
        <w:rPr>
          <w:rStyle w:val="FootnoteReference"/>
        </w:rPr>
        <w:footnoteRef/>
      </w:r>
      <w:r>
        <w:t xml:space="preserve"> Letter from Michael DeMarco, et al., Members of Relocation Coordinator Search Committee, to Marlene H. Dortch, Secretary, FCC, GN Docket No. 18-122 (filed July 31, 2020).</w:t>
      </w:r>
    </w:p>
  </w:footnote>
  <w:footnote w:id="6">
    <w:p w:rsidR="009A0E7B" w14:paraId="6624C44E" w14:textId="4414F8B6">
      <w:pPr>
        <w:pStyle w:val="FootnoteText"/>
      </w:pPr>
      <w:r>
        <w:rPr>
          <w:rStyle w:val="FootnoteReference"/>
        </w:rPr>
        <w:footnoteRef/>
      </w:r>
      <w:r>
        <w:t xml:space="preserve"> </w:t>
      </w:r>
      <w:r w:rsidRPr="002D4711">
        <w:rPr>
          <w:i/>
          <w:iCs/>
        </w:rPr>
        <w:t>Expanding Flexible Use of the 3.7 to 4.2 GHz Band</w:t>
      </w:r>
      <w:r w:rsidRPr="002D4711">
        <w:t>, Order</w:t>
      </w:r>
      <w:r>
        <w:t>, DA 20-1133 (rel. Sept. 25, 2020).</w:t>
      </w:r>
    </w:p>
  </w:footnote>
  <w:footnote w:id="7">
    <w:p w:rsidR="009A0E7B" w:rsidP="009A0E7B" w14:paraId="047E46F4" w14:textId="77777777">
      <w:pPr>
        <w:pStyle w:val="FootnoteText"/>
      </w:pPr>
      <w:r>
        <w:rPr>
          <w:rStyle w:val="FootnoteReference"/>
        </w:rPr>
        <w:footnoteRef/>
      </w:r>
      <w:r>
        <w:t xml:space="preserve"> 47 CFR § 27.1413(b); </w:t>
      </w:r>
      <w:r w:rsidRPr="00593B9B">
        <w:rPr>
          <w:i/>
          <w:iCs/>
        </w:rPr>
        <w:t>3.7 GHz Report and Order</w:t>
      </w:r>
      <w:r>
        <w:t xml:space="preserve">, 35 FCC </w:t>
      </w:r>
      <w:r>
        <w:t>Rcd</w:t>
      </w:r>
      <w:r>
        <w:t xml:space="preserve"> at 2459, paras. 307-09.</w:t>
      </w:r>
    </w:p>
  </w:footnote>
  <w:footnote w:id="8">
    <w:p w:rsidR="009A0E7B" w:rsidRPr="00E050F3" w:rsidP="009A0E7B" w14:paraId="13E245CC" w14:textId="557B1B45">
      <w:pPr>
        <w:pStyle w:val="FootnoteText"/>
      </w:pPr>
      <w:r>
        <w:rPr>
          <w:rStyle w:val="FootnoteReference"/>
        </w:rPr>
        <w:footnoteRef/>
      </w:r>
      <w:r>
        <w:t xml:space="preserve"> </w:t>
      </w:r>
      <w:r w:rsidRPr="00593B9B">
        <w:rPr>
          <w:i/>
          <w:iCs/>
        </w:rPr>
        <w:t>3.7 GHz Report and Order</w:t>
      </w:r>
      <w:r>
        <w:t xml:space="preserve">, 35 FCC </w:t>
      </w:r>
      <w:r>
        <w:t>Rcd</w:t>
      </w:r>
      <w:r>
        <w:t xml:space="preserve"> at 2450-51, paras. 273-74.  The search committee is </w:t>
      </w:r>
      <w:r w:rsidRPr="003F261D">
        <w:rPr>
          <w:szCs w:val="22"/>
        </w:rPr>
        <w:t>composed of nine members appointed by nine entities that</w:t>
      </w:r>
      <w:r>
        <w:rPr>
          <w:szCs w:val="22"/>
        </w:rPr>
        <w:t xml:space="preserve"> the Commission found</w:t>
      </w:r>
      <w:r w:rsidRPr="003F261D">
        <w:rPr>
          <w:szCs w:val="22"/>
        </w:rPr>
        <w:t>, collectively, reasonably represent the interests of stakeholders</w:t>
      </w:r>
      <w:r>
        <w:rPr>
          <w:szCs w:val="22"/>
        </w:rPr>
        <w:t xml:space="preserve">:  </w:t>
      </w:r>
      <w:r>
        <w:rPr>
          <w:rFonts w:ascii="TimesNewRomanPSMT" w:hAnsi="TimesNewRomanPSMT" w:cs="TimesNewRomanPSMT"/>
          <w:color w:val="231F20"/>
        </w:rPr>
        <w:t xml:space="preserve">Intelsat License LLC, SES </w:t>
      </w:r>
      <w:r>
        <w:rPr>
          <w:rFonts w:ascii="TimesNewRomanPSMT" w:hAnsi="TimesNewRomanPSMT" w:cs="TimesNewRomanPSMT"/>
          <w:color w:val="231F20"/>
        </w:rPr>
        <w:t>Americom</w:t>
      </w:r>
      <w:r>
        <w:rPr>
          <w:rFonts w:ascii="TimesNewRomanPSMT" w:hAnsi="TimesNewRomanPSMT" w:cs="TimesNewRomanPSMT"/>
          <w:color w:val="231F20"/>
        </w:rPr>
        <w:t xml:space="preserve">, Inc., Eutelsat S.A., National Association of Broadcasters, NCTA - The Internet &amp; Television Association, American Cable Association, CTIA, Competitive Carriers Association, and Wireless Internet Service Providers Association.  </w:t>
      </w:r>
      <w:r>
        <w:rPr>
          <w:rFonts w:ascii="TimesNewRomanPSMT" w:hAnsi="TimesNewRomanPSMT" w:cs="TimesNewRomanPSMT"/>
          <w:i/>
          <w:iCs/>
          <w:color w:val="231F20"/>
        </w:rPr>
        <w:t>Id.</w:t>
      </w:r>
      <w:r>
        <w:rPr>
          <w:rFonts w:ascii="TimesNewRomanPSMT" w:hAnsi="TimesNewRomanPSMT" w:cs="TimesNewRomanPSMT"/>
          <w:color w:val="231F20"/>
        </w:rPr>
        <w:t xml:space="preserve"> at 2450-51, para. 274.</w:t>
      </w:r>
    </w:p>
  </w:footnote>
  <w:footnote w:id="9">
    <w:p w:rsidR="009A0E7B" w:rsidP="009A0E7B" w14:paraId="76EF9EDD" w14:textId="77777777">
      <w:pPr>
        <w:pStyle w:val="FootnoteText"/>
      </w:pPr>
      <w:r>
        <w:rPr>
          <w:rStyle w:val="FootnoteReference"/>
        </w:rPr>
        <w:footnoteRef/>
      </w:r>
      <w:r>
        <w:t xml:space="preserve"> Letter from Ross J. Lieberman, et al., Members of Clearinghouse Search Committee, to Marlene H. Dortch, Secretary, FCC, GN Docket No. 18-122 (filed July 31, 2020).</w:t>
      </w:r>
    </w:p>
  </w:footnote>
  <w:footnote w:id="10">
    <w:p w:rsidR="009A0E7B" w14:paraId="59FAB79B" w14:textId="1833FAAE">
      <w:pPr>
        <w:pStyle w:val="FootnoteText"/>
      </w:pPr>
      <w:r>
        <w:rPr>
          <w:rStyle w:val="FootnoteReference"/>
        </w:rPr>
        <w:footnoteRef/>
      </w:r>
      <w:r>
        <w:t xml:space="preserve"> </w:t>
      </w:r>
      <w:r w:rsidRPr="002D4711">
        <w:rPr>
          <w:i/>
          <w:iCs/>
        </w:rPr>
        <w:t>Expanding Flexible Use of the 3.7 to 4.2 GHz Band</w:t>
      </w:r>
      <w:r w:rsidRPr="002D4711">
        <w:t>, Order</w:t>
      </w:r>
      <w:r>
        <w:t>, DA 20-1251 (rel. Oct. 22, 2020).</w:t>
      </w:r>
    </w:p>
  </w:footnote>
  <w:footnote w:id="11">
    <w:p w:rsidR="009A0E7B" w:rsidP="009A0E7B" w14:paraId="50899CB6" w14:textId="15CD2E58">
      <w:pPr>
        <w:pStyle w:val="FootnoteText"/>
      </w:pPr>
      <w:r>
        <w:rPr>
          <w:rStyle w:val="FootnoteReference"/>
        </w:rPr>
        <w:footnoteRef/>
      </w:r>
      <w:r>
        <w:t xml:space="preserve"> </w:t>
      </w:r>
      <w:r>
        <w:rPr>
          <w:i/>
          <w:iCs/>
        </w:rPr>
        <w:t xml:space="preserve">See </w:t>
      </w:r>
      <w:r>
        <w:t xml:space="preserve">47 CFR § 27.1414; </w:t>
      </w:r>
      <w:r w:rsidRPr="00C1164E" w:rsidR="00AE04CE">
        <w:rPr>
          <w:i/>
          <w:iCs/>
        </w:rPr>
        <w:t>3.7 GHz Report and Order</w:t>
      </w:r>
      <w:r w:rsidRPr="00C1164E">
        <w:t xml:space="preserve">, 35 FCC </w:t>
      </w:r>
      <w:r w:rsidRPr="00C1164E">
        <w:t>Rcd</w:t>
      </w:r>
      <w:r w:rsidRPr="00C1164E">
        <w:t xml:space="preserve"> </w:t>
      </w:r>
      <w:r w:rsidR="00AE04CE">
        <w:t>at</w:t>
      </w:r>
      <w:r w:rsidRPr="00C1164E">
        <w:t xml:space="preserve"> 2450-52, paras. 273-80.</w:t>
      </w:r>
    </w:p>
  </w:footnote>
  <w:footnote w:id="12">
    <w:p w:rsidR="00CD4248" w14:paraId="13AE44FA" w14:textId="0474F0A3">
      <w:pPr>
        <w:pStyle w:val="FootnoteText"/>
      </w:pPr>
      <w:r>
        <w:rPr>
          <w:rStyle w:val="FootnoteReference"/>
        </w:rPr>
        <w:footnoteRef/>
      </w:r>
      <w:r>
        <w:t xml:space="preserve"> 47 CFR § 1.1200(a).</w:t>
      </w:r>
    </w:p>
  </w:footnote>
  <w:footnote w:id="13">
    <w:p w:rsidR="00E45A38" w:rsidRPr="00E45A38" w14:paraId="7C932A72" w14:textId="0F0683F1">
      <w:pPr>
        <w:pStyle w:val="FootnoteText"/>
      </w:pPr>
      <w:r>
        <w:rPr>
          <w:rStyle w:val="FootnoteReference"/>
        </w:rPr>
        <w:footnoteRef/>
      </w:r>
      <w:r>
        <w:t xml:space="preserve"> </w:t>
      </w:r>
      <w:r>
        <w:rPr>
          <w:i/>
          <w:iCs/>
        </w:rPr>
        <w:t xml:space="preserve">See </w:t>
      </w:r>
      <w:r>
        <w:t>47 CFR §§ 27.1413(d). 27.1414(c)</w:t>
      </w:r>
      <w:r w:rsidR="00743630">
        <w:t xml:space="preserve">; </w:t>
      </w:r>
      <w:r w:rsidRPr="00C1164E" w:rsidR="00743630">
        <w:rPr>
          <w:i/>
          <w:iCs/>
        </w:rPr>
        <w:t>3.7 GHz Report and Order</w:t>
      </w:r>
      <w:r w:rsidRPr="00C1164E" w:rsidR="00743630">
        <w:t xml:space="preserve">, 35 FCC </w:t>
      </w:r>
      <w:r w:rsidRPr="00C1164E" w:rsidR="00743630">
        <w:t>Rcd</w:t>
      </w:r>
      <w:r w:rsidRPr="00C1164E" w:rsidR="00743630">
        <w:t xml:space="preserve"> </w:t>
      </w:r>
      <w:r w:rsidR="00743630">
        <w:t>at</w:t>
      </w:r>
      <w:r w:rsidRPr="00C1164E" w:rsidR="00743630">
        <w:t xml:space="preserve"> 2450</w:t>
      </w:r>
      <w:r w:rsidR="00743630">
        <w:t>, 2461</w:t>
      </w:r>
      <w:r w:rsidRPr="00C1164E" w:rsidR="00743630">
        <w:t>, paras. 27</w:t>
      </w:r>
      <w:r w:rsidR="00743630">
        <w:t>0, 316.</w:t>
      </w:r>
      <w:r w:rsidR="00F84894">
        <w:t xml:space="preserve">  RSM and </w:t>
      </w:r>
      <w:r w:rsidR="00F84894">
        <w:t>CohnReznick</w:t>
      </w:r>
      <w:r w:rsidR="00F84894">
        <w:t xml:space="preserve"> may request confidential treatment of information contained in their status reports consistent with section</w:t>
      </w:r>
      <w:r w:rsidR="00F06136">
        <w:t xml:space="preserve">s </w:t>
      </w:r>
      <w:r w:rsidR="00F06136">
        <w:rPr>
          <w:snapToGrid w:val="0"/>
        </w:rPr>
        <w:t>1.1206(b)(2) and</w:t>
      </w:r>
      <w:r w:rsidR="00F84894">
        <w:t xml:space="preserve"> 0.459 of the Commission’s rules. 47 CFR §</w:t>
      </w:r>
      <w:r w:rsidR="00F06136">
        <w:t xml:space="preserve">§ </w:t>
      </w:r>
      <w:r w:rsidR="00F06136">
        <w:rPr>
          <w:snapToGrid w:val="0"/>
        </w:rPr>
        <w:t>1.1206(b)(2),</w:t>
      </w:r>
      <w:r w:rsidR="00F84894">
        <w:t xml:space="preserve"> 0.459. </w:t>
      </w:r>
    </w:p>
  </w:footnote>
  <w:footnote w:id="14">
    <w:p w:rsidR="00D04790" w14:paraId="0EE140D6" w14:textId="7298054A">
      <w:pPr>
        <w:pStyle w:val="FootnoteText"/>
      </w:pPr>
      <w:r>
        <w:rPr>
          <w:rStyle w:val="FootnoteReference"/>
        </w:rPr>
        <w:footnoteRef/>
      </w:r>
      <w:r>
        <w:t xml:space="preserve"> 47 CFR §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685CA2" w14:textId="559D0AA0">
    <w:pPr>
      <w:tabs>
        <w:tab w:val="center" w:pos="4680"/>
        <w:tab w:val="right" w:pos="9360"/>
      </w:tabs>
    </w:pPr>
    <w:r w:rsidRPr="009838BC">
      <w:rPr>
        <w:b/>
      </w:rPr>
      <w:tab/>
      <w:t>Federal Communications Commission</w:t>
    </w:r>
    <w:r w:rsidRPr="009838BC">
      <w:rPr>
        <w:b/>
      </w:rPr>
      <w:tab/>
    </w:r>
    <w:r w:rsidR="00AE04CE">
      <w:rPr>
        <w:b/>
      </w:rPr>
      <w:t>DA 20-</w:t>
    </w:r>
    <w:r w:rsidR="00445A60">
      <w:rPr>
        <w:b/>
      </w:rPr>
      <w:t>1370</w:t>
    </w:r>
  </w:p>
  <w:p w:rsidR="009838BC" w:rsidRPr="009838BC" w:rsidP="009838BC" w14:paraId="16B67611" w14:textId="61CE1E3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0DC1B0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0E6C3B5" w14:textId="625E071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F4A5DA8" w14:textId="77777777">
                    <w:pPr>
                      <w:rPr>
                        <w:rFonts w:ascii="Arial" w:hAnsi="Arial"/>
                        <w:b/>
                      </w:rPr>
                    </w:pPr>
                    <w:r>
                      <w:rPr>
                        <w:rFonts w:ascii="Arial" w:hAnsi="Arial"/>
                        <w:b/>
                      </w:rPr>
                      <w:t>Federal Communications Commission</w:t>
                    </w:r>
                  </w:p>
                  <w:p w:rsidR="009838BC" w:rsidP="009838BC" w14:paraId="22F7BAF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4CC73C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47185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FEEA7AE" w14:textId="69A31B7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00C1A62" w14:textId="77777777">
                    <w:pPr>
                      <w:spacing w:before="40"/>
                      <w:jc w:val="right"/>
                      <w:rPr>
                        <w:rFonts w:ascii="Arial" w:hAnsi="Arial"/>
                        <w:b/>
                        <w:sz w:val="16"/>
                      </w:rPr>
                    </w:pPr>
                    <w:r>
                      <w:rPr>
                        <w:rFonts w:ascii="Arial" w:hAnsi="Arial"/>
                        <w:b/>
                        <w:sz w:val="16"/>
                      </w:rPr>
                      <w:t>News Media Information 202 / 418-0500</w:t>
                    </w:r>
                  </w:p>
                  <w:p w:rsidR="009838BC" w:rsidP="009838BC" w14:paraId="7B5D04C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A8E568F" w14:textId="77777777">
                    <w:pPr>
                      <w:jc w:val="right"/>
                    </w:pPr>
                    <w:r>
                      <w:rPr>
                        <w:rFonts w:ascii="Arial" w:hAnsi="Arial"/>
                        <w:b/>
                        <w:sz w:val="16"/>
                      </w:rPr>
                      <w:t>TTY: 1-888-835-5322</w:t>
                    </w:r>
                  </w:p>
                </w:txbxContent>
              </v:textbox>
            </v:shape>
          </w:pict>
        </mc:Fallback>
      </mc:AlternateContent>
    </w:r>
  </w:p>
  <w:p w:rsidR="006F7393" w:rsidRPr="009838BC" w:rsidP="009838BC" w14:paraId="11A3AF8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23"/>
    <w:rsid w:val="000072CE"/>
    <w:rsid w:val="00013A8B"/>
    <w:rsid w:val="00021445"/>
    <w:rsid w:val="00036039"/>
    <w:rsid w:val="00037F90"/>
    <w:rsid w:val="00043DB5"/>
    <w:rsid w:val="00057EEB"/>
    <w:rsid w:val="000875BF"/>
    <w:rsid w:val="00096D8C"/>
    <w:rsid w:val="000C0B65"/>
    <w:rsid w:val="000E3D42"/>
    <w:rsid w:val="000E5884"/>
    <w:rsid w:val="00122BD5"/>
    <w:rsid w:val="00141681"/>
    <w:rsid w:val="00176B7A"/>
    <w:rsid w:val="001979D9"/>
    <w:rsid w:val="001D6BCF"/>
    <w:rsid w:val="001E01CA"/>
    <w:rsid w:val="001E04D1"/>
    <w:rsid w:val="002060D9"/>
    <w:rsid w:val="00224F0E"/>
    <w:rsid w:val="00226822"/>
    <w:rsid w:val="00260594"/>
    <w:rsid w:val="00285017"/>
    <w:rsid w:val="002A2D2E"/>
    <w:rsid w:val="002D4711"/>
    <w:rsid w:val="002E1558"/>
    <w:rsid w:val="00343749"/>
    <w:rsid w:val="00356FA4"/>
    <w:rsid w:val="00357D50"/>
    <w:rsid w:val="00364FD9"/>
    <w:rsid w:val="00371979"/>
    <w:rsid w:val="003925DC"/>
    <w:rsid w:val="003B0550"/>
    <w:rsid w:val="003B694F"/>
    <w:rsid w:val="003C104C"/>
    <w:rsid w:val="003F171C"/>
    <w:rsid w:val="003F261D"/>
    <w:rsid w:val="00412FC5"/>
    <w:rsid w:val="00422276"/>
    <w:rsid w:val="004242F1"/>
    <w:rsid w:val="00445A00"/>
    <w:rsid w:val="00445A60"/>
    <w:rsid w:val="00451B0F"/>
    <w:rsid w:val="00460853"/>
    <w:rsid w:val="0046125F"/>
    <w:rsid w:val="00480262"/>
    <w:rsid w:val="00487524"/>
    <w:rsid w:val="00496106"/>
    <w:rsid w:val="004A1AF2"/>
    <w:rsid w:val="004C12D0"/>
    <w:rsid w:val="004C2EE3"/>
    <w:rsid w:val="004D5F4E"/>
    <w:rsid w:val="004E2FA9"/>
    <w:rsid w:val="004E4A22"/>
    <w:rsid w:val="00511968"/>
    <w:rsid w:val="005466A9"/>
    <w:rsid w:val="005500F6"/>
    <w:rsid w:val="0055614C"/>
    <w:rsid w:val="00593B9B"/>
    <w:rsid w:val="005F3C47"/>
    <w:rsid w:val="00607BA5"/>
    <w:rsid w:val="00626EB6"/>
    <w:rsid w:val="006353A3"/>
    <w:rsid w:val="00655D03"/>
    <w:rsid w:val="00683F84"/>
    <w:rsid w:val="00687986"/>
    <w:rsid w:val="006A6A81"/>
    <w:rsid w:val="006E26AF"/>
    <w:rsid w:val="006F7393"/>
    <w:rsid w:val="0070224F"/>
    <w:rsid w:val="007115F7"/>
    <w:rsid w:val="00743630"/>
    <w:rsid w:val="00760423"/>
    <w:rsid w:val="00785689"/>
    <w:rsid w:val="0079754B"/>
    <w:rsid w:val="007A1E6D"/>
    <w:rsid w:val="00822CE0"/>
    <w:rsid w:val="00826DB4"/>
    <w:rsid w:val="00837C62"/>
    <w:rsid w:val="00841AB1"/>
    <w:rsid w:val="008C22FD"/>
    <w:rsid w:val="00910F12"/>
    <w:rsid w:val="00916ACC"/>
    <w:rsid w:val="00926503"/>
    <w:rsid w:val="00930ECF"/>
    <w:rsid w:val="00963EBA"/>
    <w:rsid w:val="009838BC"/>
    <w:rsid w:val="009A0E7B"/>
    <w:rsid w:val="009B2D51"/>
    <w:rsid w:val="00A45F4F"/>
    <w:rsid w:val="00A600A9"/>
    <w:rsid w:val="00A866AC"/>
    <w:rsid w:val="00AA55B7"/>
    <w:rsid w:val="00AA5B9E"/>
    <w:rsid w:val="00AB2407"/>
    <w:rsid w:val="00AB53DF"/>
    <w:rsid w:val="00AC250C"/>
    <w:rsid w:val="00AE04CE"/>
    <w:rsid w:val="00B05CDE"/>
    <w:rsid w:val="00B07E5C"/>
    <w:rsid w:val="00B20363"/>
    <w:rsid w:val="00B326E3"/>
    <w:rsid w:val="00B333F8"/>
    <w:rsid w:val="00B811F7"/>
    <w:rsid w:val="00BA5DC6"/>
    <w:rsid w:val="00BA6196"/>
    <w:rsid w:val="00BC6D8C"/>
    <w:rsid w:val="00BF4FFA"/>
    <w:rsid w:val="00C1164E"/>
    <w:rsid w:val="00C16AF2"/>
    <w:rsid w:val="00C34006"/>
    <w:rsid w:val="00C426B1"/>
    <w:rsid w:val="00C4331C"/>
    <w:rsid w:val="00C57035"/>
    <w:rsid w:val="00C82B6B"/>
    <w:rsid w:val="00C90D6A"/>
    <w:rsid w:val="00CC72B6"/>
    <w:rsid w:val="00CD4248"/>
    <w:rsid w:val="00D0218D"/>
    <w:rsid w:val="00D04790"/>
    <w:rsid w:val="00D216CD"/>
    <w:rsid w:val="00DA2529"/>
    <w:rsid w:val="00DB130A"/>
    <w:rsid w:val="00DC10A1"/>
    <w:rsid w:val="00DC655F"/>
    <w:rsid w:val="00DD7EBD"/>
    <w:rsid w:val="00DF5DE5"/>
    <w:rsid w:val="00DF62B6"/>
    <w:rsid w:val="00E050F3"/>
    <w:rsid w:val="00E07225"/>
    <w:rsid w:val="00E155B7"/>
    <w:rsid w:val="00E27167"/>
    <w:rsid w:val="00E45A38"/>
    <w:rsid w:val="00E5409F"/>
    <w:rsid w:val="00E77642"/>
    <w:rsid w:val="00E9759F"/>
    <w:rsid w:val="00EC0185"/>
    <w:rsid w:val="00F021FA"/>
    <w:rsid w:val="00F06136"/>
    <w:rsid w:val="00F21DBB"/>
    <w:rsid w:val="00F57ACA"/>
    <w:rsid w:val="00F62E97"/>
    <w:rsid w:val="00F64209"/>
    <w:rsid w:val="00F84894"/>
    <w:rsid w:val="00F93BF5"/>
    <w:rsid w:val="00F96F63"/>
    <w:rsid w:val="00FB591C"/>
    <w:rsid w:val="00FD7B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rsid w:val="00E27167"/>
  </w:style>
  <w:style w:type="character" w:customStyle="1" w:styleId="CharCharCharChar">
    <w:name w:val="Char Char Char Char"/>
    <w:aliases w:val="Footnote Text Char Char Char Char Char,Footnote Text Char1 Char Char1,Footnote Text Char1 Char1 Char Char Char Char Char,Footnote Text Char2 Char Char,Footnote Text Char2 Char1"/>
    <w:uiPriority w:val="99"/>
    <w:rsid w:val="00E27167"/>
  </w:style>
  <w:style w:type="character" w:customStyle="1" w:styleId="ParaNumChar">
    <w:name w:val="ParaNum Char"/>
    <w:link w:val="ParaNum"/>
    <w:rsid w:val="00916ACC"/>
    <w:rPr>
      <w:snapToGrid w:val="0"/>
      <w:kern w:val="28"/>
      <w:sz w:val="22"/>
    </w:rPr>
  </w:style>
  <w:style w:type="character" w:styleId="CommentReference">
    <w:name w:val="annotation reference"/>
    <w:basedOn w:val="DefaultParagraphFont"/>
    <w:uiPriority w:val="99"/>
    <w:semiHidden/>
    <w:unhideWhenUsed/>
    <w:rsid w:val="00E45A38"/>
    <w:rPr>
      <w:sz w:val="16"/>
      <w:szCs w:val="16"/>
    </w:rPr>
  </w:style>
  <w:style w:type="paragraph" w:styleId="CommentText">
    <w:name w:val="annotation text"/>
    <w:basedOn w:val="Normal"/>
    <w:link w:val="CommentTextChar"/>
    <w:uiPriority w:val="99"/>
    <w:semiHidden/>
    <w:unhideWhenUsed/>
    <w:rsid w:val="00E45A38"/>
    <w:rPr>
      <w:sz w:val="20"/>
    </w:rPr>
  </w:style>
  <w:style w:type="character" w:customStyle="1" w:styleId="CommentTextChar">
    <w:name w:val="Comment Text Char"/>
    <w:basedOn w:val="DefaultParagraphFont"/>
    <w:link w:val="CommentText"/>
    <w:uiPriority w:val="99"/>
    <w:semiHidden/>
    <w:rsid w:val="00E45A38"/>
    <w:rPr>
      <w:snapToGrid w:val="0"/>
      <w:kern w:val="28"/>
    </w:rPr>
  </w:style>
  <w:style w:type="paragraph" w:styleId="CommentSubject">
    <w:name w:val="annotation subject"/>
    <w:basedOn w:val="CommentText"/>
    <w:next w:val="CommentText"/>
    <w:link w:val="CommentSubjectChar"/>
    <w:uiPriority w:val="99"/>
    <w:semiHidden/>
    <w:unhideWhenUsed/>
    <w:rsid w:val="00E45A38"/>
    <w:rPr>
      <w:b/>
      <w:bCs/>
    </w:rPr>
  </w:style>
  <w:style w:type="character" w:customStyle="1" w:styleId="CommentSubjectChar">
    <w:name w:val="Comment Subject Char"/>
    <w:basedOn w:val="CommentTextChar"/>
    <w:link w:val="CommentSubject"/>
    <w:uiPriority w:val="99"/>
    <w:semiHidden/>
    <w:rsid w:val="00E45A38"/>
    <w:rPr>
      <w:b/>
      <w:bCs/>
      <w:snapToGrid w:val="0"/>
      <w:kern w:val="28"/>
    </w:rPr>
  </w:style>
  <w:style w:type="paragraph" w:styleId="BalloonText">
    <w:name w:val="Balloon Text"/>
    <w:basedOn w:val="Normal"/>
    <w:link w:val="BalloonTextChar"/>
    <w:uiPriority w:val="99"/>
    <w:semiHidden/>
    <w:unhideWhenUsed/>
    <w:rsid w:val="00E4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3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