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B2481" w:rsidP="005A1CF0" w14:paraId="7999F855" w14:textId="77777777">
      <w:pPr>
        <w:tabs>
          <w:tab w:val="left" w:pos="6480"/>
        </w:tabs>
        <w:ind w:left="5760" w:firstLine="720"/>
        <w:rPr>
          <w:sz w:val="22"/>
          <w:szCs w:val="22"/>
        </w:rPr>
      </w:pPr>
    </w:p>
    <w:p w:rsidR="005B2481" w:rsidP="005A1CF0" w14:paraId="6FF84077" w14:textId="77777777">
      <w:pPr>
        <w:tabs>
          <w:tab w:val="left" w:pos="6480"/>
        </w:tabs>
        <w:ind w:left="5760" w:firstLine="720"/>
        <w:rPr>
          <w:sz w:val="22"/>
          <w:szCs w:val="22"/>
        </w:rPr>
      </w:pPr>
    </w:p>
    <w:p w:rsidR="008A6607" w:rsidRPr="008A6607" w:rsidP="005A1CF0" w14:paraId="128BDBC0" w14:textId="1920DE3F">
      <w:pPr>
        <w:tabs>
          <w:tab w:val="left" w:pos="6480"/>
        </w:tabs>
        <w:ind w:left="5760" w:firstLine="720"/>
        <w:rPr>
          <w:b/>
          <w:bCs/>
          <w:sz w:val="22"/>
          <w:szCs w:val="22"/>
        </w:rPr>
      </w:pPr>
      <w:r w:rsidRPr="008A6607">
        <w:rPr>
          <w:b/>
          <w:bCs/>
          <w:sz w:val="22"/>
          <w:szCs w:val="22"/>
        </w:rPr>
        <w:t>DA 20-</w:t>
      </w:r>
      <w:r w:rsidR="00DD0F95">
        <w:rPr>
          <w:b/>
          <w:bCs/>
          <w:sz w:val="22"/>
          <w:szCs w:val="22"/>
        </w:rPr>
        <w:t>1375</w:t>
      </w:r>
      <w:bookmarkStart w:id="0" w:name="_GoBack"/>
      <w:bookmarkEnd w:id="0"/>
    </w:p>
    <w:p w:rsidR="005A1CF0" w:rsidRPr="00826CB1" w:rsidP="005A1CF0" w14:paraId="2A74F261" w14:textId="38CFAF7B">
      <w:pPr>
        <w:tabs>
          <w:tab w:val="left" w:pos="6480"/>
        </w:tabs>
        <w:ind w:left="5760" w:firstLine="720"/>
        <w:rPr>
          <w:sz w:val="22"/>
          <w:szCs w:val="22"/>
        </w:rPr>
      </w:pPr>
      <w:r w:rsidRPr="00826CB1">
        <w:rPr>
          <w:sz w:val="22"/>
          <w:szCs w:val="22"/>
        </w:rPr>
        <w:t>In Reply Refer To:</w:t>
      </w:r>
    </w:p>
    <w:p w:rsidR="005A1CF0" w:rsidRPr="001330FC" w:rsidP="005A1CF0" w14:paraId="63832D88" w14:textId="1924AA69">
      <w:pPr>
        <w:tabs>
          <w:tab w:val="left" w:pos="6480"/>
        </w:tabs>
        <w:ind w:firstLine="720"/>
        <w:rPr>
          <w:sz w:val="20"/>
        </w:rPr>
      </w:pPr>
      <w:r w:rsidRPr="00826CB1">
        <w:rPr>
          <w:sz w:val="22"/>
          <w:szCs w:val="22"/>
        </w:rPr>
        <w:tab/>
        <w:t>1800B3-</w:t>
      </w:r>
      <w:r w:rsidR="00C33240">
        <w:rPr>
          <w:sz w:val="22"/>
          <w:szCs w:val="22"/>
        </w:rPr>
        <w:t xml:space="preserve"> DB</w:t>
      </w:r>
      <w:r w:rsidRPr="001330FC">
        <w:rPr>
          <w:sz w:val="20"/>
        </w:rPr>
        <w:tab/>
        <w:t xml:space="preserve"> </w:t>
      </w:r>
    </w:p>
    <w:p w:rsidR="005A1CF0" w:rsidRPr="00A7026D" w:rsidP="005A1CF0" w14:paraId="3A76A062" w14:textId="76201A56">
      <w:pPr>
        <w:tabs>
          <w:tab w:val="left" w:pos="6480"/>
        </w:tabs>
        <w:ind w:firstLine="720"/>
        <w:rPr>
          <w:b/>
          <w:bCs/>
          <w:sz w:val="22"/>
          <w:szCs w:val="22"/>
        </w:rPr>
      </w:pPr>
      <w:r w:rsidRPr="001330FC">
        <w:rPr>
          <w:sz w:val="20"/>
        </w:rPr>
        <w:tab/>
      </w:r>
      <w:r w:rsidRPr="00A7026D" w:rsidR="00A7026D">
        <w:rPr>
          <w:b/>
          <w:bCs/>
          <w:sz w:val="22"/>
          <w:szCs w:val="22"/>
        </w:rPr>
        <w:t xml:space="preserve">Released: </w:t>
      </w:r>
      <w:r w:rsidR="009A2860">
        <w:rPr>
          <w:b/>
          <w:bCs/>
          <w:sz w:val="22"/>
          <w:szCs w:val="22"/>
        </w:rPr>
        <w:t xml:space="preserve"> November 19, 202</w:t>
      </w:r>
      <w:r w:rsidR="00790B7C">
        <w:rPr>
          <w:b/>
          <w:bCs/>
          <w:sz w:val="22"/>
          <w:szCs w:val="22"/>
        </w:rPr>
        <w:t>0</w:t>
      </w:r>
    </w:p>
    <w:p w:rsidR="005A1CF0" w:rsidP="005A1CF0" w14:paraId="66F177A0" w14:textId="1340FFFB">
      <w:pPr>
        <w:tabs>
          <w:tab w:val="left" w:pos="6480"/>
        </w:tabs>
        <w:rPr>
          <w:b/>
          <w:sz w:val="20"/>
          <w:u w:val="single"/>
        </w:rPr>
      </w:pPr>
    </w:p>
    <w:p w:rsidR="00AE0157" w:rsidRPr="00BF6E82" w:rsidP="005A1CF0" w14:paraId="3FA8FB01" w14:textId="77777777">
      <w:pPr>
        <w:tabs>
          <w:tab w:val="left" w:pos="6480"/>
        </w:tabs>
        <w:rPr>
          <w:b/>
          <w:sz w:val="20"/>
          <w:u w:val="single"/>
        </w:rPr>
      </w:pPr>
    </w:p>
    <w:p w:rsidR="00AE0157" w:rsidP="00AE0157" w14:paraId="2E452AFC" w14:textId="77777777">
      <w:pPr>
        <w:tabs>
          <w:tab w:val="left" w:pos="-1080"/>
          <w:tab w:val="left" w:pos="5400"/>
          <w:tab w:val="left" w:pos="6480"/>
        </w:tabs>
        <w:suppressAutoHyphens/>
        <w:rPr>
          <w:sz w:val="22"/>
          <w:szCs w:val="22"/>
        </w:rPr>
      </w:pPr>
      <w:r>
        <w:rPr>
          <w:sz w:val="22"/>
          <w:szCs w:val="22"/>
        </w:rPr>
        <w:t xml:space="preserve">Levine/Schwab Partnership </w:t>
      </w:r>
    </w:p>
    <w:p w:rsidR="00AE0157" w:rsidP="00AE0157" w14:paraId="2E8EBFC4" w14:textId="77777777">
      <w:pPr>
        <w:tabs>
          <w:tab w:val="left" w:pos="-1080"/>
          <w:tab w:val="left" w:pos="5400"/>
          <w:tab w:val="left" w:pos="6480"/>
        </w:tabs>
        <w:suppressAutoHyphens/>
        <w:rPr>
          <w:sz w:val="22"/>
          <w:szCs w:val="22"/>
        </w:rPr>
      </w:pPr>
      <w:r>
        <w:rPr>
          <w:sz w:val="22"/>
          <w:szCs w:val="22"/>
        </w:rPr>
        <w:t>DBA Schwab Multimedia LLC</w:t>
      </w:r>
    </w:p>
    <w:p w:rsidR="00AE0157" w:rsidP="00AE0157" w14:paraId="355FA137" w14:textId="77777777">
      <w:pPr>
        <w:tabs>
          <w:tab w:val="left" w:pos="-1080"/>
          <w:tab w:val="left" w:pos="5400"/>
          <w:tab w:val="left" w:pos="6480"/>
        </w:tabs>
        <w:suppressAutoHyphens/>
        <w:rPr>
          <w:sz w:val="22"/>
          <w:szCs w:val="22"/>
        </w:rPr>
      </w:pPr>
      <w:r>
        <w:rPr>
          <w:sz w:val="22"/>
          <w:szCs w:val="22"/>
        </w:rPr>
        <w:t>c/o John C. Trent, Esq.</w:t>
      </w:r>
    </w:p>
    <w:p w:rsidR="00AE0157" w:rsidP="00AE0157" w14:paraId="30B87ABF" w14:textId="77777777">
      <w:pPr>
        <w:tabs>
          <w:tab w:val="left" w:pos="-1080"/>
          <w:tab w:val="left" w:pos="5400"/>
          <w:tab w:val="left" w:pos="6480"/>
        </w:tabs>
        <w:suppressAutoHyphens/>
        <w:rPr>
          <w:sz w:val="22"/>
          <w:szCs w:val="22"/>
        </w:rPr>
      </w:pPr>
      <w:r>
        <w:rPr>
          <w:sz w:val="22"/>
          <w:szCs w:val="22"/>
        </w:rPr>
        <w:t>Putbrese</w:t>
      </w:r>
      <w:r>
        <w:rPr>
          <w:sz w:val="22"/>
          <w:szCs w:val="22"/>
        </w:rPr>
        <w:t xml:space="preserve"> Hunsaker &amp; Trent, P.C.</w:t>
      </w:r>
    </w:p>
    <w:p w:rsidR="00AE0157" w:rsidP="00AE0157" w14:paraId="3049BAF8" w14:textId="77777777">
      <w:pPr>
        <w:tabs>
          <w:tab w:val="left" w:pos="-1080"/>
          <w:tab w:val="left" w:pos="5400"/>
          <w:tab w:val="left" w:pos="6480"/>
        </w:tabs>
        <w:suppressAutoHyphens/>
        <w:rPr>
          <w:sz w:val="22"/>
          <w:szCs w:val="22"/>
        </w:rPr>
      </w:pPr>
      <w:r>
        <w:rPr>
          <w:sz w:val="22"/>
          <w:szCs w:val="22"/>
        </w:rPr>
        <w:t>200 Church Street</w:t>
      </w:r>
    </w:p>
    <w:p w:rsidR="005A1CF0" w:rsidRPr="00BD68B0" w:rsidP="00AE0157" w14:paraId="7A760C7B" w14:textId="17967DCF">
      <w:pPr>
        <w:rPr>
          <w:sz w:val="22"/>
          <w:szCs w:val="22"/>
        </w:rPr>
      </w:pPr>
      <w:r>
        <w:rPr>
          <w:sz w:val="22"/>
          <w:szCs w:val="22"/>
        </w:rPr>
        <w:t>Woodstock, VA 22661</w:t>
      </w:r>
    </w:p>
    <w:p w:rsidR="005A1CF0" w:rsidP="005A1CF0" w14:paraId="1DC9D634" w14:textId="23C69A5E">
      <w:pPr>
        <w:rPr>
          <w:sz w:val="22"/>
          <w:szCs w:val="22"/>
        </w:rPr>
      </w:pPr>
    </w:p>
    <w:p w:rsidR="00493E06" w:rsidP="00493E06" w14:paraId="0A5C7A8B" w14:textId="77777777">
      <w:pPr>
        <w:tabs>
          <w:tab w:val="left" w:pos="-1080"/>
          <w:tab w:val="left" w:pos="5400"/>
          <w:tab w:val="left" w:pos="6480"/>
        </w:tabs>
        <w:suppressAutoHyphens/>
        <w:rPr>
          <w:sz w:val="22"/>
          <w:szCs w:val="22"/>
        </w:rPr>
      </w:pPr>
      <w:r>
        <w:rPr>
          <w:sz w:val="22"/>
          <w:szCs w:val="22"/>
        </w:rPr>
        <w:t>LBI Radio License LLC</w:t>
      </w:r>
    </w:p>
    <w:p w:rsidR="00493E06" w:rsidP="00493E06" w14:paraId="18D5D148" w14:textId="77777777">
      <w:pPr>
        <w:tabs>
          <w:tab w:val="left" w:pos="-1080"/>
          <w:tab w:val="left" w:pos="5400"/>
          <w:tab w:val="left" w:pos="6480"/>
        </w:tabs>
        <w:suppressAutoHyphens/>
        <w:rPr>
          <w:sz w:val="22"/>
          <w:szCs w:val="22"/>
        </w:rPr>
      </w:pPr>
      <w:r>
        <w:rPr>
          <w:sz w:val="22"/>
          <w:szCs w:val="22"/>
        </w:rPr>
        <w:t>c/o Ari S. Meltzer, Esq.</w:t>
      </w:r>
    </w:p>
    <w:p w:rsidR="00493E06" w:rsidP="00493E06" w14:paraId="5DCA8621" w14:textId="77777777">
      <w:pPr>
        <w:tabs>
          <w:tab w:val="left" w:pos="-1080"/>
          <w:tab w:val="left" w:pos="5400"/>
          <w:tab w:val="left" w:pos="6480"/>
        </w:tabs>
        <w:suppressAutoHyphens/>
        <w:rPr>
          <w:sz w:val="22"/>
          <w:szCs w:val="22"/>
        </w:rPr>
      </w:pPr>
      <w:r>
        <w:rPr>
          <w:sz w:val="22"/>
          <w:szCs w:val="22"/>
        </w:rPr>
        <w:t>Wiley Rein, LLP</w:t>
      </w:r>
    </w:p>
    <w:p w:rsidR="00493E06" w:rsidP="00493E06" w14:paraId="3D888B10" w14:textId="77777777">
      <w:pPr>
        <w:tabs>
          <w:tab w:val="left" w:pos="-1080"/>
          <w:tab w:val="left" w:pos="5400"/>
          <w:tab w:val="left" w:pos="6480"/>
        </w:tabs>
        <w:suppressAutoHyphens/>
        <w:rPr>
          <w:sz w:val="22"/>
          <w:szCs w:val="22"/>
        </w:rPr>
      </w:pPr>
      <w:r>
        <w:rPr>
          <w:sz w:val="22"/>
          <w:szCs w:val="22"/>
        </w:rPr>
        <w:t>1776 K Street, NW</w:t>
      </w:r>
    </w:p>
    <w:p w:rsidR="00493E06" w:rsidP="00493E06" w14:paraId="3A4BADF1" w14:textId="77777777">
      <w:pPr>
        <w:tabs>
          <w:tab w:val="left" w:pos="-1080"/>
          <w:tab w:val="left" w:pos="5400"/>
          <w:tab w:val="left" w:pos="6480"/>
        </w:tabs>
        <w:suppressAutoHyphens/>
        <w:rPr>
          <w:sz w:val="22"/>
          <w:szCs w:val="22"/>
        </w:rPr>
      </w:pPr>
      <w:r>
        <w:rPr>
          <w:sz w:val="22"/>
          <w:szCs w:val="22"/>
        </w:rPr>
        <w:t>Washington, DC 20006</w:t>
      </w:r>
    </w:p>
    <w:p w:rsidR="00493E06" w:rsidP="00493E06" w14:paraId="045CDB2F" w14:textId="77777777">
      <w:pPr>
        <w:tabs>
          <w:tab w:val="left" w:pos="-1080"/>
          <w:tab w:val="left" w:pos="5400"/>
          <w:tab w:val="left" w:pos="6480"/>
        </w:tabs>
        <w:suppressAutoHyphens/>
        <w:rPr>
          <w:sz w:val="22"/>
          <w:szCs w:val="22"/>
        </w:rPr>
      </w:pPr>
    </w:p>
    <w:p w:rsidR="00493E06" w:rsidP="005A1CF0" w14:paraId="151CBBC7" w14:textId="77777777">
      <w:pPr>
        <w:rPr>
          <w:sz w:val="22"/>
          <w:szCs w:val="22"/>
        </w:rPr>
      </w:pPr>
    </w:p>
    <w:p w:rsidR="00493E06" w:rsidRPr="00D76F8A" w:rsidP="005A1CF0" w14:paraId="78C474ED" w14:textId="77777777">
      <w:pPr>
        <w:rPr>
          <w:sz w:val="22"/>
          <w:szCs w:val="22"/>
        </w:rPr>
      </w:pPr>
    </w:p>
    <w:p w:rsidR="00AE0157" w:rsidRPr="002C550F" w:rsidP="00AE0157" w14:paraId="577D83BB" w14:textId="5440F5B4">
      <w:pPr>
        <w:tabs>
          <w:tab w:val="left" w:pos="-1080"/>
          <w:tab w:val="left" w:pos="4770"/>
          <w:tab w:val="left" w:pos="4860"/>
          <w:tab w:val="left" w:pos="6480"/>
        </w:tabs>
        <w:suppressAutoHyphens/>
        <w:rPr>
          <w:sz w:val="22"/>
          <w:szCs w:val="22"/>
        </w:rPr>
      </w:pPr>
      <w:r w:rsidRPr="00D76F8A">
        <w:rPr>
          <w:sz w:val="22"/>
          <w:szCs w:val="22"/>
        </w:rPr>
        <w:t xml:space="preserve">                                                                   </w:t>
      </w:r>
      <w:r w:rsidRPr="00D76F8A">
        <w:rPr>
          <w:sz w:val="22"/>
          <w:szCs w:val="22"/>
        </w:rPr>
        <w:tab/>
      </w:r>
      <w:r w:rsidRPr="00D76F8A">
        <w:rPr>
          <w:b/>
          <w:sz w:val="22"/>
          <w:szCs w:val="22"/>
        </w:rPr>
        <w:t xml:space="preserve">In re:  </w:t>
      </w:r>
      <w:r w:rsidRPr="005D28BF">
        <w:rPr>
          <w:b/>
          <w:sz w:val="22"/>
          <w:szCs w:val="22"/>
        </w:rPr>
        <w:t>K2</w:t>
      </w:r>
      <w:r>
        <w:rPr>
          <w:b/>
          <w:sz w:val="22"/>
          <w:szCs w:val="22"/>
        </w:rPr>
        <w:t>88HH</w:t>
      </w:r>
      <w:r w:rsidRPr="005D28BF">
        <w:rPr>
          <w:b/>
          <w:sz w:val="22"/>
          <w:szCs w:val="22"/>
        </w:rPr>
        <w:t xml:space="preserve">, </w:t>
      </w:r>
      <w:r>
        <w:rPr>
          <w:b/>
          <w:sz w:val="22"/>
          <w:szCs w:val="22"/>
        </w:rPr>
        <w:t>San Fernando, CA</w:t>
      </w:r>
      <w:r w:rsidRPr="002C550F">
        <w:rPr>
          <w:sz w:val="22"/>
          <w:szCs w:val="22"/>
        </w:rPr>
        <w:t xml:space="preserve"> </w:t>
      </w:r>
    </w:p>
    <w:p w:rsidR="00AE0157" w:rsidRPr="00C61AFD" w:rsidP="00AE0157" w14:paraId="053391E7" w14:textId="77777777">
      <w:pPr>
        <w:tabs>
          <w:tab w:val="left" w:pos="-1080"/>
          <w:tab w:val="left" w:pos="4770"/>
          <w:tab w:val="left" w:pos="4860"/>
          <w:tab w:val="left" w:pos="6480"/>
        </w:tabs>
        <w:suppressAutoHyphens/>
        <w:rPr>
          <w:sz w:val="22"/>
          <w:szCs w:val="22"/>
        </w:rPr>
      </w:pPr>
      <w:r w:rsidRPr="00C61AFD">
        <w:rPr>
          <w:sz w:val="22"/>
          <w:szCs w:val="22"/>
        </w:rPr>
        <w:tab/>
      </w:r>
      <w:r w:rsidRPr="00C61AFD">
        <w:rPr>
          <w:sz w:val="22"/>
          <w:szCs w:val="22"/>
        </w:rPr>
        <w:tab/>
        <w:t xml:space="preserve">         </w:t>
      </w:r>
      <w:r>
        <w:rPr>
          <w:sz w:val="22"/>
          <w:szCs w:val="22"/>
        </w:rPr>
        <w:t xml:space="preserve"> File No. BNPFT-</w:t>
      </w:r>
      <w:bookmarkStart w:id="1" w:name="_Hlk21332972"/>
      <w:r>
        <w:rPr>
          <w:sz w:val="22"/>
          <w:szCs w:val="22"/>
        </w:rPr>
        <w:t>20180507AAH</w:t>
      </w:r>
      <w:bookmarkEnd w:id="1"/>
    </w:p>
    <w:p w:rsidR="00AE0157" w:rsidRPr="002C550F" w:rsidP="00AE0157" w14:paraId="2670ECCA" w14:textId="77777777">
      <w:pPr>
        <w:tabs>
          <w:tab w:val="left" w:pos="-1080"/>
          <w:tab w:val="left" w:pos="4770"/>
          <w:tab w:val="left" w:pos="4860"/>
          <w:tab w:val="left" w:pos="6480"/>
        </w:tabs>
        <w:suppressAutoHyphens/>
        <w:rPr>
          <w:sz w:val="22"/>
          <w:szCs w:val="22"/>
        </w:rPr>
      </w:pPr>
      <w:r w:rsidRPr="00C61AFD">
        <w:rPr>
          <w:sz w:val="22"/>
          <w:szCs w:val="22"/>
        </w:rPr>
        <w:tab/>
        <w:t xml:space="preserve">           </w:t>
      </w:r>
      <w:r>
        <w:rPr>
          <w:sz w:val="22"/>
          <w:szCs w:val="22"/>
        </w:rPr>
        <w:t xml:space="preserve"> </w:t>
      </w:r>
      <w:r w:rsidRPr="00C61AFD">
        <w:rPr>
          <w:sz w:val="22"/>
          <w:szCs w:val="22"/>
        </w:rPr>
        <w:t xml:space="preserve">Facility ID No. </w:t>
      </w:r>
      <w:r>
        <w:rPr>
          <w:sz w:val="22"/>
          <w:szCs w:val="22"/>
        </w:rPr>
        <w:t>203012</w:t>
      </w:r>
    </w:p>
    <w:p w:rsidR="00AE0157" w:rsidP="00AE0157" w14:paraId="5538B8C1" w14:textId="77777777">
      <w:pPr>
        <w:tabs>
          <w:tab w:val="left" w:pos="-1080"/>
          <w:tab w:val="left" w:pos="5400"/>
          <w:tab w:val="left" w:pos="6480"/>
        </w:tabs>
        <w:suppressAutoHyphens/>
        <w:rPr>
          <w:sz w:val="22"/>
          <w:szCs w:val="22"/>
        </w:rPr>
      </w:pPr>
      <w:r>
        <w:rPr>
          <w:sz w:val="22"/>
          <w:szCs w:val="22"/>
        </w:rPr>
        <w:tab/>
      </w:r>
    </w:p>
    <w:p w:rsidR="00AE0157" w:rsidRPr="005D28BF" w:rsidP="00AE0157" w14:paraId="7C14A6DE" w14:textId="393B022D">
      <w:pPr>
        <w:tabs>
          <w:tab w:val="left" w:pos="-1080"/>
          <w:tab w:val="left" w:pos="5400"/>
          <w:tab w:val="left" w:pos="6480"/>
        </w:tabs>
        <w:suppressAutoHyphens/>
        <w:rPr>
          <w:b/>
          <w:sz w:val="22"/>
          <w:szCs w:val="22"/>
        </w:rPr>
      </w:pPr>
      <w:r>
        <w:rPr>
          <w:sz w:val="22"/>
          <w:szCs w:val="22"/>
        </w:rPr>
        <w:tab/>
      </w:r>
      <w:r w:rsidRPr="00AE3517" w:rsidR="00AE3517">
        <w:rPr>
          <w:b/>
          <w:bCs/>
          <w:sz w:val="22"/>
          <w:szCs w:val="22"/>
        </w:rPr>
        <w:t xml:space="preserve">Second </w:t>
      </w:r>
      <w:r w:rsidRPr="005D28BF">
        <w:rPr>
          <w:b/>
          <w:sz w:val="22"/>
          <w:szCs w:val="22"/>
        </w:rPr>
        <w:t>Petition for Reconsideration</w:t>
      </w:r>
    </w:p>
    <w:p w:rsidR="005A1CF0" w:rsidRPr="005D407D" w:rsidP="005A1CF0" w14:paraId="1A025EE0" w14:textId="77777777">
      <w:pPr>
        <w:tabs>
          <w:tab w:val="left" w:pos="4680"/>
          <w:tab w:val="left" w:pos="5040"/>
        </w:tabs>
        <w:rPr>
          <w:sz w:val="22"/>
          <w:szCs w:val="22"/>
        </w:rPr>
      </w:pPr>
      <w:r w:rsidRPr="005D407D">
        <w:rPr>
          <w:sz w:val="22"/>
          <w:szCs w:val="22"/>
        </w:rPr>
        <w:tab/>
      </w:r>
      <w:r w:rsidRPr="005D407D">
        <w:rPr>
          <w:sz w:val="22"/>
          <w:szCs w:val="22"/>
        </w:rPr>
        <w:tab/>
      </w:r>
    </w:p>
    <w:p w:rsidR="005A1CF0" w:rsidRPr="005D407D" w:rsidP="005A1CF0" w14:paraId="67FE8A52" w14:textId="40C3DF9F">
      <w:pPr>
        <w:tabs>
          <w:tab w:val="left" w:pos="6840"/>
        </w:tabs>
        <w:rPr>
          <w:sz w:val="22"/>
          <w:szCs w:val="22"/>
        </w:rPr>
      </w:pPr>
      <w:r w:rsidRPr="005D407D">
        <w:rPr>
          <w:sz w:val="22"/>
          <w:szCs w:val="22"/>
        </w:rPr>
        <w:t>Dear</w:t>
      </w:r>
      <w:r w:rsidR="00AE0157">
        <w:rPr>
          <w:sz w:val="22"/>
          <w:szCs w:val="22"/>
        </w:rPr>
        <w:t xml:space="preserve"> </w:t>
      </w:r>
      <w:r w:rsidR="009709AC">
        <w:rPr>
          <w:sz w:val="22"/>
          <w:szCs w:val="22"/>
        </w:rPr>
        <w:t>Counsel</w:t>
      </w:r>
      <w:r w:rsidRPr="005D407D">
        <w:rPr>
          <w:sz w:val="22"/>
          <w:szCs w:val="22"/>
        </w:rPr>
        <w:t>:</w:t>
      </w:r>
    </w:p>
    <w:p w:rsidR="005A1CF0" w:rsidRPr="005D407D" w:rsidP="005A1CF0" w14:paraId="2B0D488D" w14:textId="77777777">
      <w:pPr>
        <w:tabs>
          <w:tab w:val="left" w:pos="4680"/>
          <w:tab w:val="left" w:pos="5337"/>
        </w:tabs>
        <w:rPr>
          <w:sz w:val="22"/>
          <w:szCs w:val="22"/>
        </w:rPr>
      </w:pPr>
    </w:p>
    <w:p w:rsidR="00A57A97" w:rsidP="009709AC" w14:paraId="2CFCED2D" w14:textId="78CFF2C7">
      <w:pPr>
        <w:tabs>
          <w:tab w:val="left" w:pos="-720"/>
        </w:tabs>
        <w:suppressAutoHyphens/>
        <w:ind w:firstLine="720"/>
        <w:rPr>
          <w:sz w:val="22"/>
          <w:szCs w:val="22"/>
        </w:rPr>
      </w:pPr>
      <w:r w:rsidRPr="006F351C">
        <w:rPr>
          <w:sz w:val="22"/>
          <w:szCs w:val="22"/>
        </w:rPr>
        <w:t xml:space="preserve">We have before us </w:t>
      </w:r>
      <w:r>
        <w:rPr>
          <w:sz w:val="22"/>
          <w:szCs w:val="22"/>
        </w:rPr>
        <w:t>a</w:t>
      </w:r>
      <w:r w:rsidRPr="006F351C">
        <w:rPr>
          <w:sz w:val="22"/>
          <w:szCs w:val="22"/>
        </w:rPr>
        <w:t xml:space="preserve"> </w:t>
      </w:r>
      <w:r>
        <w:rPr>
          <w:sz w:val="22"/>
          <w:szCs w:val="22"/>
        </w:rPr>
        <w:t>“</w:t>
      </w:r>
      <w:r w:rsidRPr="006F351C">
        <w:rPr>
          <w:sz w:val="22"/>
          <w:szCs w:val="22"/>
        </w:rPr>
        <w:t>Petition for Reconsideration</w:t>
      </w:r>
      <w:r w:rsidR="00894066">
        <w:rPr>
          <w:sz w:val="22"/>
          <w:szCs w:val="22"/>
        </w:rPr>
        <w:t xml:space="preserve"> a</w:t>
      </w:r>
      <w:r w:rsidR="00894066">
        <w:t xml:space="preserve">nd Reinstatement </w:t>
      </w:r>
      <w:r w:rsidRPr="007A1A9C" w:rsidR="00894066">
        <w:rPr>
          <w:i/>
          <w:iCs/>
        </w:rPr>
        <w:t xml:space="preserve">Nunc Pro </w:t>
      </w:r>
      <w:r w:rsidRPr="007A1A9C" w:rsidR="00894066">
        <w:rPr>
          <w:i/>
          <w:iCs/>
        </w:rPr>
        <w:t>Tunc</w:t>
      </w:r>
      <w:r>
        <w:rPr>
          <w:sz w:val="22"/>
          <w:szCs w:val="22"/>
        </w:rPr>
        <w:t>” (</w:t>
      </w:r>
      <w:r w:rsidR="00894066">
        <w:rPr>
          <w:sz w:val="22"/>
          <w:szCs w:val="22"/>
        </w:rPr>
        <w:t xml:space="preserve">2020 </w:t>
      </w:r>
      <w:r>
        <w:rPr>
          <w:sz w:val="22"/>
          <w:szCs w:val="22"/>
        </w:rPr>
        <w:t xml:space="preserve">Petition) </w:t>
      </w:r>
      <w:r w:rsidRPr="006F351C">
        <w:rPr>
          <w:sz w:val="22"/>
          <w:szCs w:val="22"/>
        </w:rPr>
        <w:t xml:space="preserve">filed </w:t>
      </w:r>
      <w:r>
        <w:rPr>
          <w:sz w:val="22"/>
          <w:szCs w:val="22"/>
        </w:rPr>
        <w:t xml:space="preserve">on </w:t>
      </w:r>
      <w:r w:rsidR="00894066">
        <w:rPr>
          <w:sz w:val="22"/>
          <w:szCs w:val="22"/>
        </w:rPr>
        <w:t>April 6, 2020</w:t>
      </w:r>
      <w:r>
        <w:rPr>
          <w:sz w:val="22"/>
          <w:szCs w:val="22"/>
        </w:rPr>
        <w:t xml:space="preserve">, by </w:t>
      </w:r>
      <w:r w:rsidR="00894066">
        <w:rPr>
          <w:sz w:val="22"/>
          <w:szCs w:val="22"/>
        </w:rPr>
        <w:t xml:space="preserve">Levine/Schwab Partnership dba Schwab Multimedia LLC (Applicant or Schwab), </w:t>
      </w:r>
      <w:r w:rsidRPr="00894066" w:rsidR="00894066">
        <w:rPr>
          <w:sz w:val="22"/>
          <w:szCs w:val="22"/>
        </w:rPr>
        <w:t>licensee of Station KWIF(</w:t>
      </w:r>
      <w:r w:rsidR="008A6607">
        <w:rPr>
          <w:sz w:val="22"/>
          <w:szCs w:val="22"/>
        </w:rPr>
        <w:t>AM</w:t>
      </w:r>
      <w:r w:rsidRPr="00894066" w:rsidR="00894066">
        <w:rPr>
          <w:sz w:val="22"/>
          <w:szCs w:val="22"/>
        </w:rPr>
        <w:t>), Culver City, California.</w:t>
      </w:r>
      <w:r>
        <w:rPr>
          <w:rStyle w:val="FootnoteReference"/>
          <w:szCs w:val="22"/>
        </w:rPr>
        <w:footnoteReference w:id="2"/>
      </w:r>
      <w:r w:rsidR="00894066">
        <w:rPr>
          <w:sz w:val="22"/>
          <w:szCs w:val="22"/>
        </w:rPr>
        <w:t xml:space="preserve">  </w:t>
      </w:r>
      <w:r>
        <w:rPr>
          <w:sz w:val="22"/>
          <w:szCs w:val="22"/>
        </w:rPr>
        <w:t xml:space="preserve">The 2020 Petition seeks review of a staff decision dismissing </w:t>
      </w:r>
      <w:r w:rsidR="00920629">
        <w:rPr>
          <w:sz w:val="22"/>
          <w:szCs w:val="22"/>
        </w:rPr>
        <w:t>the ap</w:t>
      </w:r>
      <w:r>
        <w:rPr>
          <w:sz w:val="22"/>
          <w:szCs w:val="22"/>
        </w:rPr>
        <w:t>plication</w:t>
      </w:r>
      <w:r w:rsidR="00920629">
        <w:rPr>
          <w:sz w:val="22"/>
          <w:szCs w:val="22"/>
        </w:rPr>
        <w:t xml:space="preserve"> </w:t>
      </w:r>
      <w:r>
        <w:rPr>
          <w:sz w:val="22"/>
          <w:szCs w:val="22"/>
        </w:rPr>
        <w:t>to construct a new FM translator station on channel 288 (105.5 MHz) at San Fernando, California</w:t>
      </w:r>
      <w:r w:rsidR="00252CE4">
        <w:rPr>
          <w:sz w:val="22"/>
          <w:szCs w:val="22"/>
        </w:rPr>
        <w:t xml:space="preserve"> (Application)</w:t>
      </w:r>
      <w:r>
        <w:rPr>
          <w:sz w:val="22"/>
          <w:szCs w:val="22"/>
        </w:rPr>
        <w:t>.</w:t>
      </w:r>
      <w:r>
        <w:rPr>
          <w:rStyle w:val="FootnoteReference"/>
          <w:sz w:val="22"/>
          <w:szCs w:val="22"/>
        </w:rPr>
        <w:footnoteReference w:id="3"/>
      </w:r>
      <w:r>
        <w:rPr>
          <w:sz w:val="22"/>
          <w:szCs w:val="22"/>
        </w:rPr>
        <w:t xml:space="preserve">  </w:t>
      </w:r>
      <w:r w:rsidRPr="006F351C">
        <w:rPr>
          <w:sz w:val="22"/>
          <w:szCs w:val="22"/>
        </w:rPr>
        <w:t xml:space="preserve">For the reasons discussed below, we </w:t>
      </w:r>
      <w:r w:rsidR="008957EB">
        <w:rPr>
          <w:sz w:val="22"/>
          <w:szCs w:val="22"/>
        </w:rPr>
        <w:t>d</w:t>
      </w:r>
      <w:r w:rsidR="008A53D3">
        <w:rPr>
          <w:sz w:val="22"/>
          <w:szCs w:val="22"/>
        </w:rPr>
        <w:t>ismiss</w:t>
      </w:r>
      <w:r>
        <w:rPr>
          <w:sz w:val="22"/>
          <w:szCs w:val="22"/>
        </w:rPr>
        <w:t xml:space="preserve"> </w:t>
      </w:r>
      <w:r w:rsidRPr="006F351C">
        <w:rPr>
          <w:sz w:val="22"/>
          <w:szCs w:val="22"/>
        </w:rPr>
        <w:t xml:space="preserve">the </w:t>
      </w:r>
      <w:r>
        <w:rPr>
          <w:sz w:val="22"/>
          <w:szCs w:val="22"/>
        </w:rPr>
        <w:t xml:space="preserve">2020 </w:t>
      </w:r>
      <w:r w:rsidRPr="006F351C">
        <w:rPr>
          <w:sz w:val="22"/>
          <w:szCs w:val="22"/>
        </w:rPr>
        <w:t>Petition.</w:t>
      </w:r>
    </w:p>
    <w:p w:rsidR="00252CE4" w:rsidP="009709AC" w14:paraId="713B4B00" w14:textId="77777777">
      <w:pPr>
        <w:tabs>
          <w:tab w:val="left" w:pos="-720"/>
        </w:tabs>
        <w:suppressAutoHyphens/>
        <w:ind w:firstLine="720"/>
        <w:rPr>
          <w:sz w:val="22"/>
          <w:szCs w:val="22"/>
        </w:rPr>
      </w:pPr>
    </w:p>
    <w:p w:rsidR="00252CE4" w:rsidP="009709AC" w14:paraId="392B6DCC" w14:textId="470C4185">
      <w:pPr>
        <w:tabs>
          <w:tab w:val="left" w:pos="-720"/>
        </w:tabs>
        <w:suppressAutoHyphens/>
        <w:ind w:firstLine="720"/>
        <w:rPr>
          <w:sz w:val="22"/>
          <w:szCs w:val="22"/>
        </w:rPr>
      </w:pPr>
      <w:r w:rsidRPr="001D5AE0">
        <w:rPr>
          <w:b/>
          <w:bCs/>
          <w:sz w:val="22"/>
          <w:szCs w:val="22"/>
        </w:rPr>
        <w:t>Background</w:t>
      </w:r>
      <w:r>
        <w:rPr>
          <w:sz w:val="22"/>
          <w:szCs w:val="22"/>
        </w:rPr>
        <w:t xml:space="preserve">. </w:t>
      </w:r>
      <w:r>
        <w:rPr>
          <w:sz w:val="22"/>
          <w:szCs w:val="22"/>
        </w:rPr>
        <w:t xml:space="preserve"> </w:t>
      </w:r>
      <w:r>
        <w:rPr>
          <w:sz w:val="22"/>
          <w:szCs w:val="22"/>
        </w:rPr>
        <w:t xml:space="preserve">Schwab </w:t>
      </w:r>
      <w:r w:rsidRPr="002B7710">
        <w:rPr>
          <w:sz w:val="22"/>
          <w:szCs w:val="22"/>
        </w:rPr>
        <w:t>filed</w:t>
      </w:r>
      <w:r>
        <w:rPr>
          <w:sz w:val="22"/>
          <w:szCs w:val="22"/>
        </w:rPr>
        <w:t xml:space="preserve"> the Application to construct a new FM translator on May 7, 2018.</w:t>
      </w:r>
      <w:r>
        <w:rPr>
          <w:rStyle w:val="FootnoteReference"/>
          <w:sz w:val="22"/>
          <w:szCs w:val="22"/>
        </w:rPr>
        <w:footnoteReference w:id="4"/>
      </w:r>
      <w:r>
        <w:rPr>
          <w:sz w:val="22"/>
          <w:szCs w:val="22"/>
        </w:rPr>
        <w:t xml:space="preserve"> </w:t>
      </w:r>
      <w:r>
        <w:rPr>
          <w:sz w:val="22"/>
          <w:szCs w:val="22"/>
        </w:rPr>
        <w:t>LBI Radio License LLC (LBI), licensee of FM translator station KBUE(FM) (Station KBUE(FM)</w:t>
      </w:r>
      <w:r w:rsidR="008A53D3">
        <w:rPr>
          <w:sz w:val="22"/>
          <w:szCs w:val="22"/>
        </w:rPr>
        <w:t>)</w:t>
      </w:r>
      <w:r>
        <w:rPr>
          <w:sz w:val="22"/>
          <w:szCs w:val="22"/>
        </w:rPr>
        <w:t>, Long Beach, California, filed a Peti</w:t>
      </w:r>
      <w:r>
        <w:rPr>
          <w:sz w:val="22"/>
          <w:szCs w:val="22"/>
        </w:rPr>
        <w:t xml:space="preserve">tion to Deny </w:t>
      </w:r>
      <w:r w:rsidR="008A53D3">
        <w:rPr>
          <w:sz w:val="22"/>
          <w:szCs w:val="22"/>
        </w:rPr>
        <w:t xml:space="preserve">against </w:t>
      </w:r>
      <w:r>
        <w:rPr>
          <w:sz w:val="22"/>
          <w:szCs w:val="22"/>
        </w:rPr>
        <w:t xml:space="preserve">the Application </w:t>
      </w:r>
      <w:r w:rsidR="008A53D3">
        <w:rPr>
          <w:sz w:val="22"/>
          <w:szCs w:val="22"/>
        </w:rPr>
        <w:t>iden</w:t>
      </w:r>
      <w:r>
        <w:rPr>
          <w:sz w:val="22"/>
          <w:szCs w:val="22"/>
        </w:rPr>
        <w:t>t</w:t>
      </w:r>
      <w:r w:rsidR="008A53D3">
        <w:rPr>
          <w:sz w:val="22"/>
          <w:szCs w:val="22"/>
        </w:rPr>
        <w:t>i</w:t>
      </w:r>
      <w:r>
        <w:rPr>
          <w:sz w:val="22"/>
          <w:szCs w:val="22"/>
        </w:rPr>
        <w:t>fying seven Station KBUE(FM) listeners who were predicted to experience interference from the new translator.</w:t>
      </w:r>
      <w:r>
        <w:rPr>
          <w:rStyle w:val="FootnoteReference"/>
          <w:sz w:val="22"/>
          <w:szCs w:val="22"/>
        </w:rPr>
        <w:footnoteReference w:id="5"/>
      </w:r>
      <w:r>
        <w:rPr>
          <w:sz w:val="22"/>
          <w:szCs w:val="22"/>
        </w:rPr>
        <w:t xml:space="preserve">  On May 24, 2018, Schwab amended the Application, proposing to operate the translator with reduced power to eliminate the purported interference to LBI’s Station KBUE(FM) listeners.</w:t>
      </w:r>
      <w:r>
        <w:rPr>
          <w:rStyle w:val="FootnoteReference"/>
          <w:sz w:val="22"/>
          <w:szCs w:val="22"/>
        </w:rPr>
        <w:footnoteReference w:id="6"/>
      </w:r>
      <w:r>
        <w:rPr>
          <w:sz w:val="22"/>
          <w:szCs w:val="22"/>
        </w:rPr>
        <w:t xml:space="preserve">  LBI then filed a Reply in support of its Petition to Deny in which it identified seven additional Station KBUE(FM) listeners who were predicted to experience interference from the proposed translator at the reduced power level.</w:t>
      </w:r>
      <w:r>
        <w:rPr>
          <w:rStyle w:val="FootnoteReference"/>
          <w:sz w:val="22"/>
          <w:szCs w:val="22"/>
        </w:rPr>
        <w:footnoteReference w:id="7"/>
      </w:r>
      <w:r>
        <w:rPr>
          <w:sz w:val="22"/>
          <w:szCs w:val="22"/>
        </w:rPr>
        <w:t xml:space="preserve"> </w:t>
      </w:r>
    </w:p>
    <w:p w:rsidR="00252CE4" w:rsidP="009709AC" w14:paraId="32A6E1B9" w14:textId="77777777">
      <w:pPr>
        <w:tabs>
          <w:tab w:val="left" w:pos="-720"/>
        </w:tabs>
        <w:suppressAutoHyphens/>
        <w:ind w:firstLine="720"/>
        <w:rPr>
          <w:sz w:val="22"/>
          <w:szCs w:val="22"/>
        </w:rPr>
      </w:pPr>
    </w:p>
    <w:p w:rsidR="00A57A97" w:rsidP="009709AC" w14:paraId="38B362BC" w14:textId="6E803C69">
      <w:pPr>
        <w:tabs>
          <w:tab w:val="left" w:pos="-720"/>
        </w:tabs>
        <w:suppressAutoHyphens/>
        <w:ind w:firstLine="720"/>
        <w:rPr>
          <w:sz w:val="22"/>
          <w:szCs w:val="22"/>
        </w:rPr>
      </w:pPr>
      <w:r>
        <w:rPr>
          <w:sz w:val="22"/>
          <w:szCs w:val="22"/>
        </w:rPr>
        <w:t xml:space="preserve">On February 4, 2019, the Media Bureau (Bureau) dismissed the amended Application after </w:t>
      </w:r>
      <w:r w:rsidR="009F748F">
        <w:rPr>
          <w:sz w:val="22"/>
          <w:szCs w:val="22"/>
        </w:rPr>
        <w:t>determining</w:t>
      </w:r>
      <w:r>
        <w:rPr>
          <w:sz w:val="22"/>
          <w:szCs w:val="22"/>
        </w:rPr>
        <w:t xml:space="preserve"> that the proposed translator will interfere with the listening audiences of Station KBUE(FM) in violation of Section 74.1204(f) of the Commission’s rules (Rules).</w:t>
      </w:r>
      <w:r>
        <w:rPr>
          <w:rStyle w:val="FootnoteReference"/>
          <w:sz w:val="22"/>
          <w:szCs w:val="22"/>
        </w:rPr>
        <w:footnoteReference w:id="8"/>
      </w:r>
      <w:r>
        <w:rPr>
          <w:sz w:val="22"/>
          <w:szCs w:val="22"/>
        </w:rPr>
        <w:t xml:space="preserve">  Schwab then sought reconsideration and reinstatement of the Application </w:t>
      </w:r>
      <w:r>
        <w:rPr>
          <w:i/>
          <w:iCs/>
          <w:sz w:val="22"/>
          <w:szCs w:val="22"/>
        </w:rPr>
        <w:t>nunc</w:t>
      </w:r>
      <w:r>
        <w:rPr>
          <w:i/>
          <w:iCs/>
          <w:sz w:val="22"/>
          <w:szCs w:val="22"/>
        </w:rPr>
        <w:t xml:space="preserve"> pro </w:t>
      </w:r>
      <w:r>
        <w:rPr>
          <w:i/>
          <w:iCs/>
          <w:sz w:val="22"/>
          <w:szCs w:val="22"/>
        </w:rPr>
        <w:t>tunc</w:t>
      </w:r>
      <w:r>
        <w:rPr>
          <w:i/>
          <w:iCs/>
          <w:sz w:val="22"/>
          <w:szCs w:val="22"/>
        </w:rPr>
        <w:t xml:space="preserve"> </w:t>
      </w:r>
      <w:r>
        <w:rPr>
          <w:sz w:val="22"/>
          <w:szCs w:val="22"/>
        </w:rPr>
        <w:t>on February 15, 2019, proffering another amended Application, proposing to reduce power of the proposed translator to one watt to eliminate interference for LBI’s listeners.</w:t>
      </w:r>
      <w:r>
        <w:rPr>
          <w:rStyle w:val="FootnoteReference"/>
          <w:sz w:val="22"/>
          <w:szCs w:val="22"/>
        </w:rPr>
        <w:footnoteReference w:id="9"/>
      </w:r>
      <w:r>
        <w:rPr>
          <w:sz w:val="22"/>
          <w:szCs w:val="22"/>
        </w:rPr>
        <w:t xml:space="preserve">  The Bureau granted both reconsideration and the amended Application on February 26, 2019</w:t>
      </w:r>
      <w:r w:rsidR="004813EA">
        <w:rPr>
          <w:sz w:val="22"/>
          <w:szCs w:val="22"/>
        </w:rPr>
        <w:t>.</w:t>
      </w:r>
      <w:r>
        <w:rPr>
          <w:rStyle w:val="FootnoteReference"/>
          <w:sz w:val="22"/>
          <w:szCs w:val="22"/>
        </w:rPr>
        <w:footnoteReference w:id="10"/>
      </w:r>
      <w:r w:rsidR="00D74145">
        <w:rPr>
          <w:sz w:val="22"/>
          <w:szCs w:val="22"/>
        </w:rPr>
        <w:t xml:space="preserve"> </w:t>
      </w:r>
    </w:p>
    <w:p w:rsidR="00A57A97" w:rsidP="009709AC" w14:paraId="51C4F48B" w14:textId="77777777">
      <w:pPr>
        <w:tabs>
          <w:tab w:val="left" w:pos="-720"/>
        </w:tabs>
        <w:suppressAutoHyphens/>
        <w:ind w:firstLine="720"/>
        <w:rPr>
          <w:sz w:val="22"/>
          <w:szCs w:val="22"/>
        </w:rPr>
      </w:pPr>
    </w:p>
    <w:p w:rsidR="009709AC" w:rsidP="009709AC" w14:paraId="6DBA9229" w14:textId="09B84B01">
      <w:pPr>
        <w:tabs>
          <w:tab w:val="left" w:pos="-720"/>
        </w:tabs>
        <w:suppressAutoHyphens/>
        <w:ind w:firstLine="720"/>
        <w:rPr>
          <w:sz w:val="22"/>
          <w:szCs w:val="22"/>
        </w:rPr>
      </w:pPr>
      <w:r>
        <w:rPr>
          <w:sz w:val="22"/>
          <w:szCs w:val="22"/>
        </w:rPr>
        <w:t xml:space="preserve"> </w:t>
      </w:r>
      <w:r w:rsidR="008957EB">
        <w:rPr>
          <w:sz w:val="22"/>
          <w:szCs w:val="22"/>
        </w:rPr>
        <w:t xml:space="preserve">On March 22, 2019, </w:t>
      </w:r>
      <w:r>
        <w:rPr>
          <w:sz w:val="22"/>
          <w:szCs w:val="22"/>
        </w:rPr>
        <w:t xml:space="preserve">LBI </w:t>
      </w:r>
      <w:r w:rsidR="008957EB">
        <w:rPr>
          <w:sz w:val="22"/>
          <w:szCs w:val="22"/>
        </w:rPr>
        <w:t>sought reconsideration of the</w:t>
      </w:r>
      <w:r w:rsidR="00820347">
        <w:rPr>
          <w:sz w:val="22"/>
          <w:szCs w:val="22"/>
        </w:rPr>
        <w:t xml:space="preserve"> February 26 Decision</w:t>
      </w:r>
      <w:r w:rsidR="00865AA4">
        <w:rPr>
          <w:sz w:val="22"/>
          <w:szCs w:val="22"/>
        </w:rPr>
        <w:t>,</w:t>
      </w:r>
      <w:r w:rsidR="00820347">
        <w:rPr>
          <w:sz w:val="22"/>
          <w:szCs w:val="22"/>
        </w:rPr>
        <w:t xml:space="preserve"> arguing that the proposed FM translator, as modified, will </w:t>
      </w:r>
      <w:r w:rsidR="00A25601">
        <w:rPr>
          <w:sz w:val="22"/>
          <w:szCs w:val="22"/>
        </w:rPr>
        <w:t xml:space="preserve">still </w:t>
      </w:r>
      <w:r w:rsidR="00820347">
        <w:rPr>
          <w:sz w:val="22"/>
          <w:szCs w:val="22"/>
        </w:rPr>
        <w:t xml:space="preserve">interfere with the listening audiences of Station KBUE(FM) in violation of </w:t>
      </w:r>
      <w:r w:rsidRPr="00E3239E" w:rsidR="00820347">
        <w:rPr>
          <w:sz w:val="22"/>
          <w:szCs w:val="22"/>
        </w:rPr>
        <w:t>Section</w:t>
      </w:r>
      <w:r w:rsidR="00820347">
        <w:rPr>
          <w:sz w:val="22"/>
          <w:szCs w:val="22"/>
        </w:rPr>
        <w:t xml:space="preserve"> 74.1204(f) of the Rules.</w:t>
      </w:r>
      <w:r>
        <w:rPr>
          <w:rStyle w:val="FootnoteReference"/>
          <w:sz w:val="22"/>
          <w:szCs w:val="22"/>
        </w:rPr>
        <w:footnoteReference w:id="11"/>
      </w:r>
      <w:r w:rsidR="00820347">
        <w:rPr>
          <w:sz w:val="22"/>
          <w:szCs w:val="22"/>
        </w:rPr>
        <w:t xml:space="preserve">  </w:t>
      </w:r>
      <w:r w:rsidR="00BF2C71">
        <w:rPr>
          <w:sz w:val="22"/>
          <w:szCs w:val="22"/>
        </w:rPr>
        <w:t>The Bureau dismissed the amended Application on February 6, 2020, after determining that the proposed facilities, as modified, failed to eliminate the predicted interference</w:t>
      </w:r>
      <w:r w:rsidR="00865AA4">
        <w:rPr>
          <w:sz w:val="22"/>
          <w:szCs w:val="22"/>
        </w:rPr>
        <w:t>.</w:t>
      </w:r>
      <w:r>
        <w:rPr>
          <w:rStyle w:val="FootnoteReference"/>
          <w:szCs w:val="22"/>
        </w:rPr>
        <w:footnoteReference w:id="12"/>
      </w:r>
      <w:r w:rsidR="00865AA4">
        <w:rPr>
          <w:sz w:val="22"/>
          <w:szCs w:val="22"/>
        </w:rPr>
        <w:t xml:space="preserve"> </w:t>
      </w:r>
      <w:r w:rsidR="00BF2C71">
        <w:rPr>
          <w:sz w:val="22"/>
          <w:szCs w:val="22"/>
        </w:rPr>
        <w:t xml:space="preserve"> Schwab</w:t>
      </w:r>
      <w:r w:rsidRPr="005644D4" w:rsidR="00BF2C71">
        <w:rPr>
          <w:sz w:val="22"/>
          <w:szCs w:val="22"/>
        </w:rPr>
        <w:t xml:space="preserve"> then filed a </w:t>
      </w:r>
      <w:r w:rsidRPr="005644D4" w:rsidR="00BF2C71">
        <w:rPr>
          <w:i/>
          <w:sz w:val="22"/>
          <w:szCs w:val="22"/>
        </w:rPr>
        <w:t xml:space="preserve">second </w:t>
      </w:r>
      <w:r w:rsidRPr="005644D4" w:rsidR="00BF2C71">
        <w:rPr>
          <w:sz w:val="22"/>
          <w:szCs w:val="22"/>
        </w:rPr>
        <w:t xml:space="preserve">petition for reconsideration on </w:t>
      </w:r>
      <w:r w:rsidR="00BF2C71">
        <w:rPr>
          <w:sz w:val="22"/>
          <w:szCs w:val="22"/>
        </w:rPr>
        <w:t>April 6, 2020</w:t>
      </w:r>
      <w:r w:rsidRPr="005644D4" w:rsidR="00BF2C71">
        <w:rPr>
          <w:sz w:val="22"/>
          <w:szCs w:val="22"/>
        </w:rPr>
        <w:t xml:space="preserve">, attaching an additional engineering amendment again designed to eliminate </w:t>
      </w:r>
      <w:r w:rsidRPr="00213E1E" w:rsidR="00BF2C71">
        <w:rPr>
          <w:sz w:val="22"/>
          <w:szCs w:val="22"/>
        </w:rPr>
        <w:t>the</w:t>
      </w:r>
      <w:r w:rsidR="00BF2C71">
        <w:rPr>
          <w:sz w:val="22"/>
          <w:szCs w:val="22"/>
        </w:rPr>
        <w:t xml:space="preserve"> predicted interference to station KBUE(FM) listeners at Long Beach</w:t>
      </w:r>
      <w:r w:rsidR="00A82855">
        <w:rPr>
          <w:sz w:val="22"/>
          <w:szCs w:val="22"/>
        </w:rPr>
        <w:t>,</w:t>
      </w:r>
      <w:r w:rsidR="00BF2C71">
        <w:rPr>
          <w:sz w:val="22"/>
          <w:szCs w:val="22"/>
        </w:rPr>
        <w:t xml:space="preserve"> California.</w:t>
      </w:r>
      <w:r>
        <w:rPr>
          <w:rStyle w:val="FootnoteReference"/>
          <w:sz w:val="22"/>
          <w:szCs w:val="22"/>
        </w:rPr>
        <w:footnoteReference w:id="13"/>
      </w:r>
      <w:r w:rsidRPr="00841ED5" w:rsidR="00841ED5">
        <w:rPr>
          <w:sz w:val="22"/>
          <w:szCs w:val="22"/>
        </w:rPr>
        <w:t xml:space="preserve"> </w:t>
      </w:r>
      <w:r w:rsidR="000F7254">
        <w:rPr>
          <w:sz w:val="22"/>
          <w:szCs w:val="22"/>
        </w:rPr>
        <w:t xml:space="preserve"> </w:t>
      </w:r>
      <w:r w:rsidR="00841ED5">
        <w:rPr>
          <w:sz w:val="22"/>
          <w:szCs w:val="22"/>
        </w:rPr>
        <w:t>Schwab</w:t>
      </w:r>
      <w:r w:rsidRPr="00AE3517" w:rsidR="00841ED5">
        <w:rPr>
          <w:sz w:val="22"/>
          <w:szCs w:val="22"/>
        </w:rPr>
        <w:t xml:space="preserve"> cites to no authority for granting it a second opportunity to correct its original proposal.</w:t>
      </w:r>
    </w:p>
    <w:p w:rsidR="009709AC" w:rsidP="005644D4" w14:paraId="38553D3F" w14:textId="29862CC7">
      <w:pPr>
        <w:rPr>
          <w:sz w:val="22"/>
          <w:szCs w:val="22"/>
        </w:rPr>
      </w:pPr>
      <w:r>
        <w:rPr>
          <w:sz w:val="22"/>
          <w:szCs w:val="22"/>
        </w:rPr>
        <w:tab/>
      </w:r>
    </w:p>
    <w:p w:rsidR="00AE3517" w:rsidP="00AE3517" w14:paraId="0462E8B1" w14:textId="4DBFDFF5">
      <w:pPr>
        <w:rPr>
          <w:sz w:val="22"/>
          <w:szCs w:val="22"/>
        </w:rPr>
      </w:pPr>
      <w:r>
        <w:rPr>
          <w:sz w:val="22"/>
          <w:szCs w:val="22"/>
        </w:rPr>
        <w:tab/>
      </w:r>
      <w:r w:rsidRPr="00AE3517">
        <w:rPr>
          <w:b/>
          <w:bCs/>
          <w:sz w:val="22"/>
          <w:szCs w:val="22"/>
        </w:rPr>
        <w:t>Discussion</w:t>
      </w:r>
      <w:r>
        <w:rPr>
          <w:sz w:val="22"/>
          <w:szCs w:val="22"/>
        </w:rPr>
        <w:t xml:space="preserve">.  </w:t>
      </w:r>
      <w:r w:rsidRPr="00AE3517">
        <w:rPr>
          <w:sz w:val="22"/>
          <w:szCs w:val="22"/>
        </w:rPr>
        <w:t xml:space="preserve">We dismiss </w:t>
      </w:r>
      <w:r w:rsidR="00583A5A">
        <w:rPr>
          <w:sz w:val="22"/>
          <w:szCs w:val="22"/>
        </w:rPr>
        <w:t>Schwab’s</w:t>
      </w:r>
      <w:r w:rsidRPr="00AE3517">
        <w:rPr>
          <w:sz w:val="22"/>
          <w:szCs w:val="22"/>
        </w:rPr>
        <w:t xml:space="preserve"> second petition for reconsideration </w:t>
      </w:r>
      <w:r w:rsidR="0096221C">
        <w:rPr>
          <w:sz w:val="22"/>
          <w:szCs w:val="22"/>
        </w:rPr>
        <w:t xml:space="preserve">as procedurally defective.  There is no provision in the </w:t>
      </w:r>
      <w:r w:rsidR="00C4462B">
        <w:rPr>
          <w:sz w:val="22"/>
          <w:szCs w:val="22"/>
        </w:rPr>
        <w:t>Rules</w:t>
      </w:r>
      <w:r w:rsidR="0096221C">
        <w:rPr>
          <w:sz w:val="22"/>
          <w:szCs w:val="22"/>
        </w:rPr>
        <w:t xml:space="preserve"> for an applicant to file multiple </w:t>
      </w:r>
      <w:r w:rsidR="002C0FBC">
        <w:rPr>
          <w:sz w:val="22"/>
          <w:szCs w:val="22"/>
        </w:rPr>
        <w:t xml:space="preserve">petitions for reconsideration or multiple </w:t>
      </w:r>
      <w:r w:rsidR="002C0FBC">
        <w:rPr>
          <w:sz w:val="22"/>
          <w:szCs w:val="22"/>
        </w:rPr>
        <w:t>attempts to correct defective applications.</w:t>
      </w:r>
      <w:r>
        <w:rPr>
          <w:rStyle w:val="FootnoteReference"/>
          <w:szCs w:val="22"/>
        </w:rPr>
        <w:footnoteReference w:id="14"/>
      </w:r>
      <w:r w:rsidR="002C0FBC">
        <w:rPr>
          <w:sz w:val="22"/>
          <w:szCs w:val="22"/>
        </w:rPr>
        <w:t xml:space="preserve">  </w:t>
      </w:r>
      <w:r w:rsidR="00256C32">
        <w:rPr>
          <w:sz w:val="22"/>
          <w:szCs w:val="22"/>
        </w:rPr>
        <w:t>Under the Commission’s long</w:t>
      </w:r>
      <w:r w:rsidR="009257DB">
        <w:rPr>
          <w:sz w:val="22"/>
          <w:szCs w:val="22"/>
        </w:rPr>
        <w:t xml:space="preserve">standing policy concerning defective applications, applicants are afforded one opportunity to </w:t>
      </w:r>
      <w:r w:rsidR="00C873A6">
        <w:rPr>
          <w:sz w:val="22"/>
          <w:szCs w:val="22"/>
        </w:rPr>
        <w:t xml:space="preserve">correct defective applications and seek </w:t>
      </w:r>
      <w:r w:rsidR="00C873A6">
        <w:rPr>
          <w:i/>
          <w:iCs/>
          <w:sz w:val="22"/>
          <w:szCs w:val="22"/>
        </w:rPr>
        <w:t>nunc</w:t>
      </w:r>
      <w:r w:rsidR="00C873A6">
        <w:rPr>
          <w:i/>
          <w:iCs/>
          <w:sz w:val="22"/>
          <w:szCs w:val="22"/>
        </w:rPr>
        <w:t xml:space="preserve"> pro </w:t>
      </w:r>
      <w:r w:rsidR="00C873A6">
        <w:rPr>
          <w:i/>
          <w:iCs/>
          <w:sz w:val="22"/>
          <w:szCs w:val="22"/>
        </w:rPr>
        <w:t>tunc</w:t>
      </w:r>
      <w:r w:rsidR="00C873A6">
        <w:rPr>
          <w:sz w:val="22"/>
          <w:szCs w:val="22"/>
        </w:rPr>
        <w:t xml:space="preserve"> reinstatement.</w:t>
      </w:r>
      <w:r>
        <w:rPr>
          <w:rStyle w:val="FootnoteReference"/>
          <w:szCs w:val="22"/>
        </w:rPr>
        <w:footnoteReference w:id="15"/>
      </w:r>
      <w:r w:rsidR="00C873A6">
        <w:rPr>
          <w:sz w:val="22"/>
          <w:szCs w:val="22"/>
        </w:rPr>
        <w:t xml:space="preserve">  </w:t>
      </w:r>
      <w:r w:rsidR="00A84D0C">
        <w:rPr>
          <w:sz w:val="22"/>
          <w:szCs w:val="22"/>
        </w:rPr>
        <w:t>In</w:t>
      </w:r>
      <w:r w:rsidRPr="00AE3517">
        <w:rPr>
          <w:sz w:val="22"/>
          <w:szCs w:val="22"/>
        </w:rPr>
        <w:t xml:space="preserve"> the </w:t>
      </w:r>
      <w:r w:rsidR="00841ED5">
        <w:rPr>
          <w:i/>
          <w:iCs/>
          <w:sz w:val="22"/>
          <w:szCs w:val="22"/>
        </w:rPr>
        <w:t xml:space="preserve">Defective Policy </w:t>
      </w:r>
      <w:r w:rsidRPr="00AE3517">
        <w:rPr>
          <w:i/>
          <w:sz w:val="22"/>
          <w:szCs w:val="22"/>
        </w:rPr>
        <w:t>Public Notice</w:t>
      </w:r>
      <w:r w:rsidRPr="00AE3517">
        <w:rPr>
          <w:sz w:val="22"/>
          <w:szCs w:val="22"/>
        </w:rPr>
        <w:t xml:space="preserve">, the Commission </w:t>
      </w:r>
      <w:r w:rsidR="00CF47BC">
        <w:rPr>
          <w:sz w:val="22"/>
          <w:szCs w:val="22"/>
        </w:rPr>
        <w:t>announced</w:t>
      </w:r>
      <w:r w:rsidRPr="00AE3517" w:rsidR="00CF47BC">
        <w:rPr>
          <w:sz w:val="22"/>
          <w:szCs w:val="22"/>
        </w:rPr>
        <w:t xml:space="preserve"> </w:t>
      </w:r>
      <w:r w:rsidRPr="00AE3517">
        <w:rPr>
          <w:sz w:val="22"/>
          <w:szCs w:val="22"/>
        </w:rPr>
        <w:t xml:space="preserve">that it would reinstate applications </w:t>
      </w:r>
      <w:r w:rsidRPr="00AE3517">
        <w:rPr>
          <w:i/>
          <w:sz w:val="22"/>
          <w:szCs w:val="22"/>
        </w:rPr>
        <w:t>nunc</w:t>
      </w:r>
      <w:r w:rsidRPr="00AE3517">
        <w:rPr>
          <w:i/>
          <w:sz w:val="22"/>
          <w:szCs w:val="22"/>
        </w:rPr>
        <w:t xml:space="preserve"> pro </w:t>
      </w:r>
      <w:r w:rsidRPr="00AE3517">
        <w:rPr>
          <w:i/>
          <w:sz w:val="22"/>
          <w:szCs w:val="22"/>
        </w:rPr>
        <w:t>tunc</w:t>
      </w:r>
      <w:r w:rsidRPr="00AE3517">
        <w:rPr>
          <w:sz w:val="22"/>
          <w:szCs w:val="22"/>
        </w:rPr>
        <w:t xml:space="preserve"> </w:t>
      </w:r>
      <w:r w:rsidR="00CF47BC">
        <w:rPr>
          <w:sz w:val="22"/>
          <w:szCs w:val="22"/>
        </w:rPr>
        <w:t>only once and only</w:t>
      </w:r>
      <w:r w:rsidRPr="00AE3517">
        <w:rPr>
          <w:sz w:val="22"/>
          <w:szCs w:val="22"/>
        </w:rPr>
        <w:t xml:space="preserve"> where a relatively minor curative amendment was filed within 30 days of the date of the dismissal.</w:t>
      </w:r>
      <w:r>
        <w:rPr>
          <w:rStyle w:val="FootnoteReference"/>
          <w:szCs w:val="22"/>
        </w:rPr>
        <w:footnoteReference w:id="16"/>
      </w:r>
      <w:r w:rsidRPr="00AE3517">
        <w:rPr>
          <w:sz w:val="22"/>
          <w:szCs w:val="22"/>
        </w:rPr>
        <w:t xml:space="preserve">  The </w:t>
      </w:r>
      <w:r w:rsidR="00841ED5">
        <w:rPr>
          <w:i/>
          <w:iCs/>
          <w:sz w:val="22"/>
          <w:szCs w:val="22"/>
        </w:rPr>
        <w:t xml:space="preserve">Defective Policy </w:t>
      </w:r>
      <w:r w:rsidRPr="00AE3517">
        <w:rPr>
          <w:i/>
          <w:sz w:val="22"/>
          <w:szCs w:val="22"/>
        </w:rPr>
        <w:t>Public Notice</w:t>
      </w:r>
      <w:r w:rsidRPr="00AE3517">
        <w:rPr>
          <w:sz w:val="22"/>
          <w:szCs w:val="22"/>
        </w:rPr>
        <w:t xml:space="preserve"> also </w:t>
      </w:r>
      <w:r w:rsidR="00702249">
        <w:rPr>
          <w:sz w:val="22"/>
          <w:szCs w:val="22"/>
        </w:rPr>
        <w:t>directly addressed the possibility of multiple corrective amendments</w:t>
      </w:r>
      <w:r w:rsidR="00EF7976">
        <w:rPr>
          <w:sz w:val="22"/>
          <w:szCs w:val="22"/>
        </w:rPr>
        <w:t xml:space="preserve"> and noted</w:t>
      </w:r>
      <w:r w:rsidRPr="00AE3517" w:rsidR="00702249">
        <w:rPr>
          <w:sz w:val="22"/>
          <w:szCs w:val="22"/>
        </w:rPr>
        <w:t xml:space="preserve"> </w:t>
      </w:r>
      <w:r w:rsidRPr="00AE3517">
        <w:rPr>
          <w:sz w:val="22"/>
          <w:szCs w:val="22"/>
        </w:rPr>
        <w:t xml:space="preserve">that “if the same application is returned or dismissed a second time, it will not be accorded </w:t>
      </w:r>
      <w:r w:rsidRPr="00AE3517">
        <w:rPr>
          <w:i/>
          <w:sz w:val="22"/>
          <w:szCs w:val="22"/>
        </w:rPr>
        <w:t>nunc</w:t>
      </w:r>
      <w:r w:rsidRPr="00AE3517">
        <w:rPr>
          <w:i/>
          <w:sz w:val="22"/>
          <w:szCs w:val="22"/>
        </w:rPr>
        <w:t xml:space="preserve"> pro </w:t>
      </w:r>
      <w:r w:rsidRPr="00AE3517">
        <w:rPr>
          <w:i/>
          <w:sz w:val="22"/>
          <w:szCs w:val="22"/>
        </w:rPr>
        <w:t>tunc</w:t>
      </w:r>
      <w:r w:rsidRPr="00AE3517">
        <w:rPr>
          <w:sz w:val="22"/>
          <w:szCs w:val="22"/>
        </w:rPr>
        <w:t xml:space="preserve"> reconsideration rights.”</w:t>
      </w:r>
      <w:r>
        <w:rPr>
          <w:rStyle w:val="FootnoteReference"/>
          <w:szCs w:val="22"/>
        </w:rPr>
        <w:footnoteReference w:id="17"/>
      </w:r>
      <w:r w:rsidRPr="00AE3517">
        <w:rPr>
          <w:sz w:val="22"/>
          <w:szCs w:val="22"/>
        </w:rPr>
        <w:t xml:space="preserve">  </w:t>
      </w:r>
      <w:r w:rsidR="00942556">
        <w:rPr>
          <w:sz w:val="22"/>
          <w:szCs w:val="22"/>
        </w:rPr>
        <w:t>Schwab</w:t>
      </w:r>
      <w:r w:rsidR="00BB57CA">
        <w:rPr>
          <w:sz w:val="22"/>
          <w:szCs w:val="22"/>
        </w:rPr>
        <w:t>’s 2019 Petition</w:t>
      </w:r>
      <w:r w:rsidRPr="00AE3517">
        <w:rPr>
          <w:sz w:val="22"/>
          <w:szCs w:val="22"/>
        </w:rPr>
        <w:t xml:space="preserve"> </w:t>
      </w:r>
      <w:r w:rsidR="00462D70">
        <w:rPr>
          <w:sz w:val="22"/>
          <w:szCs w:val="22"/>
        </w:rPr>
        <w:t xml:space="preserve">was its first </w:t>
      </w:r>
      <w:r w:rsidR="009B6FBC">
        <w:rPr>
          <w:sz w:val="22"/>
          <w:szCs w:val="22"/>
        </w:rPr>
        <w:t xml:space="preserve">and only permissible </w:t>
      </w:r>
      <w:r w:rsidR="00462D70">
        <w:rPr>
          <w:sz w:val="22"/>
          <w:szCs w:val="22"/>
        </w:rPr>
        <w:t xml:space="preserve">attempt to </w:t>
      </w:r>
      <w:r w:rsidR="009B6FBC">
        <w:rPr>
          <w:sz w:val="22"/>
          <w:szCs w:val="22"/>
        </w:rPr>
        <w:t xml:space="preserve">correct the deficiencies in the Application through a corrective amendment and </w:t>
      </w:r>
      <w:r w:rsidR="008C307E">
        <w:rPr>
          <w:sz w:val="22"/>
          <w:szCs w:val="22"/>
        </w:rPr>
        <w:t xml:space="preserve">it </w:t>
      </w:r>
      <w:r w:rsidRPr="00AE3517">
        <w:rPr>
          <w:sz w:val="22"/>
          <w:szCs w:val="22"/>
        </w:rPr>
        <w:t xml:space="preserve">sought reconsideration </w:t>
      </w:r>
      <w:r w:rsidR="008724A6">
        <w:rPr>
          <w:sz w:val="22"/>
          <w:szCs w:val="22"/>
        </w:rPr>
        <w:t xml:space="preserve">and </w:t>
      </w:r>
      <w:r w:rsidRPr="00AE3517">
        <w:rPr>
          <w:i/>
          <w:sz w:val="22"/>
          <w:szCs w:val="22"/>
        </w:rPr>
        <w:t>nunc</w:t>
      </w:r>
      <w:r w:rsidRPr="00AE3517">
        <w:rPr>
          <w:i/>
          <w:sz w:val="22"/>
          <w:szCs w:val="22"/>
        </w:rPr>
        <w:t xml:space="preserve"> pro </w:t>
      </w:r>
      <w:r w:rsidRPr="00AE3517">
        <w:rPr>
          <w:i/>
          <w:sz w:val="22"/>
          <w:szCs w:val="22"/>
        </w:rPr>
        <w:t>tunc</w:t>
      </w:r>
      <w:r w:rsidRPr="00AE3517">
        <w:rPr>
          <w:sz w:val="22"/>
          <w:szCs w:val="22"/>
        </w:rPr>
        <w:t xml:space="preserve"> </w:t>
      </w:r>
      <w:r w:rsidR="008724A6">
        <w:rPr>
          <w:sz w:val="22"/>
          <w:szCs w:val="22"/>
        </w:rPr>
        <w:t xml:space="preserve">reinstatement </w:t>
      </w:r>
      <w:r w:rsidRPr="00AE3517">
        <w:rPr>
          <w:sz w:val="22"/>
          <w:szCs w:val="22"/>
        </w:rPr>
        <w:t>pursuant to this policy</w:t>
      </w:r>
      <w:r w:rsidR="00D454F5">
        <w:rPr>
          <w:sz w:val="22"/>
          <w:szCs w:val="22"/>
        </w:rPr>
        <w:t>.  However,</w:t>
      </w:r>
      <w:r w:rsidRPr="00AE3517">
        <w:rPr>
          <w:sz w:val="22"/>
          <w:szCs w:val="22"/>
        </w:rPr>
        <w:t xml:space="preserve"> its amendment failed to cure the defect in its </w:t>
      </w:r>
      <w:r w:rsidR="001A04FD">
        <w:rPr>
          <w:sz w:val="22"/>
          <w:szCs w:val="22"/>
        </w:rPr>
        <w:t xml:space="preserve">original </w:t>
      </w:r>
      <w:r w:rsidR="00D2745C">
        <w:rPr>
          <w:sz w:val="22"/>
          <w:szCs w:val="22"/>
        </w:rPr>
        <w:t>A</w:t>
      </w:r>
      <w:r w:rsidRPr="00AE3517">
        <w:rPr>
          <w:sz w:val="22"/>
          <w:szCs w:val="22"/>
        </w:rPr>
        <w:t>pplication</w:t>
      </w:r>
      <w:r w:rsidR="00841ED5">
        <w:rPr>
          <w:sz w:val="22"/>
          <w:szCs w:val="22"/>
        </w:rPr>
        <w:t xml:space="preserve">, and can no longer be </w:t>
      </w:r>
      <w:r w:rsidR="00783AEB">
        <w:rPr>
          <w:sz w:val="22"/>
          <w:szCs w:val="22"/>
        </w:rPr>
        <w:t>corrected</w:t>
      </w:r>
      <w:r w:rsidRPr="00AE3517">
        <w:rPr>
          <w:sz w:val="22"/>
          <w:szCs w:val="22"/>
        </w:rPr>
        <w:t xml:space="preserve">.  </w:t>
      </w:r>
    </w:p>
    <w:p w:rsidR="00D13371" w:rsidRPr="00AE3517" w:rsidP="00AE3517" w14:paraId="623A991E" w14:textId="37B26548">
      <w:pPr>
        <w:rPr>
          <w:sz w:val="22"/>
          <w:szCs w:val="22"/>
        </w:rPr>
      </w:pPr>
      <w:r>
        <w:rPr>
          <w:sz w:val="22"/>
          <w:szCs w:val="22"/>
        </w:rPr>
        <w:tab/>
      </w:r>
    </w:p>
    <w:p w:rsidR="00AE3517" w:rsidRPr="00AE3517" w:rsidP="00AE3517" w14:paraId="59D640B4" w14:textId="2062F3B4">
      <w:pPr>
        <w:rPr>
          <w:sz w:val="22"/>
          <w:szCs w:val="22"/>
        </w:rPr>
      </w:pPr>
      <w:r w:rsidRPr="00AE3517">
        <w:rPr>
          <w:sz w:val="22"/>
          <w:szCs w:val="22"/>
        </w:rPr>
        <w:tab/>
      </w:r>
      <w:r w:rsidRPr="001D5AE0" w:rsidR="00D2745C">
        <w:rPr>
          <w:b/>
          <w:bCs/>
          <w:sz w:val="22"/>
          <w:szCs w:val="22"/>
        </w:rPr>
        <w:t>Conclusion/Action</w:t>
      </w:r>
      <w:r w:rsidR="00D2745C">
        <w:rPr>
          <w:sz w:val="22"/>
          <w:szCs w:val="22"/>
        </w:rPr>
        <w:t xml:space="preserve">.  </w:t>
      </w:r>
      <w:r w:rsidRPr="00AE3517">
        <w:rPr>
          <w:sz w:val="22"/>
          <w:szCs w:val="22"/>
        </w:rPr>
        <w:t xml:space="preserve">Accordingly, in light of the above discussion, </w:t>
      </w:r>
      <w:r w:rsidRPr="007C7F34" w:rsidR="00E3376B">
        <w:rPr>
          <w:iCs/>
          <w:sz w:val="22"/>
          <w:szCs w:val="22"/>
        </w:rPr>
        <w:t>the</w:t>
      </w:r>
      <w:r w:rsidR="00E3376B">
        <w:rPr>
          <w:iCs/>
          <w:sz w:val="22"/>
          <w:szCs w:val="22"/>
        </w:rPr>
        <w:t xml:space="preserve"> </w:t>
      </w:r>
      <w:r w:rsidRPr="007C7F34" w:rsidR="00E3376B">
        <w:rPr>
          <w:iCs/>
          <w:sz w:val="22"/>
          <w:szCs w:val="22"/>
        </w:rPr>
        <w:t xml:space="preserve">Petition for Reconsideration and Reinstatement </w:t>
      </w:r>
      <w:r w:rsidRPr="007C7F34" w:rsidR="00E3376B">
        <w:rPr>
          <w:i/>
          <w:iCs/>
          <w:sz w:val="22"/>
          <w:szCs w:val="22"/>
        </w:rPr>
        <w:t xml:space="preserve">Nunc Pro </w:t>
      </w:r>
      <w:r w:rsidRPr="007C7F34" w:rsidR="00E3376B">
        <w:rPr>
          <w:i/>
          <w:iCs/>
          <w:sz w:val="22"/>
          <w:szCs w:val="22"/>
        </w:rPr>
        <w:t>Tunc</w:t>
      </w:r>
      <w:r w:rsidR="00583A5A">
        <w:rPr>
          <w:iCs/>
          <w:sz w:val="22"/>
          <w:szCs w:val="22"/>
        </w:rPr>
        <w:t xml:space="preserve"> </w:t>
      </w:r>
      <w:r w:rsidRPr="007C7F34" w:rsidR="00E3376B">
        <w:rPr>
          <w:iCs/>
          <w:sz w:val="22"/>
          <w:szCs w:val="22"/>
        </w:rPr>
        <w:t xml:space="preserve">filed by </w:t>
      </w:r>
      <w:r w:rsidR="00E3376B">
        <w:rPr>
          <w:sz w:val="22"/>
          <w:szCs w:val="22"/>
        </w:rPr>
        <w:t>Levine/Schwab Partnership dba Schwab Multimedia LLC</w:t>
      </w:r>
      <w:r w:rsidRPr="007C7F34" w:rsidR="00E3376B">
        <w:rPr>
          <w:iCs/>
          <w:sz w:val="22"/>
          <w:szCs w:val="22"/>
        </w:rPr>
        <w:t xml:space="preserve"> on April </w:t>
      </w:r>
      <w:r w:rsidR="00E3376B">
        <w:rPr>
          <w:iCs/>
          <w:sz w:val="22"/>
          <w:szCs w:val="22"/>
        </w:rPr>
        <w:t>6</w:t>
      </w:r>
      <w:r w:rsidRPr="007C7F34" w:rsidR="00E3376B">
        <w:rPr>
          <w:iCs/>
          <w:sz w:val="22"/>
          <w:szCs w:val="22"/>
        </w:rPr>
        <w:t>, 20</w:t>
      </w:r>
      <w:r w:rsidR="00E3376B">
        <w:rPr>
          <w:iCs/>
          <w:sz w:val="22"/>
          <w:szCs w:val="22"/>
        </w:rPr>
        <w:t>20</w:t>
      </w:r>
      <w:r w:rsidRPr="00AE3517">
        <w:rPr>
          <w:sz w:val="22"/>
          <w:szCs w:val="22"/>
        </w:rPr>
        <w:t>, IS DISMISSED.</w:t>
      </w:r>
    </w:p>
    <w:p w:rsidR="00AE3517" w:rsidP="00AE0157" w14:paraId="26A63254" w14:textId="0B7D30E8">
      <w:pPr>
        <w:rPr>
          <w:sz w:val="22"/>
          <w:szCs w:val="22"/>
        </w:rPr>
      </w:pPr>
    </w:p>
    <w:p w:rsidR="006F296C" w:rsidRPr="006F296C" w:rsidP="00AE0157" w14:paraId="55573E24" w14:textId="77777777">
      <w:pPr>
        <w:ind w:firstLine="720"/>
        <w:rPr>
          <w:iCs/>
          <w:sz w:val="22"/>
          <w:szCs w:val="22"/>
        </w:rPr>
      </w:pPr>
    </w:p>
    <w:p w:rsidR="005A1CF0" w:rsidP="005A1CF0" w14:paraId="359D888B" w14:textId="77777777">
      <w:pPr>
        <w:pStyle w:val="BodyText"/>
        <w:ind w:left="5040"/>
        <w:rPr>
          <w:sz w:val="22"/>
          <w:szCs w:val="22"/>
        </w:rPr>
      </w:pPr>
    </w:p>
    <w:p w:rsidR="005A1CF0" w:rsidRPr="00DE5E79" w:rsidP="005A1CF0" w14:paraId="778C09BE" w14:textId="77777777">
      <w:pPr>
        <w:pStyle w:val="BodyText"/>
        <w:ind w:left="5040"/>
        <w:rPr>
          <w:sz w:val="22"/>
          <w:szCs w:val="22"/>
        </w:rPr>
      </w:pPr>
      <w:r w:rsidRPr="00DE5E79">
        <w:rPr>
          <w:sz w:val="22"/>
          <w:szCs w:val="22"/>
        </w:rPr>
        <w:t>Sincerely,</w:t>
      </w:r>
    </w:p>
    <w:p w:rsidR="005A1CF0" w:rsidRPr="00DE5E79" w:rsidP="005A1CF0" w14:paraId="525EC8A4" w14:textId="77777777">
      <w:pPr>
        <w:pStyle w:val="BodyText"/>
        <w:rPr>
          <w:sz w:val="22"/>
          <w:szCs w:val="22"/>
        </w:rPr>
      </w:pPr>
    </w:p>
    <w:p w:rsidR="005A1CF0" w:rsidRPr="00DE5E79" w:rsidP="005A1CF0" w14:paraId="194416EB" w14:textId="77777777">
      <w:pPr>
        <w:pStyle w:val="BodyText"/>
        <w:rPr>
          <w:sz w:val="22"/>
          <w:szCs w:val="22"/>
        </w:rPr>
      </w:pPr>
    </w:p>
    <w:p w:rsidR="005A1CF0" w:rsidRPr="00DE5E79" w:rsidP="005A1CF0" w14:paraId="642FF8F4" w14:textId="77777777">
      <w:pPr>
        <w:pStyle w:val="BodyText"/>
        <w:rPr>
          <w:sz w:val="22"/>
          <w:szCs w:val="22"/>
        </w:rPr>
      </w:pPr>
    </w:p>
    <w:p w:rsidR="005A1CF0" w:rsidRPr="00DE5E79" w:rsidP="005A1CF0" w14:paraId="1F6EA2B3" w14:textId="6092D9BC">
      <w:pPr>
        <w:pStyle w:val="BodyText"/>
        <w:rPr>
          <w:sz w:val="22"/>
          <w:szCs w:val="22"/>
        </w:rPr>
      </w:pP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00705276">
        <w:rPr>
          <w:sz w:val="22"/>
          <w:szCs w:val="22"/>
        </w:rPr>
        <w:t>Albert Shuldiner</w:t>
      </w:r>
    </w:p>
    <w:p w:rsidR="00D61AB0" w:rsidP="005A1CF0" w14:paraId="3B73DF8E" w14:textId="35D72E72">
      <w:pPr>
        <w:pStyle w:val="BodyText"/>
        <w:rPr>
          <w:sz w:val="22"/>
          <w:szCs w:val="22"/>
        </w:rPr>
      </w:pP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t>Chief</w:t>
      </w:r>
    </w:p>
    <w:p w:rsidR="005A1CF0" w:rsidRPr="00DE5E79" w:rsidP="00D61AB0" w14:paraId="726482BE" w14:textId="4A4B07B7">
      <w:pPr>
        <w:pStyle w:val="BodyText"/>
        <w:ind w:left="4320" w:firstLine="720"/>
        <w:rPr>
          <w:sz w:val="22"/>
          <w:szCs w:val="22"/>
        </w:rPr>
      </w:pPr>
      <w:r w:rsidRPr="00DE5E79">
        <w:rPr>
          <w:sz w:val="22"/>
          <w:szCs w:val="22"/>
        </w:rPr>
        <w:t>Audio Division</w:t>
      </w:r>
    </w:p>
    <w:p w:rsidR="005A1CF0" w:rsidRPr="00E375BA" w:rsidP="005A1CF0" w14:paraId="14F8AB70" w14:textId="77777777">
      <w:pPr>
        <w:ind w:left="2160" w:firstLine="720"/>
      </w:pPr>
      <w:r w:rsidRPr="00DE5E79">
        <w:rPr>
          <w:sz w:val="22"/>
          <w:szCs w:val="22"/>
        </w:rPr>
        <w:tab/>
      </w:r>
      <w:r w:rsidRPr="00DE5E79">
        <w:rPr>
          <w:sz w:val="22"/>
          <w:szCs w:val="22"/>
        </w:rPr>
        <w:tab/>
      </w:r>
      <w:r w:rsidRPr="00DE5E79">
        <w:rPr>
          <w:sz w:val="22"/>
          <w:szCs w:val="22"/>
        </w:rPr>
        <w:tab/>
        <w:t>Media Bureau</w:t>
      </w:r>
    </w:p>
    <w:p w:rsidR="00E47C02" w:rsidP="005A1CF0" w14:paraId="22D59745" w14:textId="0F603BD5"/>
    <w:p w:rsidR="00804AE1" w:rsidRPr="00781C1A" w:rsidP="00781C1A" w14:paraId="23AF6D65" w14:textId="25FC7FCC"/>
    <w:p w:rsidR="00956FDF" w:rsidRPr="005A1CF0" w:rsidP="005A1CF0" w14:paraId="79E418A4" w14:textId="77777777"/>
    <w:sectPr w:rsidSect="00BF6E58">
      <w:headerReference w:type="default" r:id="rId5"/>
      <w:footerReference w:type="even" r:id="rId6"/>
      <w:footerReference w:type="default" r:id="rId7"/>
      <w:headerReference w:type="first" r:id="rId8"/>
      <w:endnotePr>
        <w:numFmt w:val="decimal"/>
      </w:endnotePr>
      <w:pgSz w:w="12240" w:h="15840" w:code="1"/>
      <w:pgMar w:top="1440" w:right="1440" w:bottom="1440" w:left="1440" w:header="720" w:footer="518"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P="00BF6E58" w14:paraId="7D7FFF7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F6E58" w14:paraId="32794E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P="00BF6E58" w14:paraId="2EB646A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6CB1">
      <w:rPr>
        <w:rStyle w:val="PageNumber"/>
        <w:noProof/>
      </w:rPr>
      <w:t>3</w:t>
    </w:r>
    <w:r>
      <w:rPr>
        <w:rStyle w:val="PageNumber"/>
      </w:rPr>
      <w:fldChar w:fldCharType="end"/>
    </w:r>
  </w:p>
  <w:p w:rsidR="00BF6E58" w14:paraId="21C07AE9" w14:textId="77777777">
    <w:pPr>
      <w:spacing w:before="140" w:line="100" w:lineRule="exact"/>
      <w:rPr>
        <w:sz w:val="10"/>
      </w:rPr>
    </w:pPr>
  </w:p>
  <w:p w:rsidR="00BF6E58" w14:paraId="7038101D" w14:textId="77777777">
    <w:pPr>
      <w:suppressAutoHyphens/>
      <w:spacing w:line="227" w:lineRule="auto"/>
      <w:jc w:val="both"/>
    </w:pPr>
  </w:p>
  <w:p w:rsidR="00BF6E58" w14:paraId="31CF0FB6"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1988" w:rsidP="00DE5E79" w14:paraId="3BE08D0E" w14:textId="77777777">
      <w:r>
        <w:separator/>
      </w:r>
    </w:p>
  </w:footnote>
  <w:footnote w:type="continuationSeparator" w:id="1">
    <w:p w:rsidR="008F1988" w:rsidP="00DE5E79" w14:paraId="272E268C" w14:textId="77777777">
      <w:r>
        <w:continuationSeparator/>
      </w:r>
    </w:p>
  </w:footnote>
  <w:footnote w:id="2">
    <w:p w:rsidR="00894066" w14:paraId="63A7DB55" w14:textId="57D5F588">
      <w:pPr>
        <w:pStyle w:val="FootnoteText"/>
      </w:pPr>
      <w:r>
        <w:rPr>
          <w:rStyle w:val="FootnoteReference"/>
        </w:rPr>
        <w:footnoteRef/>
      </w:r>
      <w:r>
        <w:t xml:space="preserve"> </w:t>
      </w:r>
      <w:r w:rsidR="00A57A97">
        <w:t xml:space="preserve">Petition for Reconsideration and Reinstatement </w:t>
      </w:r>
      <w:r w:rsidRPr="007A1A9C" w:rsidR="00A57A97">
        <w:rPr>
          <w:i/>
          <w:iCs/>
        </w:rPr>
        <w:t xml:space="preserve">Nunc Pro </w:t>
      </w:r>
      <w:r w:rsidRPr="007A1A9C" w:rsidR="00A57A97">
        <w:rPr>
          <w:i/>
          <w:iCs/>
        </w:rPr>
        <w:t>Tunc</w:t>
      </w:r>
      <w:r w:rsidR="00A57A97">
        <w:t xml:space="preserve">, </w:t>
      </w:r>
      <w:r w:rsidRPr="009F5C8E" w:rsidR="00A57A97">
        <w:t>Levine/Schwab Partnership dba Schwab Multimedia LLC</w:t>
      </w:r>
      <w:r w:rsidR="00A57A97">
        <w:t>,</w:t>
      </w:r>
      <w:r w:rsidRPr="009F5C8E" w:rsidR="00A57A97">
        <w:t xml:space="preserve"> </w:t>
      </w:r>
      <w:r w:rsidR="00A57A97">
        <w:t>Pleading No. 0000111592</w:t>
      </w:r>
      <w:r w:rsidRPr="0049163D" w:rsidR="00A57A97">
        <w:t xml:space="preserve"> </w:t>
      </w:r>
      <w:r w:rsidR="00A57A97">
        <w:t>(</w:t>
      </w:r>
      <w:r w:rsidRPr="00634670" w:rsidR="00A57A97">
        <w:t>filed</w:t>
      </w:r>
      <w:r w:rsidR="00A57A97">
        <w:t xml:space="preserve"> Apr. 6, 2020) (2020 Petition).  </w:t>
      </w:r>
    </w:p>
  </w:footnote>
  <w:footnote w:id="3">
    <w:p w:rsidR="00A57A97" w:rsidRPr="00A82365" w:rsidP="00A57A97" w14:paraId="19F5947A" w14:textId="0222F794">
      <w:pPr>
        <w:pStyle w:val="FootnoteText"/>
        <w:rPr>
          <w:i/>
        </w:rPr>
      </w:pPr>
      <w:r>
        <w:rPr>
          <w:rStyle w:val="FootnoteReference"/>
        </w:rPr>
        <w:footnoteRef/>
      </w:r>
      <w:r w:rsidR="00920629">
        <w:t xml:space="preserve"> </w:t>
      </w:r>
      <w:r w:rsidRPr="00952193" w:rsidR="00920629">
        <w:rPr>
          <w:i/>
          <w:iCs/>
        </w:rPr>
        <w:t xml:space="preserve">See </w:t>
      </w:r>
      <w:r w:rsidRPr="00952193" w:rsidR="00920629">
        <w:t>Construction Permit No. BNPFT-201</w:t>
      </w:r>
      <w:r w:rsidR="00920629">
        <w:t>80507A</w:t>
      </w:r>
      <w:r w:rsidRPr="00952193" w:rsidR="00920629">
        <w:t>AH</w:t>
      </w:r>
      <w:r w:rsidR="00920629">
        <w:t xml:space="preserve">.  </w:t>
      </w:r>
      <w:r w:rsidRPr="00952193" w:rsidR="00920629">
        <w:t xml:space="preserve">The staff accepted the Application for filing on May 10, 2018. </w:t>
      </w:r>
      <w:r w:rsidR="00920629">
        <w:t xml:space="preserve"> </w:t>
      </w:r>
      <w:r w:rsidRPr="00952193" w:rsidR="00920629">
        <w:rPr>
          <w:i/>
          <w:iCs/>
        </w:rPr>
        <w:t>See Broadcast Applications</w:t>
      </w:r>
      <w:r w:rsidRPr="00952193" w:rsidR="00920629">
        <w:t>, Public Notice, Report No. 29233 (</w:t>
      </w:r>
      <w:r w:rsidR="00920629">
        <w:t>MB</w:t>
      </w:r>
      <w:r w:rsidRPr="00952193" w:rsidR="00920629">
        <w:t xml:space="preserve"> May 10, 2018)</w:t>
      </w:r>
      <w:r w:rsidR="00BF2C71">
        <w:t xml:space="preserve">.  </w:t>
      </w:r>
      <w:r w:rsidRPr="001D5AE0" w:rsidR="00BF2C71">
        <w:rPr>
          <w:i/>
          <w:iCs/>
        </w:rPr>
        <w:t>See also</w:t>
      </w:r>
      <w:r w:rsidR="00BF2C71">
        <w:t xml:space="preserve"> </w:t>
      </w:r>
      <w:r>
        <w:t xml:space="preserve">Letter from Albert Shuldiner, Chief, Audio Division, FCC Media Bureau, to </w:t>
      </w:r>
      <w:r w:rsidRPr="004269AA">
        <w:t>Levine/Schwab Partnership dba Schwab Multimedia LLC</w:t>
      </w:r>
      <w:r>
        <w:t xml:space="preserve">, File No. BNPFT-20180507AAH (Feb. 6, 2020) </w:t>
      </w:r>
      <w:r w:rsidR="008A53D3">
        <w:t xml:space="preserve">(2020 Decision) </w:t>
      </w:r>
      <w:r>
        <w:t xml:space="preserve">(finding that Station KBUE(FM) listeners located inside the 60 dBµ contour of the proposed translator are predicted to receive interference from the facilities proposed in the Application).     </w:t>
      </w:r>
    </w:p>
  </w:footnote>
  <w:footnote w:id="4">
    <w:p w:rsidR="00A57A97" w:rsidRPr="00790803" w:rsidP="00A57A97" w14:paraId="6B6D0635" w14:textId="7C730FC7">
      <w:pPr>
        <w:pStyle w:val="FootnoteText"/>
      </w:pPr>
      <w:r>
        <w:rPr>
          <w:rStyle w:val="FootnoteReference"/>
        </w:rPr>
        <w:footnoteRef/>
      </w:r>
      <w:r>
        <w:t xml:space="preserve"> </w:t>
      </w:r>
      <w:r>
        <w:rPr>
          <w:i/>
        </w:rPr>
        <w:t xml:space="preserve">See </w:t>
      </w:r>
      <w:r>
        <w:t xml:space="preserve">Application.  </w:t>
      </w:r>
    </w:p>
  </w:footnote>
  <w:footnote w:id="5">
    <w:p w:rsidR="00A57A97" w:rsidP="00A57A97" w14:paraId="509401EF" w14:textId="77777777">
      <w:pPr>
        <w:pStyle w:val="FootnoteText"/>
      </w:pPr>
      <w:r>
        <w:rPr>
          <w:rStyle w:val="FootnoteReference"/>
        </w:rPr>
        <w:footnoteRef/>
      </w:r>
      <w:r>
        <w:t xml:space="preserve"> </w:t>
      </w:r>
      <w:r w:rsidRPr="001F0B3D">
        <w:rPr>
          <w:i/>
        </w:rPr>
        <w:t>See</w:t>
      </w:r>
      <w:r>
        <w:t xml:space="preserve"> Petition to Deny filed by LBI Radio License LLC, File No. BNPFT-</w:t>
      </w:r>
      <w:r w:rsidRPr="0049163D">
        <w:t>201</w:t>
      </w:r>
      <w:r>
        <w:t>80507</w:t>
      </w:r>
      <w:r w:rsidRPr="0049163D">
        <w:t>A</w:t>
      </w:r>
      <w:r>
        <w:t>AH</w:t>
      </w:r>
      <w:r w:rsidRPr="0049163D">
        <w:t xml:space="preserve"> </w:t>
      </w:r>
      <w:r>
        <w:t>(filed May 15, 2018).</w:t>
      </w:r>
    </w:p>
  </w:footnote>
  <w:footnote w:id="6">
    <w:p w:rsidR="00A57A97" w:rsidP="00A57A97" w14:paraId="591B1034" w14:textId="77777777">
      <w:pPr>
        <w:pStyle w:val="FootnoteText"/>
      </w:pPr>
      <w:r>
        <w:rPr>
          <w:rStyle w:val="FootnoteReference"/>
        </w:rPr>
        <w:footnoteRef/>
      </w:r>
      <w:r>
        <w:t xml:space="preserve"> </w:t>
      </w:r>
      <w:r>
        <w:rPr>
          <w:i/>
        </w:rPr>
        <w:t xml:space="preserve">See </w:t>
      </w:r>
      <w:r>
        <w:t>Application.</w:t>
      </w:r>
    </w:p>
  </w:footnote>
  <w:footnote w:id="7">
    <w:p w:rsidR="00A57A97" w:rsidP="00A57A97" w14:paraId="7E4987AF" w14:textId="77777777">
      <w:pPr>
        <w:pStyle w:val="FootnoteText"/>
      </w:pPr>
      <w:r>
        <w:rPr>
          <w:rStyle w:val="FootnoteReference"/>
        </w:rPr>
        <w:footnoteRef/>
      </w:r>
      <w:r>
        <w:t xml:space="preserve"> </w:t>
      </w:r>
      <w:r w:rsidRPr="001F0B3D">
        <w:rPr>
          <w:i/>
        </w:rPr>
        <w:t>See</w:t>
      </w:r>
      <w:r>
        <w:t xml:space="preserve"> Reply filed by LBI Radio License LLC, File No. BNPFT-</w:t>
      </w:r>
      <w:r w:rsidRPr="0049163D">
        <w:t>201</w:t>
      </w:r>
      <w:r>
        <w:t>80507</w:t>
      </w:r>
      <w:r w:rsidRPr="0049163D">
        <w:t>A</w:t>
      </w:r>
      <w:r>
        <w:t>AH</w:t>
      </w:r>
      <w:r w:rsidRPr="0049163D">
        <w:t xml:space="preserve"> </w:t>
      </w:r>
      <w:r>
        <w:t>(filed May 31, 2018).</w:t>
      </w:r>
    </w:p>
  </w:footnote>
  <w:footnote w:id="8">
    <w:p w:rsidR="00252CE4" w:rsidP="00252CE4" w14:paraId="57BEA2A6" w14:textId="3DC5BC9D">
      <w:pPr>
        <w:pStyle w:val="FootnoteText"/>
      </w:pPr>
      <w:r>
        <w:rPr>
          <w:rStyle w:val="FootnoteReference"/>
        </w:rPr>
        <w:footnoteRef/>
      </w:r>
      <w:r>
        <w:t xml:space="preserve"> </w:t>
      </w:r>
      <w:r>
        <w:rPr>
          <w:i/>
          <w:iCs/>
        </w:rPr>
        <w:t xml:space="preserve">See </w:t>
      </w:r>
      <w:r w:rsidR="008957EB">
        <w:t xml:space="preserve">Letter from James D. Bradshaw, Deputy Chief, Audio Division, FCC Media Bureau, to </w:t>
      </w:r>
      <w:r w:rsidRPr="004269AA" w:rsidR="008957EB">
        <w:t>Levine/Schwab Partnership dba Schwab Multimedia LLC</w:t>
      </w:r>
      <w:r w:rsidR="008957EB">
        <w:t>, File No. BNPFT-20180507AAH (Feb. 4, 2019) (Initial Decision) (dismissing the Application upon finding that Station KBUE(FM) listeners located inside the 60 dBµ contour of the proposed translator are predicted to receive interference from the proposed facilities)</w:t>
      </w:r>
      <w:r w:rsidR="008C307E">
        <w:t xml:space="preserve">; 47 CFR § 74.1204(f).  </w:t>
      </w:r>
      <w:r w:rsidR="008957EB">
        <w:t xml:space="preserve">   </w:t>
      </w:r>
    </w:p>
  </w:footnote>
  <w:footnote w:id="9">
    <w:p w:rsidR="00252CE4" w:rsidRPr="00CD52E3" w:rsidP="00252CE4" w14:paraId="4772A8AD" w14:textId="525FAC00">
      <w:pPr>
        <w:pStyle w:val="FootnoteText"/>
      </w:pPr>
      <w:r>
        <w:rPr>
          <w:rStyle w:val="FootnoteReference"/>
        </w:rPr>
        <w:footnoteRef/>
      </w:r>
      <w:r>
        <w:t xml:space="preserve"> </w:t>
      </w:r>
      <w:r>
        <w:rPr>
          <w:i/>
          <w:iCs/>
        </w:rPr>
        <w:t xml:space="preserve">See </w:t>
      </w:r>
      <w:r>
        <w:t xml:space="preserve">Petition for Reconsideration and Reinstatement </w:t>
      </w:r>
      <w:r>
        <w:rPr>
          <w:i/>
          <w:iCs/>
        </w:rPr>
        <w:t>Nunc Pro</w:t>
      </w:r>
      <w:r>
        <w:t xml:space="preserve"> </w:t>
      </w:r>
      <w:r>
        <w:rPr>
          <w:i/>
          <w:iCs/>
        </w:rPr>
        <w:t>Tunc</w:t>
      </w:r>
      <w:r>
        <w:t>, File No. BNPFT-20180507AAH (filed Feb. 15, 2019)</w:t>
      </w:r>
      <w:r w:rsidR="008957EB">
        <w:t xml:space="preserve"> (2019 Petition)</w:t>
      </w:r>
      <w:r>
        <w:t>.</w:t>
      </w:r>
    </w:p>
  </w:footnote>
  <w:footnote w:id="10">
    <w:p w:rsidR="00252CE4" w:rsidP="00252CE4" w14:paraId="14BDBDAE" w14:textId="7AE01F95">
      <w:pPr>
        <w:pStyle w:val="FootnoteText"/>
      </w:pPr>
      <w:r>
        <w:rPr>
          <w:rStyle w:val="FootnoteReference"/>
        </w:rPr>
        <w:footnoteRef/>
      </w:r>
      <w:r>
        <w:t xml:space="preserve"> </w:t>
      </w:r>
      <w:r>
        <w:rPr>
          <w:i/>
        </w:rPr>
        <w:t>See Broadcast Actions,</w:t>
      </w:r>
      <w:r>
        <w:t xml:space="preserve"> Public Notice, Report No. 49434 (</w:t>
      </w:r>
      <w:r w:rsidRPr="009A6CAA">
        <w:t>rel. Ma</w:t>
      </w:r>
      <w:r>
        <w:t>r.</w:t>
      </w:r>
      <w:r w:rsidRPr="009A6CAA">
        <w:t xml:space="preserve"> </w:t>
      </w:r>
      <w:r>
        <w:t>1</w:t>
      </w:r>
      <w:r w:rsidRPr="009A6CAA">
        <w:t>, 201</w:t>
      </w:r>
      <w:r>
        <w:t>9)</w:t>
      </w:r>
      <w:r w:rsidR="00820347">
        <w:t xml:space="preserve"> (February 26 Decision)</w:t>
      </w:r>
      <w:r>
        <w:t>.</w:t>
      </w:r>
    </w:p>
  </w:footnote>
  <w:footnote w:id="11">
    <w:p w:rsidR="00820347" w:rsidP="00820347" w14:paraId="789E7A21" w14:textId="4278E494">
      <w:pPr>
        <w:pStyle w:val="FootnoteText"/>
      </w:pPr>
      <w:r>
        <w:rPr>
          <w:rStyle w:val="FootnoteReference"/>
        </w:rPr>
        <w:footnoteRef/>
      </w:r>
      <w:r>
        <w:t xml:space="preserve"> Petition for Reconsideration filed by LBI Radio License LLC, File. No. BNPFT-</w:t>
      </w:r>
      <w:r w:rsidRPr="0049163D">
        <w:t>201</w:t>
      </w:r>
      <w:r>
        <w:t>80507AAH</w:t>
      </w:r>
      <w:r w:rsidRPr="0049163D">
        <w:t xml:space="preserve"> </w:t>
      </w:r>
      <w:r>
        <w:t>(</w:t>
      </w:r>
      <w:r w:rsidRPr="00634670">
        <w:t xml:space="preserve">filed </w:t>
      </w:r>
      <w:r>
        <w:t xml:space="preserve">Mar. 22, 2019).  </w:t>
      </w:r>
      <w:r w:rsidRPr="00865AA4" w:rsidR="00865AA4">
        <w:t xml:space="preserve">LBI </w:t>
      </w:r>
      <w:r w:rsidR="00865AA4">
        <w:t xml:space="preserve">submitted documentation demonstrating that </w:t>
      </w:r>
      <w:r w:rsidRPr="00865AA4" w:rsidR="00865AA4">
        <w:t xml:space="preserve">seven additional Station KBUE(FM) listeners </w:t>
      </w:r>
      <w:r w:rsidR="00865AA4">
        <w:t xml:space="preserve">are </w:t>
      </w:r>
      <w:r w:rsidRPr="00865AA4" w:rsidR="00865AA4">
        <w:t>predicted to experience interference from the proposed translator at the reduced power level.</w:t>
      </w:r>
      <w:r w:rsidR="00865AA4">
        <w:t xml:space="preserve">  </w:t>
      </w:r>
      <w:r w:rsidRPr="001F0B3D" w:rsidR="00865AA4">
        <w:rPr>
          <w:i/>
        </w:rPr>
        <w:t>See</w:t>
      </w:r>
      <w:r w:rsidR="00865AA4">
        <w:t xml:space="preserve"> Reply in Support of Petition for Reconsideration filed by LBI Radio License LLC, File No. BNPFT-</w:t>
      </w:r>
      <w:r w:rsidRPr="0049163D" w:rsidR="00865AA4">
        <w:t>201</w:t>
      </w:r>
      <w:r w:rsidR="00865AA4">
        <w:t>80507</w:t>
      </w:r>
      <w:r w:rsidRPr="0049163D" w:rsidR="00865AA4">
        <w:t>A</w:t>
      </w:r>
      <w:r w:rsidR="00865AA4">
        <w:t>AH</w:t>
      </w:r>
      <w:r w:rsidRPr="0049163D" w:rsidR="00865AA4">
        <w:t xml:space="preserve"> </w:t>
      </w:r>
      <w:r w:rsidR="00865AA4">
        <w:t xml:space="preserve">(filed Apr. 17, 2019).  </w:t>
      </w:r>
    </w:p>
  </w:footnote>
  <w:footnote w:id="12">
    <w:p w:rsidR="00865AA4" w:rsidP="00865AA4" w14:paraId="02F410F8" w14:textId="29320BF3">
      <w:pPr>
        <w:pStyle w:val="FootnoteText"/>
      </w:pPr>
      <w:r>
        <w:rPr>
          <w:rStyle w:val="FootnoteReference"/>
        </w:rPr>
        <w:footnoteRef/>
      </w:r>
      <w:r>
        <w:t xml:space="preserve"> </w:t>
      </w:r>
      <w:r w:rsidR="00D74145">
        <w:t xml:space="preserve">2020 Decision. </w:t>
      </w:r>
    </w:p>
  </w:footnote>
  <w:footnote w:id="13">
    <w:p w:rsidR="00BF2C71" w:rsidRPr="00A82365" w:rsidP="00BF2C71" w14:paraId="5EB9ACDC" w14:textId="3031E009">
      <w:pPr>
        <w:pStyle w:val="FootnoteText"/>
        <w:rPr>
          <w:i/>
        </w:rPr>
      </w:pPr>
      <w:r>
        <w:rPr>
          <w:rStyle w:val="FootnoteReference"/>
        </w:rPr>
        <w:footnoteRef/>
      </w:r>
      <w:r>
        <w:t xml:space="preserve"> 2020 Petition.  </w:t>
      </w:r>
    </w:p>
  </w:footnote>
  <w:footnote w:id="14">
    <w:p w:rsidR="004813EA" w:rsidRPr="004813EA" w14:paraId="5751E435" w14:textId="54FFAB72">
      <w:pPr>
        <w:pStyle w:val="FootnoteText"/>
      </w:pPr>
      <w:r>
        <w:rPr>
          <w:rStyle w:val="FootnoteReference"/>
        </w:rPr>
        <w:footnoteRef/>
      </w:r>
      <w:r>
        <w:t xml:space="preserve"> </w:t>
      </w:r>
      <w:r w:rsidRPr="001D5AE0">
        <w:rPr>
          <w:i/>
          <w:iCs/>
        </w:rPr>
        <w:t>See</w:t>
      </w:r>
      <w:r w:rsidRPr="004813EA">
        <w:t xml:space="preserve"> </w:t>
      </w:r>
      <w:r w:rsidRPr="001D5AE0">
        <w:t>47 U.S.C. § 405</w:t>
      </w:r>
      <w:r>
        <w:t>; 4</w:t>
      </w:r>
      <w:r w:rsidRPr="001D5AE0">
        <w:t>7 CFR § 1.106</w:t>
      </w:r>
      <w:r w:rsidR="0012026B">
        <w:t xml:space="preserve"> (</w:t>
      </w:r>
      <w:r w:rsidRPr="0012026B" w:rsidR="0012026B">
        <w:t>provid</w:t>
      </w:r>
      <w:r w:rsidR="0012026B">
        <w:t>ing</w:t>
      </w:r>
      <w:r w:rsidRPr="0012026B" w:rsidR="0012026B">
        <w:t xml:space="preserve"> for the filing of petitions for reconsideration within 30 days of public notice of the action taken</w:t>
      </w:r>
      <w:r w:rsidR="0012026B">
        <w:t>)</w:t>
      </w:r>
      <w:r w:rsidR="00C31208">
        <w:t xml:space="preserve">.  </w:t>
      </w:r>
      <w:r w:rsidRPr="00C31208" w:rsidR="00C31208">
        <w:rPr>
          <w:i/>
          <w:iCs/>
        </w:rPr>
        <w:t>But see</w:t>
      </w:r>
      <w:r>
        <w:t xml:space="preserve"> </w:t>
      </w:r>
      <w:r w:rsidRPr="004813EA">
        <w:rPr>
          <w:i/>
        </w:rPr>
        <w:t>A.G.P., Inc.</w:t>
      </w:r>
      <w:r w:rsidRPr="004813EA">
        <w:t xml:space="preserve">, 11 FCC </w:t>
      </w:r>
      <w:r w:rsidRPr="004813EA">
        <w:t>Rcd</w:t>
      </w:r>
      <w:r w:rsidRPr="004813EA">
        <w:t xml:space="preserve"> 4628, 4629 (1996), </w:t>
      </w:r>
      <w:r w:rsidRPr="004813EA">
        <w:rPr>
          <w:i/>
        </w:rPr>
        <w:t>citing Iola Broadcasting Company</w:t>
      </w:r>
      <w:r w:rsidRPr="004813EA">
        <w:t xml:space="preserve">, 2 FCC </w:t>
      </w:r>
      <w:r w:rsidRPr="004813EA">
        <w:t>Rcd</w:t>
      </w:r>
      <w:r w:rsidRPr="004813EA">
        <w:t xml:space="preserve"> 439 (1966); and </w:t>
      </w:r>
      <w:r w:rsidRPr="004813EA">
        <w:rPr>
          <w:i/>
        </w:rPr>
        <w:t>Brainerd Broadcasting Company</w:t>
      </w:r>
      <w:r w:rsidRPr="004813EA">
        <w:t>, 25 RR 297 (1963) (repeated petitions for reconsideration not permitted).</w:t>
      </w:r>
    </w:p>
  </w:footnote>
  <w:footnote w:id="15">
    <w:p w:rsidR="004A0AB5" w:rsidRPr="000F7254" w14:paraId="38E864BB" w14:textId="7831F855">
      <w:pPr>
        <w:pStyle w:val="FootnoteText"/>
        <w:rPr>
          <w:i/>
          <w:iCs/>
        </w:rPr>
      </w:pPr>
      <w:r w:rsidRPr="00C4462B">
        <w:rPr>
          <w:rStyle w:val="FootnoteReference"/>
          <w:rFonts w:ascii="Times New Roman" w:hAnsi="Times New Roman"/>
        </w:rPr>
        <w:footnoteRef/>
      </w:r>
      <w:r w:rsidRPr="00C4462B" w:rsidR="000B416A">
        <w:t xml:space="preserve"> Public Notice, “Commission States Future Policy on Incomplete and Patently Defective AM and FM Construction Permit Applications,” FCC 84-366, released August 2, 1984, 56 P&amp;F Rad.Reg.2d (P&amp;F) 776 (1984) (as subsequently published in the Federal Register, 49 Fed. Reg. 47331, 47332 (Dec. 3, 1984)) </w:t>
      </w:r>
      <w:r w:rsidRPr="00C4462B" w:rsidR="00A84D0C">
        <w:t>(</w:t>
      </w:r>
      <w:r w:rsidR="00841ED5">
        <w:rPr>
          <w:i/>
          <w:iCs/>
        </w:rPr>
        <w:t xml:space="preserve">Defective Policy </w:t>
      </w:r>
      <w:r w:rsidRPr="00C4462B" w:rsidR="00A84D0C">
        <w:rPr>
          <w:i/>
          <w:iCs/>
        </w:rPr>
        <w:t>Public Notice</w:t>
      </w:r>
      <w:r w:rsidRPr="00C4462B" w:rsidR="00A84D0C">
        <w:t>).</w:t>
      </w:r>
      <w:r w:rsidRPr="00C4462B" w:rsidR="00705276">
        <w:t xml:space="preserve">  </w:t>
      </w:r>
      <w:r w:rsidR="00841ED5">
        <w:rPr>
          <w:i/>
          <w:iCs/>
        </w:rPr>
        <w:t>See also In the Matter of Comparative Consideration of 32 Groups of Mutually Exclusive Applications for Permits to Construct New or Modified Noncommercial Educational FM Stations Filed in the October 2007 Filing Window</w:t>
      </w:r>
      <w:r w:rsidRPr="0008785B" w:rsidR="00841ED5">
        <w:rPr>
          <w:i/>
          <w:iCs/>
        </w:rPr>
        <w:t>,</w:t>
      </w:r>
      <w:r w:rsidR="00841ED5">
        <w:rPr>
          <w:b/>
          <w:bCs/>
          <w:i/>
          <w:iCs/>
        </w:rPr>
        <w:t xml:space="preserve"> </w:t>
      </w:r>
      <w:r w:rsidR="00841ED5">
        <w:t xml:space="preserve">Memorandum Opinion and Order, 25 FCC </w:t>
      </w:r>
      <w:r w:rsidR="00841ED5">
        <w:t>Rcd</w:t>
      </w:r>
      <w:r w:rsidR="00841ED5">
        <w:t xml:space="preserve"> 5013, 5021-22 (2010) (restating Commission policy that an </w:t>
      </w:r>
      <w:r w:rsidRPr="00FF693A" w:rsidR="00841ED5">
        <w:t>applicant has one opportunity to perfect its application</w:t>
      </w:r>
      <w:r w:rsidR="00841ED5">
        <w:t xml:space="preserve"> after it is dismissed); </w:t>
      </w:r>
      <w:r w:rsidRPr="001D5AE0" w:rsidR="00841ED5">
        <w:rPr>
          <w:i/>
          <w:iCs/>
        </w:rPr>
        <w:t>Letter</w:t>
      </w:r>
      <w:r w:rsidR="00841ED5">
        <w:rPr>
          <w:i/>
          <w:iCs/>
        </w:rPr>
        <w:t xml:space="preserve"> from Peter H. Doyle, Chief, Media Bureau, Audio Division, to John Joseph McVeigh, Esq., </w:t>
      </w:r>
      <w:r w:rsidR="00841ED5">
        <w:t xml:space="preserve">File No. BPED-20070906AGB, 25 FCC </w:t>
      </w:r>
      <w:r w:rsidR="00841ED5">
        <w:t>Rcd</w:t>
      </w:r>
      <w:r w:rsidR="00841ED5">
        <w:t xml:space="preserve"> 3572, n.25 (Apr. 6, 2010) </w:t>
      </w:r>
      <w:r w:rsidRPr="001D5AE0" w:rsidR="00841ED5">
        <w:rPr>
          <w:i/>
          <w:iCs/>
        </w:rPr>
        <w:t>citing</w:t>
      </w:r>
      <w:r w:rsidR="00841ED5">
        <w:t xml:space="preserve"> </w:t>
      </w:r>
      <w:r w:rsidRPr="001D5AE0" w:rsidR="00841ED5">
        <w:rPr>
          <w:i/>
          <w:iCs/>
        </w:rPr>
        <w:t>Public Notice</w:t>
      </w:r>
      <w:r w:rsidRPr="00904ED6" w:rsidR="00841ED5">
        <w:t xml:space="preserve"> (providing a second opportunity on reconsideration to cure application defects would be unfair to other applicants, would add to processing delays and would encourage the filing of incomplete and poorly prepared applications)</w:t>
      </w:r>
      <w:r w:rsidR="00841ED5">
        <w:t xml:space="preserve">; </w:t>
      </w:r>
      <w:r w:rsidRPr="005E1D77" w:rsidR="00841ED5">
        <w:rPr>
          <w:i/>
          <w:iCs/>
        </w:rPr>
        <w:t>Letter</w:t>
      </w:r>
      <w:r w:rsidR="00841ED5">
        <w:rPr>
          <w:i/>
          <w:iCs/>
        </w:rPr>
        <w:t xml:space="preserve"> from Peter H. Doyle, Chief, Media Bureau, Audio Division, to Gerald R. Proctor, c/o, Dan J. Albert, Esq., </w:t>
      </w:r>
      <w:r w:rsidR="00841ED5">
        <w:t xml:space="preserve">File No. BNPFT-20030812AAV, 20 FCC </w:t>
      </w:r>
      <w:r w:rsidR="00841ED5">
        <w:t>Rcd</w:t>
      </w:r>
      <w:r w:rsidR="00841ED5">
        <w:t xml:space="preserve"> 12345, 12347, notes 12, 13 (July 20, 2005) </w:t>
      </w:r>
      <w:r w:rsidRPr="001D5AE0" w:rsidR="00841ED5">
        <w:rPr>
          <w:i/>
          <w:iCs/>
        </w:rPr>
        <w:t>citing</w:t>
      </w:r>
      <w:r w:rsidR="00841ED5">
        <w:t xml:space="preserve"> </w:t>
      </w:r>
      <w:r w:rsidR="00841ED5">
        <w:rPr>
          <w:i/>
          <w:iCs/>
        </w:rPr>
        <w:t xml:space="preserve">Defective Policy </w:t>
      </w:r>
      <w:r w:rsidRPr="001D5AE0" w:rsidR="00841ED5">
        <w:rPr>
          <w:i/>
          <w:iCs/>
        </w:rPr>
        <w:t>Public Notice</w:t>
      </w:r>
      <w:r w:rsidRPr="00904ED6" w:rsidR="00841ED5">
        <w:t>.</w:t>
      </w:r>
    </w:p>
  </w:footnote>
  <w:footnote w:id="16">
    <w:p w:rsidR="00EF7976" w:rsidRPr="00EF7976" w14:paraId="320B019C" w14:textId="4A423A28">
      <w:pPr>
        <w:pStyle w:val="FootnoteText"/>
      </w:pPr>
      <w:r>
        <w:rPr>
          <w:rStyle w:val="FootnoteReference"/>
        </w:rPr>
        <w:footnoteRef/>
      </w:r>
      <w:r>
        <w:t xml:space="preserve"> </w:t>
      </w:r>
      <w:r>
        <w:rPr>
          <w:i/>
          <w:iCs/>
        </w:rPr>
        <w:t>Id</w:t>
      </w:r>
      <w:r>
        <w:t>.</w:t>
      </w:r>
      <w:r w:rsidR="00C10398">
        <w:t xml:space="preserve"> at </w:t>
      </w:r>
      <w:r w:rsidR="00904ED6">
        <w:t>47332</w:t>
      </w:r>
      <w:r w:rsidR="00C10398">
        <w:t>.</w:t>
      </w:r>
    </w:p>
  </w:footnote>
  <w:footnote w:id="17">
    <w:p w:rsidR="00C10398" w:rsidRPr="00C10398" w14:paraId="5EB2A626" w14:textId="35EC0F26">
      <w:pPr>
        <w:pStyle w:val="FootnoteText"/>
      </w:pPr>
      <w:r>
        <w:rPr>
          <w:rStyle w:val="FootnoteReference"/>
        </w:rPr>
        <w:footnoteRef/>
      </w:r>
      <w:r>
        <w:t xml:space="preserve"> </w:t>
      </w:r>
      <w:r>
        <w:rPr>
          <w:i/>
          <w:iCs/>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14:paraId="14152AA1" w14:textId="77777777">
    <w:pPr>
      <w:tabs>
        <w:tab w:val="center" w:pos="4680"/>
        <w:tab w:val="right" w:pos="9360"/>
      </w:tabs>
      <w:suppressAutoHyphens/>
      <w:spacing w:line="227" w:lineRule="auto"/>
      <w:jc w:val="both"/>
      <w:rPr>
        <w:rFonts w:ascii="Calisto MT" w:hAnsi="Calisto MT"/>
        <w:spacing w:val="-2"/>
      </w:rPr>
    </w:pPr>
  </w:p>
  <w:p w:rsidR="00BF6E58" w14:paraId="0B111B5D" w14:textId="77777777">
    <w:pPr>
      <w:tabs>
        <w:tab w:val="left" w:pos="-720"/>
      </w:tabs>
      <w:suppressAutoHyphens/>
      <w:spacing w:line="19" w:lineRule="exact"/>
      <w:jc w:val="both"/>
      <w:rPr>
        <w:sz w:val="10"/>
      </w:rPr>
    </w:pPr>
  </w:p>
  <w:p w:rsidR="00BF6E58" w14:paraId="2A536D18" w14:textId="77777777">
    <w:pPr>
      <w:tabs>
        <w:tab w:val="left" w:pos="-720"/>
      </w:tabs>
      <w:suppressAutoHyphens/>
      <w:spacing w:line="19" w:lineRule="exact"/>
      <w:jc w:val="both"/>
      <w:rPr>
        <w:sz w:val="10"/>
      </w:rPr>
    </w:pPr>
  </w:p>
  <w:p w:rsidR="00BF6E58" w14:paraId="5D8CEEEF" w14:textId="77777777">
    <w:pPr>
      <w:tabs>
        <w:tab w:val="left" w:pos="-720"/>
      </w:tabs>
      <w:suppressAutoHyphens/>
      <w:spacing w:line="19" w:lineRule="exact"/>
      <w:jc w:val="both"/>
      <w:rPr>
        <w:sz w:val="10"/>
      </w:rPr>
    </w:pPr>
  </w:p>
  <w:p w:rsidR="00BF6E58" w14:paraId="02B73007" w14:textId="77777777">
    <w:pPr>
      <w:tabs>
        <w:tab w:val="left" w:pos="-720"/>
      </w:tabs>
      <w:suppressAutoHyphens/>
      <w:spacing w:line="19" w:lineRule="exact"/>
      <w:jc w:val="both"/>
      <w:rPr>
        <w:sz w:val="10"/>
      </w:rPr>
    </w:pPr>
  </w:p>
  <w:p w:rsidR="00BF6E58" w14:paraId="48BA30EB" w14:textId="77777777">
    <w:pPr>
      <w:tabs>
        <w:tab w:val="left" w:pos="-720"/>
      </w:tabs>
      <w:suppressAutoHyphens/>
      <w:spacing w:line="19" w:lineRule="exact"/>
      <w:jc w:val="both"/>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0F8" w:rsidP="003E1DF5" w14:paraId="59E0BC8A" w14:textId="77777777">
    <w:pPr>
      <w:pStyle w:val="Heading2"/>
      <w:spacing w:line="240" w:lineRule="auto"/>
      <w:rPr>
        <w:rFonts w:ascii="CG Times" w:hAnsi="CG Times"/>
        <w:b/>
        <w:color w:val="000000"/>
        <w:szCs w:val="24"/>
      </w:rPr>
    </w:pPr>
    <w:r>
      <w:rPr>
        <w:rFonts w:ascii="CG Times" w:hAnsi="CG Times"/>
        <w:b/>
        <w:noProof/>
        <w:snapToGrid/>
        <w:color w:val="000000"/>
        <w:szCs w:val="24"/>
      </w:rPr>
      <w:drawing>
        <wp:anchor distT="0" distB="0" distL="114300" distR="114300" simplePos="0" relativeHeight="251658240" behindDoc="1" locked="0" layoutInCell="1" allowOverlap="1">
          <wp:simplePos x="0" y="0"/>
          <wp:positionH relativeFrom="column">
            <wp:posOffset>-165100</wp:posOffset>
          </wp:positionH>
          <wp:positionV relativeFrom="paragraph">
            <wp:posOffset>156210</wp:posOffset>
          </wp:positionV>
          <wp:extent cx="806450" cy="80010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903241" name="fcc-seal-bw-2020.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806450" cy="800100"/>
                  </a:xfrm>
                  <a:prstGeom prst="rect">
                    <a:avLst/>
                  </a:prstGeom>
                </pic:spPr>
              </pic:pic>
            </a:graphicData>
          </a:graphic>
        </wp:anchor>
      </w:drawing>
    </w:r>
  </w:p>
  <w:p w:rsidR="00BF6E58" w:rsidRPr="00504897" w:rsidP="003E1DF5" w14:paraId="18B6CAA9" w14:textId="6B954E10">
    <w:pPr>
      <w:pStyle w:val="Heading2"/>
      <w:spacing w:line="240" w:lineRule="auto"/>
      <w:rPr>
        <w:rFonts w:ascii="CG Times" w:hAnsi="CG Times"/>
        <w:b/>
        <w:color w:val="000000"/>
        <w:szCs w:val="24"/>
      </w:rPr>
    </w:pPr>
    <w:r w:rsidRPr="00504897">
      <w:rPr>
        <w:rFonts w:ascii="CG Times" w:hAnsi="CG Times"/>
        <w:b/>
        <w:color w:val="000000"/>
        <w:szCs w:val="24"/>
      </w:rPr>
      <w:t>Federal Communications Commission</w:t>
    </w:r>
  </w:p>
  <w:p w:rsidR="00BF6E58" w:rsidRPr="00504897" w:rsidP="003E1DF5" w14:paraId="37897576" w14:textId="77777777">
    <w:pPr>
      <w:jc w:val="center"/>
      <w:rPr>
        <w:rFonts w:ascii="CG Times" w:hAnsi="CG Times"/>
        <w:b/>
        <w:color w:val="000000"/>
        <w:spacing w:val="-2"/>
        <w:sz w:val="28"/>
      </w:rPr>
    </w:pPr>
    <w:r w:rsidRPr="00504897">
      <w:rPr>
        <w:rFonts w:ascii="CG Times" w:hAnsi="CG Times"/>
        <w:b/>
        <w:color w:val="000000"/>
        <w:spacing w:val="-2"/>
        <w:szCs w:val="24"/>
      </w:rPr>
      <w:t>Washington, D.C. 20554</w:t>
    </w:r>
  </w:p>
  <w:p w:rsidR="00BF6E58" w:rsidP="003E1DF5" w14:paraId="53AC2205" w14:textId="2B0DFEB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730F62"/>
    <w:multiLevelType w:val="hybridMultilevel"/>
    <w:tmpl w:val="4D7E380A"/>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5D376C2"/>
    <w:multiLevelType w:val="hybridMultilevel"/>
    <w:tmpl w:val="4D6CA9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61182925"/>
    <w:multiLevelType w:val="singleLevel"/>
    <w:tmpl w:val="2A347362"/>
    <w:lvl w:ilvl="0">
      <w:start w:val="1"/>
      <w:numFmt w:val="decimal"/>
      <w:pStyle w:val="ParaNum"/>
      <w:lvlText w:val="%1."/>
      <w:lvlJc w:val="left"/>
      <w:pPr>
        <w:tabs>
          <w:tab w:val="num" w:pos="1080"/>
        </w:tabs>
        <w:ind w:left="0" w:firstLine="720"/>
      </w:pPr>
      <w:rPr>
        <w:b w:val="0"/>
      </w:rPr>
    </w:lvl>
  </w:abstractNum>
  <w:abstractNum w:abstractNumId="3">
    <w:nsid w:val="668971C8"/>
    <w:multiLevelType w:val="hybridMultilevel"/>
    <w:tmpl w:val="BD807D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E79"/>
    <w:rsid w:val="0000758F"/>
    <w:rsid w:val="000078C9"/>
    <w:rsid w:val="00012853"/>
    <w:rsid w:val="00015BD9"/>
    <w:rsid w:val="00022013"/>
    <w:rsid w:val="00027053"/>
    <w:rsid w:val="00034D92"/>
    <w:rsid w:val="0004128E"/>
    <w:rsid w:val="00041977"/>
    <w:rsid w:val="00042D42"/>
    <w:rsid w:val="00042E1B"/>
    <w:rsid w:val="00047815"/>
    <w:rsid w:val="00053B86"/>
    <w:rsid w:val="00061E99"/>
    <w:rsid w:val="000624CA"/>
    <w:rsid w:val="00070FCF"/>
    <w:rsid w:val="0008000F"/>
    <w:rsid w:val="00082358"/>
    <w:rsid w:val="0008785B"/>
    <w:rsid w:val="00087CDE"/>
    <w:rsid w:val="00090362"/>
    <w:rsid w:val="00091CF8"/>
    <w:rsid w:val="00094827"/>
    <w:rsid w:val="000A0EEF"/>
    <w:rsid w:val="000A1BB8"/>
    <w:rsid w:val="000B0118"/>
    <w:rsid w:val="000B416A"/>
    <w:rsid w:val="000B690E"/>
    <w:rsid w:val="000C17E2"/>
    <w:rsid w:val="000C4D57"/>
    <w:rsid w:val="000C619E"/>
    <w:rsid w:val="000D401B"/>
    <w:rsid w:val="000D5716"/>
    <w:rsid w:val="000E40C0"/>
    <w:rsid w:val="000E6F11"/>
    <w:rsid w:val="000E798B"/>
    <w:rsid w:val="000F1FE7"/>
    <w:rsid w:val="000F400A"/>
    <w:rsid w:val="000F4F5D"/>
    <w:rsid w:val="000F53CC"/>
    <w:rsid w:val="000F7254"/>
    <w:rsid w:val="00101AA7"/>
    <w:rsid w:val="00107965"/>
    <w:rsid w:val="0012026B"/>
    <w:rsid w:val="0012171D"/>
    <w:rsid w:val="001236EE"/>
    <w:rsid w:val="0012523E"/>
    <w:rsid w:val="00126366"/>
    <w:rsid w:val="00130105"/>
    <w:rsid w:val="001330FC"/>
    <w:rsid w:val="0013336E"/>
    <w:rsid w:val="001333BF"/>
    <w:rsid w:val="00134547"/>
    <w:rsid w:val="00136843"/>
    <w:rsid w:val="00136D33"/>
    <w:rsid w:val="00137E5E"/>
    <w:rsid w:val="00140611"/>
    <w:rsid w:val="00142DE0"/>
    <w:rsid w:val="00143955"/>
    <w:rsid w:val="0014612F"/>
    <w:rsid w:val="001477D6"/>
    <w:rsid w:val="001538FE"/>
    <w:rsid w:val="001545B9"/>
    <w:rsid w:val="00155959"/>
    <w:rsid w:val="001565CA"/>
    <w:rsid w:val="0015710F"/>
    <w:rsid w:val="00163DC2"/>
    <w:rsid w:val="001674FC"/>
    <w:rsid w:val="001708D8"/>
    <w:rsid w:val="001746A7"/>
    <w:rsid w:val="00174C40"/>
    <w:rsid w:val="001773E5"/>
    <w:rsid w:val="00180AAE"/>
    <w:rsid w:val="001818C8"/>
    <w:rsid w:val="0019332E"/>
    <w:rsid w:val="001A04FD"/>
    <w:rsid w:val="001A1612"/>
    <w:rsid w:val="001A4257"/>
    <w:rsid w:val="001B28FC"/>
    <w:rsid w:val="001B3387"/>
    <w:rsid w:val="001B47E9"/>
    <w:rsid w:val="001B66EF"/>
    <w:rsid w:val="001C057C"/>
    <w:rsid w:val="001C1B89"/>
    <w:rsid w:val="001C32DC"/>
    <w:rsid w:val="001C458A"/>
    <w:rsid w:val="001C481D"/>
    <w:rsid w:val="001C655A"/>
    <w:rsid w:val="001D24A8"/>
    <w:rsid w:val="001D5AE0"/>
    <w:rsid w:val="001F0227"/>
    <w:rsid w:val="001F0B3D"/>
    <w:rsid w:val="001F319E"/>
    <w:rsid w:val="001F3C59"/>
    <w:rsid w:val="001F4B25"/>
    <w:rsid w:val="001F53F9"/>
    <w:rsid w:val="001F6D38"/>
    <w:rsid w:val="00201064"/>
    <w:rsid w:val="00205C26"/>
    <w:rsid w:val="00206D48"/>
    <w:rsid w:val="002073F7"/>
    <w:rsid w:val="00213E1E"/>
    <w:rsid w:val="00214561"/>
    <w:rsid w:val="00220F78"/>
    <w:rsid w:val="00224DD0"/>
    <w:rsid w:val="00231138"/>
    <w:rsid w:val="002411DD"/>
    <w:rsid w:val="0024615B"/>
    <w:rsid w:val="00247119"/>
    <w:rsid w:val="0024766A"/>
    <w:rsid w:val="00250F96"/>
    <w:rsid w:val="00252CE4"/>
    <w:rsid w:val="00254090"/>
    <w:rsid w:val="00256682"/>
    <w:rsid w:val="00256C32"/>
    <w:rsid w:val="00261967"/>
    <w:rsid w:val="00263563"/>
    <w:rsid w:val="002638F5"/>
    <w:rsid w:val="00265D4E"/>
    <w:rsid w:val="0027253D"/>
    <w:rsid w:val="00272AF0"/>
    <w:rsid w:val="00282254"/>
    <w:rsid w:val="00285DB8"/>
    <w:rsid w:val="00286436"/>
    <w:rsid w:val="00286FE7"/>
    <w:rsid w:val="00294D17"/>
    <w:rsid w:val="002A3A3E"/>
    <w:rsid w:val="002A51D0"/>
    <w:rsid w:val="002A7D51"/>
    <w:rsid w:val="002B3B8C"/>
    <w:rsid w:val="002B7710"/>
    <w:rsid w:val="002C0FBC"/>
    <w:rsid w:val="002C550F"/>
    <w:rsid w:val="002D7B4C"/>
    <w:rsid w:val="002D7DDA"/>
    <w:rsid w:val="002E574A"/>
    <w:rsid w:val="002F4D4B"/>
    <w:rsid w:val="002F5FA9"/>
    <w:rsid w:val="0030097C"/>
    <w:rsid w:val="00302503"/>
    <w:rsid w:val="003103E2"/>
    <w:rsid w:val="00323E49"/>
    <w:rsid w:val="00330C08"/>
    <w:rsid w:val="00340958"/>
    <w:rsid w:val="00344CA0"/>
    <w:rsid w:val="00347EE5"/>
    <w:rsid w:val="00357D30"/>
    <w:rsid w:val="00360528"/>
    <w:rsid w:val="00362AB0"/>
    <w:rsid w:val="0037110B"/>
    <w:rsid w:val="0037772A"/>
    <w:rsid w:val="00392984"/>
    <w:rsid w:val="003979BE"/>
    <w:rsid w:val="003B59B8"/>
    <w:rsid w:val="003C4A5D"/>
    <w:rsid w:val="003C6E5D"/>
    <w:rsid w:val="003D1D72"/>
    <w:rsid w:val="003D38F5"/>
    <w:rsid w:val="003D4953"/>
    <w:rsid w:val="003D6B6F"/>
    <w:rsid w:val="003E1DF5"/>
    <w:rsid w:val="003E6058"/>
    <w:rsid w:val="003F0A77"/>
    <w:rsid w:val="003F2285"/>
    <w:rsid w:val="0040489E"/>
    <w:rsid w:val="00404A2A"/>
    <w:rsid w:val="00411D1B"/>
    <w:rsid w:val="004134DE"/>
    <w:rsid w:val="004152ED"/>
    <w:rsid w:val="00415578"/>
    <w:rsid w:val="004157F9"/>
    <w:rsid w:val="00422CE3"/>
    <w:rsid w:val="004269AA"/>
    <w:rsid w:val="00436669"/>
    <w:rsid w:val="0044495C"/>
    <w:rsid w:val="0045079A"/>
    <w:rsid w:val="00450A74"/>
    <w:rsid w:val="00462D70"/>
    <w:rsid w:val="00465902"/>
    <w:rsid w:val="004671D9"/>
    <w:rsid w:val="004728F3"/>
    <w:rsid w:val="00476BB2"/>
    <w:rsid w:val="004813EA"/>
    <w:rsid w:val="0049163D"/>
    <w:rsid w:val="00493725"/>
    <w:rsid w:val="00493E06"/>
    <w:rsid w:val="00494216"/>
    <w:rsid w:val="004A0AB5"/>
    <w:rsid w:val="004A2A92"/>
    <w:rsid w:val="004A7EE0"/>
    <w:rsid w:val="004B0291"/>
    <w:rsid w:val="004B0967"/>
    <w:rsid w:val="004B3D55"/>
    <w:rsid w:val="004B63D4"/>
    <w:rsid w:val="004C4D7F"/>
    <w:rsid w:val="004C6CBF"/>
    <w:rsid w:val="004D026A"/>
    <w:rsid w:val="004D1E20"/>
    <w:rsid w:val="004D280C"/>
    <w:rsid w:val="004D336F"/>
    <w:rsid w:val="004D511C"/>
    <w:rsid w:val="004D6759"/>
    <w:rsid w:val="004E13A9"/>
    <w:rsid w:val="004F43CE"/>
    <w:rsid w:val="00504897"/>
    <w:rsid w:val="00512E81"/>
    <w:rsid w:val="00526333"/>
    <w:rsid w:val="00527768"/>
    <w:rsid w:val="00536B6B"/>
    <w:rsid w:val="00542AEA"/>
    <w:rsid w:val="00542C49"/>
    <w:rsid w:val="00544166"/>
    <w:rsid w:val="0054492F"/>
    <w:rsid w:val="00544B21"/>
    <w:rsid w:val="005459F8"/>
    <w:rsid w:val="00546FFA"/>
    <w:rsid w:val="005501D7"/>
    <w:rsid w:val="00556A2B"/>
    <w:rsid w:val="00557BAD"/>
    <w:rsid w:val="005644D4"/>
    <w:rsid w:val="0056590D"/>
    <w:rsid w:val="005737AC"/>
    <w:rsid w:val="005745EF"/>
    <w:rsid w:val="005834B6"/>
    <w:rsid w:val="00583A5A"/>
    <w:rsid w:val="005937D7"/>
    <w:rsid w:val="005A1CF0"/>
    <w:rsid w:val="005A3A94"/>
    <w:rsid w:val="005B0CE7"/>
    <w:rsid w:val="005B189C"/>
    <w:rsid w:val="005B2481"/>
    <w:rsid w:val="005B269E"/>
    <w:rsid w:val="005C2D6E"/>
    <w:rsid w:val="005C2F93"/>
    <w:rsid w:val="005C6A7C"/>
    <w:rsid w:val="005D28BF"/>
    <w:rsid w:val="005D407D"/>
    <w:rsid w:val="005E1D77"/>
    <w:rsid w:val="005F3A37"/>
    <w:rsid w:val="005F5198"/>
    <w:rsid w:val="005F581E"/>
    <w:rsid w:val="005F6B6F"/>
    <w:rsid w:val="0060135A"/>
    <w:rsid w:val="00602923"/>
    <w:rsid w:val="0060530C"/>
    <w:rsid w:val="00613658"/>
    <w:rsid w:val="00627072"/>
    <w:rsid w:val="00631A89"/>
    <w:rsid w:val="00634670"/>
    <w:rsid w:val="00656B66"/>
    <w:rsid w:val="00662424"/>
    <w:rsid w:val="00666CE1"/>
    <w:rsid w:val="00667DA3"/>
    <w:rsid w:val="00682E31"/>
    <w:rsid w:val="00684012"/>
    <w:rsid w:val="006A3E62"/>
    <w:rsid w:val="006B26A7"/>
    <w:rsid w:val="006B7804"/>
    <w:rsid w:val="006C1725"/>
    <w:rsid w:val="006C4231"/>
    <w:rsid w:val="006C4A14"/>
    <w:rsid w:val="006C5A87"/>
    <w:rsid w:val="006C6791"/>
    <w:rsid w:val="006E128B"/>
    <w:rsid w:val="006E3675"/>
    <w:rsid w:val="006E3AF1"/>
    <w:rsid w:val="006E46F6"/>
    <w:rsid w:val="006F259A"/>
    <w:rsid w:val="006F296C"/>
    <w:rsid w:val="006F351C"/>
    <w:rsid w:val="006F3D8F"/>
    <w:rsid w:val="00702249"/>
    <w:rsid w:val="00705276"/>
    <w:rsid w:val="00712700"/>
    <w:rsid w:val="007147F7"/>
    <w:rsid w:val="007257A6"/>
    <w:rsid w:val="00726C91"/>
    <w:rsid w:val="00733D52"/>
    <w:rsid w:val="007378CF"/>
    <w:rsid w:val="00740E18"/>
    <w:rsid w:val="00742038"/>
    <w:rsid w:val="00752679"/>
    <w:rsid w:val="0075508F"/>
    <w:rsid w:val="00756F39"/>
    <w:rsid w:val="00762D7C"/>
    <w:rsid w:val="007634D9"/>
    <w:rsid w:val="00763B66"/>
    <w:rsid w:val="00771A46"/>
    <w:rsid w:val="0077599A"/>
    <w:rsid w:val="00776968"/>
    <w:rsid w:val="00781C1A"/>
    <w:rsid w:val="007828C8"/>
    <w:rsid w:val="00782DFF"/>
    <w:rsid w:val="00783AEB"/>
    <w:rsid w:val="00790803"/>
    <w:rsid w:val="00790B7C"/>
    <w:rsid w:val="00793F60"/>
    <w:rsid w:val="007971DC"/>
    <w:rsid w:val="007A1A9C"/>
    <w:rsid w:val="007A5F15"/>
    <w:rsid w:val="007B0610"/>
    <w:rsid w:val="007B44A2"/>
    <w:rsid w:val="007C2C8D"/>
    <w:rsid w:val="007C2FFE"/>
    <w:rsid w:val="007C4294"/>
    <w:rsid w:val="007C79FB"/>
    <w:rsid w:val="007C7F34"/>
    <w:rsid w:val="007C7FE1"/>
    <w:rsid w:val="007D188F"/>
    <w:rsid w:val="007D4EB1"/>
    <w:rsid w:val="007E01BB"/>
    <w:rsid w:val="007E4FEB"/>
    <w:rsid w:val="007E7B3F"/>
    <w:rsid w:val="007F2959"/>
    <w:rsid w:val="007F7EC1"/>
    <w:rsid w:val="00804AE1"/>
    <w:rsid w:val="0080577C"/>
    <w:rsid w:val="00806E9C"/>
    <w:rsid w:val="00810780"/>
    <w:rsid w:val="008107D4"/>
    <w:rsid w:val="00811565"/>
    <w:rsid w:val="00812A68"/>
    <w:rsid w:val="00815BB2"/>
    <w:rsid w:val="00816977"/>
    <w:rsid w:val="00817999"/>
    <w:rsid w:val="00820347"/>
    <w:rsid w:val="008212B8"/>
    <w:rsid w:val="00826CB1"/>
    <w:rsid w:val="008301F7"/>
    <w:rsid w:val="00830993"/>
    <w:rsid w:val="0083143B"/>
    <w:rsid w:val="00831CFE"/>
    <w:rsid w:val="00841ED5"/>
    <w:rsid w:val="00842060"/>
    <w:rsid w:val="008460FF"/>
    <w:rsid w:val="0085133B"/>
    <w:rsid w:val="0085303B"/>
    <w:rsid w:val="008646D8"/>
    <w:rsid w:val="00865AA4"/>
    <w:rsid w:val="00867CF9"/>
    <w:rsid w:val="008724A6"/>
    <w:rsid w:val="00877D93"/>
    <w:rsid w:val="00886374"/>
    <w:rsid w:val="00892F27"/>
    <w:rsid w:val="00894066"/>
    <w:rsid w:val="008957EB"/>
    <w:rsid w:val="008A0F7C"/>
    <w:rsid w:val="008A2A90"/>
    <w:rsid w:val="008A3DAC"/>
    <w:rsid w:val="008A3EC1"/>
    <w:rsid w:val="008A53D3"/>
    <w:rsid w:val="008A6607"/>
    <w:rsid w:val="008C1026"/>
    <w:rsid w:val="008C2CC0"/>
    <w:rsid w:val="008C307E"/>
    <w:rsid w:val="008D2845"/>
    <w:rsid w:val="008E08F9"/>
    <w:rsid w:val="008E0D70"/>
    <w:rsid w:val="008E2529"/>
    <w:rsid w:val="008E4553"/>
    <w:rsid w:val="008E477B"/>
    <w:rsid w:val="008E4F70"/>
    <w:rsid w:val="008E735F"/>
    <w:rsid w:val="008F124A"/>
    <w:rsid w:val="008F1988"/>
    <w:rsid w:val="008F6A90"/>
    <w:rsid w:val="00904ED6"/>
    <w:rsid w:val="0092040F"/>
    <w:rsid w:val="00920629"/>
    <w:rsid w:val="009250D8"/>
    <w:rsid w:val="009257DB"/>
    <w:rsid w:val="0092591D"/>
    <w:rsid w:val="00927C0B"/>
    <w:rsid w:val="00942556"/>
    <w:rsid w:val="00943117"/>
    <w:rsid w:val="0095050B"/>
    <w:rsid w:val="00952193"/>
    <w:rsid w:val="00952364"/>
    <w:rsid w:val="00956255"/>
    <w:rsid w:val="00956FDF"/>
    <w:rsid w:val="00957D4A"/>
    <w:rsid w:val="0096145A"/>
    <w:rsid w:val="0096221C"/>
    <w:rsid w:val="009709AC"/>
    <w:rsid w:val="00972258"/>
    <w:rsid w:val="00974C3C"/>
    <w:rsid w:val="009774D0"/>
    <w:rsid w:val="0097776A"/>
    <w:rsid w:val="00977F6F"/>
    <w:rsid w:val="00981632"/>
    <w:rsid w:val="00983FB7"/>
    <w:rsid w:val="009939E8"/>
    <w:rsid w:val="00994966"/>
    <w:rsid w:val="00995D89"/>
    <w:rsid w:val="00996349"/>
    <w:rsid w:val="00997DEA"/>
    <w:rsid w:val="009A2860"/>
    <w:rsid w:val="009A6CAA"/>
    <w:rsid w:val="009B6FBC"/>
    <w:rsid w:val="009B7C4A"/>
    <w:rsid w:val="009C03F3"/>
    <w:rsid w:val="009C4A06"/>
    <w:rsid w:val="009D1CED"/>
    <w:rsid w:val="009D4F17"/>
    <w:rsid w:val="009D6D00"/>
    <w:rsid w:val="009D7B1A"/>
    <w:rsid w:val="009E4CBB"/>
    <w:rsid w:val="009E50F4"/>
    <w:rsid w:val="009E75F2"/>
    <w:rsid w:val="009E7C1A"/>
    <w:rsid w:val="009F097A"/>
    <w:rsid w:val="009F5C8E"/>
    <w:rsid w:val="009F748F"/>
    <w:rsid w:val="00A00449"/>
    <w:rsid w:val="00A00D6F"/>
    <w:rsid w:val="00A027DB"/>
    <w:rsid w:val="00A04AC0"/>
    <w:rsid w:val="00A15B7F"/>
    <w:rsid w:val="00A164D6"/>
    <w:rsid w:val="00A25601"/>
    <w:rsid w:val="00A26A72"/>
    <w:rsid w:val="00A32849"/>
    <w:rsid w:val="00A34539"/>
    <w:rsid w:val="00A416AB"/>
    <w:rsid w:val="00A4415F"/>
    <w:rsid w:val="00A4638F"/>
    <w:rsid w:val="00A47B6D"/>
    <w:rsid w:val="00A53E1D"/>
    <w:rsid w:val="00A55D3A"/>
    <w:rsid w:val="00A57A97"/>
    <w:rsid w:val="00A6029E"/>
    <w:rsid w:val="00A632C0"/>
    <w:rsid w:val="00A7026D"/>
    <w:rsid w:val="00A7439D"/>
    <w:rsid w:val="00A82365"/>
    <w:rsid w:val="00A82855"/>
    <w:rsid w:val="00A829CA"/>
    <w:rsid w:val="00A82A67"/>
    <w:rsid w:val="00A84C5B"/>
    <w:rsid w:val="00A84D0C"/>
    <w:rsid w:val="00A85CED"/>
    <w:rsid w:val="00A90AD0"/>
    <w:rsid w:val="00A941D1"/>
    <w:rsid w:val="00A95AC4"/>
    <w:rsid w:val="00AA0C4E"/>
    <w:rsid w:val="00AA4185"/>
    <w:rsid w:val="00AB3552"/>
    <w:rsid w:val="00AB434D"/>
    <w:rsid w:val="00AB551F"/>
    <w:rsid w:val="00AB6A52"/>
    <w:rsid w:val="00AC38C9"/>
    <w:rsid w:val="00AD0F3C"/>
    <w:rsid w:val="00AD7CF1"/>
    <w:rsid w:val="00AE0157"/>
    <w:rsid w:val="00AE3517"/>
    <w:rsid w:val="00AE5F69"/>
    <w:rsid w:val="00AE6389"/>
    <w:rsid w:val="00AE707E"/>
    <w:rsid w:val="00AF25CF"/>
    <w:rsid w:val="00AF415F"/>
    <w:rsid w:val="00AF769D"/>
    <w:rsid w:val="00B013E4"/>
    <w:rsid w:val="00B02244"/>
    <w:rsid w:val="00B0557A"/>
    <w:rsid w:val="00B07B0F"/>
    <w:rsid w:val="00B14142"/>
    <w:rsid w:val="00B210EB"/>
    <w:rsid w:val="00B21BF1"/>
    <w:rsid w:val="00B2225C"/>
    <w:rsid w:val="00B26BCC"/>
    <w:rsid w:val="00B32503"/>
    <w:rsid w:val="00B347AE"/>
    <w:rsid w:val="00B46A8F"/>
    <w:rsid w:val="00B47A4C"/>
    <w:rsid w:val="00B634BB"/>
    <w:rsid w:val="00B72380"/>
    <w:rsid w:val="00B811CD"/>
    <w:rsid w:val="00B83121"/>
    <w:rsid w:val="00B834CB"/>
    <w:rsid w:val="00B8372F"/>
    <w:rsid w:val="00B85C6D"/>
    <w:rsid w:val="00B85E10"/>
    <w:rsid w:val="00B92627"/>
    <w:rsid w:val="00B94BF9"/>
    <w:rsid w:val="00B967C9"/>
    <w:rsid w:val="00BA318D"/>
    <w:rsid w:val="00BA3EF8"/>
    <w:rsid w:val="00BA553D"/>
    <w:rsid w:val="00BA64AB"/>
    <w:rsid w:val="00BB4CC3"/>
    <w:rsid w:val="00BB4EE0"/>
    <w:rsid w:val="00BB52F7"/>
    <w:rsid w:val="00BB57CA"/>
    <w:rsid w:val="00BC190E"/>
    <w:rsid w:val="00BD68B0"/>
    <w:rsid w:val="00BD6EE6"/>
    <w:rsid w:val="00BE570A"/>
    <w:rsid w:val="00BF123A"/>
    <w:rsid w:val="00BF2C71"/>
    <w:rsid w:val="00BF334B"/>
    <w:rsid w:val="00BF6E58"/>
    <w:rsid w:val="00BF6E82"/>
    <w:rsid w:val="00C042D0"/>
    <w:rsid w:val="00C04F1C"/>
    <w:rsid w:val="00C05AB4"/>
    <w:rsid w:val="00C10398"/>
    <w:rsid w:val="00C1217A"/>
    <w:rsid w:val="00C12B90"/>
    <w:rsid w:val="00C25BA6"/>
    <w:rsid w:val="00C2749A"/>
    <w:rsid w:val="00C31208"/>
    <w:rsid w:val="00C33240"/>
    <w:rsid w:val="00C34168"/>
    <w:rsid w:val="00C41848"/>
    <w:rsid w:val="00C4462B"/>
    <w:rsid w:val="00C5616B"/>
    <w:rsid w:val="00C61AFD"/>
    <w:rsid w:val="00C63236"/>
    <w:rsid w:val="00C6371B"/>
    <w:rsid w:val="00C661BD"/>
    <w:rsid w:val="00C679E2"/>
    <w:rsid w:val="00C70CD9"/>
    <w:rsid w:val="00C70DE7"/>
    <w:rsid w:val="00C734CB"/>
    <w:rsid w:val="00C81AA5"/>
    <w:rsid w:val="00C82A81"/>
    <w:rsid w:val="00C85913"/>
    <w:rsid w:val="00C873A6"/>
    <w:rsid w:val="00C87C06"/>
    <w:rsid w:val="00C929D2"/>
    <w:rsid w:val="00CA01C7"/>
    <w:rsid w:val="00CA1882"/>
    <w:rsid w:val="00CA3B58"/>
    <w:rsid w:val="00CA796E"/>
    <w:rsid w:val="00CC5E5B"/>
    <w:rsid w:val="00CD1EC6"/>
    <w:rsid w:val="00CD28FD"/>
    <w:rsid w:val="00CD4E42"/>
    <w:rsid w:val="00CD52E3"/>
    <w:rsid w:val="00CD6ACF"/>
    <w:rsid w:val="00CE11EA"/>
    <w:rsid w:val="00CE12ED"/>
    <w:rsid w:val="00CE1EB5"/>
    <w:rsid w:val="00CE20D7"/>
    <w:rsid w:val="00CF1BC9"/>
    <w:rsid w:val="00CF1D73"/>
    <w:rsid w:val="00CF212C"/>
    <w:rsid w:val="00CF47BC"/>
    <w:rsid w:val="00CF706E"/>
    <w:rsid w:val="00CF7641"/>
    <w:rsid w:val="00D01196"/>
    <w:rsid w:val="00D015FD"/>
    <w:rsid w:val="00D01965"/>
    <w:rsid w:val="00D13371"/>
    <w:rsid w:val="00D22149"/>
    <w:rsid w:val="00D2745C"/>
    <w:rsid w:val="00D27559"/>
    <w:rsid w:val="00D32885"/>
    <w:rsid w:val="00D37475"/>
    <w:rsid w:val="00D403AF"/>
    <w:rsid w:val="00D42BD3"/>
    <w:rsid w:val="00D44A6F"/>
    <w:rsid w:val="00D454F5"/>
    <w:rsid w:val="00D5510E"/>
    <w:rsid w:val="00D61AB0"/>
    <w:rsid w:val="00D63BB3"/>
    <w:rsid w:val="00D64A3C"/>
    <w:rsid w:val="00D72206"/>
    <w:rsid w:val="00D734A6"/>
    <w:rsid w:val="00D74145"/>
    <w:rsid w:val="00D76F8A"/>
    <w:rsid w:val="00D7731A"/>
    <w:rsid w:val="00D804A1"/>
    <w:rsid w:val="00D8069F"/>
    <w:rsid w:val="00D80CFA"/>
    <w:rsid w:val="00D816DA"/>
    <w:rsid w:val="00D82D7D"/>
    <w:rsid w:val="00D872E4"/>
    <w:rsid w:val="00D933D1"/>
    <w:rsid w:val="00D93A62"/>
    <w:rsid w:val="00D9620C"/>
    <w:rsid w:val="00D9638C"/>
    <w:rsid w:val="00DA621E"/>
    <w:rsid w:val="00DA7167"/>
    <w:rsid w:val="00DB0181"/>
    <w:rsid w:val="00DB4E31"/>
    <w:rsid w:val="00DB78A1"/>
    <w:rsid w:val="00DC3AA8"/>
    <w:rsid w:val="00DC55BE"/>
    <w:rsid w:val="00DD0852"/>
    <w:rsid w:val="00DD0DAA"/>
    <w:rsid w:val="00DD0F95"/>
    <w:rsid w:val="00DD2B05"/>
    <w:rsid w:val="00DD50C2"/>
    <w:rsid w:val="00DE0E5F"/>
    <w:rsid w:val="00DE408A"/>
    <w:rsid w:val="00DE5E79"/>
    <w:rsid w:val="00DF3226"/>
    <w:rsid w:val="00DF4787"/>
    <w:rsid w:val="00E004E5"/>
    <w:rsid w:val="00E064D7"/>
    <w:rsid w:val="00E078A8"/>
    <w:rsid w:val="00E07B6E"/>
    <w:rsid w:val="00E126AC"/>
    <w:rsid w:val="00E14275"/>
    <w:rsid w:val="00E15396"/>
    <w:rsid w:val="00E15B66"/>
    <w:rsid w:val="00E202D0"/>
    <w:rsid w:val="00E22C75"/>
    <w:rsid w:val="00E26B72"/>
    <w:rsid w:val="00E26E93"/>
    <w:rsid w:val="00E32245"/>
    <w:rsid w:val="00E3239E"/>
    <w:rsid w:val="00E3376B"/>
    <w:rsid w:val="00E34D9A"/>
    <w:rsid w:val="00E375BA"/>
    <w:rsid w:val="00E4320E"/>
    <w:rsid w:val="00E4532C"/>
    <w:rsid w:val="00E45C64"/>
    <w:rsid w:val="00E47C02"/>
    <w:rsid w:val="00E507CA"/>
    <w:rsid w:val="00E51198"/>
    <w:rsid w:val="00E63614"/>
    <w:rsid w:val="00E67550"/>
    <w:rsid w:val="00E752DC"/>
    <w:rsid w:val="00E80676"/>
    <w:rsid w:val="00E80D54"/>
    <w:rsid w:val="00E81140"/>
    <w:rsid w:val="00E82352"/>
    <w:rsid w:val="00E85C45"/>
    <w:rsid w:val="00E92677"/>
    <w:rsid w:val="00E97407"/>
    <w:rsid w:val="00EA222F"/>
    <w:rsid w:val="00EA451F"/>
    <w:rsid w:val="00EA48CE"/>
    <w:rsid w:val="00EA67F6"/>
    <w:rsid w:val="00EB2772"/>
    <w:rsid w:val="00EB4794"/>
    <w:rsid w:val="00EC190E"/>
    <w:rsid w:val="00EC2A43"/>
    <w:rsid w:val="00EC6AC1"/>
    <w:rsid w:val="00ED7159"/>
    <w:rsid w:val="00EE0535"/>
    <w:rsid w:val="00EE381C"/>
    <w:rsid w:val="00EE4BA2"/>
    <w:rsid w:val="00EE631F"/>
    <w:rsid w:val="00EF1A2D"/>
    <w:rsid w:val="00EF3AE7"/>
    <w:rsid w:val="00EF7976"/>
    <w:rsid w:val="00F017F1"/>
    <w:rsid w:val="00F020F8"/>
    <w:rsid w:val="00F02BFF"/>
    <w:rsid w:val="00F144D3"/>
    <w:rsid w:val="00F16681"/>
    <w:rsid w:val="00F1714A"/>
    <w:rsid w:val="00F22217"/>
    <w:rsid w:val="00F27AF1"/>
    <w:rsid w:val="00F32678"/>
    <w:rsid w:val="00F33E8B"/>
    <w:rsid w:val="00F34E58"/>
    <w:rsid w:val="00F35809"/>
    <w:rsid w:val="00F362C9"/>
    <w:rsid w:val="00F41F37"/>
    <w:rsid w:val="00F4556A"/>
    <w:rsid w:val="00F47688"/>
    <w:rsid w:val="00F507E7"/>
    <w:rsid w:val="00F519EA"/>
    <w:rsid w:val="00F53246"/>
    <w:rsid w:val="00F536A5"/>
    <w:rsid w:val="00F6086C"/>
    <w:rsid w:val="00F60EE2"/>
    <w:rsid w:val="00F61B8E"/>
    <w:rsid w:val="00F61FF1"/>
    <w:rsid w:val="00F762EE"/>
    <w:rsid w:val="00F82086"/>
    <w:rsid w:val="00F86F50"/>
    <w:rsid w:val="00F91375"/>
    <w:rsid w:val="00F93F9B"/>
    <w:rsid w:val="00F93FA2"/>
    <w:rsid w:val="00F95451"/>
    <w:rsid w:val="00F96333"/>
    <w:rsid w:val="00FA6DF5"/>
    <w:rsid w:val="00FB139B"/>
    <w:rsid w:val="00FB4150"/>
    <w:rsid w:val="00FB5640"/>
    <w:rsid w:val="00FB7113"/>
    <w:rsid w:val="00FC16F5"/>
    <w:rsid w:val="00FC3D13"/>
    <w:rsid w:val="00FD1D24"/>
    <w:rsid w:val="00FD2745"/>
    <w:rsid w:val="00FD5136"/>
    <w:rsid w:val="00FE3B5B"/>
    <w:rsid w:val="00FE3C3A"/>
    <w:rsid w:val="00FE4CB1"/>
    <w:rsid w:val="00FF1E66"/>
    <w:rsid w:val="00FF2B93"/>
    <w:rsid w:val="00FF693A"/>
    <w:rsid w:val="00FF7D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06B6077-BFC9-4455-9BCC-887156AF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E79"/>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DE5E79"/>
    <w:pPr>
      <w:keepNext/>
      <w:suppressAutoHyphens/>
      <w:spacing w:before="240" w:line="228" w:lineRule="auto"/>
      <w:jc w:val="center"/>
      <w:outlineLvl w:val="1"/>
    </w:pPr>
    <w:rPr>
      <w:spacing w:val="-2"/>
    </w:rPr>
  </w:style>
  <w:style w:type="paragraph" w:styleId="Heading3">
    <w:name w:val="heading 3"/>
    <w:basedOn w:val="Normal"/>
    <w:next w:val="Normal"/>
    <w:link w:val="Heading3Char"/>
    <w:uiPriority w:val="9"/>
    <w:semiHidden/>
    <w:unhideWhenUsed/>
    <w:qFormat/>
    <w:rsid w:val="00781C1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E79"/>
    <w:rPr>
      <w:rFonts w:ascii="Times New Roman" w:eastAsia="Times New Roman" w:hAnsi="Times New Roman" w:cs="Times New Roman"/>
      <w:snapToGrid w:val="0"/>
      <w:spacing w:val="-2"/>
      <w:sz w:val="24"/>
      <w:szCs w:val="20"/>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St,f,fn,fn Char,fn Char Char,rrfootnote"/>
    <w:basedOn w:val="Normal"/>
    <w:link w:val="FootnoteTextChar"/>
    <w:qFormat/>
    <w:rsid w:val="00DE5E79"/>
    <w:pPr>
      <w:widowControl/>
      <w:spacing w:after="120"/>
    </w:pPr>
    <w:rPr>
      <w:sz w:val="2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rsid w:val="00DE5E79"/>
    <w:rPr>
      <w:rFonts w:ascii="Times New Roman" w:eastAsia="Times New Roman" w:hAnsi="Times New Roman" w:cs="Times New Roman"/>
      <w:snapToGrid w:val="0"/>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rsid w:val="00DE5E79"/>
    <w:rPr>
      <w:rFonts w:ascii="CG Times" w:hAnsi="CG Times"/>
      <w:sz w:val="20"/>
      <w:vertAlign w:val="superscript"/>
    </w:rPr>
  </w:style>
  <w:style w:type="paragraph" w:styleId="Footer">
    <w:name w:val="footer"/>
    <w:basedOn w:val="Normal"/>
    <w:link w:val="FooterChar"/>
    <w:rsid w:val="00DE5E79"/>
    <w:pPr>
      <w:tabs>
        <w:tab w:val="center" w:pos="4320"/>
        <w:tab w:val="right" w:pos="8640"/>
      </w:tabs>
    </w:pPr>
  </w:style>
  <w:style w:type="character" w:customStyle="1" w:styleId="FooterChar">
    <w:name w:val="Footer Char"/>
    <w:basedOn w:val="DefaultParagraphFont"/>
    <w:link w:val="Footer"/>
    <w:rsid w:val="00DE5E79"/>
    <w:rPr>
      <w:rFonts w:ascii="Times New Roman" w:eastAsia="Times New Roman" w:hAnsi="Times New Roman" w:cs="Times New Roman"/>
      <w:snapToGrid w:val="0"/>
      <w:sz w:val="24"/>
      <w:szCs w:val="20"/>
    </w:rPr>
  </w:style>
  <w:style w:type="character" w:styleId="PageNumber">
    <w:name w:val="page number"/>
    <w:basedOn w:val="DefaultParagraphFont"/>
    <w:rsid w:val="00DE5E79"/>
  </w:style>
  <w:style w:type="paragraph" w:styleId="BodyText">
    <w:name w:val="Body Text"/>
    <w:basedOn w:val="Normal"/>
    <w:link w:val="BodyTextChar"/>
    <w:rsid w:val="00DE5E79"/>
    <w:pPr>
      <w:widowControl/>
      <w:jc w:val="both"/>
    </w:pPr>
    <w:rPr>
      <w:snapToGrid/>
    </w:rPr>
  </w:style>
  <w:style w:type="character" w:customStyle="1" w:styleId="BodyTextChar">
    <w:name w:val="Body Text Char"/>
    <w:basedOn w:val="DefaultParagraphFont"/>
    <w:link w:val="BodyText"/>
    <w:rsid w:val="00DE5E79"/>
    <w:rPr>
      <w:rFonts w:ascii="Times New Roman" w:eastAsia="Times New Roman" w:hAnsi="Times New Roman" w:cs="Times New Roman"/>
      <w:sz w:val="24"/>
      <w:szCs w:val="20"/>
    </w:rPr>
  </w:style>
  <w:style w:type="paragraph" w:styleId="BodyText3">
    <w:name w:val="Body Text 3"/>
    <w:basedOn w:val="Normal"/>
    <w:link w:val="BodyText3Char"/>
    <w:rsid w:val="00DE5E79"/>
    <w:pPr>
      <w:spacing w:after="120"/>
    </w:pPr>
    <w:rPr>
      <w:sz w:val="16"/>
      <w:szCs w:val="16"/>
    </w:rPr>
  </w:style>
  <w:style w:type="character" w:customStyle="1" w:styleId="BodyText3Char">
    <w:name w:val="Body Text 3 Char"/>
    <w:basedOn w:val="DefaultParagraphFont"/>
    <w:link w:val="BodyText3"/>
    <w:rsid w:val="00DE5E79"/>
    <w:rPr>
      <w:rFonts w:ascii="Times New Roman" w:eastAsia="Times New Roman" w:hAnsi="Times New Roman" w:cs="Times New Roman"/>
      <w:snapToGrid w:val="0"/>
      <w:sz w:val="16"/>
      <w:szCs w:val="16"/>
    </w:rPr>
  </w:style>
  <w:style w:type="paragraph" w:styleId="ListParagraph">
    <w:name w:val="List Paragraph"/>
    <w:basedOn w:val="Normal"/>
    <w:uiPriority w:val="34"/>
    <w:qFormat/>
    <w:rsid w:val="00DE5E79"/>
    <w:pPr>
      <w:ind w:left="720"/>
      <w:contextualSpacing/>
    </w:pPr>
  </w:style>
  <w:style w:type="character" w:customStyle="1" w:styleId="documentbody5">
    <w:name w:val="documentbody5"/>
    <w:rsid w:val="00DE5E79"/>
    <w:rPr>
      <w:rFonts w:ascii="Verdana" w:hAnsi="Verdana" w:hint="default"/>
      <w:sz w:val="19"/>
      <w:szCs w:val="19"/>
    </w:rPr>
  </w:style>
  <w:style w:type="character" w:styleId="Hyperlink">
    <w:name w:val="Hyperlink"/>
    <w:basedOn w:val="DefaultParagraphFont"/>
    <w:uiPriority w:val="99"/>
    <w:unhideWhenUsed/>
    <w:rsid w:val="00DE5E79"/>
    <w:rPr>
      <w:color w:val="0000FF" w:themeColor="hyperlink"/>
      <w:u w:val="single"/>
    </w:rPr>
  </w:style>
  <w:style w:type="character" w:styleId="FollowedHyperlink">
    <w:name w:val="FollowedHyperlink"/>
    <w:basedOn w:val="DefaultParagraphFont"/>
    <w:uiPriority w:val="99"/>
    <w:semiHidden/>
    <w:unhideWhenUsed/>
    <w:rsid w:val="00B94BF9"/>
    <w:rPr>
      <w:color w:val="800080" w:themeColor="followedHyperlink"/>
      <w:u w:val="single"/>
    </w:rPr>
  </w:style>
  <w:style w:type="paragraph" w:styleId="Header">
    <w:name w:val="header"/>
    <w:basedOn w:val="Normal"/>
    <w:link w:val="HeaderChar"/>
    <w:uiPriority w:val="99"/>
    <w:unhideWhenUsed/>
    <w:rsid w:val="00FD1D24"/>
    <w:pPr>
      <w:tabs>
        <w:tab w:val="center" w:pos="4680"/>
        <w:tab w:val="right" w:pos="9360"/>
      </w:tabs>
    </w:pPr>
  </w:style>
  <w:style w:type="character" w:customStyle="1" w:styleId="HeaderChar">
    <w:name w:val="Header Char"/>
    <w:basedOn w:val="DefaultParagraphFont"/>
    <w:link w:val="Header"/>
    <w:uiPriority w:val="99"/>
    <w:rsid w:val="00FD1D2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F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25"/>
    <w:rPr>
      <w:rFonts w:ascii="Segoe UI" w:eastAsia="Times New Roman" w:hAnsi="Segoe UI" w:cs="Segoe UI"/>
      <w:snapToGrid w:val="0"/>
      <w:sz w:val="18"/>
      <w:szCs w:val="18"/>
    </w:rPr>
  </w:style>
  <w:style w:type="character" w:customStyle="1" w:styleId="FootnoteTextChar2">
    <w:name w:val="Footnote Text Char2"/>
    <w:aliases w:val="Footnote Text Char Char1 Char Char,Footnote Text Char Char1 Char Char Char1 Char,Footnote Text Char1 Char Char,Footnote Text Char1 Char Char Char1 Char Char Char,Footnote Text Char1 Char1,Footnote Text Char2 Char1 Char Char Char"/>
    <w:locked/>
    <w:rsid w:val="005A1CF0"/>
    <w:rPr>
      <w:rFonts w:ascii="Times New Roman" w:eastAsia="Times New Roman" w:hAnsi="Times New Roman" w:cs="Times New Roman"/>
      <w:sz w:val="20"/>
      <w:szCs w:val="20"/>
    </w:rPr>
  </w:style>
  <w:style w:type="paragraph" w:customStyle="1" w:styleId="ParaNum">
    <w:name w:val="ParaNum"/>
    <w:basedOn w:val="Normal"/>
    <w:link w:val="ParaNumChar"/>
    <w:rsid w:val="005A1CF0"/>
    <w:pPr>
      <w:numPr>
        <w:numId w:val="4"/>
      </w:numPr>
      <w:spacing w:after="120"/>
    </w:pPr>
    <w:rPr>
      <w:kern w:val="28"/>
      <w:sz w:val="22"/>
    </w:rPr>
  </w:style>
  <w:style w:type="character" w:customStyle="1" w:styleId="ParaNumChar">
    <w:name w:val="ParaNum Char"/>
    <w:link w:val="ParaNum"/>
    <w:locked/>
    <w:rsid w:val="005A1CF0"/>
    <w:rPr>
      <w:rFonts w:ascii="Times New Roman" w:eastAsia="Times New Roman" w:hAnsi="Times New Roman" w:cs="Times New Roman"/>
      <w:snapToGrid w:val="0"/>
      <w:kern w:val="28"/>
      <w:szCs w:val="20"/>
    </w:rPr>
  </w:style>
  <w:style w:type="character" w:customStyle="1" w:styleId="documentbody">
    <w:name w:val="documentbody"/>
    <w:rsid w:val="005A1CF0"/>
    <w:rPr>
      <w:rFonts w:cs="Times New Roman"/>
    </w:rPr>
  </w:style>
  <w:style w:type="character" w:styleId="Emphasis">
    <w:name w:val="Emphasis"/>
    <w:basedOn w:val="DefaultParagraphFont"/>
    <w:uiPriority w:val="20"/>
    <w:qFormat/>
    <w:rsid w:val="005A1CF0"/>
    <w:rPr>
      <w:i/>
      <w:iCs/>
    </w:rPr>
  </w:style>
  <w:style w:type="character" w:customStyle="1" w:styleId="cosearchterm">
    <w:name w:val="co_searchterm"/>
    <w:basedOn w:val="DefaultParagraphFont"/>
    <w:rsid w:val="005A1CF0"/>
  </w:style>
  <w:style w:type="character" w:customStyle="1" w:styleId="FootnoteTextChar5">
    <w:name w:val="Footnote Text Char5"/>
    <w:aliases w:val="Footnote Text Char Char Char Char Char,Footnote Text Char Char Char Char Char Char Char,Footnote Text Char1 Char Char Char Char Char,Footnote Text Char1 Char1 Char Char,Footnote Text Char3 Char Char Char Char Char Char Char Char"/>
    <w:rsid w:val="002073F7"/>
  </w:style>
  <w:style w:type="character" w:styleId="CommentReference">
    <w:name w:val="annotation reference"/>
    <w:basedOn w:val="DefaultParagraphFont"/>
    <w:uiPriority w:val="99"/>
    <w:semiHidden/>
    <w:unhideWhenUsed/>
    <w:rsid w:val="0027253D"/>
    <w:rPr>
      <w:sz w:val="16"/>
      <w:szCs w:val="16"/>
    </w:rPr>
  </w:style>
  <w:style w:type="paragraph" w:styleId="CommentText">
    <w:name w:val="annotation text"/>
    <w:basedOn w:val="Normal"/>
    <w:link w:val="CommentTextChar"/>
    <w:uiPriority w:val="99"/>
    <w:semiHidden/>
    <w:unhideWhenUsed/>
    <w:rsid w:val="0027253D"/>
    <w:rPr>
      <w:sz w:val="20"/>
    </w:rPr>
  </w:style>
  <w:style w:type="character" w:customStyle="1" w:styleId="CommentTextChar">
    <w:name w:val="Comment Text Char"/>
    <w:basedOn w:val="DefaultParagraphFont"/>
    <w:link w:val="CommentText"/>
    <w:uiPriority w:val="99"/>
    <w:semiHidden/>
    <w:rsid w:val="0027253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7253D"/>
    <w:rPr>
      <w:b/>
      <w:bCs/>
    </w:rPr>
  </w:style>
  <w:style w:type="character" w:customStyle="1" w:styleId="CommentSubjectChar">
    <w:name w:val="Comment Subject Char"/>
    <w:basedOn w:val="CommentTextChar"/>
    <w:link w:val="CommentSubject"/>
    <w:uiPriority w:val="99"/>
    <w:semiHidden/>
    <w:rsid w:val="0027253D"/>
    <w:rPr>
      <w:rFonts w:ascii="Times New Roman" w:eastAsia="Times New Roman" w:hAnsi="Times New Roman" w:cs="Times New Roman"/>
      <w:b/>
      <w:bCs/>
      <w:snapToGrid w:val="0"/>
      <w:sz w:val="20"/>
      <w:szCs w:val="20"/>
    </w:rPr>
  </w:style>
  <w:style w:type="character" w:styleId="PlaceholderText">
    <w:name w:val="Placeholder Text"/>
    <w:basedOn w:val="DefaultParagraphFont"/>
    <w:uiPriority w:val="99"/>
    <w:semiHidden/>
    <w:rsid w:val="00F86F50"/>
    <w:rPr>
      <w:color w:val="808080"/>
    </w:rPr>
  </w:style>
  <w:style w:type="character" w:customStyle="1" w:styleId="Heading3Char">
    <w:name w:val="Heading 3 Char"/>
    <w:basedOn w:val="DefaultParagraphFont"/>
    <w:link w:val="Heading3"/>
    <w:uiPriority w:val="9"/>
    <w:semiHidden/>
    <w:rsid w:val="00781C1A"/>
    <w:rPr>
      <w:rFonts w:asciiTheme="majorHAnsi" w:eastAsiaTheme="majorEastAsia" w:hAnsiTheme="majorHAnsi" w:cstheme="majorBidi"/>
      <w:snapToGrid w:val="0"/>
      <w:color w:val="243F60" w:themeColor="accent1" w:themeShade="7F"/>
      <w:sz w:val="24"/>
      <w:szCs w:val="24"/>
    </w:rPr>
  </w:style>
  <w:style w:type="character" w:customStyle="1" w:styleId="UnresolvedMention">
    <w:name w:val="Unresolved Mention"/>
    <w:basedOn w:val="DefaultParagraphFont"/>
    <w:uiPriority w:val="99"/>
    <w:semiHidden/>
    <w:unhideWhenUsed/>
    <w:rsid w:val="00904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