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A3634E" w:rsidRPr="00E05F47" w:rsidP="00E05F47" w14:paraId="71142D2F" w14:textId="77777777">
      <w:pPr>
        <w:jc w:val="right"/>
        <w:rPr>
          <w:b/>
          <w:i/>
          <w:iCs/>
          <w:szCs w:val="22"/>
        </w:rPr>
      </w:pPr>
      <w:bookmarkStart w:id="0" w:name="_GoBack"/>
      <w:bookmarkEnd w:id="0"/>
    </w:p>
    <w:p w:rsidR="00013A8B" w:rsidRPr="00934758" w:rsidP="00013A8B" w14:paraId="6789FFAE" w14:textId="446B9C36">
      <w:pPr>
        <w:jc w:val="right"/>
        <w:rPr>
          <w:b/>
          <w:szCs w:val="22"/>
        </w:rPr>
      </w:pPr>
      <w:r>
        <w:rPr>
          <w:b/>
          <w:szCs w:val="22"/>
        </w:rPr>
        <w:t>DA</w:t>
      </w:r>
      <w:r w:rsidR="00181A6F">
        <w:rPr>
          <w:b/>
          <w:szCs w:val="22"/>
        </w:rPr>
        <w:t xml:space="preserve"> 20-</w:t>
      </w:r>
      <w:r w:rsidRPr="00555ABD" w:rsidR="00555ABD">
        <w:rPr>
          <w:b/>
          <w:szCs w:val="22"/>
        </w:rPr>
        <w:t>1384</w:t>
      </w:r>
    </w:p>
    <w:p w:rsidR="00013A8B" w:rsidRPr="00934758" w:rsidP="00013A8B" w14:paraId="34229273" w14:textId="3F0C982E">
      <w:pPr>
        <w:spacing w:before="60"/>
        <w:jc w:val="right"/>
        <w:rPr>
          <w:b/>
          <w:szCs w:val="22"/>
        </w:rPr>
      </w:pPr>
      <w:r w:rsidRPr="00934758">
        <w:rPr>
          <w:b/>
          <w:szCs w:val="22"/>
        </w:rPr>
        <w:t xml:space="preserve">Released:  </w:t>
      </w:r>
      <w:r w:rsidR="00A3634E">
        <w:rPr>
          <w:b/>
          <w:szCs w:val="22"/>
        </w:rPr>
        <w:t xml:space="preserve">November </w:t>
      </w:r>
      <w:r w:rsidR="006C1B1F">
        <w:rPr>
          <w:b/>
          <w:szCs w:val="22"/>
        </w:rPr>
        <w:t>20</w:t>
      </w:r>
      <w:r w:rsidR="00A3634E">
        <w:rPr>
          <w:b/>
          <w:szCs w:val="22"/>
        </w:rPr>
        <w:t>,</w:t>
      </w:r>
      <w:r w:rsidR="00EB3236">
        <w:rPr>
          <w:b/>
          <w:szCs w:val="22"/>
        </w:rPr>
        <w:t xml:space="preserve"> </w:t>
      </w:r>
      <w:r w:rsidR="00A3634E">
        <w:rPr>
          <w:b/>
          <w:szCs w:val="22"/>
        </w:rPr>
        <w:t>2020</w:t>
      </w:r>
    </w:p>
    <w:p w:rsidR="00013A8B" w:rsidRPr="00934758" w:rsidP="00013A8B" w14:paraId="2D591042" w14:textId="77777777">
      <w:pPr>
        <w:jc w:val="right"/>
        <w:rPr>
          <w:szCs w:val="22"/>
        </w:rPr>
      </w:pPr>
    </w:p>
    <w:p w:rsidR="00013A8B" w:rsidRPr="00934758" w14:paraId="4CD17C95" w14:textId="62E131B5">
      <w:pPr>
        <w:spacing w:after="240"/>
        <w:jc w:val="center"/>
        <w:rPr>
          <w:b/>
          <w:caps/>
          <w:szCs w:val="22"/>
        </w:rPr>
      </w:pPr>
      <w:r>
        <w:rPr>
          <w:b/>
          <w:caps/>
          <w:szCs w:val="22"/>
        </w:rPr>
        <w:t xml:space="preserve">CELLCO PARTNERSHIP D/B/A </w:t>
      </w:r>
      <w:r w:rsidRPr="00F0099B" w:rsidR="00F0099B">
        <w:rPr>
          <w:b/>
          <w:caps/>
          <w:szCs w:val="22"/>
        </w:rPr>
        <w:t xml:space="preserve">VErizon Wireless and BlueGrass </w:t>
      </w:r>
      <w:r>
        <w:rPr>
          <w:b/>
          <w:caps/>
          <w:szCs w:val="22"/>
        </w:rPr>
        <w:t xml:space="preserve">CELLULAR INC. </w:t>
      </w:r>
      <w:r w:rsidRPr="00F0099B" w:rsidR="00F0099B">
        <w:rPr>
          <w:b/>
          <w:caps/>
          <w:szCs w:val="22"/>
        </w:rPr>
        <w:t xml:space="preserve">seek fcc consent to the assignment of </w:t>
      </w:r>
      <w:r w:rsidR="006D4575">
        <w:rPr>
          <w:b/>
          <w:caps/>
          <w:szCs w:val="22"/>
        </w:rPr>
        <w:t xml:space="preserve">LICENSES FOR </w:t>
      </w:r>
      <w:r w:rsidRPr="00F0099B" w:rsidR="00F0099B">
        <w:rPr>
          <w:b/>
          <w:caps/>
          <w:szCs w:val="22"/>
        </w:rPr>
        <w:t xml:space="preserve">600 MHz, 700 MHz, Cellular, Personal Communications Service, Upper Microwave Flexible Use Service, and microwave </w:t>
      </w:r>
      <w:r w:rsidR="006D4575">
        <w:rPr>
          <w:b/>
          <w:caps/>
          <w:szCs w:val="22"/>
        </w:rPr>
        <w:t xml:space="preserve">SERVICE </w:t>
      </w:r>
      <w:r w:rsidRPr="00F0099B" w:rsidR="00F0099B">
        <w:rPr>
          <w:b/>
          <w:caps/>
          <w:szCs w:val="22"/>
        </w:rPr>
        <w:t>Held By Bluegrass To Verizon Wireless</w:t>
      </w:r>
    </w:p>
    <w:p w:rsidR="00100CA5" w:rsidRPr="00934758" w:rsidP="00E05F47" w14:paraId="7AC3E391" w14:textId="0EA77C7F">
      <w:pPr>
        <w:spacing w:after="240"/>
        <w:jc w:val="center"/>
        <w:rPr>
          <w:b/>
          <w:szCs w:val="22"/>
        </w:rPr>
      </w:pPr>
      <w:r w:rsidRPr="00934758">
        <w:rPr>
          <w:b/>
          <w:szCs w:val="22"/>
        </w:rPr>
        <w:t xml:space="preserve">WT Docket No. </w:t>
      </w:r>
      <w:r w:rsidRPr="00555ABD" w:rsidR="00015451">
        <w:rPr>
          <w:b/>
          <w:bCs/>
        </w:rPr>
        <w:t>20-387</w:t>
      </w:r>
    </w:p>
    <w:p w:rsidR="00013A8B" w:rsidRPr="00934758" w:rsidP="00013A8B" w14:paraId="1BA53A58" w14:textId="474C755E">
      <w:pPr>
        <w:spacing w:after="240"/>
        <w:jc w:val="center"/>
        <w:rPr>
          <w:b/>
          <w:szCs w:val="22"/>
        </w:rPr>
      </w:pPr>
      <w:r>
        <w:rPr>
          <w:b/>
          <w:szCs w:val="22"/>
        </w:rPr>
        <w:t>PLEADING CYCLE ESTABLISHED</w:t>
      </w:r>
    </w:p>
    <w:p w:rsidR="00F96F63" w:rsidRPr="00934758" w:rsidP="00F96F63" w14:paraId="6D96AE75" w14:textId="743CDCFE">
      <w:pPr>
        <w:rPr>
          <w:b/>
          <w:szCs w:val="22"/>
        </w:rPr>
      </w:pPr>
      <w:r w:rsidRPr="00934758">
        <w:rPr>
          <w:b/>
          <w:szCs w:val="22"/>
        </w:rPr>
        <w:t xml:space="preserve">Petitions to Deny Due: </w:t>
      </w:r>
      <w:r w:rsidR="00734D44">
        <w:rPr>
          <w:b/>
          <w:szCs w:val="22"/>
        </w:rPr>
        <w:tab/>
        <w:t>December 1</w:t>
      </w:r>
      <w:r w:rsidR="009A7493">
        <w:rPr>
          <w:b/>
          <w:szCs w:val="22"/>
        </w:rPr>
        <w:t>0</w:t>
      </w:r>
      <w:r w:rsidR="00734D44">
        <w:rPr>
          <w:b/>
          <w:szCs w:val="22"/>
        </w:rPr>
        <w:t>, 2020</w:t>
      </w:r>
    </w:p>
    <w:p w:rsidR="00583B55" w:rsidRPr="00934758" w:rsidP="00F96F63" w14:paraId="48AF9F03" w14:textId="404DBC4C">
      <w:pPr>
        <w:rPr>
          <w:b/>
          <w:szCs w:val="22"/>
        </w:rPr>
      </w:pPr>
      <w:r w:rsidRPr="00934758">
        <w:rPr>
          <w:b/>
          <w:szCs w:val="22"/>
        </w:rPr>
        <w:t>Oppositions Due:</w:t>
      </w:r>
      <w:r w:rsidRPr="00934758" w:rsidR="0026286A">
        <w:rPr>
          <w:b/>
          <w:szCs w:val="22"/>
        </w:rPr>
        <w:t xml:space="preserve"> </w:t>
      </w:r>
      <w:r w:rsidR="00734D44">
        <w:rPr>
          <w:b/>
          <w:szCs w:val="22"/>
        </w:rPr>
        <w:tab/>
      </w:r>
      <w:r w:rsidR="00734D44">
        <w:rPr>
          <w:b/>
          <w:szCs w:val="22"/>
        </w:rPr>
        <w:tab/>
        <w:t>December 21, 2020</w:t>
      </w:r>
    </w:p>
    <w:p w:rsidR="00583B55" w:rsidRPr="00934758" w:rsidP="00F96F63" w14:paraId="14740E22" w14:textId="26B8092A">
      <w:pPr>
        <w:rPr>
          <w:b/>
          <w:szCs w:val="22"/>
        </w:rPr>
      </w:pPr>
      <w:r w:rsidRPr="00934758">
        <w:rPr>
          <w:b/>
          <w:szCs w:val="22"/>
        </w:rPr>
        <w:t xml:space="preserve">Replies Due: </w:t>
      </w:r>
      <w:r w:rsidR="00734D44">
        <w:rPr>
          <w:b/>
          <w:szCs w:val="22"/>
        </w:rPr>
        <w:tab/>
      </w:r>
      <w:r w:rsidR="00734D44">
        <w:rPr>
          <w:b/>
          <w:szCs w:val="22"/>
        </w:rPr>
        <w:tab/>
      </w:r>
      <w:r w:rsidR="00734D44">
        <w:rPr>
          <w:b/>
          <w:szCs w:val="22"/>
        </w:rPr>
        <w:tab/>
        <w:t>December 29, 2020</w:t>
      </w:r>
    </w:p>
    <w:p w:rsidR="00583B55" w:rsidRPr="00934758" w:rsidP="00F96F63" w14:paraId="434EF23D" w14:textId="77777777">
      <w:pPr>
        <w:rPr>
          <w:b/>
          <w:szCs w:val="22"/>
        </w:rPr>
      </w:pPr>
    </w:p>
    <w:p w:rsidR="00583B55" w:rsidRPr="00934758" w:rsidP="00E05F47" w14:paraId="46AFD75D" w14:textId="77777777">
      <w:pPr>
        <w:pStyle w:val="Heading1"/>
      </w:pPr>
      <w:r w:rsidRPr="00934758">
        <w:t>INTRODUCTION</w:t>
      </w:r>
    </w:p>
    <w:p w:rsidR="00930ECF" w:rsidRPr="00833C81" w:rsidP="003F0780" w14:paraId="00AF3697" w14:textId="1E525807">
      <w:pPr>
        <w:spacing w:after="120"/>
        <w:ind w:firstLine="720"/>
        <w:rPr>
          <w:sz w:val="24"/>
          <w:szCs w:val="24"/>
        </w:rPr>
      </w:pPr>
      <w:r w:rsidRPr="002D516E">
        <w:rPr>
          <w:szCs w:val="22"/>
        </w:rPr>
        <w:t>Cellco</w:t>
      </w:r>
      <w:r w:rsidRPr="002D516E">
        <w:rPr>
          <w:szCs w:val="22"/>
        </w:rPr>
        <w:t xml:space="preserve"> Partnership d/b/a Verizon Wireless (Verizon</w:t>
      </w:r>
      <w:r w:rsidRPr="002D516E" w:rsidR="000D2F2E">
        <w:rPr>
          <w:szCs w:val="22"/>
        </w:rPr>
        <w:t xml:space="preserve"> Wireless</w:t>
      </w:r>
      <w:r w:rsidRPr="002D516E" w:rsidR="008060EE">
        <w:rPr>
          <w:szCs w:val="22"/>
        </w:rPr>
        <w:t xml:space="preserve">) </w:t>
      </w:r>
      <w:r w:rsidRPr="002D516E">
        <w:rPr>
          <w:szCs w:val="22"/>
        </w:rPr>
        <w:t xml:space="preserve">and </w:t>
      </w:r>
      <w:r w:rsidRPr="002D516E" w:rsidR="008A26F3">
        <w:rPr>
          <w:szCs w:val="22"/>
        </w:rPr>
        <w:t>Bluegrass</w:t>
      </w:r>
      <w:r w:rsidR="007C1397">
        <w:rPr>
          <w:szCs w:val="22"/>
        </w:rPr>
        <w:t xml:space="preserve"> Cellular Inc. (together with its affiliates, Bluegrass)</w:t>
      </w:r>
      <w:r>
        <w:rPr>
          <w:sz w:val="20"/>
          <w:vertAlign w:val="superscript"/>
        </w:rPr>
        <w:footnoteReference w:id="3"/>
      </w:r>
      <w:r w:rsidR="008828B7">
        <w:rPr>
          <w:szCs w:val="22"/>
        </w:rPr>
        <w:t xml:space="preserve"> </w:t>
      </w:r>
      <w:r w:rsidRPr="002D516E" w:rsidR="000B6C80">
        <w:rPr>
          <w:szCs w:val="22"/>
        </w:rPr>
        <w:t>have filed application</w:t>
      </w:r>
      <w:r w:rsidR="00412F64">
        <w:rPr>
          <w:szCs w:val="22"/>
        </w:rPr>
        <w:t>s</w:t>
      </w:r>
      <w:r w:rsidRPr="002D516E" w:rsidR="000B6C80">
        <w:rPr>
          <w:szCs w:val="22"/>
        </w:rPr>
        <w:t xml:space="preserve"> pursuant to section 310</w:t>
      </w:r>
      <w:r w:rsidRPr="002D516E" w:rsidR="0040314C">
        <w:rPr>
          <w:szCs w:val="22"/>
        </w:rPr>
        <w:t>(d) of the Communications Act of 1934, as amended,</w:t>
      </w:r>
      <w:r>
        <w:rPr>
          <w:rStyle w:val="FootnoteReference"/>
          <w:sz w:val="20"/>
        </w:rPr>
        <w:footnoteReference w:id="4"/>
      </w:r>
      <w:r w:rsidRPr="001A25E4" w:rsidR="0040314C">
        <w:rPr>
          <w:szCs w:val="22"/>
        </w:rPr>
        <w:t xml:space="preserve"> </w:t>
      </w:r>
      <w:r w:rsidRPr="002D516E" w:rsidR="0040314C">
        <w:rPr>
          <w:szCs w:val="22"/>
        </w:rPr>
        <w:t>seeking to assign</w:t>
      </w:r>
      <w:r w:rsidRPr="002D516E" w:rsidR="004C2647">
        <w:rPr>
          <w:szCs w:val="22"/>
        </w:rPr>
        <w:t xml:space="preserve"> </w:t>
      </w:r>
      <w:bookmarkStart w:id="1" w:name="_Hlk56452679"/>
      <w:r w:rsidRPr="002D516E" w:rsidR="00422393">
        <w:rPr>
          <w:szCs w:val="22"/>
        </w:rPr>
        <w:t xml:space="preserve">600 MHz, 700 MHz, Cellular, </w:t>
      </w:r>
      <w:r w:rsidRPr="001A25E4" w:rsidR="001A25E4">
        <w:rPr>
          <w:szCs w:val="22"/>
        </w:rPr>
        <w:t>Personal Communications Service (</w:t>
      </w:r>
      <w:r w:rsidRPr="002D516E" w:rsidR="00422393">
        <w:rPr>
          <w:szCs w:val="22"/>
        </w:rPr>
        <w:t>PCS</w:t>
      </w:r>
      <w:r w:rsidRPr="001A25E4" w:rsidR="001A25E4">
        <w:rPr>
          <w:szCs w:val="22"/>
        </w:rPr>
        <w:t>), Upper Microwave Flexible Use Service (UMFUS)</w:t>
      </w:r>
      <w:r w:rsidR="00A3634E">
        <w:rPr>
          <w:szCs w:val="22"/>
        </w:rPr>
        <w:t>,</w:t>
      </w:r>
      <w:r w:rsidRPr="002D516E" w:rsidR="00422393">
        <w:rPr>
          <w:szCs w:val="22"/>
        </w:rPr>
        <w:t xml:space="preserve"> </w:t>
      </w:r>
      <w:r w:rsidRPr="001A25E4" w:rsidR="001A25E4">
        <w:rPr>
          <w:szCs w:val="22"/>
        </w:rPr>
        <w:t>and common carrier fixed point-to-point microwave</w:t>
      </w:r>
      <w:r w:rsidRPr="002D516E" w:rsidR="003D58DD">
        <w:rPr>
          <w:szCs w:val="22"/>
        </w:rPr>
        <w:t xml:space="preserve"> licenses </w:t>
      </w:r>
      <w:bookmarkEnd w:id="1"/>
      <w:r w:rsidR="006D4575">
        <w:rPr>
          <w:szCs w:val="22"/>
        </w:rPr>
        <w:t xml:space="preserve">held by Bluegrass </w:t>
      </w:r>
      <w:r w:rsidRPr="001A25E4" w:rsidR="001A25E4">
        <w:rPr>
          <w:szCs w:val="22"/>
        </w:rPr>
        <w:t xml:space="preserve">to </w:t>
      </w:r>
      <w:r w:rsidRPr="002D516E" w:rsidR="00422393">
        <w:rPr>
          <w:szCs w:val="22"/>
        </w:rPr>
        <w:t>Verizon Wireless</w:t>
      </w:r>
      <w:r w:rsidRPr="001A25E4" w:rsidR="001A25E4">
        <w:rPr>
          <w:szCs w:val="22"/>
        </w:rPr>
        <w:t>.</w:t>
      </w:r>
      <w:r>
        <w:rPr>
          <w:sz w:val="20"/>
          <w:vertAlign w:val="superscript"/>
        </w:rPr>
        <w:footnoteReference w:id="5"/>
      </w:r>
      <w:r w:rsidRPr="001A25E4" w:rsidR="001A25E4">
        <w:rPr>
          <w:szCs w:val="22"/>
        </w:rPr>
        <w:t xml:space="preserve">  The</w:t>
      </w:r>
      <w:r w:rsidRPr="002D516E" w:rsidR="00422393">
        <w:rPr>
          <w:szCs w:val="22"/>
        </w:rPr>
        <w:t xml:space="preserve"> subject </w:t>
      </w:r>
      <w:r w:rsidRPr="001A25E4" w:rsidR="001A25E4">
        <w:rPr>
          <w:szCs w:val="22"/>
        </w:rPr>
        <w:t xml:space="preserve">licenses </w:t>
      </w:r>
      <w:r w:rsidR="006D4575">
        <w:rPr>
          <w:szCs w:val="22"/>
        </w:rPr>
        <w:t xml:space="preserve">cover </w:t>
      </w:r>
      <w:r w:rsidR="00BA6896">
        <w:rPr>
          <w:szCs w:val="22"/>
        </w:rPr>
        <w:t>par</w:t>
      </w:r>
      <w:r w:rsidR="004D7A8C">
        <w:rPr>
          <w:szCs w:val="22"/>
        </w:rPr>
        <w:t xml:space="preserve">ts of </w:t>
      </w:r>
      <w:r w:rsidRPr="002D516E" w:rsidR="00422393">
        <w:rPr>
          <w:szCs w:val="22"/>
        </w:rPr>
        <w:t>Indiana, Kentucky, and Tennessee</w:t>
      </w:r>
      <w:r w:rsidRPr="002D516E" w:rsidR="008A26F3">
        <w:rPr>
          <w:szCs w:val="22"/>
        </w:rPr>
        <w:t xml:space="preserve">.  </w:t>
      </w:r>
      <w:r w:rsidRPr="002D516E" w:rsidR="000B6C80">
        <w:rPr>
          <w:szCs w:val="22"/>
        </w:rPr>
        <w:t>In addition to the license assignment</w:t>
      </w:r>
      <w:r w:rsidR="00CE5303">
        <w:rPr>
          <w:szCs w:val="22"/>
        </w:rPr>
        <w:t>s</w:t>
      </w:r>
      <w:r w:rsidRPr="002D516E" w:rsidR="000B6C80">
        <w:rPr>
          <w:szCs w:val="22"/>
        </w:rPr>
        <w:t xml:space="preserve">, </w:t>
      </w:r>
      <w:r w:rsidRPr="002D516E" w:rsidR="008A26F3">
        <w:rPr>
          <w:szCs w:val="22"/>
        </w:rPr>
        <w:t>Verizon Wireless is a</w:t>
      </w:r>
      <w:r w:rsidRPr="002D516E" w:rsidR="000B6C80">
        <w:rPr>
          <w:szCs w:val="22"/>
        </w:rPr>
        <w:t xml:space="preserve">cquiring from Bluegrass </w:t>
      </w:r>
      <w:r w:rsidRPr="00833322" w:rsidR="00B70582">
        <w:rPr>
          <w:szCs w:val="22"/>
        </w:rPr>
        <w:t>approximately 220,000 wireless subscribers</w:t>
      </w:r>
      <w:r w:rsidRPr="00BA6896" w:rsidR="000B6C80">
        <w:rPr>
          <w:szCs w:val="22"/>
        </w:rPr>
        <w:t xml:space="preserve"> </w:t>
      </w:r>
      <w:r w:rsidR="005B4794">
        <w:rPr>
          <w:szCs w:val="22"/>
        </w:rPr>
        <w:t xml:space="preserve">and </w:t>
      </w:r>
      <w:r w:rsidRPr="002D516E" w:rsidR="000B6C80">
        <w:rPr>
          <w:szCs w:val="22"/>
        </w:rPr>
        <w:t xml:space="preserve">substantially all of </w:t>
      </w:r>
      <w:r w:rsidR="008828B7">
        <w:rPr>
          <w:szCs w:val="22"/>
        </w:rPr>
        <w:t>Bluegrass’</w:t>
      </w:r>
      <w:r w:rsidRPr="002D516E" w:rsidR="000B6C80">
        <w:rPr>
          <w:szCs w:val="22"/>
        </w:rPr>
        <w:t xml:space="preserve">s network </w:t>
      </w:r>
      <w:r w:rsidR="00406493">
        <w:rPr>
          <w:szCs w:val="22"/>
        </w:rPr>
        <w:t xml:space="preserve">assets and </w:t>
      </w:r>
      <w:r w:rsidR="00D63CE0">
        <w:rPr>
          <w:szCs w:val="22"/>
        </w:rPr>
        <w:t>facilities</w:t>
      </w:r>
      <w:r w:rsidRPr="002D516E" w:rsidR="000B6C80">
        <w:rPr>
          <w:szCs w:val="22"/>
        </w:rPr>
        <w:t>.</w:t>
      </w:r>
      <w:r w:rsidRPr="00833C81" w:rsidR="000B6C80">
        <w:rPr>
          <w:sz w:val="24"/>
          <w:szCs w:val="24"/>
        </w:rPr>
        <w:t xml:space="preserve"> </w:t>
      </w:r>
    </w:p>
    <w:p w:rsidR="008A26F3" w:rsidRPr="002D516E" w:rsidP="003F0780" w14:paraId="615CCB3B" w14:textId="657D70AC">
      <w:pPr>
        <w:spacing w:after="120"/>
        <w:ind w:firstLine="720"/>
        <w:rPr>
          <w:szCs w:val="22"/>
        </w:rPr>
      </w:pPr>
      <w:r>
        <w:rPr>
          <w:szCs w:val="22"/>
        </w:rPr>
        <w:t>Verizon Wireless and Bluegrass (together, t</w:t>
      </w:r>
      <w:r w:rsidRPr="002D516E">
        <w:rPr>
          <w:szCs w:val="22"/>
        </w:rPr>
        <w:t xml:space="preserve">he </w:t>
      </w:r>
      <w:r w:rsidR="00F26343">
        <w:rPr>
          <w:szCs w:val="22"/>
        </w:rPr>
        <w:t>Applicants</w:t>
      </w:r>
      <w:r>
        <w:rPr>
          <w:szCs w:val="22"/>
        </w:rPr>
        <w:t>)</w:t>
      </w:r>
      <w:r w:rsidR="00F73C27">
        <w:rPr>
          <w:szCs w:val="22"/>
        </w:rPr>
        <w:t xml:space="preserve"> state that the</w:t>
      </w:r>
      <w:r>
        <w:rPr>
          <w:szCs w:val="22"/>
        </w:rPr>
        <w:t xml:space="preserve"> </w:t>
      </w:r>
      <w:r w:rsidRPr="002D516E">
        <w:rPr>
          <w:szCs w:val="22"/>
        </w:rPr>
        <w:t xml:space="preserve">transaction will allow Verizon Wireless to expand its service into </w:t>
      </w:r>
      <w:r w:rsidR="003B4670">
        <w:rPr>
          <w:szCs w:val="22"/>
        </w:rPr>
        <w:t>p</w:t>
      </w:r>
      <w:r w:rsidR="00F011A2">
        <w:rPr>
          <w:szCs w:val="22"/>
        </w:rPr>
        <w:t>arts of</w:t>
      </w:r>
      <w:r w:rsidR="00D33CAF">
        <w:rPr>
          <w:szCs w:val="22"/>
        </w:rPr>
        <w:t xml:space="preserve"> </w:t>
      </w:r>
      <w:r w:rsidR="004710F3">
        <w:rPr>
          <w:szCs w:val="22"/>
        </w:rPr>
        <w:t>these market</w:t>
      </w:r>
      <w:r w:rsidR="00A668DF">
        <w:rPr>
          <w:szCs w:val="22"/>
        </w:rPr>
        <w:t>s</w:t>
      </w:r>
      <w:r w:rsidR="00E7402D">
        <w:rPr>
          <w:szCs w:val="22"/>
        </w:rPr>
        <w:t xml:space="preserve"> </w:t>
      </w:r>
      <w:r w:rsidR="008620D9">
        <w:rPr>
          <w:szCs w:val="22"/>
        </w:rPr>
        <w:t>for the firs</w:t>
      </w:r>
      <w:r w:rsidR="002C7353">
        <w:rPr>
          <w:szCs w:val="22"/>
        </w:rPr>
        <w:t>t time</w:t>
      </w:r>
      <w:r w:rsidR="00E7402D">
        <w:rPr>
          <w:szCs w:val="22"/>
        </w:rPr>
        <w:t xml:space="preserve"> </w:t>
      </w:r>
      <w:r w:rsidR="00AA5A44">
        <w:rPr>
          <w:szCs w:val="22"/>
        </w:rPr>
        <w:t xml:space="preserve">and </w:t>
      </w:r>
      <w:r w:rsidRPr="002D516E">
        <w:rPr>
          <w:szCs w:val="22"/>
        </w:rPr>
        <w:t>provide additional spectrum capacity in the remaining areas</w:t>
      </w:r>
      <w:r w:rsidR="003F0780">
        <w:rPr>
          <w:szCs w:val="22"/>
        </w:rPr>
        <w:t>,</w:t>
      </w:r>
      <w:r w:rsidRPr="002D516E">
        <w:rPr>
          <w:szCs w:val="22"/>
        </w:rPr>
        <w:t xml:space="preserve"> which will help Verizon Wireless meet the demands of its customers</w:t>
      </w:r>
      <w:r w:rsidR="00593531">
        <w:rPr>
          <w:szCs w:val="22"/>
        </w:rPr>
        <w:t>.</w:t>
      </w:r>
      <w:r>
        <w:rPr>
          <w:rStyle w:val="FootnoteReference"/>
          <w:sz w:val="20"/>
        </w:rPr>
        <w:footnoteReference w:id="6"/>
      </w:r>
      <w:r w:rsidRPr="002D516E">
        <w:rPr>
          <w:szCs w:val="22"/>
        </w:rPr>
        <w:t xml:space="preserve">  </w:t>
      </w:r>
      <w:r w:rsidR="00B443A6">
        <w:rPr>
          <w:szCs w:val="22"/>
        </w:rPr>
        <w:t>T</w:t>
      </w:r>
      <w:r w:rsidR="00A73639">
        <w:rPr>
          <w:szCs w:val="22"/>
        </w:rPr>
        <w:t>he Appli</w:t>
      </w:r>
      <w:r w:rsidR="006D2A7E">
        <w:rPr>
          <w:szCs w:val="22"/>
        </w:rPr>
        <w:t>cants ass</w:t>
      </w:r>
      <w:r w:rsidR="004F4C9D">
        <w:rPr>
          <w:szCs w:val="22"/>
        </w:rPr>
        <w:t xml:space="preserve">ert that </w:t>
      </w:r>
      <w:r w:rsidRPr="004F4C9D" w:rsidR="004F4C9D">
        <w:rPr>
          <w:szCs w:val="22"/>
        </w:rPr>
        <w:t>there will be no loss or reduction in service</w:t>
      </w:r>
      <w:r w:rsidR="004F4C9D">
        <w:rPr>
          <w:szCs w:val="22"/>
        </w:rPr>
        <w:t xml:space="preserve"> </w:t>
      </w:r>
      <w:r w:rsidR="00105E4D">
        <w:rPr>
          <w:szCs w:val="22"/>
        </w:rPr>
        <w:t xml:space="preserve">for </w:t>
      </w:r>
      <w:r w:rsidR="00112D31">
        <w:rPr>
          <w:szCs w:val="22"/>
        </w:rPr>
        <w:t xml:space="preserve">Bluegrass </w:t>
      </w:r>
      <w:r w:rsidR="002161F9">
        <w:rPr>
          <w:szCs w:val="22"/>
        </w:rPr>
        <w:t>cus</w:t>
      </w:r>
      <w:r w:rsidR="00455A20">
        <w:rPr>
          <w:szCs w:val="22"/>
        </w:rPr>
        <w:t>tomers</w:t>
      </w:r>
      <w:r w:rsidR="00DF3ADB">
        <w:rPr>
          <w:szCs w:val="22"/>
        </w:rPr>
        <w:t xml:space="preserve"> and</w:t>
      </w:r>
      <w:r w:rsidR="00E30F61">
        <w:rPr>
          <w:szCs w:val="22"/>
        </w:rPr>
        <w:t xml:space="preserve"> </w:t>
      </w:r>
      <w:r w:rsidR="008A6DFE">
        <w:rPr>
          <w:szCs w:val="22"/>
        </w:rPr>
        <w:t>that</w:t>
      </w:r>
      <w:r w:rsidRPr="004F4C9D" w:rsidR="004F4C9D">
        <w:rPr>
          <w:szCs w:val="22"/>
        </w:rPr>
        <w:t xml:space="preserve"> </w:t>
      </w:r>
      <w:r w:rsidR="00D803FE">
        <w:rPr>
          <w:szCs w:val="22"/>
        </w:rPr>
        <w:t xml:space="preserve">the </w:t>
      </w:r>
      <w:r w:rsidRPr="004F4C9D" w:rsidR="004F4C9D">
        <w:rPr>
          <w:szCs w:val="22"/>
        </w:rPr>
        <w:t xml:space="preserve">customers will be </w:t>
      </w:r>
      <w:r w:rsidRPr="00FE02EB" w:rsidR="00FE02EB">
        <w:rPr>
          <w:szCs w:val="22"/>
        </w:rPr>
        <w:t>informed that</w:t>
      </w:r>
      <w:r>
        <w:rPr>
          <w:szCs w:val="22"/>
        </w:rPr>
        <w:t>, while</w:t>
      </w:r>
      <w:r w:rsidRPr="00FE02EB" w:rsidR="00FE02EB">
        <w:rPr>
          <w:szCs w:val="22"/>
        </w:rPr>
        <w:t xml:space="preserve"> they may continue service on</w:t>
      </w:r>
      <w:r w:rsidRPr="004F4C9D" w:rsidR="004F4C9D">
        <w:rPr>
          <w:szCs w:val="22"/>
        </w:rPr>
        <w:t xml:space="preserve"> </w:t>
      </w:r>
      <w:r w:rsidRPr="00FE02EB" w:rsidR="00FE02EB">
        <w:rPr>
          <w:szCs w:val="22"/>
        </w:rPr>
        <w:t xml:space="preserve">similar terms </w:t>
      </w:r>
      <w:r w:rsidRPr="00FE02EB" w:rsidR="00FE02EB">
        <w:rPr>
          <w:szCs w:val="22"/>
        </w:rPr>
        <w:t xml:space="preserve">and conditions with Verizon </w:t>
      </w:r>
      <w:r w:rsidR="00860ED9">
        <w:rPr>
          <w:szCs w:val="22"/>
        </w:rPr>
        <w:t>Wirel</w:t>
      </w:r>
      <w:r w:rsidR="00154D63">
        <w:rPr>
          <w:szCs w:val="22"/>
        </w:rPr>
        <w:t>ess</w:t>
      </w:r>
      <w:r w:rsidR="00447683">
        <w:rPr>
          <w:szCs w:val="22"/>
        </w:rPr>
        <w:t>,</w:t>
      </w:r>
      <w:r w:rsidR="00154D63">
        <w:rPr>
          <w:szCs w:val="22"/>
        </w:rPr>
        <w:t xml:space="preserve"> </w:t>
      </w:r>
      <w:r>
        <w:rPr>
          <w:szCs w:val="22"/>
        </w:rPr>
        <w:t>they</w:t>
      </w:r>
      <w:r w:rsidRPr="00FE02EB" w:rsidR="00FE02EB">
        <w:rPr>
          <w:szCs w:val="22"/>
        </w:rPr>
        <w:t xml:space="preserve"> are not obligated to do so</w:t>
      </w:r>
      <w:r w:rsidRPr="004F4C9D" w:rsidR="004F4C9D">
        <w:rPr>
          <w:szCs w:val="22"/>
        </w:rPr>
        <w:t>.</w:t>
      </w:r>
      <w:r>
        <w:rPr>
          <w:rStyle w:val="FootnoteReference"/>
          <w:sz w:val="20"/>
        </w:rPr>
        <w:footnoteReference w:id="7"/>
      </w:r>
    </w:p>
    <w:p w:rsidR="00313B37" w:rsidRPr="002D516E" w:rsidP="002D516E" w14:paraId="008A6C17" w14:textId="24D29ADE">
      <w:pPr>
        <w:spacing w:after="120"/>
        <w:ind w:firstLine="720"/>
        <w:rPr>
          <w:szCs w:val="22"/>
        </w:rPr>
      </w:pPr>
      <w:r w:rsidRPr="002D516E">
        <w:rPr>
          <w:szCs w:val="22"/>
        </w:rPr>
        <w:t>Our preliminary review of the spectrum exhibit submitted by the Applicants indicates that</w:t>
      </w:r>
      <w:r w:rsidR="006D4575">
        <w:rPr>
          <w:szCs w:val="22"/>
        </w:rPr>
        <w:t>,</w:t>
      </w:r>
      <w:r w:rsidRPr="002D516E">
        <w:rPr>
          <w:szCs w:val="22"/>
        </w:rPr>
        <w:t xml:space="preserve"> as a result of the proposed transaction,</w:t>
      </w:r>
      <w:r w:rsidRPr="00221F54">
        <w:rPr>
          <w:sz w:val="24"/>
          <w:szCs w:val="24"/>
        </w:rPr>
        <w:t xml:space="preserve"> </w:t>
      </w:r>
      <w:r w:rsidRPr="002D516E" w:rsidR="00BB2C03">
        <w:rPr>
          <w:szCs w:val="22"/>
        </w:rPr>
        <w:t xml:space="preserve">Verizon Wireless would </w:t>
      </w:r>
      <w:r w:rsidRPr="002D516E" w:rsidR="009B4335">
        <w:rPr>
          <w:szCs w:val="22"/>
        </w:rPr>
        <w:t xml:space="preserve">acquire </w:t>
      </w:r>
      <w:r w:rsidR="008E2023">
        <w:rPr>
          <w:szCs w:val="22"/>
        </w:rPr>
        <w:t>an addition</w:t>
      </w:r>
      <w:r w:rsidR="00B97767">
        <w:rPr>
          <w:szCs w:val="22"/>
        </w:rPr>
        <w:t xml:space="preserve">al </w:t>
      </w:r>
      <w:r w:rsidR="0039237A">
        <w:rPr>
          <w:szCs w:val="22"/>
        </w:rPr>
        <w:t xml:space="preserve">10 </w:t>
      </w:r>
      <w:r w:rsidR="00B97767">
        <w:rPr>
          <w:szCs w:val="22"/>
        </w:rPr>
        <w:t>me</w:t>
      </w:r>
      <w:r w:rsidR="008C6F99">
        <w:rPr>
          <w:szCs w:val="22"/>
        </w:rPr>
        <w:t>gahertz</w:t>
      </w:r>
      <w:r w:rsidR="0039237A">
        <w:rPr>
          <w:szCs w:val="22"/>
        </w:rPr>
        <w:t xml:space="preserve"> </w:t>
      </w:r>
      <w:r w:rsidR="00EC17F9">
        <w:rPr>
          <w:szCs w:val="22"/>
        </w:rPr>
        <w:t>to</w:t>
      </w:r>
      <w:r w:rsidR="00B9341F">
        <w:rPr>
          <w:szCs w:val="22"/>
        </w:rPr>
        <w:t xml:space="preserve"> 74 </w:t>
      </w:r>
      <w:r w:rsidR="00852612">
        <w:rPr>
          <w:szCs w:val="22"/>
        </w:rPr>
        <w:t>megahertz</w:t>
      </w:r>
      <w:r w:rsidR="00441F9C">
        <w:rPr>
          <w:szCs w:val="22"/>
        </w:rPr>
        <w:t xml:space="preserve"> of</w:t>
      </w:r>
      <w:r w:rsidR="00852612">
        <w:rPr>
          <w:szCs w:val="22"/>
        </w:rPr>
        <w:t xml:space="preserve"> </w:t>
      </w:r>
      <w:r w:rsidR="00070AE6">
        <w:rPr>
          <w:szCs w:val="22"/>
        </w:rPr>
        <w:t xml:space="preserve">low- and mid-band </w:t>
      </w:r>
      <w:r w:rsidR="004A0ECD">
        <w:rPr>
          <w:szCs w:val="22"/>
        </w:rPr>
        <w:t>spect</w:t>
      </w:r>
      <w:r w:rsidR="00EC234F">
        <w:rPr>
          <w:szCs w:val="22"/>
        </w:rPr>
        <w:t>rum</w:t>
      </w:r>
      <w:r w:rsidR="00143052">
        <w:rPr>
          <w:szCs w:val="22"/>
        </w:rPr>
        <w:t xml:space="preserve"> </w:t>
      </w:r>
      <w:r w:rsidR="00B14E73">
        <w:rPr>
          <w:szCs w:val="22"/>
        </w:rPr>
        <w:t>in</w:t>
      </w:r>
      <w:r w:rsidR="00EC234F">
        <w:rPr>
          <w:szCs w:val="22"/>
        </w:rPr>
        <w:t xml:space="preserve"> </w:t>
      </w:r>
      <w:r w:rsidRPr="002D516E" w:rsidR="00944912">
        <w:rPr>
          <w:szCs w:val="22"/>
        </w:rPr>
        <w:t xml:space="preserve">68 counties </w:t>
      </w:r>
      <w:r w:rsidR="00D51D7E">
        <w:rPr>
          <w:szCs w:val="22"/>
        </w:rPr>
        <w:t>co</w:t>
      </w:r>
      <w:r w:rsidR="00FC57FD">
        <w:rPr>
          <w:szCs w:val="22"/>
        </w:rPr>
        <w:t>vering all or par</w:t>
      </w:r>
      <w:r w:rsidR="00B115D9">
        <w:rPr>
          <w:szCs w:val="22"/>
        </w:rPr>
        <w:t>ts of</w:t>
      </w:r>
      <w:r w:rsidR="001812AA">
        <w:rPr>
          <w:szCs w:val="22"/>
        </w:rPr>
        <w:t xml:space="preserve"> </w:t>
      </w:r>
      <w:r w:rsidRPr="002D516E" w:rsidR="00944912">
        <w:rPr>
          <w:szCs w:val="22"/>
        </w:rPr>
        <w:t xml:space="preserve">11 </w:t>
      </w:r>
      <w:r w:rsidR="006355D2">
        <w:rPr>
          <w:szCs w:val="22"/>
        </w:rPr>
        <w:t>CMAs</w:t>
      </w:r>
      <w:r w:rsidRPr="002D516E" w:rsidR="00944912">
        <w:rPr>
          <w:szCs w:val="22"/>
        </w:rPr>
        <w:t xml:space="preserve"> in Indiana, Kentucky, and Tennessee.  </w:t>
      </w:r>
      <w:r w:rsidRPr="0089626C" w:rsidR="0089626C">
        <w:rPr>
          <w:szCs w:val="22"/>
        </w:rPr>
        <w:t xml:space="preserve">Post-transaction, </w:t>
      </w:r>
      <w:r w:rsidR="0089626C">
        <w:rPr>
          <w:szCs w:val="22"/>
        </w:rPr>
        <w:t>Verizon Wireless</w:t>
      </w:r>
      <w:r w:rsidRPr="0089626C" w:rsidR="0089626C">
        <w:rPr>
          <w:szCs w:val="22"/>
        </w:rPr>
        <w:t xml:space="preserve"> would </w:t>
      </w:r>
      <w:r w:rsidR="006017DD">
        <w:rPr>
          <w:szCs w:val="22"/>
        </w:rPr>
        <w:t>hold</w:t>
      </w:r>
      <w:r w:rsidRPr="0089626C" w:rsidR="0089626C">
        <w:rPr>
          <w:szCs w:val="22"/>
        </w:rPr>
        <w:t xml:space="preserve"> a maximum of </w:t>
      </w:r>
      <w:r w:rsidR="00985B45">
        <w:rPr>
          <w:szCs w:val="22"/>
        </w:rPr>
        <w:t>1</w:t>
      </w:r>
      <w:r w:rsidR="006555CF">
        <w:rPr>
          <w:szCs w:val="22"/>
        </w:rPr>
        <w:t>6</w:t>
      </w:r>
      <w:r w:rsidR="00985B45">
        <w:rPr>
          <w:szCs w:val="22"/>
        </w:rPr>
        <w:t>1</w:t>
      </w:r>
      <w:r w:rsidRPr="0089626C" w:rsidR="0089626C">
        <w:rPr>
          <w:szCs w:val="22"/>
        </w:rPr>
        <w:t xml:space="preserve"> megahertz of spectrum</w:t>
      </w:r>
      <w:r w:rsidR="001121E1">
        <w:rPr>
          <w:szCs w:val="22"/>
        </w:rPr>
        <w:t xml:space="preserve">, </w:t>
      </w:r>
      <w:r w:rsidRPr="001121E1" w:rsidR="001121E1">
        <w:rPr>
          <w:szCs w:val="22"/>
        </w:rPr>
        <w:t xml:space="preserve">including </w:t>
      </w:r>
      <w:r w:rsidR="00C6490C">
        <w:rPr>
          <w:szCs w:val="22"/>
        </w:rPr>
        <w:t xml:space="preserve">up to </w:t>
      </w:r>
      <w:r w:rsidR="003D72F6">
        <w:rPr>
          <w:szCs w:val="22"/>
        </w:rPr>
        <w:t>81</w:t>
      </w:r>
      <w:r w:rsidRPr="001121E1" w:rsidR="001121E1">
        <w:rPr>
          <w:szCs w:val="22"/>
        </w:rPr>
        <w:t xml:space="preserve"> megahertz of below-1-GHz spectrum</w:t>
      </w:r>
      <w:r w:rsidRPr="0089626C" w:rsidR="0089626C">
        <w:rPr>
          <w:szCs w:val="22"/>
        </w:rPr>
        <w:t xml:space="preserve"> </w:t>
      </w:r>
      <w:r w:rsidR="006555CF">
        <w:rPr>
          <w:szCs w:val="22"/>
        </w:rPr>
        <w:t>across</w:t>
      </w:r>
      <w:r w:rsidR="007E2229">
        <w:rPr>
          <w:szCs w:val="22"/>
        </w:rPr>
        <w:t xml:space="preserve"> </w:t>
      </w:r>
      <w:r w:rsidR="00BC49DA">
        <w:rPr>
          <w:szCs w:val="22"/>
        </w:rPr>
        <w:t>parts of</w:t>
      </w:r>
      <w:r w:rsidR="006865A1">
        <w:rPr>
          <w:szCs w:val="22"/>
        </w:rPr>
        <w:t xml:space="preserve"> </w:t>
      </w:r>
      <w:r w:rsidR="007E2229">
        <w:rPr>
          <w:szCs w:val="22"/>
        </w:rPr>
        <w:t>these</w:t>
      </w:r>
      <w:r w:rsidRPr="0089626C" w:rsidR="0089626C">
        <w:rPr>
          <w:szCs w:val="22"/>
        </w:rPr>
        <w:t xml:space="preserve"> geographic areas</w:t>
      </w:r>
      <w:r w:rsidR="00E07C39">
        <w:rPr>
          <w:szCs w:val="22"/>
        </w:rPr>
        <w:t>.</w:t>
      </w:r>
      <w:r>
        <w:rPr>
          <w:rStyle w:val="FootnoteReference"/>
          <w:sz w:val="20"/>
        </w:rPr>
        <w:footnoteReference w:id="8"/>
      </w:r>
      <w:r w:rsidR="00BE6575">
        <w:rPr>
          <w:szCs w:val="22"/>
        </w:rPr>
        <w:t xml:space="preserve">  </w:t>
      </w:r>
      <w:r w:rsidR="00EA4EF9">
        <w:rPr>
          <w:szCs w:val="22"/>
        </w:rPr>
        <w:t xml:space="preserve">In addition, </w:t>
      </w:r>
      <w:r w:rsidRPr="002D516E" w:rsidR="009807B0">
        <w:rPr>
          <w:snapToGrid/>
          <w:kern w:val="0"/>
          <w:szCs w:val="22"/>
        </w:rPr>
        <w:t xml:space="preserve">Verizon Wireless would acquire </w:t>
      </w:r>
      <w:r w:rsidR="002E324D">
        <w:rPr>
          <w:snapToGrid/>
          <w:kern w:val="0"/>
          <w:szCs w:val="22"/>
        </w:rPr>
        <w:t>200</w:t>
      </w:r>
      <w:r w:rsidR="008034DD">
        <w:rPr>
          <w:snapToGrid/>
          <w:kern w:val="0"/>
          <w:szCs w:val="22"/>
        </w:rPr>
        <w:t xml:space="preserve"> to</w:t>
      </w:r>
      <w:r w:rsidRPr="002D516E" w:rsidR="009807B0">
        <w:rPr>
          <w:snapToGrid/>
          <w:kern w:val="0"/>
          <w:szCs w:val="22"/>
        </w:rPr>
        <w:t xml:space="preserve"> </w:t>
      </w:r>
      <w:r w:rsidR="00D54484">
        <w:rPr>
          <w:snapToGrid/>
          <w:kern w:val="0"/>
          <w:szCs w:val="22"/>
        </w:rPr>
        <w:t>1,150</w:t>
      </w:r>
      <w:r w:rsidRPr="002D516E" w:rsidR="009807B0">
        <w:rPr>
          <w:snapToGrid/>
          <w:kern w:val="0"/>
          <w:szCs w:val="22"/>
        </w:rPr>
        <w:t xml:space="preserve"> megahertz of </w:t>
      </w:r>
      <w:r w:rsidR="00474AC4">
        <w:rPr>
          <w:snapToGrid/>
          <w:kern w:val="0"/>
          <w:szCs w:val="22"/>
        </w:rPr>
        <w:t>millimeter-wave</w:t>
      </w:r>
      <w:r w:rsidRPr="002D516E" w:rsidR="009807B0">
        <w:rPr>
          <w:snapToGrid/>
          <w:kern w:val="0"/>
          <w:szCs w:val="22"/>
        </w:rPr>
        <w:t xml:space="preserve"> spectrum </w:t>
      </w:r>
      <w:r w:rsidR="00706CDF">
        <w:rPr>
          <w:snapToGrid/>
          <w:kern w:val="0"/>
          <w:szCs w:val="22"/>
        </w:rPr>
        <w:t>across</w:t>
      </w:r>
      <w:r w:rsidRPr="002D516E" w:rsidR="00706CDF">
        <w:rPr>
          <w:snapToGrid/>
          <w:kern w:val="0"/>
          <w:szCs w:val="22"/>
        </w:rPr>
        <w:t xml:space="preserve"> </w:t>
      </w:r>
      <w:r w:rsidR="002A0F33">
        <w:rPr>
          <w:snapToGrid/>
          <w:kern w:val="0"/>
          <w:szCs w:val="22"/>
        </w:rPr>
        <w:t xml:space="preserve">parts of </w:t>
      </w:r>
      <w:r w:rsidRPr="002D516E" w:rsidR="009807B0">
        <w:rPr>
          <w:snapToGrid/>
          <w:kern w:val="0"/>
          <w:szCs w:val="22"/>
        </w:rPr>
        <w:t>the counties.</w:t>
      </w:r>
      <w:r>
        <w:rPr>
          <w:rStyle w:val="FootnoteReference"/>
          <w:snapToGrid/>
          <w:kern w:val="0"/>
          <w:sz w:val="20"/>
        </w:rPr>
        <w:footnoteReference w:id="9"/>
      </w:r>
      <w:r w:rsidRPr="002D516E" w:rsidR="00654469">
        <w:rPr>
          <w:snapToGrid/>
          <w:kern w:val="0"/>
          <w:szCs w:val="22"/>
        </w:rPr>
        <w:t xml:space="preserve">  </w:t>
      </w:r>
      <w:r w:rsidRPr="002D516E" w:rsidR="00DE05B8">
        <w:rPr>
          <w:szCs w:val="22"/>
        </w:rPr>
        <w:t xml:space="preserve">Post-transaction, Verizon Wireless would hold </w:t>
      </w:r>
      <w:r w:rsidR="00BE6575">
        <w:rPr>
          <w:szCs w:val="22"/>
        </w:rPr>
        <w:t>bet</w:t>
      </w:r>
      <w:r w:rsidR="00B61ABA">
        <w:rPr>
          <w:szCs w:val="22"/>
        </w:rPr>
        <w:t xml:space="preserve">ween </w:t>
      </w:r>
      <w:r w:rsidRPr="002D516E" w:rsidR="008C6169">
        <w:rPr>
          <w:szCs w:val="22"/>
        </w:rPr>
        <w:t>1,300</w:t>
      </w:r>
      <w:r w:rsidR="000429FA">
        <w:rPr>
          <w:szCs w:val="22"/>
        </w:rPr>
        <w:t xml:space="preserve"> to </w:t>
      </w:r>
      <w:r w:rsidRPr="002D516E" w:rsidR="008C6169">
        <w:rPr>
          <w:szCs w:val="22"/>
        </w:rPr>
        <w:t xml:space="preserve">2,150 </w:t>
      </w:r>
      <w:r w:rsidRPr="002D516E" w:rsidR="00EE74F4">
        <w:rPr>
          <w:szCs w:val="22"/>
        </w:rPr>
        <w:t xml:space="preserve">megahertz of </w:t>
      </w:r>
      <w:r w:rsidR="00474AC4">
        <w:rPr>
          <w:szCs w:val="22"/>
        </w:rPr>
        <w:t>millimeter-wave</w:t>
      </w:r>
      <w:r w:rsidRPr="002D516E" w:rsidR="00EE74F4">
        <w:rPr>
          <w:szCs w:val="22"/>
        </w:rPr>
        <w:t xml:space="preserve"> spectrum</w:t>
      </w:r>
      <w:r w:rsidR="003762E7">
        <w:rPr>
          <w:szCs w:val="22"/>
        </w:rPr>
        <w:t xml:space="preserve"> </w:t>
      </w:r>
      <w:r w:rsidR="00400626">
        <w:rPr>
          <w:szCs w:val="22"/>
        </w:rPr>
        <w:t>across</w:t>
      </w:r>
      <w:r w:rsidR="00AA4B65">
        <w:rPr>
          <w:szCs w:val="22"/>
        </w:rPr>
        <w:t xml:space="preserve"> </w:t>
      </w:r>
      <w:r w:rsidR="00C64F4F">
        <w:rPr>
          <w:szCs w:val="22"/>
        </w:rPr>
        <w:t>all or pa</w:t>
      </w:r>
      <w:r w:rsidR="00C23AED">
        <w:rPr>
          <w:szCs w:val="22"/>
        </w:rPr>
        <w:t xml:space="preserve">rts of the </w:t>
      </w:r>
      <w:r w:rsidR="006355D2">
        <w:rPr>
          <w:szCs w:val="22"/>
        </w:rPr>
        <w:t>CMAs</w:t>
      </w:r>
      <w:r w:rsidRPr="002D516E" w:rsidR="00EE74F4">
        <w:rPr>
          <w:szCs w:val="22"/>
        </w:rPr>
        <w:t>.</w:t>
      </w:r>
    </w:p>
    <w:p w:rsidR="00C710CC" w:rsidRPr="00904C3E" w:rsidP="00E05F47" w14:paraId="6489FF50" w14:textId="6A96769B">
      <w:pPr>
        <w:pStyle w:val="Heading1"/>
        <w:rPr>
          <w:snapToGrid/>
        </w:rPr>
      </w:pPr>
      <w:r w:rsidRPr="00904C3E">
        <w:rPr>
          <w:snapToGrid/>
        </w:rPr>
        <w:t>SECTION</w:t>
      </w:r>
      <w:r w:rsidRPr="00904C3E">
        <w:rPr>
          <w:snapToGrid/>
          <w:spacing w:val="-16"/>
        </w:rPr>
        <w:t xml:space="preserve"> </w:t>
      </w:r>
      <w:r w:rsidRPr="00904C3E">
        <w:rPr>
          <w:snapToGrid/>
        </w:rPr>
        <w:t>310(d)</w:t>
      </w:r>
      <w:r w:rsidRPr="00904C3E">
        <w:rPr>
          <w:snapToGrid/>
          <w:spacing w:val="-16"/>
        </w:rPr>
        <w:t xml:space="preserve"> </w:t>
      </w:r>
      <w:r w:rsidRPr="00904C3E">
        <w:rPr>
          <w:snapToGrid/>
        </w:rPr>
        <w:t>APPLICATION</w:t>
      </w:r>
      <w:r w:rsidR="00D5083E">
        <w:rPr>
          <w:snapToGrid/>
        </w:rPr>
        <w:t>s</w:t>
      </w:r>
    </w:p>
    <w:p w:rsidR="00C710CC" w:rsidRPr="00904C3E" w:rsidP="005B5D09" w14:paraId="3AF92684" w14:textId="4D0B7CB0">
      <w:pPr>
        <w:ind w:right="368" w:firstLine="720"/>
        <w:rPr>
          <w:snapToGrid/>
          <w:kern w:val="0"/>
          <w:szCs w:val="22"/>
        </w:rPr>
      </w:pPr>
      <w:r w:rsidRPr="00904C3E">
        <w:rPr>
          <w:snapToGrid/>
          <w:kern w:val="0"/>
          <w:szCs w:val="22"/>
        </w:rPr>
        <w:t>The</w:t>
      </w:r>
      <w:r w:rsidRPr="00904C3E">
        <w:rPr>
          <w:snapToGrid/>
          <w:spacing w:val="-6"/>
          <w:kern w:val="0"/>
          <w:szCs w:val="22"/>
        </w:rPr>
        <w:t xml:space="preserve"> </w:t>
      </w:r>
      <w:r w:rsidRPr="00904C3E">
        <w:rPr>
          <w:snapToGrid/>
          <w:kern w:val="0"/>
          <w:szCs w:val="22"/>
        </w:rPr>
        <w:t>application</w:t>
      </w:r>
      <w:r w:rsidR="00E101A7">
        <w:rPr>
          <w:snapToGrid/>
          <w:kern w:val="0"/>
          <w:szCs w:val="22"/>
        </w:rPr>
        <w:t>s</w:t>
      </w:r>
      <w:r w:rsidRPr="00904C3E">
        <w:rPr>
          <w:snapToGrid/>
          <w:spacing w:val="-5"/>
          <w:kern w:val="0"/>
          <w:szCs w:val="22"/>
        </w:rPr>
        <w:t xml:space="preserve"> </w:t>
      </w:r>
      <w:r w:rsidRPr="00904C3E">
        <w:rPr>
          <w:snapToGrid/>
          <w:kern w:val="0"/>
          <w:szCs w:val="22"/>
        </w:rPr>
        <w:t>for</w:t>
      </w:r>
      <w:r w:rsidRPr="00904C3E">
        <w:rPr>
          <w:snapToGrid/>
          <w:spacing w:val="-5"/>
          <w:kern w:val="0"/>
          <w:szCs w:val="22"/>
        </w:rPr>
        <w:t xml:space="preserve"> </w:t>
      </w:r>
      <w:r w:rsidRPr="00904C3E">
        <w:rPr>
          <w:snapToGrid/>
          <w:kern w:val="0"/>
          <w:szCs w:val="22"/>
        </w:rPr>
        <w:t>the</w:t>
      </w:r>
      <w:r w:rsidRPr="00904C3E">
        <w:rPr>
          <w:snapToGrid/>
          <w:spacing w:val="-5"/>
          <w:kern w:val="0"/>
          <w:szCs w:val="22"/>
        </w:rPr>
        <w:t xml:space="preserve"> </w:t>
      </w:r>
      <w:r w:rsidRPr="00904C3E">
        <w:rPr>
          <w:snapToGrid/>
          <w:spacing w:val="-1"/>
          <w:kern w:val="0"/>
          <w:szCs w:val="22"/>
        </w:rPr>
        <w:t>assignment</w:t>
      </w:r>
      <w:r w:rsidRPr="00904C3E">
        <w:rPr>
          <w:snapToGrid/>
          <w:spacing w:val="-5"/>
          <w:kern w:val="0"/>
          <w:szCs w:val="22"/>
        </w:rPr>
        <w:t xml:space="preserve"> </w:t>
      </w:r>
      <w:r w:rsidRPr="00904C3E">
        <w:rPr>
          <w:snapToGrid/>
          <w:kern w:val="0"/>
          <w:szCs w:val="22"/>
        </w:rPr>
        <w:t>of</w:t>
      </w:r>
      <w:r w:rsidRPr="00904C3E">
        <w:rPr>
          <w:snapToGrid/>
          <w:spacing w:val="-6"/>
          <w:kern w:val="0"/>
          <w:szCs w:val="22"/>
        </w:rPr>
        <w:t xml:space="preserve"> </w:t>
      </w:r>
      <w:r w:rsidRPr="00904C3E">
        <w:rPr>
          <w:snapToGrid/>
          <w:kern w:val="0"/>
          <w:szCs w:val="22"/>
        </w:rPr>
        <w:t>licenses</w:t>
      </w:r>
      <w:r w:rsidRPr="00904C3E">
        <w:rPr>
          <w:snapToGrid/>
          <w:spacing w:val="-5"/>
          <w:kern w:val="0"/>
          <w:szCs w:val="22"/>
        </w:rPr>
        <w:t xml:space="preserve"> </w:t>
      </w:r>
      <w:r w:rsidRPr="00904C3E">
        <w:rPr>
          <w:snapToGrid/>
          <w:kern w:val="0"/>
          <w:szCs w:val="22"/>
        </w:rPr>
        <w:t>from</w:t>
      </w:r>
      <w:r w:rsidRPr="00904C3E">
        <w:rPr>
          <w:snapToGrid/>
          <w:spacing w:val="-6"/>
          <w:kern w:val="0"/>
          <w:szCs w:val="22"/>
        </w:rPr>
        <w:t xml:space="preserve"> </w:t>
      </w:r>
      <w:r w:rsidRPr="00904C3E" w:rsidR="00AE27F3">
        <w:rPr>
          <w:snapToGrid/>
          <w:kern w:val="0"/>
          <w:szCs w:val="22"/>
        </w:rPr>
        <w:t>Bluegrass</w:t>
      </w:r>
      <w:r w:rsidRPr="00904C3E">
        <w:rPr>
          <w:snapToGrid/>
          <w:spacing w:val="-5"/>
          <w:kern w:val="0"/>
          <w:szCs w:val="22"/>
        </w:rPr>
        <w:t xml:space="preserve"> </w:t>
      </w:r>
      <w:r w:rsidRPr="00904C3E">
        <w:rPr>
          <w:snapToGrid/>
          <w:kern w:val="0"/>
          <w:szCs w:val="22"/>
        </w:rPr>
        <w:t>to</w:t>
      </w:r>
      <w:r w:rsidRPr="00904C3E">
        <w:rPr>
          <w:snapToGrid/>
          <w:spacing w:val="-5"/>
          <w:kern w:val="0"/>
          <w:szCs w:val="22"/>
        </w:rPr>
        <w:t xml:space="preserve"> </w:t>
      </w:r>
      <w:r w:rsidRPr="00904C3E" w:rsidR="00AE27F3">
        <w:rPr>
          <w:snapToGrid/>
          <w:kern w:val="0"/>
          <w:szCs w:val="22"/>
        </w:rPr>
        <w:t>Verizon Wireless</w:t>
      </w:r>
      <w:r w:rsidRPr="00904C3E">
        <w:rPr>
          <w:snapToGrid/>
          <w:spacing w:val="-6"/>
          <w:kern w:val="0"/>
          <w:szCs w:val="22"/>
        </w:rPr>
        <w:t xml:space="preserve"> </w:t>
      </w:r>
      <w:r w:rsidR="00D9520A">
        <w:rPr>
          <w:snapToGrid/>
          <w:kern w:val="0"/>
          <w:szCs w:val="22"/>
        </w:rPr>
        <w:t>have</w:t>
      </w:r>
      <w:r w:rsidRPr="00904C3E" w:rsidR="00D9520A">
        <w:rPr>
          <w:snapToGrid/>
          <w:spacing w:val="-5"/>
          <w:kern w:val="0"/>
          <w:szCs w:val="22"/>
        </w:rPr>
        <w:t xml:space="preserve"> </w:t>
      </w:r>
      <w:r w:rsidRPr="00904C3E">
        <w:rPr>
          <w:snapToGrid/>
          <w:kern w:val="0"/>
          <w:szCs w:val="22"/>
        </w:rPr>
        <w:t>been</w:t>
      </w:r>
      <w:r w:rsidRPr="00904C3E">
        <w:rPr>
          <w:snapToGrid/>
          <w:spacing w:val="-4"/>
          <w:kern w:val="0"/>
          <w:szCs w:val="22"/>
        </w:rPr>
        <w:t xml:space="preserve"> </w:t>
      </w:r>
      <w:r w:rsidRPr="00904C3E">
        <w:rPr>
          <w:snapToGrid/>
          <w:kern w:val="0"/>
          <w:szCs w:val="22"/>
        </w:rPr>
        <w:t>assigned</w:t>
      </w:r>
      <w:r w:rsidRPr="00904C3E">
        <w:rPr>
          <w:snapToGrid/>
          <w:spacing w:val="-5"/>
          <w:kern w:val="0"/>
          <w:szCs w:val="22"/>
        </w:rPr>
        <w:t xml:space="preserve"> </w:t>
      </w:r>
      <w:r w:rsidRPr="00904C3E">
        <w:rPr>
          <w:snapToGrid/>
          <w:kern w:val="0"/>
          <w:szCs w:val="22"/>
        </w:rPr>
        <w:t>the</w:t>
      </w:r>
      <w:r w:rsidRPr="00904C3E" w:rsidR="00AE27F3">
        <w:rPr>
          <w:snapToGrid/>
          <w:spacing w:val="29"/>
          <w:w w:val="99"/>
          <w:kern w:val="0"/>
          <w:szCs w:val="22"/>
        </w:rPr>
        <w:t xml:space="preserve"> </w:t>
      </w:r>
      <w:r w:rsidRPr="00904C3E">
        <w:rPr>
          <w:snapToGrid/>
          <w:kern w:val="0"/>
          <w:szCs w:val="22"/>
        </w:rPr>
        <w:t>following</w:t>
      </w:r>
      <w:r w:rsidRPr="00904C3E">
        <w:rPr>
          <w:snapToGrid/>
          <w:spacing w:val="-10"/>
          <w:kern w:val="0"/>
          <w:szCs w:val="22"/>
        </w:rPr>
        <w:t xml:space="preserve"> </w:t>
      </w:r>
      <w:r w:rsidRPr="00904C3E">
        <w:rPr>
          <w:snapToGrid/>
          <w:kern w:val="0"/>
          <w:szCs w:val="22"/>
        </w:rPr>
        <w:t>file</w:t>
      </w:r>
      <w:r w:rsidRPr="00904C3E">
        <w:rPr>
          <w:snapToGrid/>
          <w:spacing w:val="-11"/>
          <w:kern w:val="0"/>
          <w:szCs w:val="22"/>
        </w:rPr>
        <w:t xml:space="preserve"> </w:t>
      </w:r>
      <w:r w:rsidRPr="00904C3E">
        <w:rPr>
          <w:snapToGrid/>
          <w:spacing w:val="-1"/>
          <w:kern w:val="0"/>
          <w:szCs w:val="22"/>
        </w:rPr>
        <w:t>number</w:t>
      </w:r>
      <w:r w:rsidRPr="00904C3E" w:rsidR="00AE27F3">
        <w:rPr>
          <w:snapToGrid/>
          <w:spacing w:val="-1"/>
          <w:kern w:val="0"/>
          <w:szCs w:val="22"/>
        </w:rPr>
        <w:t>s</w:t>
      </w:r>
      <w:r w:rsidRPr="00904C3E">
        <w:rPr>
          <w:snapToGrid/>
          <w:spacing w:val="-1"/>
          <w:kern w:val="0"/>
          <w:szCs w:val="22"/>
        </w:rPr>
        <w:t>:</w:t>
      </w:r>
    </w:p>
    <w:p w:rsidR="005B5D09" w:rsidP="005B5D09" w14:paraId="49D5EB39" w14:textId="77777777">
      <w:pPr>
        <w:tabs>
          <w:tab w:val="left" w:pos="1561"/>
          <w:tab w:val="left" w:pos="4801"/>
          <w:tab w:val="left" w:pos="8039"/>
        </w:tabs>
        <w:outlineLvl w:val="0"/>
        <w:rPr>
          <w:snapToGrid/>
          <w:kern w:val="0"/>
          <w:szCs w:val="22"/>
        </w:rPr>
      </w:pPr>
    </w:p>
    <w:tbl>
      <w:tblPr>
        <w:tblW w:w="0" w:type="auto"/>
        <w:tblLook w:val="04A0"/>
      </w:tblPr>
      <w:tblGrid>
        <w:gridCol w:w="1535"/>
        <w:gridCol w:w="3589"/>
        <w:gridCol w:w="2194"/>
        <w:gridCol w:w="2042"/>
      </w:tblGrid>
      <w:tr w14:paraId="3341CBB6" w14:textId="77777777" w:rsidTr="006F6121">
        <w:tblPrEx>
          <w:tblW w:w="0" w:type="auto"/>
          <w:tblLook w:val="04A0"/>
        </w:tblPrEx>
        <w:tc>
          <w:tcPr>
            <w:tcW w:w="1548" w:type="dxa"/>
            <w:shd w:val="clear" w:color="auto" w:fill="auto"/>
          </w:tcPr>
          <w:p w:rsidR="00FE33F6" w:rsidRPr="006F6121" w:rsidP="006F6121" w14:paraId="246244AA" w14:textId="38669BED">
            <w:pPr>
              <w:tabs>
                <w:tab w:val="left" w:pos="1561"/>
                <w:tab w:val="left" w:pos="4801"/>
                <w:tab w:val="left" w:pos="8039"/>
              </w:tabs>
              <w:outlineLvl w:val="0"/>
              <w:rPr>
                <w:b/>
                <w:bCs/>
                <w:snapToGrid/>
                <w:kern w:val="0"/>
                <w:szCs w:val="22"/>
                <w:u w:val="single"/>
              </w:rPr>
            </w:pPr>
            <w:r w:rsidRPr="006F6121">
              <w:rPr>
                <w:b/>
                <w:bCs/>
                <w:snapToGrid/>
                <w:kern w:val="0"/>
                <w:szCs w:val="22"/>
                <w:u w:val="single"/>
              </w:rPr>
              <w:t>File N</w:t>
            </w:r>
            <w:r w:rsidRPr="006F6121" w:rsidR="008358AC">
              <w:rPr>
                <w:b/>
                <w:bCs/>
                <w:snapToGrid/>
                <w:kern w:val="0"/>
                <w:szCs w:val="22"/>
                <w:u w:val="single"/>
              </w:rPr>
              <w:t>o.</w:t>
            </w:r>
          </w:p>
        </w:tc>
        <w:tc>
          <w:tcPr>
            <w:tcW w:w="3690" w:type="dxa"/>
            <w:shd w:val="clear" w:color="auto" w:fill="auto"/>
          </w:tcPr>
          <w:p w:rsidR="00FE33F6" w:rsidRPr="006F6121" w:rsidP="006F6121" w14:paraId="68F0F696" w14:textId="0AFC4AE2">
            <w:pPr>
              <w:tabs>
                <w:tab w:val="left" w:pos="1561"/>
                <w:tab w:val="left" w:pos="4801"/>
                <w:tab w:val="left" w:pos="8039"/>
              </w:tabs>
              <w:outlineLvl w:val="0"/>
              <w:rPr>
                <w:snapToGrid/>
                <w:kern w:val="0"/>
                <w:szCs w:val="22"/>
                <w:u w:val="single"/>
              </w:rPr>
            </w:pPr>
            <w:r w:rsidRPr="006F6121">
              <w:rPr>
                <w:b/>
                <w:snapToGrid/>
                <w:w w:val="95"/>
                <w:kern w:val="0"/>
                <w:szCs w:val="22"/>
                <w:u w:val="single"/>
              </w:rPr>
              <w:t>Licensee/Assignor</w:t>
            </w:r>
          </w:p>
        </w:tc>
        <w:tc>
          <w:tcPr>
            <w:tcW w:w="2250" w:type="dxa"/>
            <w:shd w:val="clear" w:color="auto" w:fill="auto"/>
          </w:tcPr>
          <w:p w:rsidR="00FE33F6" w:rsidRPr="006F6121" w:rsidP="006F6121" w14:paraId="7F30C79B" w14:textId="72674D5B">
            <w:pPr>
              <w:tabs>
                <w:tab w:val="left" w:pos="1561"/>
                <w:tab w:val="left" w:pos="4801"/>
                <w:tab w:val="left" w:pos="8039"/>
              </w:tabs>
              <w:outlineLvl w:val="0"/>
              <w:rPr>
                <w:snapToGrid/>
                <w:kern w:val="0"/>
                <w:szCs w:val="22"/>
                <w:u w:val="single"/>
              </w:rPr>
            </w:pPr>
            <w:r w:rsidRPr="006F6121">
              <w:rPr>
                <w:b/>
                <w:snapToGrid/>
                <w:spacing w:val="-1"/>
                <w:w w:val="95"/>
                <w:kern w:val="0"/>
                <w:szCs w:val="22"/>
                <w:u w:val="single"/>
              </w:rPr>
              <w:t>Assignee</w:t>
            </w:r>
          </w:p>
        </w:tc>
        <w:tc>
          <w:tcPr>
            <w:tcW w:w="2088" w:type="dxa"/>
            <w:shd w:val="clear" w:color="auto" w:fill="auto"/>
          </w:tcPr>
          <w:p w:rsidR="00FE33F6" w:rsidRPr="006F6121" w:rsidP="006F6121" w14:paraId="0D6693D3" w14:textId="38B7BB1F">
            <w:pPr>
              <w:tabs>
                <w:tab w:val="left" w:pos="1561"/>
                <w:tab w:val="left" w:pos="4801"/>
                <w:tab w:val="left" w:pos="8039"/>
              </w:tabs>
              <w:outlineLvl w:val="0"/>
              <w:rPr>
                <w:snapToGrid/>
                <w:kern w:val="0"/>
                <w:szCs w:val="22"/>
                <w:u w:val="single"/>
              </w:rPr>
            </w:pPr>
            <w:r w:rsidRPr="006F6121">
              <w:rPr>
                <w:b/>
                <w:snapToGrid/>
                <w:kern w:val="0"/>
                <w:szCs w:val="22"/>
                <w:u w:val="single"/>
              </w:rPr>
              <w:t>Lead</w:t>
            </w:r>
            <w:r w:rsidRPr="006F6121">
              <w:rPr>
                <w:b/>
                <w:snapToGrid/>
                <w:spacing w:val="-7"/>
                <w:kern w:val="0"/>
                <w:szCs w:val="22"/>
                <w:u w:val="single"/>
              </w:rPr>
              <w:t xml:space="preserve"> </w:t>
            </w:r>
            <w:r w:rsidRPr="006F6121">
              <w:rPr>
                <w:b/>
                <w:snapToGrid/>
                <w:kern w:val="0"/>
                <w:szCs w:val="22"/>
                <w:u w:val="single"/>
              </w:rPr>
              <w:t>Call</w:t>
            </w:r>
            <w:r w:rsidRPr="006F6121">
              <w:rPr>
                <w:b/>
                <w:snapToGrid/>
                <w:spacing w:val="-7"/>
                <w:kern w:val="0"/>
                <w:szCs w:val="22"/>
                <w:u w:val="single"/>
              </w:rPr>
              <w:t xml:space="preserve"> </w:t>
            </w:r>
            <w:r w:rsidRPr="006F6121">
              <w:rPr>
                <w:b/>
                <w:snapToGrid/>
                <w:kern w:val="0"/>
                <w:szCs w:val="22"/>
                <w:u w:val="single"/>
              </w:rPr>
              <w:t>Sign</w:t>
            </w:r>
          </w:p>
        </w:tc>
      </w:tr>
      <w:tr w14:paraId="5BEDCF3F" w14:textId="77777777" w:rsidTr="006F6121">
        <w:tblPrEx>
          <w:tblW w:w="0" w:type="auto"/>
          <w:tblLook w:val="04A0"/>
        </w:tblPrEx>
        <w:tc>
          <w:tcPr>
            <w:tcW w:w="1548" w:type="dxa"/>
            <w:shd w:val="clear" w:color="auto" w:fill="auto"/>
          </w:tcPr>
          <w:p w:rsidR="00FE33F6" w:rsidRPr="006F6121" w:rsidP="006F6121" w14:paraId="7E30D895" w14:textId="77777777">
            <w:pPr>
              <w:tabs>
                <w:tab w:val="left" w:pos="1561"/>
                <w:tab w:val="left" w:pos="4801"/>
                <w:tab w:val="left" w:pos="8039"/>
              </w:tabs>
              <w:outlineLvl w:val="0"/>
              <w:rPr>
                <w:snapToGrid/>
                <w:kern w:val="0"/>
                <w:szCs w:val="22"/>
              </w:rPr>
            </w:pPr>
          </w:p>
        </w:tc>
        <w:tc>
          <w:tcPr>
            <w:tcW w:w="3690" w:type="dxa"/>
            <w:shd w:val="clear" w:color="auto" w:fill="auto"/>
          </w:tcPr>
          <w:p w:rsidR="00FE33F6" w:rsidRPr="006F6121" w:rsidP="006F6121" w14:paraId="32F1D9AB" w14:textId="77777777">
            <w:pPr>
              <w:tabs>
                <w:tab w:val="left" w:pos="1561"/>
                <w:tab w:val="left" w:pos="4801"/>
                <w:tab w:val="left" w:pos="8039"/>
              </w:tabs>
              <w:outlineLvl w:val="0"/>
              <w:rPr>
                <w:snapToGrid/>
                <w:kern w:val="0"/>
                <w:szCs w:val="22"/>
              </w:rPr>
            </w:pPr>
          </w:p>
        </w:tc>
        <w:tc>
          <w:tcPr>
            <w:tcW w:w="2250" w:type="dxa"/>
            <w:shd w:val="clear" w:color="auto" w:fill="auto"/>
          </w:tcPr>
          <w:p w:rsidR="00FE33F6" w:rsidRPr="006F6121" w:rsidP="006F6121" w14:paraId="0338539C" w14:textId="77777777">
            <w:pPr>
              <w:tabs>
                <w:tab w:val="left" w:pos="1561"/>
                <w:tab w:val="left" w:pos="4801"/>
                <w:tab w:val="left" w:pos="8039"/>
              </w:tabs>
              <w:outlineLvl w:val="0"/>
              <w:rPr>
                <w:snapToGrid/>
                <w:kern w:val="0"/>
                <w:szCs w:val="22"/>
              </w:rPr>
            </w:pPr>
          </w:p>
        </w:tc>
        <w:tc>
          <w:tcPr>
            <w:tcW w:w="2088" w:type="dxa"/>
            <w:shd w:val="clear" w:color="auto" w:fill="auto"/>
          </w:tcPr>
          <w:p w:rsidR="00FE33F6" w:rsidRPr="006F6121" w:rsidP="006F6121" w14:paraId="22EC3D06" w14:textId="77777777">
            <w:pPr>
              <w:tabs>
                <w:tab w:val="left" w:pos="1561"/>
                <w:tab w:val="left" w:pos="4801"/>
                <w:tab w:val="left" w:pos="8039"/>
              </w:tabs>
              <w:outlineLvl w:val="0"/>
              <w:rPr>
                <w:snapToGrid/>
                <w:kern w:val="0"/>
                <w:szCs w:val="22"/>
              </w:rPr>
            </w:pPr>
          </w:p>
        </w:tc>
      </w:tr>
      <w:tr w14:paraId="7F9D98F7" w14:textId="77777777" w:rsidTr="006F6121">
        <w:tblPrEx>
          <w:tblW w:w="0" w:type="auto"/>
          <w:tblLook w:val="04A0"/>
        </w:tblPrEx>
        <w:tc>
          <w:tcPr>
            <w:tcW w:w="1548" w:type="dxa"/>
            <w:shd w:val="clear" w:color="auto" w:fill="auto"/>
          </w:tcPr>
          <w:p w:rsidR="00FE33F6" w:rsidRPr="006F6121" w:rsidP="006F6121" w14:paraId="4D3479FB" w14:textId="712DE2E5">
            <w:pPr>
              <w:tabs>
                <w:tab w:val="left" w:pos="1561"/>
                <w:tab w:val="left" w:pos="4801"/>
                <w:tab w:val="left" w:pos="8039"/>
              </w:tabs>
              <w:outlineLvl w:val="0"/>
              <w:rPr>
                <w:snapToGrid/>
                <w:kern w:val="0"/>
                <w:szCs w:val="22"/>
              </w:rPr>
            </w:pPr>
            <w:r w:rsidRPr="006F6121">
              <w:rPr>
                <w:snapToGrid/>
                <w:kern w:val="0"/>
                <w:szCs w:val="22"/>
              </w:rPr>
              <w:t>0009262037</w:t>
            </w:r>
          </w:p>
        </w:tc>
        <w:tc>
          <w:tcPr>
            <w:tcW w:w="3690" w:type="dxa"/>
            <w:shd w:val="clear" w:color="auto" w:fill="auto"/>
          </w:tcPr>
          <w:p w:rsidR="00FE33F6" w:rsidRPr="006F6121" w:rsidP="006F6121" w14:paraId="713860B5" w14:textId="7ECD1145">
            <w:pPr>
              <w:tabs>
                <w:tab w:val="left" w:pos="1561"/>
                <w:tab w:val="left" w:pos="4801"/>
                <w:tab w:val="left" w:pos="8039"/>
              </w:tabs>
              <w:outlineLvl w:val="0"/>
              <w:rPr>
                <w:snapToGrid/>
                <w:kern w:val="0"/>
                <w:szCs w:val="22"/>
              </w:rPr>
            </w:pPr>
            <w:r w:rsidRPr="006F6121">
              <w:rPr>
                <w:snapToGrid/>
                <w:kern w:val="0"/>
                <w:szCs w:val="22"/>
              </w:rPr>
              <w:t>Bluegrass Cellular Inc.</w:t>
            </w:r>
          </w:p>
        </w:tc>
        <w:tc>
          <w:tcPr>
            <w:tcW w:w="2250" w:type="dxa"/>
            <w:shd w:val="clear" w:color="auto" w:fill="auto"/>
          </w:tcPr>
          <w:p w:rsidR="00FE33F6" w:rsidRPr="006F6121" w:rsidP="006F6121" w14:paraId="1AE2E762" w14:textId="000653B2">
            <w:pPr>
              <w:tabs>
                <w:tab w:val="left" w:pos="1561"/>
                <w:tab w:val="left" w:pos="4801"/>
                <w:tab w:val="left" w:pos="8039"/>
              </w:tabs>
              <w:outlineLvl w:val="0"/>
              <w:rPr>
                <w:snapToGrid/>
                <w:kern w:val="0"/>
                <w:szCs w:val="22"/>
              </w:rPr>
            </w:pPr>
            <w:r w:rsidRPr="006F6121">
              <w:rPr>
                <w:snapToGrid/>
                <w:kern w:val="0"/>
                <w:szCs w:val="22"/>
              </w:rPr>
              <w:t>Cellco</w:t>
            </w:r>
            <w:r w:rsidRPr="006F6121">
              <w:rPr>
                <w:snapToGrid/>
                <w:kern w:val="0"/>
                <w:szCs w:val="22"/>
              </w:rPr>
              <w:t xml:space="preserve"> Partnership</w:t>
            </w:r>
          </w:p>
        </w:tc>
        <w:tc>
          <w:tcPr>
            <w:tcW w:w="2088" w:type="dxa"/>
            <w:shd w:val="clear" w:color="auto" w:fill="auto"/>
          </w:tcPr>
          <w:p w:rsidR="00FE33F6" w:rsidRPr="006F6121" w:rsidP="006F6121" w14:paraId="0DD3562C" w14:textId="24CE9C38">
            <w:pPr>
              <w:tabs>
                <w:tab w:val="left" w:pos="1561"/>
                <w:tab w:val="left" w:pos="4801"/>
                <w:tab w:val="left" w:pos="8039"/>
              </w:tabs>
              <w:outlineLvl w:val="0"/>
              <w:rPr>
                <w:snapToGrid/>
                <w:kern w:val="0"/>
                <w:szCs w:val="22"/>
              </w:rPr>
            </w:pPr>
            <w:r w:rsidRPr="006F6121">
              <w:rPr>
                <w:snapToGrid/>
                <w:kern w:val="0"/>
                <w:szCs w:val="22"/>
              </w:rPr>
              <w:t>WPWU918</w:t>
            </w:r>
          </w:p>
        </w:tc>
      </w:tr>
      <w:tr w14:paraId="25574916" w14:textId="77777777" w:rsidTr="006F6121">
        <w:tblPrEx>
          <w:tblW w:w="0" w:type="auto"/>
          <w:tblLook w:val="04A0"/>
        </w:tblPrEx>
        <w:tc>
          <w:tcPr>
            <w:tcW w:w="1548" w:type="dxa"/>
            <w:shd w:val="clear" w:color="auto" w:fill="auto"/>
          </w:tcPr>
          <w:p w:rsidR="00FE33F6" w:rsidRPr="006F6121" w:rsidP="006F6121" w14:paraId="5C024AC4" w14:textId="7406AA24">
            <w:pPr>
              <w:tabs>
                <w:tab w:val="left" w:pos="1561"/>
                <w:tab w:val="left" w:pos="4801"/>
                <w:tab w:val="left" w:pos="8039"/>
              </w:tabs>
              <w:outlineLvl w:val="0"/>
              <w:rPr>
                <w:snapToGrid/>
                <w:kern w:val="0"/>
                <w:szCs w:val="22"/>
              </w:rPr>
            </w:pPr>
            <w:r w:rsidRPr="006F6121">
              <w:rPr>
                <w:snapToGrid/>
                <w:kern w:val="0"/>
                <w:szCs w:val="22"/>
              </w:rPr>
              <w:t>0009262040</w:t>
            </w:r>
          </w:p>
        </w:tc>
        <w:tc>
          <w:tcPr>
            <w:tcW w:w="3690" w:type="dxa"/>
            <w:shd w:val="clear" w:color="auto" w:fill="auto"/>
          </w:tcPr>
          <w:p w:rsidR="00FE33F6" w:rsidRPr="006F6121" w:rsidP="006F6121" w14:paraId="5EFB37F7" w14:textId="24E6F731">
            <w:pPr>
              <w:tabs>
                <w:tab w:val="left" w:pos="1561"/>
                <w:tab w:val="left" w:pos="4801"/>
                <w:tab w:val="left" w:pos="8039"/>
              </w:tabs>
              <w:outlineLvl w:val="0"/>
              <w:rPr>
                <w:snapToGrid/>
                <w:kern w:val="0"/>
                <w:szCs w:val="22"/>
              </w:rPr>
            </w:pPr>
            <w:r w:rsidRPr="006F6121">
              <w:rPr>
                <w:snapToGrid/>
                <w:kern w:val="0"/>
                <w:szCs w:val="22"/>
              </w:rPr>
              <w:t>Bluegrass Wireless LLC</w:t>
            </w:r>
          </w:p>
        </w:tc>
        <w:tc>
          <w:tcPr>
            <w:tcW w:w="2250" w:type="dxa"/>
            <w:shd w:val="clear" w:color="auto" w:fill="auto"/>
          </w:tcPr>
          <w:p w:rsidR="00FE33F6" w:rsidRPr="006F6121" w:rsidP="006F6121" w14:paraId="669ED4BF" w14:textId="0DC58D23">
            <w:pPr>
              <w:tabs>
                <w:tab w:val="left" w:pos="1561"/>
                <w:tab w:val="left" w:pos="4801"/>
                <w:tab w:val="left" w:pos="8039"/>
              </w:tabs>
              <w:outlineLvl w:val="0"/>
              <w:rPr>
                <w:snapToGrid/>
                <w:kern w:val="0"/>
                <w:szCs w:val="22"/>
              </w:rPr>
            </w:pPr>
            <w:r w:rsidRPr="006F6121">
              <w:rPr>
                <w:snapToGrid/>
                <w:kern w:val="0"/>
                <w:szCs w:val="22"/>
              </w:rPr>
              <w:t>Cellco</w:t>
            </w:r>
            <w:r w:rsidRPr="006F6121">
              <w:rPr>
                <w:snapToGrid/>
                <w:kern w:val="0"/>
                <w:szCs w:val="22"/>
              </w:rPr>
              <w:t xml:space="preserve"> Partnership</w:t>
            </w:r>
          </w:p>
        </w:tc>
        <w:tc>
          <w:tcPr>
            <w:tcW w:w="2088" w:type="dxa"/>
            <w:shd w:val="clear" w:color="auto" w:fill="auto"/>
          </w:tcPr>
          <w:p w:rsidR="00FE33F6" w:rsidRPr="006F6121" w:rsidP="006F6121" w14:paraId="7654914E" w14:textId="15FC884E">
            <w:pPr>
              <w:tabs>
                <w:tab w:val="left" w:pos="1561"/>
                <w:tab w:val="left" w:pos="4801"/>
                <w:tab w:val="left" w:pos="8039"/>
              </w:tabs>
              <w:outlineLvl w:val="0"/>
              <w:rPr>
                <w:snapToGrid/>
                <w:kern w:val="0"/>
                <w:szCs w:val="22"/>
              </w:rPr>
            </w:pPr>
            <w:r w:rsidRPr="006F6121">
              <w:rPr>
                <w:snapToGrid/>
                <w:kern w:val="0"/>
                <w:szCs w:val="22"/>
              </w:rPr>
              <w:t>WPOK618</w:t>
            </w:r>
          </w:p>
        </w:tc>
      </w:tr>
      <w:tr w14:paraId="0DEF3B0C" w14:textId="77777777" w:rsidTr="006F6121">
        <w:tblPrEx>
          <w:tblW w:w="0" w:type="auto"/>
          <w:tblLook w:val="04A0"/>
        </w:tblPrEx>
        <w:tc>
          <w:tcPr>
            <w:tcW w:w="1548" w:type="dxa"/>
            <w:shd w:val="clear" w:color="auto" w:fill="auto"/>
          </w:tcPr>
          <w:p w:rsidR="00FE33F6" w:rsidRPr="006F6121" w:rsidP="006F6121" w14:paraId="209B8C43" w14:textId="3A0FC26D">
            <w:pPr>
              <w:tabs>
                <w:tab w:val="left" w:pos="1561"/>
                <w:tab w:val="left" w:pos="4801"/>
                <w:tab w:val="left" w:pos="8039"/>
              </w:tabs>
              <w:outlineLvl w:val="0"/>
              <w:rPr>
                <w:snapToGrid/>
                <w:kern w:val="0"/>
                <w:szCs w:val="22"/>
              </w:rPr>
            </w:pPr>
            <w:r w:rsidRPr="006F6121">
              <w:rPr>
                <w:snapToGrid/>
                <w:kern w:val="0"/>
                <w:szCs w:val="22"/>
              </w:rPr>
              <w:t>0009262182</w:t>
            </w:r>
          </w:p>
        </w:tc>
        <w:tc>
          <w:tcPr>
            <w:tcW w:w="3690" w:type="dxa"/>
            <w:shd w:val="clear" w:color="auto" w:fill="auto"/>
          </w:tcPr>
          <w:p w:rsidR="00FE33F6" w:rsidRPr="006F6121" w:rsidP="006F6121" w14:paraId="0A60B3D2" w14:textId="20FCF12E">
            <w:pPr>
              <w:tabs>
                <w:tab w:val="left" w:pos="1561"/>
                <w:tab w:val="left" w:pos="4801"/>
                <w:tab w:val="left" w:pos="8039"/>
              </w:tabs>
              <w:outlineLvl w:val="0"/>
              <w:rPr>
                <w:snapToGrid/>
                <w:kern w:val="0"/>
                <w:szCs w:val="22"/>
              </w:rPr>
            </w:pPr>
            <w:r w:rsidRPr="006F6121">
              <w:rPr>
                <w:snapToGrid/>
                <w:kern w:val="0"/>
                <w:szCs w:val="22"/>
              </w:rPr>
              <w:t>Cumberland Cellular Partnership</w:t>
            </w:r>
          </w:p>
        </w:tc>
        <w:tc>
          <w:tcPr>
            <w:tcW w:w="2250" w:type="dxa"/>
            <w:shd w:val="clear" w:color="auto" w:fill="auto"/>
          </w:tcPr>
          <w:p w:rsidR="00FE33F6" w:rsidRPr="006F6121" w:rsidP="006F6121" w14:paraId="3ADF2BB9" w14:textId="6EC43767">
            <w:pPr>
              <w:tabs>
                <w:tab w:val="left" w:pos="1561"/>
                <w:tab w:val="left" w:pos="4801"/>
                <w:tab w:val="left" w:pos="8039"/>
              </w:tabs>
              <w:outlineLvl w:val="0"/>
              <w:rPr>
                <w:snapToGrid/>
                <w:kern w:val="0"/>
                <w:szCs w:val="22"/>
              </w:rPr>
            </w:pPr>
            <w:r w:rsidRPr="006F6121">
              <w:rPr>
                <w:snapToGrid/>
                <w:kern w:val="0"/>
                <w:szCs w:val="22"/>
              </w:rPr>
              <w:t>Cellco</w:t>
            </w:r>
            <w:r w:rsidRPr="006F6121">
              <w:rPr>
                <w:snapToGrid/>
                <w:kern w:val="0"/>
                <w:szCs w:val="22"/>
              </w:rPr>
              <w:t xml:space="preserve"> Partnership</w:t>
            </w:r>
          </w:p>
        </w:tc>
        <w:tc>
          <w:tcPr>
            <w:tcW w:w="2088" w:type="dxa"/>
            <w:shd w:val="clear" w:color="auto" w:fill="auto"/>
          </w:tcPr>
          <w:p w:rsidR="00FE33F6" w:rsidRPr="006F6121" w:rsidP="006F6121" w14:paraId="1E9D2709" w14:textId="4E0E8033">
            <w:pPr>
              <w:tabs>
                <w:tab w:val="left" w:pos="1561"/>
                <w:tab w:val="left" w:pos="4801"/>
                <w:tab w:val="left" w:pos="8039"/>
              </w:tabs>
              <w:outlineLvl w:val="0"/>
              <w:rPr>
                <w:snapToGrid/>
                <w:kern w:val="0"/>
                <w:szCs w:val="22"/>
              </w:rPr>
            </w:pPr>
            <w:r w:rsidRPr="006F6121">
              <w:rPr>
                <w:snapToGrid/>
                <w:kern w:val="0"/>
                <w:szCs w:val="22"/>
              </w:rPr>
              <w:t>KNKN814</w:t>
            </w:r>
          </w:p>
        </w:tc>
      </w:tr>
      <w:tr w14:paraId="452854CA" w14:textId="77777777" w:rsidTr="006F6121">
        <w:tblPrEx>
          <w:tblW w:w="0" w:type="auto"/>
          <w:tblLook w:val="04A0"/>
        </w:tblPrEx>
        <w:tc>
          <w:tcPr>
            <w:tcW w:w="1548" w:type="dxa"/>
            <w:shd w:val="clear" w:color="auto" w:fill="auto"/>
          </w:tcPr>
          <w:p w:rsidR="00FE33F6" w:rsidRPr="006F6121" w:rsidP="006F6121" w14:paraId="2DB8E65F" w14:textId="33CCA790">
            <w:pPr>
              <w:tabs>
                <w:tab w:val="left" w:pos="1561"/>
                <w:tab w:val="left" w:pos="4801"/>
                <w:tab w:val="left" w:pos="8039"/>
              </w:tabs>
              <w:outlineLvl w:val="0"/>
              <w:rPr>
                <w:snapToGrid/>
                <w:kern w:val="0"/>
                <w:szCs w:val="22"/>
              </w:rPr>
            </w:pPr>
            <w:r w:rsidRPr="006F6121">
              <w:rPr>
                <w:snapToGrid/>
                <w:kern w:val="0"/>
                <w:szCs w:val="22"/>
              </w:rPr>
              <w:t>0009262184</w:t>
            </w:r>
          </w:p>
        </w:tc>
        <w:tc>
          <w:tcPr>
            <w:tcW w:w="3690" w:type="dxa"/>
            <w:shd w:val="clear" w:color="auto" w:fill="auto"/>
          </w:tcPr>
          <w:p w:rsidR="00FE33F6" w:rsidRPr="006F6121" w:rsidP="006F6121" w14:paraId="296A8808" w14:textId="7E19A7D9">
            <w:pPr>
              <w:tabs>
                <w:tab w:val="left" w:pos="1561"/>
                <w:tab w:val="left" w:pos="4801"/>
                <w:tab w:val="left" w:pos="8039"/>
              </w:tabs>
              <w:outlineLvl w:val="0"/>
              <w:rPr>
                <w:snapToGrid/>
                <w:kern w:val="0"/>
                <w:szCs w:val="22"/>
              </w:rPr>
            </w:pPr>
            <w:r w:rsidRPr="006F6121">
              <w:rPr>
                <w:snapToGrid/>
                <w:kern w:val="0"/>
                <w:szCs w:val="22"/>
              </w:rPr>
              <w:t>Kentucky RSA 3 Cellular General</w:t>
            </w:r>
            <w:r w:rsidRPr="006F6121" w:rsidR="007F1EB9">
              <w:rPr>
                <w:snapToGrid/>
                <w:kern w:val="0"/>
                <w:szCs w:val="22"/>
              </w:rPr>
              <w:t xml:space="preserve"> Partnership</w:t>
            </w:r>
          </w:p>
        </w:tc>
        <w:tc>
          <w:tcPr>
            <w:tcW w:w="2250" w:type="dxa"/>
            <w:shd w:val="clear" w:color="auto" w:fill="auto"/>
          </w:tcPr>
          <w:p w:rsidR="00FE33F6" w:rsidRPr="006F6121" w:rsidP="006F6121" w14:paraId="76F15340" w14:textId="788E610C">
            <w:pPr>
              <w:tabs>
                <w:tab w:val="left" w:pos="1561"/>
                <w:tab w:val="left" w:pos="4801"/>
                <w:tab w:val="left" w:pos="8039"/>
              </w:tabs>
              <w:outlineLvl w:val="0"/>
              <w:rPr>
                <w:snapToGrid/>
                <w:kern w:val="0"/>
                <w:szCs w:val="22"/>
              </w:rPr>
            </w:pPr>
            <w:r w:rsidRPr="006F6121">
              <w:rPr>
                <w:snapToGrid/>
                <w:kern w:val="0"/>
                <w:szCs w:val="22"/>
              </w:rPr>
              <w:t>Cellco</w:t>
            </w:r>
            <w:r w:rsidRPr="006F6121">
              <w:rPr>
                <w:snapToGrid/>
                <w:kern w:val="0"/>
                <w:szCs w:val="22"/>
              </w:rPr>
              <w:t xml:space="preserve"> Partnership</w:t>
            </w:r>
          </w:p>
        </w:tc>
        <w:tc>
          <w:tcPr>
            <w:tcW w:w="2088" w:type="dxa"/>
            <w:shd w:val="clear" w:color="auto" w:fill="auto"/>
          </w:tcPr>
          <w:p w:rsidR="00FE33F6" w:rsidRPr="006F6121" w:rsidP="006F6121" w14:paraId="2313AEDF" w14:textId="7F9A06A0">
            <w:pPr>
              <w:tabs>
                <w:tab w:val="left" w:pos="1561"/>
                <w:tab w:val="left" w:pos="4801"/>
                <w:tab w:val="left" w:pos="8039"/>
              </w:tabs>
              <w:outlineLvl w:val="0"/>
              <w:rPr>
                <w:snapToGrid/>
                <w:kern w:val="0"/>
                <w:szCs w:val="22"/>
              </w:rPr>
            </w:pPr>
            <w:r w:rsidRPr="006F6121">
              <w:rPr>
                <w:snapToGrid/>
                <w:kern w:val="0"/>
                <w:szCs w:val="22"/>
              </w:rPr>
              <w:t>KNKN867</w:t>
            </w:r>
          </w:p>
        </w:tc>
      </w:tr>
      <w:tr w14:paraId="4D4D045A" w14:textId="77777777" w:rsidTr="006F6121">
        <w:tblPrEx>
          <w:tblW w:w="0" w:type="auto"/>
          <w:tblLook w:val="04A0"/>
        </w:tblPrEx>
        <w:tc>
          <w:tcPr>
            <w:tcW w:w="1548" w:type="dxa"/>
            <w:shd w:val="clear" w:color="auto" w:fill="auto"/>
          </w:tcPr>
          <w:p w:rsidR="00FE33F6" w:rsidRPr="006F6121" w:rsidP="006F6121" w14:paraId="37499091" w14:textId="511CE330">
            <w:pPr>
              <w:tabs>
                <w:tab w:val="left" w:pos="1561"/>
                <w:tab w:val="left" w:pos="4801"/>
                <w:tab w:val="left" w:pos="8039"/>
              </w:tabs>
              <w:outlineLvl w:val="0"/>
              <w:rPr>
                <w:snapToGrid/>
                <w:kern w:val="0"/>
                <w:szCs w:val="22"/>
              </w:rPr>
            </w:pPr>
            <w:r w:rsidRPr="006F6121">
              <w:rPr>
                <w:snapToGrid/>
                <w:kern w:val="0"/>
                <w:szCs w:val="22"/>
              </w:rPr>
              <w:t>0009262187</w:t>
            </w:r>
          </w:p>
        </w:tc>
        <w:tc>
          <w:tcPr>
            <w:tcW w:w="3690" w:type="dxa"/>
            <w:shd w:val="clear" w:color="auto" w:fill="auto"/>
          </w:tcPr>
          <w:p w:rsidR="00FE33F6" w:rsidRPr="006F6121" w:rsidP="006F6121" w14:paraId="1C3BD395" w14:textId="3513216B">
            <w:pPr>
              <w:tabs>
                <w:tab w:val="left" w:pos="1561"/>
                <w:tab w:val="left" w:pos="4801"/>
                <w:tab w:val="left" w:pos="8039"/>
              </w:tabs>
              <w:outlineLvl w:val="0"/>
              <w:rPr>
                <w:snapToGrid/>
                <w:kern w:val="0"/>
                <w:szCs w:val="22"/>
              </w:rPr>
            </w:pPr>
            <w:r w:rsidRPr="006F6121">
              <w:rPr>
                <w:snapToGrid/>
                <w:kern w:val="0"/>
                <w:szCs w:val="22"/>
              </w:rPr>
              <w:t>Kentucky RSA 4 Cellular General Partnership</w:t>
            </w:r>
          </w:p>
        </w:tc>
        <w:tc>
          <w:tcPr>
            <w:tcW w:w="2250" w:type="dxa"/>
            <w:shd w:val="clear" w:color="auto" w:fill="auto"/>
          </w:tcPr>
          <w:p w:rsidR="00FE33F6" w:rsidRPr="006F6121" w:rsidP="006F6121" w14:paraId="3E30CADA" w14:textId="092DF017">
            <w:pPr>
              <w:tabs>
                <w:tab w:val="left" w:pos="1561"/>
                <w:tab w:val="left" w:pos="4801"/>
                <w:tab w:val="left" w:pos="8039"/>
              </w:tabs>
              <w:outlineLvl w:val="0"/>
              <w:rPr>
                <w:snapToGrid/>
                <w:kern w:val="0"/>
                <w:szCs w:val="22"/>
              </w:rPr>
            </w:pPr>
            <w:r w:rsidRPr="006F6121">
              <w:rPr>
                <w:snapToGrid/>
                <w:kern w:val="0"/>
                <w:szCs w:val="22"/>
              </w:rPr>
              <w:t>Cellco</w:t>
            </w:r>
            <w:r w:rsidRPr="006F6121">
              <w:rPr>
                <w:snapToGrid/>
                <w:kern w:val="0"/>
                <w:szCs w:val="22"/>
              </w:rPr>
              <w:t xml:space="preserve"> Partnership</w:t>
            </w:r>
          </w:p>
        </w:tc>
        <w:tc>
          <w:tcPr>
            <w:tcW w:w="2088" w:type="dxa"/>
            <w:shd w:val="clear" w:color="auto" w:fill="auto"/>
          </w:tcPr>
          <w:p w:rsidR="00FE33F6" w:rsidRPr="006F6121" w:rsidP="006F6121" w14:paraId="70E2F139" w14:textId="45A66532">
            <w:pPr>
              <w:tabs>
                <w:tab w:val="left" w:pos="1561"/>
                <w:tab w:val="left" w:pos="4801"/>
                <w:tab w:val="left" w:pos="8039"/>
              </w:tabs>
              <w:outlineLvl w:val="0"/>
              <w:rPr>
                <w:snapToGrid/>
                <w:kern w:val="0"/>
                <w:szCs w:val="22"/>
              </w:rPr>
            </w:pPr>
            <w:r w:rsidRPr="006F6121">
              <w:rPr>
                <w:snapToGrid/>
                <w:kern w:val="0"/>
                <w:szCs w:val="22"/>
              </w:rPr>
              <w:t>KNKN795</w:t>
            </w:r>
          </w:p>
        </w:tc>
      </w:tr>
    </w:tbl>
    <w:p w:rsidR="003A38FD" w:rsidRPr="00904C3E" w:rsidP="005B5D09" w14:paraId="0350A277" w14:textId="77777777">
      <w:pPr>
        <w:tabs>
          <w:tab w:val="left" w:pos="1561"/>
          <w:tab w:val="left" w:pos="4801"/>
          <w:tab w:val="left" w:pos="8039"/>
        </w:tabs>
        <w:outlineLvl w:val="0"/>
        <w:rPr>
          <w:snapToGrid/>
          <w:kern w:val="0"/>
          <w:szCs w:val="22"/>
        </w:rPr>
      </w:pPr>
    </w:p>
    <w:p w:rsidR="00C710CC" w:rsidRPr="00904C3E" w:rsidP="00E05F47" w14:paraId="7C91ADE0" w14:textId="77777777">
      <w:pPr>
        <w:pStyle w:val="Heading1"/>
        <w:rPr>
          <w:snapToGrid/>
        </w:rPr>
      </w:pPr>
      <w:r w:rsidRPr="00E05F47">
        <w:rPr>
          <w:rFonts w:eastAsia="Calibri"/>
          <w:i/>
          <w:iCs/>
          <w:snapToGrid/>
        </w:rPr>
        <w:t>EX</w:t>
      </w:r>
      <w:r w:rsidRPr="00E05F47">
        <w:rPr>
          <w:rFonts w:eastAsia="Calibri"/>
          <w:i/>
          <w:iCs/>
          <w:snapToGrid/>
          <w:spacing w:val="-9"/>
        </w:rPr>
        <w:t xml:space="preserve"> </w:t>
      </w:r>
      <w:r w:rsidRPr="00E05F47">
        <w:rPr>
          <w:rFonts w:eastAsia="Calibri"/>
          <w:i/>
          <w:iCs/>
          <w:snapToGrid/>
        </w:rPr>
        <w:t>PARTE</w:t>
      </w:r>
      <w:r w:rsidRPr="00904C3E">
        <w:rPr>
          <w:rFonts w:eastAsia="Calibri"/>
          <w:snapToGrid/>
          <w:spacing w:val="-7"/>
        </w:rPr>
        <w:t xml:space="preserve"> </w:t>
      </w:r>
      <w:r w:rsidRPr="00904C3E">
        <w:rPr>
          <w:rFonts w:eastAsia="Calibri"/>
          <w:snapToGrid/>
        </w:rPr>
        <w:t>STATUS</w:t>
      </w:r>
      <w:r w:rsidRPr="00904C3E">
        <w:rPr>
          <w:rFonts w:eastAsia="Calibri"/>
          <w:snapToGrid/>
          <w:spacing w:val="-8"/>
        </w:rPr>
        <w:t xml:space="preserve"> </w:t>
      </w:r>
      <w:r w:rsidRPr="00904C3E">
        <w:rPr>
          <w:rFonts w:eastAsia="Calibri"/>
          <w:snapToGrid/>
        </w:rPr>
        <w:t>OF</w:t>
      </w:r>
      <w:r w:rsidRPr="00904C3E">
        <w:rPr>
          <w:rFonts w:eastAsia="Calibri"/>
          <w:snapToGrid/>
          <w:spacing w:val="-7"/>
        </w:rPr>
        <w:t xml:space="preserve"> </w:t>
      </w:r>
      <w:r w:rsidRPr="00904C3E">
        <w:rPr>
          <w:rFonts w:eastAsia="Calibri"/>
          <w:snapToGrid/>
        </w:rPr>
        <w:t>THIS</w:t>
      </w:r>
      <w:r w:rsidRPr="00904C3E">
        <w:rPr>
          <w:rFonts w:eastAsia="Calibri"/>
          <w:snapToGrid/>
          <w:spacing w:val="-8"/>
        </w:rPr>
        <w:t xml:space="preserve"> </w:t>
      </w:r>
      <w:r w:rsidRPr="00904C3E">
        <w:rPr>
          <w:rFonts w:eastAsia="Calibri"/>
          <w:snapToGrid/>
        </w:rPr>
        <w:t>PROCEEDING</w:t>
      </w:r>
    </w:p>
    <w:p w:rsidR="002E3DCD" w:rsidRPr="00904C3E" w:rsidP="00E3782E" w14:paraId="445DDC56" w14:textId="2ED9AE1E">
      <w:pPr>
        <w:widowControl/>
        <w:spacing w:after="120"/>
        <w:ind w:right="101" w:firstLine="720"/>
        <w:rPr>
          <w:snapToGrid/>
          <w:kern w:val="0"/>
          <w:szCs w:val="22"/>
        </w:rPr>
      </w:pPr>
      <w:r w:rsidRPr="00904C3E">
        <w:rPr>
          <w:snapToGrid/>
          <w:kern w:val="0"/>
          <w:szCs w:val="22"/>
        </w:rPr>
        <w:t>Pursuant to section 1.1200(a) of the Commission’s rules,</w:t>
      </w:r>
      <w:r>
        <w:rPr>
          <w:rStyle w:val="FootnoteReference"/>
          <w:snapToGrid/>
          <w:kern w:val="0"/>
          <w:sz w:val="20"/>
        </w:rPr>
        <w:footnoteReference w:id="10"/>
      </w:r>
      <w:r w:rsidRPr="00904C3E">
        <w:rPr>
          <w:snapToGrid/>
          <w:kern w:val="0"/>
          <w:szCs w:val="22"/>
        </w:rPr>
        <w:t xml:space="preserve"> the Commission may adopt modified or</w:t>
      </w:r>
      <w:r w:rsidRPr="00904C3E">
        <w:rPr>
          <w:snapToGrid/>
          <w:w w:val="99"/>
          <w:kern w:val="0"/>
          <w:szCs w:val="22"/>
        </w:rPr>
        <w:t xml:space="preserve"> </w:t>
      </w:r>
      <w:r w:rsidRPr="00904C3E">
        <w:rPr>
          <w:snapToGrid/>
          <w:kern w:val="0"/>
          <w:szCs w:val="22"/>
        </w:rPr>
        <w:t xml:space="preserve">more stringent </w:t>
      </w:r>
      <w:r w:rsidRPr="00904C3E">
        <w:rPr>
          <w:i/>
          <w:snapToGrid/>
          <w:kern w:val="0"/>
          <w:szCs w:val="22"/>
        </w:rPr>
        <w:t xml:space="preserve">ex </w:t>
      </w:r>
      <w:r w:rsidRPr="00904C3E">
        <w:rPr>
          <w:i/>
          <w:snapToGrid/>
          <w:kern w:val="0"/>
          <w:szCs w:val="22"/>
        </w:rPr>
        <w:t>parte</w:t>
      </w:r>
      <w:r w:rsidRPr="00904C3E">
        <w:rPr>
          <w:i/>
          <w:snapToGrid/>
          <w:kern w:val="0"/>
          <w:szCs w:val="22"/>
        </w:rPr>
        <w:t xml:space="preserve"> </w:t>
      </w:r>
      <w:r w:rsidRPr="00904C3E">
        <w:rPr>
          <w:snapToGrid/>
          <w:kern w:val="0"/>
          <w:szCs w:val="22"/>
        </w:rPr>
        <w:t xml:space="preserve">procedures in particular proceedings if the public interest so requires. </w:t>
      </w:r>
      <w:r w:rsidR="00233320">
        <w:rPr>
          <w:snapToGrid/>
          <w:kern w:val="0"/>
          <w:szCs w:val="22"/>
        </w:rPr>
        <w:t xml:space="preserve"> </w:t>
      </w:r>
      <w:r w:rsidRPr="00904C3E">
        <w:rPr>
          <w:snapToGrid/>
          <w:kern w:val="0"/>
          <w:szCs w:val="22"/>
        </w:rPr>
        <w:t>We</w:t>
      </w:r>
      <w:r w:rsidRPr="00904C3E">
        <w:rPr>
          <w:snapToGrid/>
          <w:w w:val="99"/>
          <w:kern w:val="0"/>
          <w:szCs w:val="22"/>
        </w:rPr>
        <w:t xml:space="preserve"> </w:t>
      </w:r>
      <w:r w:rsidRPr="00904C3E">
        <w:rPr>
          <w:snapToGrid/>
          <w:kern w:val="0"/>
          <w:szCs w:val="22"/>
        </w:rPr>
        <w:t xml:space="preserve">announce that this proceeding will be governed by permit-but-disclose </w:t>
      </w:r>
      <w:r w:rsidRPr="00904C3E">
        <w:rPr>
          <w:i/>
          <w:snapToGrid/>
          <w:kern w:val="0"/>
          <w:szCs w:val="22"/>
        </w:rPr>
        <w:t xml:space="preserve">ex </w:t>
      </w:r>
      <w:r w:rsidRPr="00904C3E">
        <w:rPr>
          <w:i/>
          <w:snapToGrid/>
          <w:kern w:val="0"/>
          <w:szCs w:val="22"/>
        </w:rPr>
        <w:t>parte</w:t>
      </w:r>
      <w:r w:rsidRPr="00904C3E">
        <w:rPr>
          <w:i/>
          <w:snapToGrid/>
          <w:kern w:val="0"/>
          <w:szCs w:val="22"/>
        </w:rPr>
        <w:t xml:space="preserve"> </w:t>
      </w:r>
      <w:r w:rsidRPr="00904C3E">
        <w:rPr>
          <w:snapToGrid/>
          <w:kern w:val="0"/>
          <w:szCs w:val="22"/>
        </w:rPr>
        <w:t>procedures that are</w:t>
      </w:r>
      <w:r w:rsidRPr="00904C3E">
        <w:rPr>
          <w:snapToGrid/>
          <w:w w:val="99"/>
          <w:kern w:val="0"/>
          <w:szCs w:val="22"/>
        </w:rPr>
        <w:t xml:space="preserve"> </w:t>
      </w:r>
      <w:r w:rsidRPr="00904C3E">
        <w:rPr>
          <w:snapToGrid/>
          <w:kern w:val="0"/>
          <w:szCs w:val="22"/>
        </w:rPr>
        <w:t>applicable to non-restricted proceedings under section 1.1206 of the Commission’s rules.</w:t>
      </w:r>
      <w:r>
        <w:rPr>
          <w:rStyle w:val="FootnoteReference"/>
          <w:snapToGrid/>
          <w:kern w:val="0"/>
          <w:sz w:val="20"/>
        </w:rPr>
        <w:footnoteReference w:id="11"/>
      </w:r>
    </w:p>
    <w:p w:rsidR="00B40BE7" w:rsidRPr="00904C3E" w:rsidP="00E05F47" w14:paraId="7F91DC1B" w14:textId="1058BD8E">
      <w:pPr>
        <w:widowControl/>
        <w:spacing w:after="120"/>
        <w:ind w:firstLine="720"/>
        <w:rPr>
          <w:szCs w:val="22"/>
        </w:rPr>
      </w:pPr>
      <w:r w:rsidRPr="00904C3E">
        <w:rPr>
          <w:snapToGrid/>
          <w:kern w:val="0"/>
          <w:szCs w:val="22"/>
        </w:rPr>
        <w:t xml:space="preserve">Persons making </w:t>
      </w:r>
      <w:r w:rsidRPr="00904C3E">
        <w:rPr>
          <w:i/>
          <w:snapToGrid/>
          <w:kern w:val="0"/>
          <w:szCs w:val="22"/>
        </w:rPr>
        <w:t xml:space="preserve">ex </w:t>
      </w:r>
      <w:r w:rsidRPr="00904C3E">
        <w:rPr>
          <w:i/>
          <w:snapToGrid/>
          <w:kern w:val="0"/>
          <w:szCs w:val="22"/>
        </w:rPr>
        <w:t>parte</w:t>
      </w:r>
      <w:r w:rsidRPr="00904C3E">
        <w:rPr>
          <w:i/>
          <w:snapToGrid/>
          <w:kern w:val="0"/>
          <w:szCs w:val="22"/>
        </w:rPr>
        <w:t xml:space="preserve"> </w:t>
      </w:r>
      <w:r w:rsidRPr="00904C3E">
        <w:rPr>
          <w:snapToGrid/>
          <w:kern w:val="0"/>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904C3E">
        <w:rPr>
          <w:i/>
          <w:iCs/>
          <w:snapToGrid/>
          <w:kern w:val="0"/>
          <w:szCs w:val="22"/>
        </w:rPr>
        <w:t xml:space="preserve">ex </w:t>
      </w:r>
      <w:r w:rsidRPr="00904C3E">
        <w:rPr>
          <w:i/>
          <w:iCs/>
          <w:snapToGrid/>
          <w:kern w:val="0"/>
          <w:szCs w:val="22"/>
        </w:rPr>
        <w:t>parte</w:t>
      </w:r>
      <w:r w:rsidRPr="00904C3E">
        <w:rPr>
          <w:i/>
          <w:iCs/>
          <w:snapToGrid/>
          <w:kern w:val="0"/>
          <w:szCs w:val="22"/>
        </w:rPr>
        <w:t xml:space="preserve"> </w:t>
      </w:r>
      <w:r w:rsidRPr="00904C3E">
        <w:rPr>
          <w:snapToGrid/>
          <w:kern w:val="0"/>
          <w:szCs w:val="22"/>
        </w:rPr>
        <w:t xml:space="preserve">presentations are reminded that memoranda summarizing the presentation must (1) list all persons attending or otherwise participating in the meeting at which the </w:t>
      </w:r>
      <w:r w:rsidRPr="00904C3E">
        <w:rPr>
          <w:i/>
          <w:iCs/>
          <w:snapToGrid/>
          <w:kern w:val="0"/>
          <w:szCs w:val="22"/>
        </w:rPr>
        <w:t xml:space="preserve">ex </w:t>
      </w:r>
      <w:r w:rsidRPr="00904C3E">
        <w:rPr>
          <w:i/>
          <w:iCs/>
          <w:snapToGrid/>
          <w:kern w:val="0"/>
          <w:szCs w:val="22"/>
        </w:rPr>
        <w:t>parte</w:t>
      </w:r>
      <w:r w:rsidRPr="00904C3E">
        <w:rPr>
          <w:i/>
          <w:iCs/>
          <w:snapToGrid/>
          <w:kern w:val="0"/>
          <w:szCs w:val="22"/>
        </w:rPr>
        <w:t xml:space="preserve"> </w:t>
      </w:r>
      <w:r w:rsidRPr="00904C3E">
        <w:rPr>
          <w:snapToGrid/>
          <w:kern w:val="0"/>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904C3E">
        <w:rPr>
          <w:i/>
          <w:iCs/>
          <w:snapToGrid/>
          <w:kern w:val="0"/>
          <w:szCs w:val="22"/>
        </w:rPr>
        <w:t xml:space="preserve">ex </w:t>
      </w:r>
      <w:r w:rsidRPr="00904C3E">
        <w:rPr>
          <w:i/>
          <w:iCs/>
          <w:snapToGrid/>
          <w:kern w:val="0"/>
          <w:szCs w:val="22"/>
        </w:rPr>
        <w:t>parte</w:t>
      </w:r>
      <w:r w:rsidRPr="00904C3E">
        <w:rPr>
          <w:i/>
          <w:iCs/>
          <w:snapToGrid/>
          <w:kern w:val="0"/>
          <w:szCs w:val="22"/>
        </w:rPr>
        <w:t xml:space="preserve"> </w:t>
      </w:r>
      <w:r w:rsidRPr="00904C3E">
        <w:rPr>
          <w:snapToGrid/>
          <w:kern w:val="0"/>
          <w:szCs w:val="22"/>
        </w:rPr>
        <w:t xml:space="preserve">meetings are deemed to be written </w:t>
      </w:r>
      <w:r w:rsidRPr="00904C3E">
        <w:rPr>
          <w:i/>
          <w:iCs/>
          <w:snapToGrid/>
          <w:kern w:val="0"/>
          <w:szCs w:val="22"/>
        </w:rPr>
        <w:t xml:space="preserve">ex </w:t>
      </w:r>
      <w:r w:rsidRPr="00904C3E">
        <w:rPr>
          <w:i/>
          <w:iCs/>
          <w:snapToGrid/>
          <w:kern w:val="0"/>
          <w:szCs w:val="22"/>
        </w:rPr>
        <w:t>parte</w:t>
      </w:r>
      <w:r w:rsidRPr="00904C3E">
        <w:rPr>
          <w:snapToGrid/>
          <w:kern w:val="0"/>
          <w:szCs w:val="22"/>
        </w:rPr>
        <w:t xml:space="preserve"> presentations and must be filed consistent with rule 1.1206(b).  In proceedings governed by rule 1.49(f) or for which the Commission has made available a method of electronic filing, written </w:t>
      </w:r>
      <w:r w:rsidRPr="00904C3E">
        <w:rPr>
          <w:i/>
          <w:iCs/>
          <w:snapToGrid/>
          <w:kern w:val="0"/>
          <w:szCs w:val="22"/>
        </w:rPr>
        <w:t xml:space="preserve">ex </w:t>
      </w:r>
      <w:r w:rsidRPr="00904C3E">
        <w:rPr>
          <w:i/>
          <w:iCs/>
          <w:snapToGrid/>
          <w:kern w:val="0"/>
          <w:szCs w:val="22"/>
        </w:rPr>
        <w:t>parte</w:t>
      </w:r>
      <w:r w:rsidRPr="00904C3E">
        <w:rPr>
          <w:i/>
          <w:iCs/>
          <w:snapToGrid/>
          <w:kern w:val="0"/>
          <w:szCs w:val="22"/>
        </w:rPr>
        <w:t xml:space="preserve"> </w:t>
      </w:r>
      <w:r w:rsidRPr="00904C3E">
        <w:rPr>
          <w:snapToGrid/>
          <w:kern w:val="0"/>
          <w:szCs w:val="22"/>
        </w:rPr>
        <w:t xml:space="preserve">presentations and memoranda summarizing oral </w:t>
      </w:r>
      <w:r w:rsidRPr="00904C3E">
        <w:rPr>
          <w:i/>
          <w:iCs/>
          <w:snapToGrid/>
          <w:kern w:val="0"/>
          <w:szCs w:val="22"/>
        </w:rPr>
        <w:t xml:space="preserve">ex </w:t>
      </w:r>
      <w:r w:rsidRPr="00904C3E">
        <w:rPr>
          <w:i/>
          <w:iCs/>
          <w:snapToGrid/>
          <w:kern w:val="0"/>
          <w:szCs w:val="22"/>
        </w:rPr>
        <w:t>parte</w:t>
      </w:r>
      <w:r w:rsidRPr="00904C3E">
        <w:rPr>
          <w:i/>
          <w:iCs/>
          <w:snapToGrid/>
          <w:kern w:val="0"/>
          <w:szCs w:val="22"/>
        </w:rPr>
        <w:t xml:space="preserve"> </w:t>
      </w:r>
      <w:r w:rsidRPr="00904C3E">
        <w:rPr>
          <w:snapToGrid/>
          <w:kern w:val="0"/>
          <w:szCs w:val="22"/>
        </w:rPr>
        <w:t>presentations, and all attachments thereto, must be filed through the electronic comment filing system available for that proceeding, and must be filed in their native format (</w:t>
      </w:r>
      <w:r w:rsidRPr="00904C3E">
        <w:rPr>
          <w:i/>
          <w:iCs/>
          <w:snapToGrid/>
          <w:kern w:val="0"/>
          <w:szCs w:val="22"/>
        </w:rPr>
        <w:t>e.g.</w:t>
      </w:r>
      <w:r w:rsidRPr="00904C3E">
        <w:rPr>
          <w:snapToGrid/>
          <w:kern w:val="0"/>
          <w:szCs w:val="22"/>
        </w:rPr>
        <w:t xml:space="preserve">, .doc, .xml, .ppt, searchable .pdf).  Participants in this proceeding should familiarize themselves with the Commission’s </w:t>
      </w:r>
      <w:r w:rsidRPr="00904C3E">
        <w:rPr>
          <w:i/>
          <w:iCs/>
          <w:snapToGrid/>
          <w:kern w:val="0"/>
          <w:szCs w:val="22"/>
        </w:rPr>
        <w:t xml:space="preserve">ex </w:t>
      </w:r>
      <w:r w:rsidRPr="00904C3E">
        <w:rPr>
          <w:i/>
          <w:iCs/>
          <w:snapToGrid/>
          <w:kern w:val="0"/>
          <w:szCs w:val="22"/>
        </w:rPr>
        <w:t>parte</w:t>
      </w:r>
      <w:r w:rsidRPr="00904C3E">
        <w:rPr>
          <w:i/>
          <w:iCs/>
          <w:snapToGrid/>
          <w:kern w:val="0"/>
          <w:szCs w:val="22"/>
        </w:rPr>
        <w:t xml:space="preserve"> </w:t>
      </w:r>
      <w:r w:rsidRPr="00904C3E">
        <w:rPr>
          <w:snapToGrid/>
          <w:kern w:val="0"/>
          <w:szCs w:val="22"/>
        </w:rPr>
        <w:t>rules.</w:t>
      </w:r>
    </w:p>
    <w:p w:rsidR="00A10ADB" w:rsidRPr="00EA081E" w:rsidP="00E05F47" w14:paraId="0F5CC612" w14:textId="0E4D7930">
      <w:pPr>
        <w:pStyle w:val="Heading1"/>
        <w:rPr>
          <w:snapToGrid/>
        </w:rPr>
      </w:pPr>
      <w:r w:rsidRPr="00EA081E">
        <w:rPr>
          <w:snapToGrid/>
        </w:rPr>
        <w:t>GENERAL</w:t>
      </w:r>
      <w:r w:rsidRPr="00EA081E">
        <w:rPr>
          <w:snapToGrid/>
          <w:spacing w:val="-28"/>
        </w:rPr>
        <w:t xml:space="preserve"> </w:t>
      </w:r>
      <w:r w:rsidRPr="00EA081E">
        <w:rPr>
          <w:snapToGrid/>
        </w:rPr>
        <w:t>INFORMATION</w:t>
      </w:r>
    </w:p>
    <w:p w:rsidR="00A10ADB" w:rsidRPr="00EA081E" w:rsidP="00E05F47" w14:paraId="7FAF7C0E" w14:textId="198B53DF">
      <w:pPr>
        <w:spacing w:after="120"/>
        <w:ind w:firstLine="720"/>
        <w:rPr>
          <w:snapToGrid/>
          <w:kern w:val="0"/>
          <w:szCs w:val="22"/>
        </w:rPr>
      </w:pPr>
      <w:r w:rsidRPr="00EA081E">
        <w:rPr>
          <w:snapToGrid/>
          <w:kern w:val="0"/>
          <w:szCs w:val="22"/>
        </w:rPr>
        <w:t>The assignment application</w:t>
      </w:r>
      <w:r w:rsidR="009A0068">
        <w:rPr>
          <w:snapToGrid/>
          <w:kern w:val="0"/>
          <w:szCs w:val="22"/>
        </w:rPr>
        <w:t>s</w:t>
      </w:r>
      <w:r w:rsidRPr="00EA081E">
        <w:rPr>
          <w:snapToGrid/>
          <w:kern w:val="0"/>
          <w:szCs w:val="22"/>
        </w:rPr>
        <w:t xml:space="preserve"> ha</w:t>
      </w:r>
      <w:r w:rsidR="009A0068">
        <w:rPr>
          <w:snapToGrid/>
          <w:kern w:val="0"/>
          <w:szCs w:val="22"/>
        </w:rPr>
        <w:t>ve</w:t>
      </w:r>
      <w:r w:rsidRPr="00EA081E">
        <w:rPr>
          <w:snapToGrid/>
          <w:kern w:val="0"/>
          <w:szCs w:val="22"/>
        </w:rPr>
        <w:t xml:space="preserve"> been found, upon initial review, to be acceptable for filing. </w:t>
      </w:r>
      <w:r w:rsidR="003669B7">
        <w:rPr>
          <w:snapToGrid/>
          <w:kern w:val="0"/>
          <w:szCs w:val="22"/>
        </w:rPr>
        <w:t xml:space="preserve"> </w:t>
      </w:r>
      <w:r w:rsidRPr="00EA081E">
        <w:rPr>
          <w:snapToGrid/>
          <w:kern w:val="0"/>
          <w:szCs w:val="22"/>
        </w:rPr>
        <w:t>The</w:t>
      </w:r>
      <w:r w:rsidRPr="00EA081E">
        <w:rPr>
          <w:snapToGrid/>
          <w:w w:val="99"/>
          <w:kern w:val="0"/>
          <w:szCs w:val="22"/>
        </w:rPr>
        <w:t xml:space="preserve"> </w:t>
      </w:r>
      <w:r w:rsidRPr="00EA081E">
        <w:rPr>
          <w:snapToGrid/>
          <w:kern w:val="0"/>
          <w:szCs w:val="22"/>
        </w:rPr>
        <w:t>Commission reserves the right to return any application if, upon further examination, it is determined to</w:t>
      </w:r>
      <w:r w:rsidRPr="00EA081E">
        <w:rPr>
          <w:snapToGrid/>
          <w:w w:val="99"/>
          <w:kern w:val="0"/>
          <w:szCs w:val="22"/>
        </w:rPr>
        <w:t xml:space="preserve"> </w:t>
      </w:r>
      <w:r w:rsidRPr="00EA081E">
        <w:rPr>
          <w:snapToGrid/>
          <w:kern w:val="0"/>
          <w:szCs w:val="22"/>
        </w:rPr>
        <w:t>be defective and not in conformance with the Commission’s rules or policies.</w:t>
      </w:r>
    </w:p>
    <w:p w:rsidR="004B1F0B" w:rsidRPr="00EA081E" w:rsidP="00E05F47" w14:paraId="49B40589" w14:textId="3F2FDD03">
      <w:pPr>
        <w:spacing w:after="120"/>
        <w:ind w:firstLine="720"/>
        <w:rPr>
          <w:bCs/>
          <w:snapToGrid/>
          <w:kern w:val="0"/>
          <w:szCs w:val="22"/>
        </w:rPr>
      </w:pPr>
      <w:r w:rsidRPr="00EA081E">
        <w:rPr>
          <w:snapToGrid/>
          <w:kern w:val="0"/>
          <w:szCs w:val="22"/>
        </w:rPr>
        <w:t>Interested</w:t>
      </w:r>
      <w:r w:rsidRPr="00EA081E">
        <w:rPr>
          <w:snapToGrid/>
          <w:spacing w:val="-5"/>
          <w:kern w:val="0"/>
          <w:szCs w:val="22"/>
        </w:rPr>
        <w:t xml:space="preserve"> </w:t>
      </w:r>
      <w:r w:rsidRPr="00EA081E">
        <w:rPr>
          <w:snapToGrid/>
          <w:kern w:val="0"/>
          <w:szCs w:val="22"/>
        </w:rPr>
        <w:t>parties</w:t>
      </w:r>
      <w:r w:rsidRPr="00EA081E">
        <w:rPr>
          <w:snapToGrid/>
          <w:spacing w:val="-4"/>
          <w:kern w:val="0"/>
          <w:szCs w:val="22"/>
        </w:rPr>
        <w:t xml:space="preserve"> </w:t>
      </w:r>
      <w:r w:rsidRPr="00EA081E">
        <w:rPr>
          <w:snapToGrid/>
          <w:spacing w:val="-1"/>
          <w:kern w:val="0"/>
          <w:szCs w:val="22"/>
        </w:rPr>
        <w:t>must</w:t>
      </w:r>
      <w:r w:rsidRPr="00EA081E">
        <w:rPr>
          <w:snapToGrid/>
          <w:spacing w:val="-5"/>
          <w:kern w:val="0"/>
          <w:szCs w:val="22"/>
        </w:rPr>
        <w:t xml:space="preserve"> </w:t>
      </w:r>
      <w:r w:rsidRPr="00EA081E">
        <w:rPr>
          <w:snapToGrid/>
          <w:kern w:val="0"/>
          <w:szCs w:val="22"/>
        </w:rPr>
        <w:t>file</w:t>
      </w:r>
      <w:r w:rsidRPr="00EA081E">
        <w:rPr>
          <w:snapToGrid/>
          <w:spacing w:val="-4"/>
          <w:kern w:val="0"/>
          <w:szCs w:val="22"/>
        </w:rPr>
        <w:t xml:space="preserve"> </w:t>
      </w:r>
      <w:r w:rsidRPr="00EA081E">
        <w:rPr>
          <w:snapToGrid/>
          <w:kern w:val="0"/>
          <w:szCs w:val="22"/>
        </w:rPr>
        <w:t>petitions</w:t>
      </w:r>
      <w:r w:rsidRPr="00EA081E">
        <w:rPr>
          <w:snapToGrid/>
          <w:spacing w:val="-5"/>
          <w:kern w:val="0"/>
          <w:szCs w:val="22"/>
        </w:rPr>
        <w:t xml:space="preserve"> </w:t>
      </w:r>
      <w:r w:rsidRPr="00EA081E">
        <w:rPr>
          <w:snapToGrid/>
          <w:kern w:val="0"/>
          <w:szCs w:val="22"/>
        </w:rPr>
        <w:t>to</w:t>
      </w:r>
      <w:r w:rsidRPr="00EA081E">
        <w:rPr>
          <w:snapToGrid/>
          <w:spacing w:val="-6"/>
          <w:kern w:val="0"/>
          <w:szCs w:val="22"/>
        </w:rPr>
        <w:t xml:space="preserve"> </w:t>
      </w:r>
      <w:r w:rsidRPr="00EA081E">
        <w:rPr>
          <w:snapToGrid/>
          <w:kern w:val="0"/>
          <w:szCs w:val="22"/>
        </w:rPr>
        <w:t>deny</w:t>
      </w:r>
      <w:r w:rsidRPr="00EA081E">
        <w:rPr>
          <w:snapToGrid/>
          <w:spacing w:val="-5"/>
          <w:kern w:val="0"/>
          <w:szCs w:val="22"/>
        </w:rPr>
        <w:t xml:space="preserve"> </w:t>
      </w:r>
      <w:r w:rsidRPr="00EA081E">
        <w:rPr>
          <w:snapToGrid/>
          <w:kern w:val="0"/>
          <w:szCs w:val="22"/>
        </w:rPr>
        <w:t>no</w:t>
      </w:r>
      <w:r w:rsidRPr="00EA081E">
        <w:rPr>
          <w:snapToGrid/>
          <w:spacing w:val="-4"/>
          <w:kern w:val="0"/>
          <w:szCs w:val="22"/>
        </w:rPr>
        <w:t xml:space="preserve"> </w:t>
      </w:r>
      <w:r w:rsidRPr="00EA081E">
        <w:rPr>
          <w:snapToGrid/>
          <w:kern w:val="0"/>
          <w:szCs w:val="22"/>
        </w:rPr>
        <w:t>later</w:t>
      </w:r>
      <w:r w:rsidRPr="00EA081E">
        <w:rPr>
          <w:snapToGrid/>
          <w:spacing w:val="-5"/>
          <w:kern w:val="0"/>
          <w:szCs w:val="22"/>
        </w:rPr>
        <w:t xml:space="preserve"> </w:t>
      </w:r>
      <w:r w:rsidRPr="00EA081E">
        <w:rPr>
          <w:snapToGrid/>
          <w:spacing w:val="-1"/>
          <w:kern w:val="0"/>
          <w:szCs w:val="22"/>
        </w:rPr>
        <w:t>than</w:t>
      </w:r>
      <w:r w:rsidRPr="00EA081E" w:rsidR="00897622">
        <w:rPr>
          <w:snapToGrid/>
          <w:spacing w:val="-5"/>
          <w:kern w:val="0"/>
          <w:szCs w:val="22"/>
        </w:rPr>
        <w:t xml:space="preserve"> </w:t>
      </w:r>
      <w:r w:rsidR="006B6B3A">
        <w:rPr>
          <w:b/>
          <w:szCs w:val="22"/>
        </w:rPr>
        <w:t xml:space="preserve">December </w:t>
      </w:r>
      <w:r w:rsidR="009A7493">
        <w:rPr>
          <w:b/>
          <w:szCs w:val="22"/>
        </w:rPr>
        <w:t>10</w:t>
      </w:r>
      <w:r w:rsidR="006B6B3A">
        <w:rPr>
          <w:b/>
          <w:szCs w:val="22"/>
        </w:rPr>
        <w:t>, 2020</w:t>
      </w:r>
      <w:r w:rsidRPr="00904C3E" w:rsidR="00C24717">
        <w:rPr>
          <w:snapToGrid/>
          <w:kern w:val="0"/>
          <w:szCs w:val="22"/>
        </w:rPr>
        <w:t xml:space="preserve">.  </w:t>
      </w:r>
      <w:r w:rsidRPr="00EA081E">
        <w:rPr>
          <w:snapToGrid/>
          <w:kern w:val="0"/>
          <w:szCs w:val="22"/>
        </w:rPr>
        <w:t>Persons</w:t>
      </w:r>
      <w:r w:rsidRPr="00EA081E">
        <w:rPr>
          <w:snapToGrid/>
          <w:spacing w:val="-5"/>
          <w:kern w:val="0"/>
          <w:szCs w:val="22"/>
        </w:rPr>
        <w:t xml:space="preserve"> </w:t>
      </w:r>
      <w:r w:rsidRPr="00EA081E">
        <w:rPr>
          <w:snapToGrid/>
          <w:kern w:val="0"/>
          <w:szCs w:val="22"/>
        </w:rPr>
        <w:t>and</w:t>
      </w:r>
      <w:r w:rsidRPr="00EA081E">
        <w:rPr>
          <w:snapToGrid/>
          <w:spacing w:val="-4"/>
          <w:kern w:val="0"/>
          <w:szCs w:val="22"/>
        </w:rPr>
        <w:t xml:space="preserve"> </w:t>
      </w:r>
      <w:r w:rsidRPr="00EA081E">
        <w:rPr>
          <w:snapToGrid/>
          <w:spacing w:val="-1"/>
          <w:kern w:val="0"/>
          <w:szCs w:val="22"/>
        </w:rPr>
        <w:t>entities</w:t>
      </w:r>
      <w:r w:rsidRPr="00EA081E">
        <w:rPr>
          <w:snapToGrid/>
          <w:spacing w:val="39"/>
          <w:w w:val="99"/>
          <w:kern w:val="0"/>
          <w:szCs w:val="22"/>
        </w:rPr>
        <w:t xml:space="preserve"> </w:t>
      </w:r>
      <w:r w:rsidRPr="00EA081E">
        <w:rPr>
          <w:snapToGrid/>
          <w:kern w:val="0"/>
          <w:szCs w:val="22"/>
        </w:rPr>
        <w:t>that</w:t>
      </w:r>
      <w:r w:rsidRPr="00EA081E">
        <w:rPr>
          <w:snapToGrid/>
          <w:spacing w:val="-5"/>
          <w:kern w:val="0"/>
          <w:szCs w:val="22"/>
        </w:rPr>
        <w:t xml:space="preserve"> </w:t>
      </w:r>
      <w:r w:rsidRPr="00EA081E">
        <w:rPr>
          <w:snapToGrid/>
          <w:kern w:val="0"/>
          <w:szCs w:val="22"/>
        </w:rPr>
        <w:t>file</w:t>
      </w:r>
      <w:r w:rsidRPr="00EA081E">
        <w:rPr>
          <w:snapToGrid/>
          <w:spacing w:val="-5"/>
          <w:kern w:val="0"/>
          <w:szCs w:val="22"/>
        </w:rPr>
        <w:t xml:space="preserve"> </w:t>
      </w:r>
      <w:r w:rsidRPr="00EA081E">
        <w:rPr>
          <w:snapToGrid/>
          <w:kern w:val="0"/>
          <w:szCs w:val="22"/>
        </w:rPr>
        <w:t>petitions</w:t>
      </w:r>
      <w:r w:rsidRPr="00EA081E">
        <w:rPr>
          <w:snapToGrid/>
          <w:spacing w:val="-5"/>
          <w:kern w:val="0"/>
          <w:szCs w:val="22"/>
        </w:rPr>
        <w:t xml:space="preserve"> </w:t>
      </w:r>
      <w:r w:rsidRPr="00EA081E">
        <w:rPr>
          <w:snapToGrid/>
          <w:kern w:val="0"/>
          <w:szCs w:val="22"/>
        </w:rPr>
        <w:t>to</w:t>
      </w:r>
      <w:r w:rsidRPr="00EA081E">
        <w:rPr>
          <w:snapToGrid/>
          <w:spacing w:val="-5"/>
          <w:kern w:val="0"/>
          <w:szCs w:val="22"/>
        </w:rPr>
        <w:t xml:space="preserve"> </w:t>
      </w:r>
      <w:r w:rsidRPr="00EA081E">
        <w:rPr>
          <w:snapToGrid/>
          <w:kern w:val="0"/>
          <w:szCs w:val="22"/>
        </w:rPr>
        <w:t>deny</w:t>
      </w:r>
      <w:r w:rsidRPr="00EA081E">
        <w:rPr>
          <w:snapToGrid/>
          <w:spacing w:val="-5"/>
          <w:kern w:val="0"/>
          <w:szCs w:val="22"/>
        </w:rPr>
        <w:t xml:space="preserve"> </w:t>
      </w:r>
      <w:r w:rsidRPr="00EA081E">
        <w:rPr>
          <w:snapToGrid/>
          <w:spacing w:val="-1"/>
          <w:kern w:val="0"/>
          <w:szCs w:val="22"/>
        </w:rPr>
        <w:t>become</w:t>
      </w:r>
      <w:r w:rsidRPr="00EA081E">
        <w:rPr>
          <w:snapToGrid/>
          <w:spacing w:val="-6"/>
          <w:kern w:val="0"/>
          <w:szCs w:val="22"/>
        </w:rPr>
        <w:t xml:space="preserve"> </w:t>
      </w:r>
      <w:r w:rsidRPr="00EA081E">
        <w:rPr>
          <w:snapToGrid/>
          <w:kern w:val="0"/>
          <w:szCs w:val="22"/>
        </w:rPr>
        <w:t>parties</w:t>
      </w:r>
      <w:r w:rsidRPr="00EA081E">
        <w:rPr>
          <w:snapToGrid/>
          <w:spacing w:val="-5"/>
          <w:kern w:val="0"/>
          <w:szCs w:val="22"/>
        </w:rPr>
        <w:t xml:space="preserve"> </w:t>
      </w:r>
      <w:r w:rsidRPr="00EA081E">
        <w:rPr>
          <w:snapToGrid/>
          <w:kern w:val="0"/>
          <w:szCs w:val="22"/>
        </w:rPr>
        <w:t>to</w:t>
      </w:r>
      <w:r w:rsidRPr="00EA081E">
        <w:rPr>
          <w:snapToGrid/>
          <w:spacing w:val="-5"/>
          <w:kern w:val="0"/>
          <w:szCs w:val="22"/>
        </w:rPr>
        <w:t xml:space="preserve"> </w:t>
      </w:r>
      <w:r w:rsidRPr="00EA081E">
        <w:rPr>
          <w:snapToGrid/>
          <w:kern w:val="0"/>
          <w:szCs w:val="22"/>
        </w:rPr>
        <w:t>the</w:t>
      </w:r>
      <w:r w:rsidRPr="00EA081E">
        <w:rPr>
          <w:snapToGrid/>
          <w:spacing w:val="-5"/>
          <w:kern w:val="0"/>
          <w:szCs w:val="22"/>
        </w:rPr>
        <w:t xml:space="preserve"> </w:t>
      </w:r>
      <w:r w:rsidRPr="00EA081E">
        <w:rPr>
          <w:snapToGrid/>
          <w:spacing w:val="-1"/>
          <w:kern w:val="0"/>
          <w:szCs w:val="22"/>
        </w:rPr>
        <w:t>proceeding.</w:t>
      </w:r>
      <w:r w:rsidRPr="00904C3E" w:rsidR="00C24717">
        <w:rPr>
          <w:snapToGrid/>
          <w:kern w:val="0"/>
          <w:szCs w:val="22"/>
        </w:rPr>
        <w:t xml:space="preserve">  </w:t>
      </w:r>
      <w:r w:rsidRPr="00EA081E">
        <w:rPr>
          <w:snapToGrid/>
          <w:spacing w:val="-1"/>
          <w:kern w:val="0"/>
          <w:szCs w:val="22"/>
        </w:rPr>
        <w:t>They</w:t>
      </w:r>
      <w:r w:rsidRPr="00EA081E">
        <w:rPr>
          <w:snapToGrid/>
          <w:spacing w:val="-5"/>
          <w:kern w:val="0"/>
          <w:szCs w:val="22"/>
        </w:rPr>
        <w:t xml:space="preserve"> </w:t>
      </w:r>
      <w:r w:rsidRPr="00EA081E">
        <w:rPr>
          <w:snapToGrid/>
          <w:kern w:val="0"/>
          <w:szCs w:val="22"/>
        </w:rPr>
        <w:t>may</w:t>
      </w:r>
      <w:r w:rsidRPr="00EA081E">
        <w:rPr>
          <w:snapToGrid/>
          <w:spacing w:val="-3"/>
          <w:kern w:val="0"/>
          <w:szCs w:val="22"/>
        </w:rPr>
        <w:t xml:space="preserve"> </w:t>
      </w:r>
      <w:r w:rsidRPr="00EA081E">
        <w:rPr>
          <w:snapToGrid/>
          <w:kern w:val="0"/>
          <w:szCs w:val="22"/>
        </w:rPr>
        <w:t>participate</w:t>
      </w:r>
      <w:r w:rsidRPr="00EA081E">
        <w:rPr>
          <w:snapToGrid/>
          <w:spacing w:val="-5"/>
          <w:kern w:val="0"/>
          <w:szCs w:val="22"/>
        </w:rPr>
        <w:t xml:space="preserve"> </w:t>
      </w:r>
      <w:r w:rsidRPr="00EA081E">
        <w:rPr>
          <w:snapToGrid/>
          <w:kern w:val="0"/>
          <w:szCs w:val="22"/>
        </w:rPr>
        <w:t>fully</w:t>
      </w:r>
      <w:r w:rsidRPr="00EA081E">
        <w:rPr>
          <w:snapToGrid/>
          <w:spacing w:val="-3"/>
          <w:kern w:val="0"/>
          <w:szCs w:val="22"/>
        </w:rPr>
        <w:t xml:space="preserve"> </w:t>
      </w:r>
      <w:r w:rsidRPr="00EA081E">
        <w:rPr>
          <w:snapToGrid/>
          <w:kern w:val="0"/>
          <w:szCs w:val="22"/>
        </w:rPr>
        <w:t>in</w:t>
      </w:r>
      <w:r w:rsidRPr="00EA081E">
        <w:rPr>
          <w:snapToGrid/>
          <w:spacing w:val="-5"/>
          <w:kern w:val="0"/>
          <w:szCs w:val="22"/>
        </w:rPr>
        <w:t xml:space="preserve"> </w:t>
      </w:r>
      <w:r w:rsidRPr="00EA081E">
        <w:rPr>
          <w:snapToGrid/>
          <w:kern w:val="0"/>
          <w:szCs w:val="22"/>
        </w:rPr>
        <w:t>the</w:t>
      </w:r>
      <w:r w:rsidRPr="00EA081E">
        <w:rPr>
          <w:snapToGrid/>
          <w:spacing w:val="-5"/>
          <w:kern w:val="0"/>
          <w:szCs w:val="22"/>
        </w:rPr>
        <w:t xml:space="preserve"> </w:t>
      </w:r>
      <w:r w:rsidRPr="00EA081E">
        <w:rPr>
          <w:snapToGrid/>
          <w:kern w:val="0"/>
          <w:szCs w:val="22"/>
        </w:rPr>
        <w:t>proceeding,</w:t>
      </w:r>
      <w:r w:rsidR="00722C14">
        <w:rPr>
          <w:snapToGrid/>
          <w:kern w:val="0"/>
          <w:szCs w:val="22"/>
        </w:rPr>
        <w:t xml:space="preserve"> </w:t>
      </w:r>
      <w:r w:rsidRPr="00EA081E">
        <w:rPr>
          <w:snapToGrid/>
          <w:kern w:val="0"/>
          <w:szCs w:val="22"/>
        </w:rPr>
        <w:t>including</w:t>
      </w:r>
      <w:r w:rsidRPr="00EA081E">
        <w:rPr>
          <w:snapToGrid/>
          <w:spacing w:val="-6"/>
          <w:kern w:val="0"/>
          <w:szCs w:val="22"/>
        </w:rPr>
        <w:t xml:space="preserve"> </w:t>
      </w:r>
      <w:r w:rsidRPr="00EA081E">
        <w:rPr>
          <w:snapToGrid/>
          <w:kern w:val="0"/>
          <w:szCs w:val="22"/>
        </w:rPr>
        <w:t>seeking</w:t>
      </w:r>
      <w:r w:rsidRPr="00EA081E">
        <w:rPr>
          <w:snapToGrid/>
          <w:spacing w:val="-6"/>
          <w:kern w:val="0"/>
          <w:szCs w:val="22"/>
        </w:rPr>
        <w:t xml:space="preserve"> </w:t>
      </w:r>
      <w:r w:rsidRPr="00EA081E">
        <w:rPr>
          <w:snapToGrid/>
          <w:kern w:val="0"/>
          <w:szCs w:val="22"/>
        </w:rPr>
        <w:t>access</w:t>
      </w:r>
      <w:r w:rsidRPr="00EA081E">
        <w:rPr>
          <w:snapToGrid/>
          <w:spacing w:val="-6"/>
          <w:kern w:val="0"/>
          <w:szCs w:val="22"/>
        </w:rPr>
        <w:t xml:space="preserve"> </w:t>
      </w:r>
      <w:r w:rsidRPr="00EA081E">
        <w:rPr>
          <w:snapToGrid/>
          <w:kern w:val="0"/>
          <w:szCs w:val="22"/>
        </w:rPr>
        <w:t>to</w:t>
      </w:r>
      <w:r w:rsidRPr="00EA081E">
        <w:rPr>
          <w:snapToGrid/>
          <w:spacing w:val="-5"/>
          <w:kern w:val="0"/>
          <w:szCs w:val="22"/>
        </w:rPr>
        <w:t xml:space="preserve"> </w:t>
      </w:r>
      <w:r w:rsidRPr="00EA081E">
        <w:rPr>
          <w:snapToGrid/>
          <w:kern w:val="0"/>
          <w:szCs w:val="22"/>
        </w:rPr>
        <w:t>any</w:t>
      </w:r>
      <w:r w:rsidRPr="00EA081E">
        <w:rPr>
          <w:snapToGrid/>
          <w:spacing w:val="-4"/>
          <w:kern w:val="0"/>
          <w:szCs w:val="22"/>
        </w:rPr>
        <w:t xml:space="preserve"> </w:t>
      </w:r>
      <w:r w:rsidRPr="00EA081E">
        <w:rPr>
          <w:snapToGrid/>
          <w:spacing w:val="-1"/>
          <w:kern w:val="0"/>
          <w:szCs w:val="22"/>
        </w:rPr>
        <w:t>confidential</w:t>
      </w:r>
      <w:r w:rsidRPr="00EA081E">
        <w:rPr>
          <w:snapToGrid/>
          <w:spacing w:val="-6"/>
          <w:kern w:val="0"/>
          <w:szCs w:val="22"/>
        </w:rPr>
        <w:t xml:space="preserve"> </w:t>
      </w:r>
      <w:r w:rsidRPr="00EA081E">
        <w:rPr>
          <w:snapToGrid/>
          <w:spacing w:val="-1"/>
          <w:kern w:val="0"/>
          <w:szCs w:val="22"/>
        </w:rPr>
        <w:t>information</w:t>
      </w:r>
      <w:r w:rsidRPr="00EA081E">
        <w:rPr>
          <w:snapToGrid/>
          <w:spacing w:val="-5"/>
          <w:kern w:val="0"/>
          <w:szCs w:val="22"/>
        </w:rPr>
        <w:t xml:space="preserve"> </w:t>
      </w:r>
      <w:r w:rsidRPr="00EA081E">
        <w:rPr>
          <w:snapToGrid/>
          <w:kern w:val="0"/>
          <w:szCs w:val="22"/>
        </w:rPr>
        <w:t>that</w:t>
      </w:r>
      <w:r w:rsidRPr="00EA081E">
        <w:rPr>
          <w:snapToGrid/>
          <w:spacing w:val="-6"/>
          <w:kern w:val="0"/>
          <w:szCs w:val="22"/>
        </w:rPr>
        <w:t xml:space="preserve"> </w:t>
      </w:r>
      <w:r w:rsidRPr="00EA081E">
        <w:rPr>
          <w:snapToGrid/>
          <w:spacing w:val="-1"/>
          <w:kern w:val="0"/>
          <w:szCs w:val="22"/>
        </w:rPr>
        <w:t>may</w:t>
      </w:r>
      <w:r w:rsidRPr="00EA081E">
        <w:rPr>
          <w:snapToGrid/>
          <w:spacing w:val="-6"/>
          <w:kern w:val="0"/>
          <w:szCs w:val="22"/>
        </w:rPr>
        <w:t xml:space="preserve"> </w:t>
      </w:r>
      <w:r w:rsidRPr="00EA081E">
        <w:rPr>
          <w:snapToGrid/>
          <w:kern w:val="0"/>
          <w:szCs w:val="22"/>
        </w:rPr>
        <w:t>be</w:t>
      </w:r>
      <w:r w:rsidRPr="00EA081E">
        <w:rPr>
          <w:snapToGrid/>
          <w:spacing w:val="-5"/>
          <w:kern w:val="0"/>
          <w:szCs w:val="22"/>
        </w:rPr>
        <w:t xml:space="preserve"> </w:t>
      </w:r>
      <w:r w:rsidRPr="00EA081E">
        <w:rPr>
          <w:snapToGrid/>
          <w:kern w:val="0"/>
          <w:szCs w:val="22"/>
        </w:rPr>
        <w:t>filed</w:t>
      </w:r>
      <w:r w:rsidRPr="00EA081E">
        <w:rPr>
          <w:snapToGrid/>
          <w:spacing w:val="-6"/>
          <w:kern w:val="0"/>
          <w:szCs w:val="22"/>
        </w:rPr>
        <w:t xml:space="preserve"> </w:t>
      </w:r>
      <w:r w:rsidRPr="00EA081E">
        <w:rPr>
          <w:snapToGrid/>
          <w:kern w:val="0"/>
          <w:szCs w:val="22"/>
        </w:rPr>
        <w:t>under</w:t>
      </w:r>
      <w:r w:rsidRPr="00EA081E">
        <w:rPr>
          <w:snapToGrid/>
          <w:spacing w:val="-7"/>
          <w:kern w:val="0"/>
          <w:szCs w:val="22"/>
        </w:rPr>
        <w:t xml:space="preserve"> </w:t>
      </w:r>
      <w:r w:rsidRPr="00EA081E">
        <w:rPr>
          <w:snapToGrid/>
          <w:kern w:val="0"/>
          <w:szCs w:val="22"/>
        </w:rPr>
        <w:t>a</w:t>
      </w:r>
      <w:r w:rsidRPr="00EA081E">
        <w:rPr>
          <w:snapToGrid/>
          <w:spacing w:val="-5"/>
          <w:kern w:val="0"/>
          <w:szCs w:val="22"/>
        </w:rPr>
        <w:t xml:space="preserve"> </w:t>
      </w:r>
      <w:r w:rsidRPr="00EA081E">
        <w:rPr>
          <w:snapToGrid/>
          <w:kern w:val="0"/>
          <w:szCs w:val="22"/>
        </w:rPr>
        <w:t>protective</w:t>
      </w:r>
      <w:r w:rsidRPr="00EA081E">
        <w:rPr>
          <w:snapToGrid/>
          <w:spacing w:val="-6"/>
          <w:kern w:val="0"/>
          <w:szCs w:val="22"/>
        </w:rPr>
        <w:t xml:space="preserve"> </w:t>
      </w:r>
      <w:r w:rsidRPr="00EA081E">
        <w:rPr>
          <w:snapToGrid/>
          <w:kern w:val="0"/>
          <w:szCs w:val="22"/>
        </w:rPr>
        <w:t>order,</w:t>
      </w:r>
      <w:r w:rsidR="00722C14">
        <w:rPr>
          <w:snapToGrid/>
          <w:kern w:val="0"/>
          <w:szCs w:val="22"/>
        </w:rPr>
        <w:t xml:space="preserve"> </w:t>
      </w:r>
      <w:r w:rsidRPr="00EA081E">
        <w:rPr>
          <w:snapToGrid/>
          <w:kern w:val="0"/>
          <w:szCs w:val="22"/>
        </w:rPr>
        <w:t>seeking</w:t>
      </w:r>
      <w:r w:rsidRPr="00EA081E">
        <w:rPr>
          <w:snapToGrid/>
          <w:spacing w:val="-6"/>
          <w:kern w:val="0"/>
          <w:szCs w:val="22"/>
        </w:rPr>
        <w:t xml:space="preserve"> </w:t>
      </w:r>
      <w:r w:rsidRPr="00EA081E">
        <w:rPr>
          <w:snapToGrid/>
          <w:kern w:val="0"/>
          <w:szCs w:val="22"/>
        </w:rPr>
        <w:t>reconsideration</w:t>
      </w:r>
      <w:r w:rsidRPr="00EA081E">
        <w:rPr>
          <w:snapToGrid/>
          <w:spacing w:val="-5"/>
          <w:kern w:val="0"/>
          <w:szCs w:val="22"/>
        </w:rPr>
        <w:t xml:space="preserve"> </w:t>
      </w:r>
      <w:r w:rsidRPr="00EA081E">
        <w:rPr>
          <w:snapToGrid/>
          <w:kern w:val="0"/>
          <w:szCs w:val="22"/>
        </w:rPr>
        <w:t>of</w:t>
      </w:r>
      <w:r w:rsidRPr="00EA081E">
        <w:rPr>
          <w:snapToGrid/>
          <w:spacing w:val="-6"/>
          <w:kern w:val="0"/>
          <w:szCs w:val="22"/>
        </w:rPr>
        <w:t xml:space="preserve"> </w:t>
      </w:r>
      <w:r w:rsidRPr="00EA081E">
        <w:rPr>
          <w:snapToGrid/>
          <w:kern w:val="0"/>
          <w:szCs w:val="22"/>
        </w:rPr>
        <w:t>decisions,</w:t>
      </w:r>
      <w:r w:rsidRPr="00EA081E">
        <w:rPr>
          <w:snapToGrid/>
          <w:spacing w:val="-5"/>
          <w:kern w:val="0"/>
          <w:szCs w:val="22"/>
        </w:rPr>
        <w:t xml:space="preserve"> </w:t>
      </w:r>
      <w:r w:rsidRPr="00EA081E">
        <w:rPr>
          <w:snapToGrid/>
          <w:kern w:val="0"/>
          <w:szCs w:val="22"/>
        </w:rPr>
        <w:t>and</w:t>
      </w:r>
      <w:r w:rsidRPr="00EA081E">
        <w:rPr>
          <w:snapToGrid/>
          <w:spacing w:val="-5"/>
          <w:kern w:val="0"/>
          <w:szCs w:val="22"/>
        </w:rPr>
        <w:t xml:space="preserve"> </w:t>
      </w:r>
      <w:r w:rsidRPr="00EA081E">
        <w:rPr>
          <w:snapToGrid/>
          <w:kern w:val="0"/>
          <w:szCs w:val="22"/>
        </w:rPr>
        <w:t>filing</w:t>
      </w:r>
      <w:r w:rsidRPr="00EA081E">
        <w:rPr>
          <w:snapToGrid/>
          <w:spacing w:val="-5"/>
          <w:kern w:val="0"/>
          <w:szCs w:val="22"/>
        </w:rPr>
        <w:t xml:space="preserve"> </w:t>
      </w:r>
      <w:r w:rsidRPr="00EA081E">
        <w:rPr>
          <w:snapToGrid/>
          <w:kern w:val="0"/>
          <w:szCs w:val="22"/>
        </w:rPr>
        <w:t>appeals</w:t>
      </w:r>
      <w:r w:rsidRPr="00EA081E">
        <w:rPr>
          <w:snapToGrid/>
          <w:spacing w:val="-6"/>
          <w:kern w:val="0"/>
          <w:szCs w:val="22"/>
        </w:rPr>
        <w:t xml:space="preserve"> </w:t>
      </w:r>
      <w:r w:rsidRPr="00EA081E">
        <w:rPr>
          <w:snapToGrid/>
          <w:kern w:val="0"/>
          <w:szCs w:val="22"/>
        </w:rPr>
        <w:t>of</w:t>
      </w:r>
      <w:r w:rsidRPr="00EA081E">
        <w:rPr>
          <w:snapToGrid/>
          <w:spacing w:val="-6"/>
          <w:kern w:val="0"/>
          <w:szCs w:val="22"/>
        </w:rPr>
        <w:t xml:space="preserve"> </w:t>
      </w:r>
      <w:r w:rsidRPr="00EA081E">
        <w:rPr>
          <w:snapToGrid/>
          <w:kern w:val="0"/>
          <w:szCs w:val="22"/>
        </w:rPr>
        <w:t>a</w:t>
      </w:r>
      <w:r w:rsidRPr="00EA081E">
        <w:rPr>
          <w:snapToGrid/>
          <w:spacing w:val="-5"/>
          <w:kern w:val="0"/>
          <w:szCs w:val="22"/>
        </w:rPr>
        <w:t xml:space="preserve"> </w:t>
      </w:r>
      <w:r w:rsidRPr="00EA081E">
        <w:rPr>
          <w:snapToGrid/>
          <w:kern w:val="0"/>
          <w:szCs w:val="22"/>
        </w:rPr>
        <w:t>final</w:t>
      </w:r>
      <w:r w:rsidRPr="00EA081E">
        <w:rPr>
          <w:snapToGrid/>
          <w:spacing w:val="-5"/>
          <w:kern w:val="0"/>
          <w:szCs w:val="22"/>
        </w:rPr>
        <w:t xml:space="preserve"> </w:t>
      </w:r>
      <w:r w:rsidRPr="00EA081E">
        <w:rPr>
          <w:snapToGrid/>
          <w:kern w:val="0"/>
          <w:szCs w:val="22"/>
        </w:rPr>
        <w:t>decision</w:t>
      </w:r>
      <w:r w:rsidRPr="00EA081E">
        <w:rPr>
          <w:snapToGrid/>
          <w:spacing w:val="-5"/>
          <w:kern w:val="0"/>
          <w:szCs w:val="22"/>
        </w:rPr>
        <w:t xml:space="preserve"> </w:t>
      </w:r>
      <w:r w:rsidRPr="00EA081E">
        <w:rPr>
          <w:snapToGrid/>
          <w:kern w:val="0"/>
          <w:szCs w:val="22"/>
        </w:rPr>
        <w:t>to</w:t>
      </w:r>
      <w:r w:rsidRPr="00EA081E">
        <w:rPr>
          <w:snapToGrid/>
          <w:spacing w:val="-5"/>
          <w:kern w:val="0"/>
          <w:szCs w:val="22"/>
        </w:rPr>
        <w:t xml:space="preserve"> </w:t>
      </w:r>
      <w:r w:rsidRPr="00EA081E">
        <w:rPr>
          <w:snapToGrid/>
          <w:kern w:val="0"/>
          <w:szCs w:val="22"/>
        </w:rPr>
        <w:t>the</w:t>
      </w:r>
      <w:r w:rsidRPr="00EA081E">
        <w:rPr>
          <w:snapToGrid/>
          <w:spacing w:val="-6"/>
          <w:kern w:val="0"/>
          <w:szCs w:val="22"/>
        </w:rPr>
        <w:t xml:space="preserve"> </w:t>
      </w:r>
      <w:r w:rsidRPr="00EA081E">
        <w:rPr>
          <w:snapToGrid/>
          <w:kern w:val="0"/>
          <w:szCs w:val="22"/>
        </w:rPr>
        <w:t>courts.</w:t>
      </w:r>
      <w:r w:rsidRPr="00904C3E" w:rsidR="00F2444B">
        <w:rPr>
          <w:snapToGrid/>
          <w:kern w:val="0"/>
          <w:szCs w:val="22"/>
        </w:rPr>
        <w:t xml:space="preserve">  </w:t>
      </w:r>
      <w:r w:rsidRPr="00EA081E">
        <w:rPr>
          <w:snapToGrid/>
          <w:kern w:val="0"/>
          <w:szCs w:val="22"/>
        </w:rPr>
        <w:t>Oppositions</w:t>
      </w:r>
      <w:r w:rsidRPr="00EA081E">
        <w:rPr>
          <w:snapToGrid/>
          <w:spacing w:val="-5"/>
          <w:kern w:val="0"/>
          <w:szCs w:val="22"/>
        </w:rPr>
        <w:t xml:space="preserve"> </w:t>
      </w:r>
      <w:r w:rsidRPr="00EA081E">
        <w:rPr>
          <w:snapToGrid/>
          <w:kern w:val="0"/>
          <w:szCs w:val="22"/>
        </w:rPr>
        <w:t>to</w:t>
      </w:r>
      <w:r w:rsidRPr="00EA081E">
        <w:rPr>
          <w:snapToGrid/>
          <w:w w:val="99"/>
          <w:kern w:val="0"/>
          <w:szCs w:val="22"/>
        </w:rPr>
        <w:t xml:space="preserve"> </w:t>
      </w:r>
      <w:r w:rsidRPr="00EA081E">
        <w:rPr>
          <w:snapToGrid/>
          <w:kern w:val="0"/>
          <w:szCs w:val="22"/>
        </w:rPr>
        <w:t>such</w:t>
      </w:r>
      <w:r w:rsidRPr="00EA081E">
        <w:rPr>
          <w:snapToGrid/>
          <w:spacing w:val="-5"/>
          <w:kern w:val="0"/>
          <w:szCs w:val="22"/>
        </w:rPr>
        <w:t xml:space="preserve"> </w:t>
      </w:r>
      <w:r w:rsidRPr="00EA081E">
        <w:rPr>
          <w:snapToGrid/>
          <w:kern w:val="0"/>
          <w:szCs w:val="22"/>
        </w:rPr>
        <w:t>pleadings</w:t>
      </w:r>
      <w:r w:rsidRPr="00EA081E">
        <w:rPr>
          <w:snapToGrid/>
          <w:spacing w:val="-3"/>
          <w:kern w:val="0"/>
          <w:szCs w:val="22"/>
        </w:rPr>
        <w:t xml:space="preserve"> </w:t>
      </w:r>
      <w:r w:rsidRPr="00EA081E">
        <w:rPr>
          <w:snapToGrid/>
          <w:spacing w:val="-1"/>
          <w:kern w:val="0"/>
          <w:szCs w:val="22"/>
        </w:rPr>
        <w:t>must</w:t>
      </w:r>
      <w:r w:rsidRPr="00EA081E">
        <w:rPr>
          <w:snapToGrid/>
          <w:spacing w:val="-5"/>
          <w:kern w:val="0"/>
          <w:szCs w:val="22"/>
        </w:rPr>
        <w:t xml:space="preserve"> </w:t>
      </w:r>
      <w:r w:rsidRPr="00EA081E">
        <w:rPr>
          <w:snapToGrid/>
          <w:kern w:val="0"/>
          <w:szCs w:val="22"/>
        </w:rPr>
        <w:t>be</w:t>
      </w:r>
      <w:r w:rsidRPr="00EA081E">
        <w:rPr>
          <w:snapToGrid/>
          <w:spacing w:val="-4"/>
          <w:kern w:val="0"/>
          <w:szCs w:val="22"/>
        </w:rPr>
        <w:t xml:space="preserve"> </w:t>
      </w:r>
      <w:r w:rsidRPr="00EA081E">
        <w:rPr>
          <w:snapToGrid/>
          <w:kern w:val="0"/>
          <w:szCs w:val="22"/>
        </w:rPr>
        <w:t>filed</w:t>
      </w:r>
      <w:r w:rsidRPr="00EA081E">
        <w:rPr>
          <w:snapToGrid/>
          <w:spacing w:val="-5"/>
          <w:kern w:val="0"/>
          <w:szCs w:val="22"/>
        </w:rPr>
        <w:t xml:space="preserve"> </w:t>
      </w:r>
      <w:r w:rsidRPr="00EA081E">
        <w:rPr>
          <w:snapToGrid/>
          <w:kern w:val="0"/>
          <w:szCs w:val="22"/>
        </w:rPr>
        <w:t>no</w:t>
      </w:r>
      <w:r w:rsidRPr="00EA081E">
        <w:rPr>
          <w:snapToGrid/>
          <w:spacing w:val="-4"/>
          <w:kern w:val="0"/>
          <w:szCs w:val="22"/>
        </w:rPr>
        <w:t xml:space="preserve"> </w:t>
      </w:r>
      <w:r w:rsidRPr="00EA081E">
        <w:rPr>
          <w:snapToGrid/>
          <w:kern w:val="0"/>
          <w:szCs w:val="22"/>
        </w:rPr>
        <w:t>later</w:t>
      </w:r>
      <w:r w:rsidRPr="00EA081E">
        <w:rPr>
          <w:snapToGrid/>
          <w:spacing w:val="-5"/>
          <w:kern w:val="0"/>
          <w:szCs w:val="22"/>
        </w:rPr>
        <w:t xml:space="preserve"> </w:t>
      </w:r>
      <w:r w:rsidRPr="00EA081E">
        <w:rPr>
          <w:snapToGrid/>
          <w:spacing w:val="-1"/>
          <w:kern w:val="0"/>
          <w:szCs w:val="22"/>
        </w:rPr>
        <w:t>than</w:t>
      </w:r>
      <w:r w:rsidRPr="00EA081E" w:rsidR="00791FCA">
        <w:rPr>
          <w:snapToGrid/>
          <w:spacing w:val="-1"/>
          <w:kern w:val="0"/>
          <w:szCs w:val="22"/>
        </w:rPr>
        <w:t xml:space="preserve"> </w:t>
      </w:r>
      <w:r w:rsidR="00EB3236">
        <w:rPr>
          <w:b/>
          <w:szCs w:val="22"/>
        </w:rPr>
        <w:t>December 21, 2020</w:t>
      </w:r>
      <w:r w:rsidRPr="00904C3E" w:rsidR="00E46697">
        <w:rPr>
          <w:snapToGrid/>
          <w:spacing w:val="-1"/>
          <w:kern w:val="0"/>
          <w:szCs w:val="22"/>
        </w:rPr>
        <w:t>.</w:t>
      </w:r>
      <w:r w:rsidRPr="00EA081E" w:rsidR="00E46697">
        <w:rPr>
          <w:snapToGrid/>
          <w:spacing w:val="-1"/>
          <w:kern w:val="0"/>
          <w:szCs w:val="22"/>
        </w:rPr>
        <w:t xml:space="preserve">  </w:t>
      </w:r>
      <w:r w:rsidRPr="00EA081E">
        <w:rPr>
          <w:snapToGrid/>
          <w:kern w:val="0"/>
          <w:szCs w:val="22"/>
        </w:rPr>
        <w:t>Replies</w:t>
      </w:r>
      <w:r w:rsidRPr="00EA081E">
        <w:rPr>
          <w:snapToGrid/>
          <w:spacing w:val="-5"/>
          <w:kern w:val="0"/>
          <w:szCs w:val="22"/>
        </w:rPr>
        <w:t xml:space="preserve"> </w:t>
      </w:r>
      <w:r w:rsidRPr="00EA081E">
        <w:rPr>
          <w:snapToGrid/>
          <w:kern w:val="0"/>
          <w:szCs w:val="22"/>
        </w:rPr>
        <w:t>to</w:t>
      </w:r>
      <w:r w:rsidRPr="00EA081E">
        <w:rPr>
          <w:snapToGrid/>
          <w:spacing w:val="-4"/>
          <w:kern w:val="0"/>
          <w:szCs w:val="22"/>
        </w:rPr>
        <w:t xml:space="preserve"> </w:t>
      </w:r>
      <w:r w:rsidRPr="00EA081E">
        <w:rPr>
          <w:snapToGrid/>
          <w:kern w:val="0"/>
          <w:szCs w:val="22"/>
        </w:rPr>
        <w:t>such</w:t>
      </w:r>
      <w:r w:rsidRPr="00EA081E">
        <w:rPr>
          <w:snapToGrid/>
          <w:spacing w:val="-5"/>
          <w:kern w:val="0"/>
          <w:szCs w:val="22"/>
        </w:rPr>
        <w:t xml:space="preserve"> </w:t>
      </w:r>
      <w:r w:rsidRPr="00EA081E">
        <w:rPr>
          <w:snapToGrid/>
          <w:kern w:val="0"/>
          <w:szCs w:val="22"/>
        </w:rPr>
        <w:t>pleadings</w:t>
      </w:r>
      <w:r w:rsidRPr="00EA081E">
        <w:rPr>
          <w:snapToGrid/>
          <w:spacing w:val="-5"/>
          <w:kern w:val="0"/>
          <w:szCs w:val="22"/>
        </w:rPr>
        <w:t xml:space="preserve"> </w:t>
      </w:r>
      <w:r w:rsidRPr="00EA081E">
        <w:rPr>
          <w:snapToGrid/>
          <w:spacing w:val="-1"/>
          <w:kern w:val="0"/>
          <w:szCs w:val="22"/>
        </w:rPr>
        <w:t>must</w:t>
      </w:r>
      <w:r w:rsidRPr="00EA081E">
        <w:rPr>
          <w:snapToGrid/>
          <w:spacing w:val="-4"/>
          <w:kern w:val="0"/>
          <w:szCs w:val="22"/>
        </w:rPr>
        <w:t xml:space="preserve"> </w:t>
      </w:r>
      <w:r w:rsidRPr="00EA081E">
        <w:rPr>
          <w:snapToGrid/>
          <w:kern w:val="0"/>
          <w:szCs w:val="22"/>
        </w:rPr>
        <w:t>be</w:t>
      </w:r>
      <w:r w:rsidRPr="00EA081E">
        <w:rPr>
          <w:snapToGrid/>
          <w:spacing w:val="-5"/>
          <w:kern w:val="0"/>
          <w:szCs w:val="22"/>
        </w:rPr>
        <w:t xml:space="preserve"> </w:t>
      </w:r>
      <w:r w:rsidRPr="00EA081E">
        <w:rPr>
          <w:snapToGrid/>
          <w:kern w:val="0"/>
          <w:szCs w:val="22"/>
        </w:rPr>
        <w:t>filed</w:t>
      </w:r>
      <w:r w:rsidRPr="00EA081E">
        <w:rPr>
          <w:snapToGrid/>
          <w:spacing w:val="-5"/>
          <w:kern w:val="0"/>
          <w:szCs w:val="22"/>
        </w:rPr>
        <w:t xml:space="preserve"> </w:t>
      </w:r>
      <w:r w:rsidRPr="00EA081E">
        <w:rPr>
          <w:snapToGrid/>
          <w:kern w:val="0"/>
          <w:szCs w:val="22"/>
        </w:rPr>
        <w:t>no</w:t>
      </w:r>
      <w:r w:rsidRPr="00EA081E">
        <w:rPr>
          <w:snapToGrid/>
          <w:spacing w:val="25"/>
          <w:kern w:val="0"/>
          <w:szCs w:val="22"/>
        </w:rPr>
        <w:t xml:space="preserve"> </w:t>
      </w:r>
      <w:r w:rsidRPr="00EA081E">
        <w:rPr>
          <w:snapToGrid/>
          <w:kern w:val="0"/>
          <w:szCs w:val="22"/>
        </w:rPr>
        <w:t>later</w:t>
      </w:r>
      <w:r w:rsidRPr="00EA081E">
        <w:rPr>
          <w:snapToGrid/>
          <w:spacing w:val="-6"/>
          <w:kern w:val="0"/>
          <w:szCs w:val="22"/>
        </w:rPr>
        <w:t xml:space="preserve"> </w:t>
      </w:r>
      <w:r w:rsidRPr="00EA081E">
        <w:rPr>
          <w:snapToGrid/>
          <w:kern w:val="0"/>
          <w:szCs w:val="22"/>
        </w:rPr>
        <w:t>than</w:t>
      </w:r>
      <w:r w:rsidR="008D18F6">
        <w:rPr>
          <w:snapToGrid/>
          <w:kern w:val="0"/>
          <w:szCs w:val="22"/>
        </w:rPr>
        <w:t xml:space="preserve"> </w:t>
      </w:r>
      <w:r w:rsidR="00EB3236">
        <w:rPr>
          <w:b/>
          <w:szCs w:val="22"/>
        </w:rPr>
        <w:t>December 29, 2020</w:t>
      </w:r>
      <w:r w:rsidRPr="00EA081E">
        <w:rPr>
          <w:snapToGrid/>
          <w:spacing w:val="-1"/>
          <w:kern w:val="0"/>
          <w:szCs w:val="22"/>
        </w:rPr>
        <w:t>.</w:t>
      </w:r>
      <w:r w:rsidRPr="00904C3E" w:rsidR="00EE5C17">
        <w:rPr>
          <w:snapToGrid/>
          <w:kern w:val="0"/>
          <w:szCs w:val="22"/>
        </w:rPr>
        <w:t xml:space="preserve">  </w:t>
      </w:r>
      <w:r w:rsidRPr="00EA081E">
        <w:rPr>
          <w:snapToGrid/>
          <w:kern w:val="0"/>
          <w:szCs w:val="22"/>
        </w:rPr>
        <w:t>All</w:t>
      </w:r>
      <w:r w:rsidRPr="00EA081E">
        <w:rPr>
          <w:snapToGrid/>
          <w:spacing w:val="-6"/>
          <w:kern w:val="0"/>
          <w:szCs w:val="22"/>
        </w:rPr>
        <w:t xml:space="preserve"> </w:t>
      </w:r>
      <w:r w:rsidRPr="00EA081E">
        <w:rPr>
          <w:snapToGrid/>
          <w:kern w:val="0"/>
          <w:szCs w:val="22"/>
        </w:rPr>
        <w:t>filings</w:t>
      </w:r>
      <w:r w:rsidRPr="00EA081E">
        <w:rPr>
          <w:snapToGrid/>
          <w:spacing w:val="-6"/>
          <w:kern w:val="0"/>
          <w:szCs w:val="22"/>
        </w:rPr>
        <w:t xml:space="preserve"> </w:t>
      </w:r>
      <w:r w:rsidRPr="00EA081E">
        <w:rPr>
          <w:snapToGrid/>
          <w:kern w:val="0"/>
          <w:szCs w:val="22"/>
        </w:rPr>
        <w:t>concerning</w:t>
      </w:r>
      <w:r w:rsidRPr="00EA081E">
        <w:rPr>
          <w:snapToGrid/>
          <w:spacing w:val="-5"/>
          <w:kern w:val="0"/>
          <w:szCs w:val="22"/>
        </w:rPr>
        <w:t xml:space="preserve"> </w:t>
      </w:r>
      <w:r w:rsidRPr="00EA081E">
        <w:rPr>
          <w:snapToGrid/>
          <w:spacing w:val="-1"/>
          <w:kern w:val="0"/>
          <w:szCs w:val="22"/>
        </w:rPr>
        <w:t>matters</w:t>
      </w:r>
      <w:r w:rsidRPr="00EA081E">
        <w:rPr>
          <w:snapToGrid/>
          <w:spacing w:val="-5"/>
          <w:kern w:val="0"/>
          <w:szCs w:val="22"/>
        </w:rPr>
        <w:t xml:space="preserve"> </w:t>
      </w:r>
      <w:r w:rsidRPr="00EA081E">
        <w:rPr>
          <w:snapToGrid/>
          <w:spacing w:val="-1"/>
          <w:kern w:val="0"/>
          <w:szCs w:val="22"/>
        </w:rPr>
        <w:t>referenced</w:t>
      </w:r>
      <w:r w:rsidRPr="00EA081E">
        <w:rPr>
          <w:snapToGrid/>
          <w:spacing w:val="-6"/>
          <w:kern w:val="0"/>
          <w:szCs w:val="22"/>
        </w:rPr>
        <w:t xml:space="preserve"> </w:t>
      </w:r>
      <w:r w:rsidRPr="00EA081E">
        <w:rPr>
          <w:snapToGrid/>
          <w:kern w:val="0"/>
          <w:szCs w:val="22"/>
        </w:rPr>
        <w:t>in</w:t>
      </w:r>
      <w:r w:rsidRPr="00EA081E">
        <w:rPr>
          <w:snapToGrid/>
          <w:spacing w:val="-5"/>
          <w:kern w:val="0"/>
          <w:szCs w:val="22"/>
        </w:rPr>
        <w:t xml:space="preserve"> </w:t>
      </w:r>
      <w:r w:rsidRPr="00EA081E">
        <w:rPr>
          <w:snapToGrid/>
          <w:spacing w:val="-1"/>
          <w:kern w:val="0"/>
          <w:szCs w:val="22"/>
        </w:rPr>
        <w:t>this</w:t>
      </w:r>
      <w:r w:rsidRPr="00EA081E">
        <w:rPr>
          <w:snapToGrid/>
          <w:spacing w:val="-6"/>
          <w:kern w:val="0"/>
          <w:szCs w:val="22"/>
        </w:rPr>
        <w:t xml:space="preserve"> </w:t>
      </w:r>
      <w:r w:rsidRPr="00EA081E">
        <w:rPr>
          <w:snapToGrid/>
          <w:kern w:val="0"/>
          <w:szCs w:val="22"/>
        </w:rPr>
        <w:t>Public</w:t>
      </w:r>
      <w:r w:rsidRPr="00EA081E">
        <w:rPr>
          <w:snapToGrid/>
          <w:spacing w:val="-5"/>
          <w:kern w:val="0"/>
          <w:szCs w:val="22"/>
        </w:rPr>
        <w:t xml:space="preserve"> </w:t>
      </w:r>
      <w:r w:rsidRPr="00EA081E">
        <w:rPr>
          <w:snapToGrid/>
          <w:spacing w:val="-1"/>
          <w:kern w:val="0"/>
          <w:szCs w:val="22"/>
        </w:rPr>
        <w:t>Notice</w:t>
      </w:r>
      <w:r w:rsidRPr="00EA081E">
        <w:rPr>
          <w:snapToGrid/>
          <w:spacing w:val="-6"/>
          <w:kern w:val="0"/>
          <w:szCs w:val="22"/>
        </w:rPr>
        <w:t xml:space="preserve"> </w:t>
      </w:r>
      <w:r w:rsidRPr="00EA081E">
        <w:rPr>
          <w:snapToGrid/>
          <w:kern w:val="0"/>
          <w:szCs w:val="22"/>
        </w:rPr>
        <w:t>should</w:t>
      </w:r>
      <w:r w:rsidRPr="00EA081E">
        <w:rPr>
          <w:snapToGrid/>
          <w:spacing w:val="53"/>
          <w:w w:val="99"/>
          <w:kern w:val="0"/>
          <w:szCs w:val="22"/>
        </w:rPr>
        <w:t xml:space="preserve"> </w:t>
      </w:r>
      <w:r w:rsidRPr="00EA081E">
        <w:rPr>
          <w:snapToGrid/>
          <w:kern w:val="0"/>
          <w:szCs w:val="22"/>
        </w:rPr>
        <w:t>refer</w:t>
      </w:r>
      <w:r w:rsidRPr="00EA081E">
        <w:rPr>
          <w:snapToGrid/>
          <w:spacing w:val="-6"/>
          <w:kern w:val="0"/>
          <w:szCs w:val="22"/>
        </w:rPr>
        <w:t xml:space="preserve"> </w:t>
      </w:r>
      <w:r w:rsidRPr="00EA081E">
        <w:rPr>
          <w:snapToGrid/>
          <w:kern w:val="0"/>
          <w:szCs w:val="22"/>
        </w:rPr>
        <w:t>to</w:t>
      </w:r>
      <w:r w:rsidRPr="00EA081E">
        <w:rPr>
          <w:snapToGrid/>
          <w:spacing w:val="-5"/>
          <w:kern w:val="0"/>
          <w:szCs w:val="22"/>
        </w:rPr>
        <w:t xml:space="preserve"> </w:t>
      </w:r>
      <w:r w:rsidRPr="00EA081E">
        <w:rPr>
          <w:snapToGrid/>
          <w:kern w:val="0"/>
          <w:szCs w:val="22"/>
        </w:rPr>
        <w:t>WT</w:t>
      </w:r>
      <w:r w:rsidRPr="00EA081E">
        <w:rPr>
          <w:snapToGrid/>
          <w:spacing w:val="-5"/>
          <w:kern w:val="0"/>
          <w:szCs w:val="22"/>
        </w:rPr>
        <w:t xml:space="preserve"> </w:t>
      </w:r>
      <w:r w:rsidRPr="00EA081E">
        <w:rPr>
          <w:snapToGrid/>
          <w:kern w:val="0"/>
          <w:szCs w:val="22"/>
        </w:rPr>
        <w:t>Docket</w:t>
      </w:r>
      <w:r w:rsidRPr="00EA081E">
        <w:rPr>
          <w:snapToGrid/>
          <w:spacing w:val="-5"/>
          <w:kern w:val="0"/>
          <w:szCs w:val="22"/>
        </w:rPr>
        <w:t xml:space="preserve"> </w:t>
      </w:r>
      <w:r w:rsidRPr="00EA081E">
        <w:rPr>
          <w:snapToGrid/>
          <w:kern w:val="0"/>
          <w:szCs w:val="22"/>
        </w:rPr>
        <w:t>No.</w:t>
      </w:r>
      <w:r w:rsidRPr="00EA081E">
        <w:rPr>
          <w:snapToGrid/>
          <w:spacing w:val="-5"/>
          <w:kern w:val="0"/>
          <w:szCs w:val="22"/>
        </w:rPr>
        <w:t xml:space="preserve"> </w:t>
      </w:r>
      <w:r w:rsidRPr="00555ABD" w:rsidR="00EE5C17">
        <w:rPr>
          <w:snapToGrid/>
          <w:kern w:val="0"/>
          <w:szCs w:val="22"/>
        </w:rPr>
        <w:t>20-</w:t>
      </w:r>
      <w:r w:rsidRPr="00015451" w:rsidR="00015451">
        <w:rPr>
          <w:snapToGrid/>
          <w:kern w:val="0"/>
          <w:szCs w:val="22"/>
        </w:rPr>
        <w:t>387</w:t>
      </w:r>
      <w:r w:rsidRPr="00EA081E">
        <w:rPr>
          <w:bCs/>
          <w:snapToGrid/>
          <w:kern w:val="0"/>
          <w:szCs w:val="22"/>
        </w:rPr>
        <w:t>.</w:t>
      </w:r>
    </w:p>
    <w:p w:rsidR="00604863" w:rsidRPr="00EA081E" w:rsidP="00E05F47" w14:paraId="533F6889" w14:textId="1FFD250E">
      <w:pPr>
        <w:spacing w:after="120"/>
        <w:ind w:firstLine="720"/>
        <w:rPr>
          <w:b/>
          <w:bCs/>
          <w:snapToGrid/>
          <w:kern w:val="0"/>
          <w:szCs w:val="22"/>
        </w:rPr>
      </w:pPr>
      <w:r w:rsidRPr="00EA081E">
        <w:rPr>
          <w:b/>
          <w:snapToGrid/>
          <w:kern w:val="0"/>
          <w:szCs w:val="22"/>
        </w:rPr>
        <w:t>To allow the Commission to consider fully all substantive issues regarding the application in</w:t>
      </w:r>
      <w:r w:rsidRPr="00EA081E" w:rsidR="00400FA3">
        <w:rPr>
          <w:b/>
          <w:snapToGrid/>
          <w:kern w:val="0"/>
          <w:szCs w:val="22"/>
        </w:rPr>
        <w:t xml:space="preserve"> </w:t>
      </w:r>
      <w:r w:rsidRPr="00EA081E">
        <w:rPr>
          <w:b/>
          <w:snapToGrid/>
          <w:kern w:val="0"/>
          <w:szCs w:val="22"/>
        </w:rPr>
        <w:t>as timely and efficient a manner as possible, petitioners and commenters should raise all issues in</w:t>
      </w:r>
      <w:r w:rsidRPr="00EA081E">
        <w:rPr>
          <w:b/>
          <w:snapToGrid/>
          <w:kern w:val="0"/>
          <w:szCs w:val="22"/>
        </w:rPr>
        <w:t xml:space="preserve"> </w:t>
      </w:r>
      <w:r w:rsidRPr="00EA081E">
        <w:rPr>
          <w:b/>
          <w:bCs/>
          <w:snapToGrid/>
          <w:kern w:val="0"/>
          <w:szCs w:val="22"/>
        </w:rPr>
        <w:t xml:space="preserve">their initial filings. </w:t>
      </w:r>
      <w:r w:rsidR="00617BDA">
        <w:rPr>
          <w:b/>
          <w:bCs/>
          <w:snapToGrid/>
          <w:kern w:val="0"/>
          <w:szCs w:val="22"/>
        </w:rPr>
        <w:t xml:space="preserve"> </w:t>
      </w:r>
      <w:r w:rsidRPr="00EA081E">
        <w:rPr>
          <w:b/>
          <w:bCs/>
          <w:snapToGrid/>
          <w:kern w:val="0"/>
          <w:szCs w:val="22"/>
        </w:rPr>
        <w:t>New issues may not be raised in responses or replies.</w:t>
      </w:r>
      <w:r>
        <w:rPr>
          <w:rStyle w:val="FootnoteReference"/>
          <w:b/>
          <w:snapToGrid/>
          <w:kern w:val="0"/>
          <w:sz w:val="20"/>
        </w:rPr>
        <w:footnoteReference w:id="12"/>
      </w:r>
      <w:r w:rsidRPr="00EA081E">
        <w:rPr>
          <w:b/>
          <w:bCs/>
          <w:snapToGrid/>
          <w:kern w:val="0"/>
          <w:szCs w:val="22"/>
        </w:rPr>
        <w:t xml:space="preserve">  A party or interested</w:t>
      </w:r>
      <w:r w:rsidRPr="00EA081E">
        <w:rPr>
          <w:b/>
          <w:bCs/>
          <w:snapToGrid/>
          <w:w w:val="99"/>
          <w:kern w:val="0"/>
          <w:szCs w:val="22"/>
        </w:rPr>
        <w:t xml:space="preserve"> </w:t>
      </w:r>
      <w:r w:rsidRPr="00EA081E">
        <w:rPr>
          <w:b/>
          <w:bCs/>
          <w:snapToGrid/>
          <w:kern w:val="0"/>
          <w:szCs w:val="22"/>
        </w:rPr>
        <w:t>person seeking to raise a new issue after the pleading cycle has closed must show good cause why it</w:t>
      </w:r>
      <w:r w:rsidRPr="00EA081E">
        <w:rPr>
          <w:b/>
          <w:bCs/>
          <w:snapToGrid/>
          <w:w w:val="99"/>
          <w:kern w:val="0"/>
          <w:szCs w:val="22"/>
        </w:rPr>
        <w:t xml:space="preserve"> </w:t>
      </w:r>
      <w:r w:rsidRPr="00EA081E">
        <w:rPr>
          <w:b/>
          <w:bCs/>
          <w:snapToGrid/>
          <w:kern w:val="0"/>
          <w:szCs w:val="22"/>
        </w:rPr>
        <w:t xml:space="preserve">was not possible for it to have raised the issue previously. </w:t>
      </w:r>
      <w:r w:rsidR="00617BDA">
        <w:rPr>
          <w:b/>
          <w:bCs/>
          <w:snapToGrid/>
          <w:kern w:val="0"/>
          <w:szCs w:val="22"/>
        </w:rPr>
        <w:t xml:space="preserve"> </w:t>
      </w:r>
      <w:r w:rsidRPr="00EA081E">
        <w:rPr>
          <w:b/>
          <w:bCs/>
          <w:snapToGrid/>
          <w:kern w:val="0"/>
          <w:szCs w:val="22"/>
        </w:rPr>
        <w:t>Submissions after the pleading cycle has</w:t>
      </w:r>
      <w:r w:rsidRPr="00EA081E">
        <w:rPr>
          <w:b/>
          <w:bCs/>
          <w:snapToGrid/>
          <w:w w:val="99"/>
          <w:kern w:val="0"/>
          <w:szCs w:val="22"/>
        </w:rPr>
        <w:t xml:space="preserve"> </w:t>
      </w:r>
      <w:r w:rsidRPr="00EA081E">
        <w:rPr>
          <w:b/>
          <w:bCs/>
          <w:snapToGrid/>
          <w:kern w:val="0"/>
          <w:szCs w:val="22"/>
        </w:rPr>
        <w:t>closed that seek to raise new issues based on new facts or newly discovered facts should be filed</w:t>
      </w:r>
      <w:r w:rsidRPr="00EA081E">
        <w:rPr>
          <w:b/>
          <w:bCs/>
          <w:snapToGrid/>
          <w:w w:val="99"/>
          <w:kern w:val="0"/>
          <w:szCs w:val="22"/>
        </w:rPr>
        <w:t xml:space="preserve"> </w:t>
      </w:r>
      <w:r w:rsidRPr="00EA081E">
        <w:rPr>
          <w:b/>
          <w:bCs/>
          <w:snapToGrid/>
          <w:kern w:val="0"/>
          <w:szCs w:val="22"/>
        </w:rPr>
        <w:t xml:space="preserve">within 15 days after such facts are discovered. </w:t>
      </w:r>
      <w:r w:rsidR="00A66FF0">
        <w:rPr>
          <w:b/>
          <w:bCs/>
          <w:snapToGrid/>
          <w:kern w:val="0"/>
          <w:szCs w:val="22"/>
        </w:rPr>
        <w:t xml:space="preserve"> </w:t>
      </w:r>
      <w:r w:rsidRPr="00EA081E">
        <w:rPr>
          <w:b/>
          <w:bCs/>
          <w:snapToGrid/>
          <w:kern w:val="0"/>
          <w:szCs w:val="22"/>
        </w:rPr>
        <w:t>Absent such a showing of good cause, any issues not</w:t>
      </w:r>
      <w:r w:rsidRPr="00EA081E">
        <w:rPr>
          <w:b/>
          <w:bCs/>
          <w:snapToGrid/>
          <w:w w:val="99"/>
          <w:kern w:val="0"/>
          <w:szCs w:val="22"/>
        </w:rPr>
        <w:t xml:space="preserve"> </w:t>
      </w:r>
      <w:r w:rsidRPr="00EA081E">
        <w:rPr>
          <w:b/>
          <w:bCs/>
          <w:snapToGrid/>
          <w:kern w:val="0"/>
          <w:szCs w:val="22"/>
        </w:rPr>
        <w:t>timely raised may be disregarded by the Commission.</w:t>
      </w:r>
    </w:p>
    <w:p w:rsidR="00DC333E" w:rsidRPr="009E1092" w:rsidP="00E05F47" w14:paraId="7F4D9F10" w14:textId="3806D24B">
      <w:pPr>
        <w:widowControl/>
        <w:spacing w:after="120"/>
        <w:ind w:firstLine="720"/>
        <w:rPr>
          <w:snapToGrid/>
          <w:kern w:val="0"/>
          <w:szCs w:val="22"/>
        </w:rPr>
      </w:pPr>
      <w:bookmarkStart w:id="2" w:name="_Hlk56698522"/>
      <w:r w:rsidRPr="009F0869">
        <w:rPr>
          <w:snapToGrid/>
          <w:kern w:val="0"/>
          <w:szCs w:val="22"/>
        </w:rPr>
        <w:t>Submissions in this matter may be filed electronically (i.e., through ECFS) or by filing paper copies.</w:t>
      </w:r>
    </w:p>
    <w:p w:rsidR="0028400C" w:rsidRPr="009E1092" w:rsidP="00E05F47" w14:paraId="27371A0C" w14:textId="78BE5CD0">
      <w:pPr>
        <w:widowControl/>
        <w:numPr>
          <w:ilvl w:val="0"/>
          <w:numId w:val="10"/>
        </w:numPr>
        <w:spacing w:after="120"/>
        <w:rPr>
          <w:snapToGrid/>
          <w:kern w:val="0"/>
          <w:szCs w:val="22"/>
        </w:rPr>
      </w:pPr>
      <w:r w:rsidRPr="009E1092">
        <w:rPr>
          <w:snapToGrid/>
          <w:kern w:val="0"/>
          <w:szCs w:val="22"/>
        </w:rPr>
        <w:t xml:space="preserve">Electronic Filers:  </w:t>
      </w:r>
      <w:r w:rsidR="005B4FE7">
        <w:rPr>
          <w:snapToGrid/>
          <w:kern w:val="0"/>
          <w:szCs w:val="22"/>
        </w:rPr>
        <w:t>Submissions</w:t>
      </w:r>
      <w:r w:rsidRPr="009E1092" w:rsidR="005B4FE7">
        <w:rPr>
          <w:snapToGrid/>
          <w:kern w:val="0"/>
          <w:szCs w:val="22"/>
        </w:rPr>
        <w:t xml:space="preserve"> </w:t>
      </w:r>
      <w:r w:rsidRPr="009E1092">
        <w:rPr>
          <w:snapToGrid/>
          <w:kern w:val="0"/>
          <w:szCs w:val="22"/>
        </w:rPr>
        <w:t xml:space="preserve">may be filed electronically using the Internet by accessing the ECFS:  </w:t>
      </w:r>
      <w:hyperlink r:id="rId5" w:history="1">
        <w:r w:rsidRPr="003E7F3A" w:rsidR="007C6315">
          <w:rPr>
            <w:rStyle w:val="Hyperlink"/>
            <w:snapToGrid/>
            <w:kern w:val="0"/>
            <w:szCs w:val="22"/>
          </w:rPr>
          <w:t>http://apps.fcc.gov/ecfs/</w:t>
        </w:r>
      </w:hyperlink>
      <w:r w:rsidRPr="007C6315">
        <w:rPr>
          <w:snapToGrid/>
          <w:kern w:val="0"/>
          <w:szCs w:val="22"/>
        </w:rPr>
        <w:t>.</w:t>
      </w:r>
      <w:r w:rsidRPr="009E1092">
        <w:rPr>
          <w:snapToGrid/>
          <w:kern w:val="0"/>
          <w:szCs w:val="22"/>
        </w:rPr>
        <w:t xml:space="preserve">  </w:t>
      </w:r>
    </w:p>
    <w:p w:rsidR="0028400C" w:rsidRPr="009E1092" w:rsidP="00E05F47" w14:paraId="6EA76836" w14:textId="77777777">
      <w:pPr>
        <w:widowControl/>
        <w:numPr>
          <w:ilvl w:val="0"/>
          <w:numId w:val="10"/>
        </w:numPr>
        <w:spacing w:after="120"/>
        <w:rPr>
          <w:snapToGrid/>
          <w:kern w:val="0"/>
          <w:szCs w:val="22"/>
        </w:rPr>
      </w:pPr>
      <w:r w:rsidRPr="009E1092">
        <w:rPr>
          <w:snapToGrid/>
          <w:kern w:val="0"/>
          <w:szCs w:val="22"/>
        </w:rPr>
        <w:t xml:space="preserve">Paper Filers:  Parties who choose to file by paper must file an original and one copy of each </w:t>
      </w:r>
      <w:r w:rsidRPr="00E05F47">
        <w:rPr>
          <w:snapToGrid/>
          <w:kern w:val="0"/>
          <w:sz w:val="20"/>
        </w:rPr>
        <w:t>f</w:t>
      </w:r>
      <w:r w:rsidRPr="009E1092">
        <w:rPr>
          <w:snapToGrid/>
          <w:kern w:val="0"/>
          <w:szCs w:val="22"/>
        </w:rPr>
        <w:t>iling.</w:t>
      </w:r>
    </w:p>
    <w:p w:rsidR="0028400C" w:rsidRPr="009E1092" w:rsidP="00E05F47" w14:paraId="3E87458C" w14:textId="77777777">
      <w:pPr>
        <w:widowControl/>
        <w:numPr>
          <w:ilvl w:val="0"/>
          <w:numId w:val="10"/>
        </w:numPr>
        <w:spacing w:after="120"/>
        <w:rPr>
          <w:snapToGrid/>
          <w:kern w:val="0"/>
          <w:szCs w:val="22"/>
        </w:rPr>
      </w:pPr>
      <w:r w:rsidRPr="009E1092">
        <w:rPr>
          <w:snapToGrid/>
          <w:kern w:val="0"/>
          <w:szCs w:val="22"/>
        </w:rPr>
        <w:t>Filings can be sent by commercial overnight courier, or by first-class or overnight U.S. Postal Service mail. All filings must be addressed to the Commission’s Secretary, Office of the Secretary, Federal Communications Commission.</w:t>
      </w:r>
    </w:p>
    <w:p w:rsidR="0028400C" w:rsidRPr="009E1092" w:rsidP="00E05F47" w14:paraId="27584D3C" w14:textId="639ABC39">
      <w:pPr>
        <w:widowControl/>
        <w:numPr>
          <w:ilvl w:val="0"/>
          <w:numId w:val="10"/>
        </w:numPr>
        <w:spacing w:after="120"/>
        <w:rPr>
          <w:snapToGrid/>
          <w:kern w:val="0"/>
          <w:szCs w:val="22"/>
        </w:rPr>
      </w:pPr>
      <w:r w:rsidRPr="009E1092">
        <w:rPr>
          <w:snapToGrid/>
          <w:kern w:val="0"/>
          <w:szCs w:val="22"/>
        </w:rPr>
        <w:t>Commercial overnight mail (other than U.S. Postal Service Express Mail and Priority Mail) must be sent to 9050 Junction Drive, Annapolis Junction, MD 20701.</w:t>
      </w:r>
      <w:r w:rsidR="0049304D">
        <w:rPr>
          <w:snapToGrid/>
          <w:kern w:val="0"/>
          <w:szCs w:val="22"/>
        </w:rPr>
        <w:t xml:space="preserve">  </w:t>
      </w:r>
      <w:r w:rsidRPr="009E1092">
        <w:rPr>
          <w:snapToGrid/>
          <w:kern w:val="0"/>
          <w:szCs w:val="22"/>
        </w:rPr>
        <w:t xml:space="preserve">U.S. Postal Service first-class, Express, and Priority mail must be addressed to </w:t>
      </w:r>
      <w:bookmarkStart w:id="3" w:name="_Hlk56541722"/>
      <w:r w:rsidRPr="009E1092">
        <w:rPr>
          <w:snapToGrid/>
          <w:kern w:val="0"/>
          <w:szCs w:val="22"/>
        </w:rPr>
        <w:t>45 L Street NE</w:t>
      </w:r>
      <w:r w:rsidRPr="009E1092">
        <w:rPr>
          <w:snapToGrid/>
          <w:kern w:val="0"/>
          <w:szCs w:val="22"/>
        </w:rPr>
        <w:t xml:space="preserve"> </w:t>
      </w:r>
      <w:r w:rsidRPr="009E1092">
        <w:rPr>
          <w:snapToGrid/>
          <w:kern w:val="0"/>
          <w:szCs w:val="22"/>
        </w:rPr>
        <w:t>Washington, DC  20554</w:t>
      </w:r>
      <w:bookmarkEnd w:id="3"/>
      <w:r w:rsidRPr="009E1092" w:rsidR="00282FDE">
        <w:rPr>
          <w:snapToGrid/>
          <w:kern w:val="0"/>
          <w:szCs w:val="22"/>
        </w:rPr>
        <w:t>.</w:t>
      </w:r>
    </w:p>
    <w:p w:rsidR="003E7F3A" w:rsidP="00E05F47" w14:paraId="32C7A62A" w14:textId="66997CF8">
      <w:pPr>
        <w:pStyle w:val="ListParagraph"/>
        <w:numPr>
          <w:ilvl w:val="0"/>
          <w:numId w:val="10"/>
        </w:numPr>
        <w:spacing w:after="120"/>
        <w:rPr>
          <w:snapToGrid/>
          <w:kern w:val="0"/>
          <w:szCs w:val="22"/>
        </w:rPr>
      </w:pPr>
      <w:r w:rsidRPr="009E1092">
        <w:rPr>
          <w:snapToGrid/>
          <w:kern w:val="0"/>
          <w:szCs w:val="22"/>
        </w:rPr>
        <w:t xml:space="preserve">Effective March 19, 2020, and until further notice, the Commission no longer accepts any hand or messenger delivered filings. </w:t>
      </w:r>
      <w:r w:rsidR="0049304D">
        <w:rPr>
          <w:snapToGrid/>
          <w:kern w:val="0"/>
          <w:szCs w:val="22"/>
        </w:rPr>
        <w:t xml:space="preserve"> </w:t>
      </w:r>
      <w:r w:rsidRPr="009E1092">
        <w:rPr>
          <w:snapToGrid/>
          <w:kern w:val="0"/>
          <w:szCs w:val="22"/>
        </w:rPr>
        <w:t xml:space="preserve">This is a temporary measure taken to help protect the health and safety of individuals, and to mitigate the transmission of COVID-19.  </w:t>
      </w:r>
      <w:r w:rsidRPr="002D516E">
        <w:rPr>
          <w:i/>
          <w:snapToGrid/>
          <w:kern w:val="0"/>
          <w:szCs w:val="22"/>
        </w:rPr>
        <w:t>See</w:t>
      </w:r>
      <w:r w:rsidRPr="009E1092">
        <w:rPr>
          <w:snapToGrid/>
          <w:kern w:val="0"/>
          <w:szCs w:val="22"/>
        </w:rPr>
        <w:t xml:space="preserve"> FCC Announces Closure of FCC Headquarters Open Window and Change in Hand-Delivery Policy, Public Notice, </w:t>
      </w:r>
      <w:r w:rsidR="00A046DE">
        <w:rPr>
          <w:snapToGrid/>
          <w:kern w:val="0"/>
          <w:szCs w:val="22"/>
        </w:rPr>
        <w:t xml:space="preserve">35 FCC </w:t>
      </w:r>
      <w:r w:rsidR="00A046DE">
        <w:rPr>
          <w:snapToGrid/>
          <w:kern w:val="0"/>
          <w:szCs w:val="22"/>
        </w:rPr>
        <w:t>Rcd</w:t>
      </w:r>
      <w:r w:rsidR="00A046DE">
        <w:rPr>
          <w:snapToGrid/>
          <w:kern w:val="0"/>
          <w:szCs w:val="22"/>
        </w:rPr>
        <w:t xml:space="preserve"> 2788</w:t>
      </w:r>
      <w:r w:rsidRPr="009E1092">
        <w:rPr>
          <w:snapToGrid/>
          <w:kern w:val="0"/>
          <w:szCs w:val="22"/>
        </w:rPr>
        <w:t xml:space="preserve"> (</w:t>
      </w:r>
      <w:r w:rsidR="00A046DE">
        <w:rPr>
          <w:snapToGrid/>
          <w:kern w:val="0"/>
          <w:szCs w:val="22"/>
        </w:rPr>
        <w:t>OMD</w:t>
      </w:r>
      <w:r w:rsidRPr="009E1092">
        <w:rPr>
          <w:snapToGrid/>
          <w:kern w:val="0"/>
          <w:szCs w:val="22"/>
        </w:rPr>
        <w:t xml:space="preserve"> 2020).  </w:t>
      </w:r>
      <w:hyperlink r:id="rId6" w:history="1">
        <w:r w:rsidRPr="00306E99" w:rsidR="00506218">
          <w:rPr>
            <w:rStyle w:val="Hyperlink"/>
            <w:szCs w:val="22"/>
          </w:rPr>
          <w:t>https://www.fcc.gov/document/fcc-closes-headquarters-open-window-and-changes-hand-delivery-policy</w:t>
        </w:r>
      </w:hyperlink>
      <w:r w:rsidRPr="00306E99" w:rsidR="009C7A71">
        <w:rPr>
          <w:rStyle w:val="Hyperlink"/>
          <w:szCs w:val="22"/>
        </w:rPr>
        <w:t>.</w:t>
      </w:r>
    </w:p>
    <w:p w:rsidR="007642EB" w:rsidRPr="00E05F47" w14:paraId="61CC8C36" w14:textId="77777777">
      <w:pPr>
        <w:widowControl/>
        <w:numPr>
          <w:ilvl w:val="0"/>
          <w:numId w:val="10"/>
        </w:numPr>
        <w:spacing w:after="120"/>
        <w:rPr>
          <w:bCs/>
          <w:szCs w:val="22"/>
        </w:rPr>
      </w:pPr>
      <w:r w:rsidRPr="00E05F47">
        <w:rPr>
          <w:bCs/>
          <w:szCs w:val="22"/>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424C71" w:rsidP="00E05F47" w14:paraId="5A13B1B2" w14:textId="13E8EFA5">
      <w:pPr>
        <w:widowControl/>
        <w:spacing w:after="120"/>
        <w:ind w:firstLine="720"/>
        <w:rPr>
          <w:snapToGrid/>
          <w:kern w:val="0"/>
          <w:szCs w:val="22"/>
        </w:rPr>
      </w:pPr>
      <w:r w:rsidRPr="00424C71">
        <w:rPr>
          <w:snapToGrid/>
          <w:kern w:val="0"/>
          <w:szCs w:val="22"/>
        </w:rPr>
        <w:t xml:space="preserve">One copy of each pleading, </w:t>
      </w:r>
      <w:r w:rsidRPr="00B16B4F">
        <w:rPr>
          <w:i/>
          <w:iCs/>
          <w:snapToGrid/>
          <w:kern w:val="0"/>
          <w:szCs w:val="22"/>
        </w:rPr>
        <w:t xml:space="preserve">ex </w:t>
      </w:r>
      <w:r w:rsidRPr="00B16B4F">
        <w:rPr>
          <w:i/>
          <w:iCs/>
          <w:snapToGrid/>
          <w:kern w:val="0"/>
          <w:szCs w:val="22"/>
        </w:rPr>
        <w:t>parte</w:t>
      </w:r>
      <w:r w:rsidRPr="00424C71">
        <w:rPr>
          <w:snapToGrid/>
          <w:kern w:val="0"/>
          <w:szCs w:val="22"/>
        </w:rPr>
        <w:t xml:space="preserve"> submission, or other filing must be delivered electronically, by email, to:  (1) Kathy Harris, Mobility Division, Wireless Telecommunications Bureau, at </w:t>
      </w:r>
      <w:hyperlink r:id="rId7" w:history="1">
        <w:r w:rsidRPr="00BA5E08" w:rsidR="0021134E">
          <w:rPr>
            <w:rStyle w:val="Hyperlink"/>
            <w:snapToGrid/>
            <w:kern w:val="0"/>
            <w:szCs w:val="22"/>
          </w:rPr>
          <w:t>Kathy.Harris@fcc.gov</w:t>
        </w:r>
      </w:hyperlink>
      <w:r w:rsidRPr="00424C71">
        <w:rPr>
          <w:snapToGrid/>
          <w:kern w:val="0"/>
          <w:szCs w:val="22"/>
        </w:rPr>
        <w:t xml:space="preserve">; (2) Linda Ray, Broadband Division, Wireless Telecommunications Bureau, at </w:t>
      </w:r>
      <w:hyperlink r:id="rId8" w:history="1">
        <w:r w:rsidRPr="00BA5E08" w:rsidR="0021134E">
          <w:rPr>
            <w:rStyle w:val="Hyperlink"/>
            <w:snapToGrid/>
            <w:kern w:val="0"/>
            <w:szCs w:val="22"/>
          </w:rPr>
          <w:t>Linda.Ray@fcc.gov</w:t>
        </w:r>
      </w:hyperlink>
      <w:r w:rsidRPr="00424C71">
        <w:rPr>
          <w:snapToGrid/>
          <w:kern w:val="0"/>
          <w:szCs w:val="22"/>
        </w:rPr>
        <w:t xml:space="preserve">; (3) </w:t>
      </w:r>
      <w:r>
        <w:rPr>
          <w:rFonts w:eastAsia="Calibri"/>
          <w:snapToGrid/>
          <w:kern w:val="0"/>
          <w:szCs w:val="22"/>
        </w:rPr>
        <w:t xml:space="preserve">Stacy Ferraro, Competition and Infrastructure Policy Division, Wireless Telecommunications Bureau, at </w:t>
      </w:r>
      <w:hyperlink r:id="rId9" w:history="1">
        <w:r w:rsidRPr="00BA5E08" w:rsidR="0021134E">
          <w:rPr>
            <w:rStyle w:val="Hyperlink"/>
            <w:rFonts w:eastAsia="Calibri"/>
            <w:snapToGrid/>
            <w:kern w:val="0"/>
            <w:szCs w:val="22"/>
          </w:rPr>
          <w:t>Stacy.Ferraro@fcc.gov</w:t>
        </w:r>
      </w:hyperlink>
      <w:r w:rsidR="00DE173F">
        <w:rPr>
          <w:rFonts w:eastAsia="Calibri"/>
          <w:snapToGrid/>
          <w:kern w:val="0"/>
          <w:szCs w:val="22"/>
        </w:rPr>
        <w:t>;</w:t>
      </w:r>
      <w:r>
        <w:rPr>
          <w:rFonts w:eastAsia="Calibri"/>
          <w:snapToGrid/>
          <w:kern w:val="0"/>
          <w:szCs w:val="22"/>
        </w:rPr>
        <w:t xml:space="preserve"> </w:t>
      </w:r>
      <w:r w:rsidR="00B93944">
        <w:rPr>
          <w:rFonts w:eastAsia="Calibri"/>
          <w:snapToGrid/>
          <w:kern w:val="0"/>
          <w:szCs w:val="22"/>
        </w:rPr>
        <w:t>and (4)</w:t>
      </w:r>
      <w:r>
        <w:rPr>
          <w:rFonts w:eastAsia="Calibri"/>
          <w:snapToGrid/>
          <w:kern w:val="0"/>
          <w:szCs w:val="22"/>
        </w:rPr>
        <w:t xml:space="preserve"> Pam Megna, Industry Analysis Division, Office of Economics and Analytics, at </w:t>
      </w:r>
      <w:hyperlink r:id="rId10" w:history="1">
        <w:r w:rsidRPr="00BA5E08" w:rsidR="0021134E">
          <w:rPr>
            <w:rStyle w:val="Hyperlink"/>
            <w:rFonts w:eastAsia="Calibri"/>
            <w:snapToGrid/>
            <w:kern w:val="0"/>
            <w:szCs w:val="22"/>
          </w:rPr>
          <w:t>Pam.Megna@fcc.gov</w:t>
        </w:r>
      </w:hyperlink>
      <w:r>
        <w:rPr>
          <w:rFonts w:eastAsia="Calibri"/>
          <w:snapToGrid/>
          <w:kern w:val="0"/>
          <w:szCs w:val="22"/>
        </w:rPr>
        <w:t xml:space="preserve">.  </w:t>
      </w:r>
      <w:r w:rsidRPr="00424C71">
        <w:rPr>
          <w:snapToGrid/>
          <w:kern w:val="0"/>
          <w:szCs w:val="22"/>
        </w:rPr>
        <w:t xml:space="preserve">Any submission emailed to these individuals should include in the subject line of the email:  (1) WT Docket No. </w:t>
      </w:r>
      <w:r w:rsidRPr="00015451">
        <w:rPr>
          <w:snapToGrid/>
          <w:kern w:val="0"/>
          <w:szCs w:val="22"/>
        </w:rPr>
        <w:t>20-</w:t>
      </w:r>
      <w:r w:rsidRPr="00015451" w:rsidR="00015451">
        <w:rPr>
          <w:snapToGrid/>
          <w:kern w:val="0"/>
          <w:szCs w:val="22"/>
        </w:rPr>
        <w:t>387</w:t>
      </w:r>
      <w:r w:rsidRPr="00424C71">
        <w:rPr>
          <w:snapToGrid/>
          <w:kern w:val="0"/>
          <w:szCs w:val="22"/>
        </w:rPr>
        <w:t>; (2) the name of the submitting party; and (3) a brief description or title identifying the type of document being submitted.</w:t>
      </w:r>
    </w:p>
    <w:bookmarkEnd w:id="2"/>
    <w:p w:rsidR="00DC333E" w:rsidRPr="009E1092" w:rsidP="00E05F47" w14:paraId="783A83FF" w14:textId="17CCF889">
      <w:pPr>
        <w:widowControl/>
        <w:spacing w:after="120"/>
        <w:ind w:firstLine="720"/>
        <w:rPr>
          <w:snapToGrid/>
          <w:kern w:val="0"/>
          <w:szCs w:val="22"/>
        </w:rPr>
      </w:pPr>
      <w:r w:rsidRPr="009E1092">
        <w:rPr>
          <w:snapToGrid/>
          <w:kern w:val="0"/>
          <w:szCs w:val="22"/>
        </w:rPr>
        <w:t xml:space="preserve">People with Disabilities:  To request materials in accessible formats for people with disabilities (braille, large print, electronic files, audio format), send an e-mail to </w:t>
      </w:r>
      <w:hyperlink r:id="rId11" w:history="1">
        <w:r w:rsidRPr="00BA5E08" w:rsidR="0021134E">
          <w:rPr>
            <w:rStyle w:val="Hyperlink"/>
            <w:snapToGrid/>
            <w:kern w:val="0"/>
            <w:szCs w:val="22"/>
          </w:rPr>
          <w:t>fcc504@fcc.gov</w:t>
        </w:r>
      </w:hyperlink>
      <w:r w:rsidR="0021134E">
        <w:rPr>
          <w:snapToGrid/>
          <w:kern w:val="0"/>
          <w:szCs w:val="22"/>
        </w:rPr>
        <w:t xml:space="preserve"> </w:t>
      </w:r>
      <w:r w:rsidRPr="009E1092">
        <w:rPr>
          <w:snapToGrid/>
          <w:kern w:val="0"/>
          <w:szCs w:val="22"/>
        </w:rPr>
        <w:t>or call the Consumer &amp; Governmental Affairs Bureau at 202-418-0530 (voice), 202-418-0432 (TTY).</w:t>
      </w:r>
    </w:p>
    <w:p w:rsidR="00A10ADB" w:rsidP="009E1092" w14:paraId="001C9484" w14:textId="20A64FEA">
      <w:pPr>
        <w:ind w:right="105" w:firstLine="720"/>
        <w:rPr>
          <w:rFonts w:eastAsia="Calibri"/>
          <w:snapToGrid/>
          <w:kern w:val="0"/>
          <w:szCs w:val="22"/>
        </w:rPr>
      </w:pPr>
      <w:r w:rsidRPr="00EA081E">
        <w:rPr>
          <w:rFonts w:eastAsia="Calibri"/>
          <w:snapToGrid/>
          <w:kern w:val="0"/>
          <w:szCs w:val="22"/>
        </w:rPr>
        <w:t>For further information, contact</w:t>
      </w:r>
      <w:r w:rsidRPr="00EA081E" w:rsidR="006E44C8">
        <w:rPr>
          <w:rFonts w:eastAsia="Calibri"/>
          <w:snapToGrid/>
          <w:kern w:val="0"/>
          <w:szCs w:val="22"/>
        </w:rPr>
        <w:t xml:space="preserve"> </w:t>
      </w:r>
      <w:r w:rsidR="0097578F">
        <w:rPr>
          <w:rFonts w:eastAsia="Calibri"/>
          <w:snapToGrid/>
          <w:kern w:val="0"/>
          <w:szCs w:val="22"/>
        </w:rPr>
        <w:t>Stacy Ferraro</w:t>
      </w:r>
      <w:r w:rsidR="006B52E1">
        <w:rPr>
          <w:rFonts w:eastAsia="Calibri"/>
          <w:snapToGrid/>
          <w:kern w:val="0"/>
          <w:szCs w:val="22"/>
        </w:rPr>
        <w:t xml:space="preserve">, Competition and Infrastructure Policy Division, Wireless Telecommunications Bureau, at </w:t>
      </w:r>
      <w:hyperlink r:id="rId9" w:history="1">
        <w:r w:rsidRPr="00BA5E08" w:rsidR="0021134E">
          <w:rPr>
            <w:rStyle w:val="Hyperlink"/>
            <w:rFonts w:eastAsia="Calibri"/>
            <w:snapToGrid/>
            <w:kern w:val="0"/>
            <w:szCs w:val="22"/>
          </w:rPr>
          <w:t>Stacy.Ferraro@fcc.gov</w:t>
        </w:r>
      </w:hyperlink>
      <w:r w:rsidR="0021134E">
        <w:rPr>
          <w:rFonts w:eastAsia="Calibri"/>
          <w:snapToGrid/>
          <w:kern w:val="0"/>
          <w:szCs w:val="22"/>
        </w:rPr>
        <w:t xml:space="preserve"> </w:t>
      </w:r>
      <w:r w:rsidR="00752E11">
        <w:rPr>
          <w:rFonts w:eastAsia="Calibri"/>
          <w:snapToGrid/>
          <w:kern w:val="0"/>
          <w:szCs w:val="22"/>
        </w:rPr>
        <w:t xml:space="preserve">or </w:t>
      </w:r>
      <w:r w:rsidRPr="00B601EE" w:rsidR="00B601EE">
        <w:rPr>
          <w:rFonts w:eastAsia="Calibri"/>
          <w:snapToGrid/>
          <w:kern w:val="0"/>
          <w:szCs w:val="22"/>
        </w:rPr>
        <w:t>(202) 418-0795</w:t>
      </w:r>
      <w:r w:rsidR="00376DA4">
        <w:rPr>
          <w:rFonts w:eastAsia="Calibri"/>
          <w:snapToGrid/>
          <w:kern w:val="0"/>
          <w:szCs w:val="22"/>
        </w:rPr>
        <w:t xml:space="preserve">, or </w:t>
      </w:r>
      <w:r w:rsidR="006977B4">
        <w:rPr>
          <w:rFonts w:eastAsia="Calibri"/>
          <w:snapToGrid/>
          <w:kern w:val="0"/>
          <w:szCs w:val="22"/>
        </w:rPr>
        <w:t>Pam Megna</w:t>
      </w:r>
      <w:r w:rsidR="000B7FF8">
        <w:rPr>
          <w:rFonts w:eastAsia="Calibri"/>
          <w:snapToGrid/>
          <w:kern w:val="0"/>
          <w:szCs w:val="22"/>
        </w:rPr>
        <w:t xml:space="preserve">, </w:t>
      </w:r>
      <w:r w:rsidR="00BE227F">
        <w:rPr>
          <w:rFonts w:eastAsia="Calibri"/>
          <w:snapToGrid/>
          <w:kern w:val="0"/>
          <w:szCs w:val="22"/>
        </w:rPr>
        <w:t>Industry Analysis Division, Office of Economics and Analytics, at</w:t>
      </w:r>
      <w:r w:rsidR="000B7FF8">
        <w:rPr>
          <w:rFonts w:eastAsia="Calibri"/>
          <w:snapToGrid/>
          <w:kern w:val="0"/>
          <w:szCs w:val="22"/>
        </w:rPr>
        <w:t xml:space="preserve"> </w:t>
      </w:r>
      <w:hyperlink r:id="rId10" w:history="1">
        <w:r w:rsidRPr="00BA5E08" w:rsidR="0021134E">
          <w:rPr>
            <w:rStyle w:val="Hyperlink"/>
            <w:rFonts w:eastAsia="Calibri"/>
            <w:snapToGrid/>
            <w:kern w:val="0"/>
            <w:szCs w:val="22"/>
          </w:rPr>
          <w:t>Pam.Megna@fcc.gov</w:t>
        </w:r>
      </w:hyperlink>
      <w:r w:rsidR="0021134E">
        <w:rPr>
          <w:rFonts w:eastAsia="Calibri"/>
          <w:snapToGrid/>
          <w:kern w:val="0"/>
          <w:szCs w:val="22"/>
        </w:rPr>
        <w:t xml:space="preserve"> </w:t>
      </w:r>
      <w:r w:rsidR="00752E11">
        <w:rPr>
          <w:rFonts w:eastAsia="Calibri"/>
          <w:snapToGrid/>
          <w:kern w:val="0"/>
          <w:szCs w:val="22"/>
        </w:rPr>
        <w:t xml:space="preserve">or </w:t>
      </w:r>
      <w:r w:rsidRPr="00916A7F" w:rsidR="00916A7F">
        <w:rPr>
          <w:rFonts w:eastAsia="Calibri"/>
          <w:snapToGrid/>
          <w:kern w:val="0"/>
          <w:szCs w:val="22"/>
        </w:rPr>
        <w:t>(202) 418-0482</w:t>
      </w:r>
      <w:r w:rsidR="007D793A">
        <w:rPr>
          <w:rFonts w:eastAsia="Calibri"/>
          <w:snapToGrid/>
          <w:kern w:val="0"/>
          <w:szCs w:val="22"/>
        </w:rPr>
        <w:t>.</w:t>
      </w:r>
    </w:p>
    <w:p w:rsidR="00E05F47" w:rsidRPr="00EA081E" w:rsidP="009E1092" w14:paraId="56B4F74B" w14:textId="77777777">
      <w:pPr>
        <w:ind w:right="105" w:firstLine="720"/>
        <w:rPr>
          <w:snapToGrid/>
          <w:kern w:val="0"/>
          <w:szCs w:val="22"/>
        </w:rPr>
      </w:pPr>
    </w:p>
    <w:p w:rsidR="00E05F47" w:rsidRPr="00E239D2" w:rsidP="00E05F47" w14:paraId="31D13E33" w14:textId="77777777">
      <w:pPr>
        <w:widowControl/>
        <w:jc w:val="center"/>
        <w:rPr>
          <w:rStyle w:val="Normal1"/>
          <w:b/>
          <w:sz w:val="22"/>
          <w:szCs w:val="22"/>
        </w:rPr>
      </w:pPr>
      <w:bookmarkStart w:id="4" w:name="_Hlk56673396"/>
      <w:r w:rsidRPr="00E239D2">
        <w:rPr>
          <w:rStyle w:val="Normal1"/>
          <w:b/>
          <w:sz w:val="22"/>
          <w:szCs w:val="22"/>
        </w:rPr>
        <w:t>-FCC-</w:t>
      </w:r>
      <w:bookmarkEnd w:id="4"/>
    </w:p>
    <w:p w:rsidR="00204FE5" w:rsidRPr="00EA081E" w:rsidP="00D938CD" w14:paraId="719206F8" w14:textId="77777777">
      <w:pPr>
        <w:rPr>
          <w:szCs w:val="22"/>
        </w:rPr>
      </w:pP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173B" w:rsidP="0055614C" w14:paraId="14616F3D" w14:textId="77777777">
    <w:pPr>
      <w:pStyle w:val="Footer"/>
      <w:framePr w:wrap="around" w:vAnchor="text" w:hAnchor="margin" w:xAlign="center" w:y="1"/>
    </w:pPr>
    <w:r>
      <w:fldChar w:fldCharType="begin"/>
    </w:r>
    <w:r>
      <w:instrText xml:space="preserve">PAGE  </w:instrText>
    </w:r>
    <w:r>
      <w:fldChar w:fldCharType="separate"/>
    </w:r>
    <w:r>
      <w:fldChar w:fldCharType="end"/>
    </w:r>
  </w:p>
  <w:p w:rsidR="00B2173B" w14:paraId="78F52311" w14:textId="77777777">
    <w:pPr>
      <w:pStyle w:val="Footer"/>
    </w:pPr>
  </w:p>
  <w:p w:rsidR="00B2173B" w14:paraId="7CC23FC6"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173B" w:rsidP="00910F12" w14:paraId="4BA296F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B2173B" w14:paraId="00A0B153"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173B" w14:paraId="12B3766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F6121" w14:paraId="26444DA4" w14:textId="77777777">
      <w:r>
        <w:separator/>
      </w:r>
    </w:p>
  </w:footnote>
  <w:footnote w:type="continuationSeparator" w:id="1">
    <w:p w:rsidR="006F6121" w14:paraId="706B7367" w14:textId="77777777">
      <w:pPr>
        <w:rPr>
          <w:sz w:val="20"/>
        </w:rPr>
      </w:pPr>
      <w:r>
        <w:rPr>
          <w:sz w:val="20"/>
        </w:rPr>
        <w:t xml:space="preserve">(Continued from previous page)  </w:t>
      </w:r>
      <w:r>
        <w:rPr>
          <w:sz w:val="20"/>
        </w:rPr>
        <w:separator/>
      </w:r>
    </w:p>
  </w:footnote>
  <w:footnote w:type="continuationNotice" w:id="2">
    <w:p w:rsidR="006F6121" w:rsidP="00910F12" w14:paraId="124882BC" w14:textId="77777777">
      <w:pPr>
        <w:jc w:val="right"/>
        <w:rPr>
          <w:sz w:val="20"/>
        </w:rPr>
      </w:pPr>
      <w:r>
        <w:rPr>
          <w:sz w:val="20"/>
        </w:rPr>
        <w:t>(continued….)</w:t>
      </w:r>
    </w:p>
  </w:footnote>
  <w:footnote w:id="3">
    <w:p w:rsidR="00B2173B" w:rsidP="00E05F47" w14:paraId="5885A2BC" w14:textId="0754A97F">
      <w:pPr>
        <w:spacing w:after="120"/>
      </w:pPr>
      <w:r w:rsidRPr="00E05F47">
        <w:rPr>
          <w:rStyle w:val="FootnoteReference"/>
          <w:sz w:val="20"/>
        </w:rPr>
        <w:footnoteRef/>
      </w:r>
      <w:r>
        <w:t xml:space="preserve"> </w:t>
      </w:r>
      <w:r w:rsidRPr="00E05F47">
        <w:rPr>
          <w:sz w:val="20"/>
        </w:rPr>
        <w:t xml:space="preserve">Assignors are Bluegrass Cellular Inc. (Bluegrass Cellular), Bluegrass Wireless LLC (Bluegrass Wireless), KY RSA #3 Cellular General Partnership (KY 3), Kentucky RSA 4 Cellular General Partnership (KY 4), and Cumberland Cellular Partnership (Cumberland, and together with Bluegrass Cellular, Bluegrass Wireless, KY 3, and KY 4, </w:t>
      </w:r>
      <w:r w:rsidR="008828B7">
        <w:rPr>
          <w:sz w:val="20"/>
        </w:rPr>
        <w:t xml:space="preserve">are collectively referred to as </w:t>
      </w:r>
      <w:r w:rsidRPr="00E05F47">
        <w:rPr>
          <w:sz w:val="20"/>
        </w:rPr>
        <w:t>Bluegrass).</w:t>
      </w:r>
    </w:p>
  </w:footnote>
  <w:footnote w:id="4">
    <w:p w:rsidR="00B2173B" w:rsidP="00E05F47" w14:paraId="19C0DDAA" w14:textId="77777777">
      <w:pPr>
        <w:spacing w:after="120"/>
      </w:pPr>
      <w:r w:rsidRPr="00E05F47">
        <w:rPr>
          <w:rStyle w:val="FootnoteReference"/>
          <w:sz w:val="20"/>
        </w:rPr>
        <w:footnoteRef/>
      </w:r>
      <w:r>
        <w:t xml:space="preserve"> </w:t>
      </w:r>
      <w:r w:rsidRPr="00E05F47">
        <w:rPr>
          <w:sz w:val="20"/>
        </w:rPr>
        <w:t>47 U.S.C. § 310(d).</w:t>
      </w:r>
      <w:r>
        <w:t xml:space="preserve"> </w:t>
      </w:r>
    </w:p>
  </w:footnote>
  <w:footnote w:id="5">
    <w:p w:rsidR="00B2173B" w:rsidP="00E05F47" w14:paraId="170494A8" w14:textId="003C3CD5">
      <w:pPr>
        <w:spacing w:after="120"/>
      </w:pPr>
      <w:r w:rsidRPr="00E05F47">
        <w:rPr>
          <w:rStyle w:val="FootnoteReference"/>
          <w:sz w:val="20"/>
        </w:rPr>
        <w:footnoteRef/>
      </w:r>
      <w:r>
        <w:t xml:space="preserve"> </w:t>
      </w:r>
      <w:r w:rsidRPr="00E05F47">
        <w:rPr>
          <w:sz w:val="20"/>
        </w:rPr>
        <w:t>Bluegrass is currently attributed with 22 megahertz of 700 MHz spectrum and 40 megahertz of AWS-1 spectrum that it leas</w:t>
      </w:r>
      <w:r w:rsidR="008828B7">
        <w:rPr>
          <w:sz w:val="20"/>
        </w:rPr>
        <w:t>es</w:t>
      </w:r>
      <w:r w:rsidRPr="00E05F47">
        <w:rPr>
          <w:sz w:val="20"/>
        </w:rPr>
        <w:t xml:space="preserve"> from Verizon in</w:t>
      </w:r>
      <w:r w:rsidR="008828B7">
        <w:rPr>
          <w:sz w:val="20"/>
        </w:rPr>
        <w:t xml:space="preserve"> the following Cellular Market Areas</w:t>
      </w:r>
      <w:r w:rsidR="00E3782E">
        <w:rPr>
          <w:sz w:val="20"/>
        </w:rPr>
        <w:t xml:space="preserve"> (CMAs)</w:t>
      </w:r>
      <w:r w:rsidR="008828B7">
        <w:rPr>
          <w:sz w:val="20"/>
        </w:rPr>
        <w:t xml:space="preserve">: </w:t>
      </w:r>
      <w:r w:rsidRPr="00E05F47">
        <w:rPr>
          <w:sz w:val="20"/>
        </w:rPr>
        <w:t xml:space="preserve"> KY 3 – Meade, KY 4 – Spencer, and KY 5 – Barren.</w:t>
      </w:r>
    </w:p>
  </w:footnote>
  <w:footnote w:id="6">
    <w:p w:rsidR="00B2173B" w:rsidP="00E3782E" w14:paraId="5AC65F8E" w14:textId="30C4E69B">
      <w:pPr>
        <w:widowControl/>
        <w:spacing w:after="120"/>
      </w:pPr>
      <w:r w:rsidRPr="00E05F47">
        <w:rPr>
          <w:rStyle w:val="FootnoteReference"/>
          <w:sz w:val="20"/>
        </w:rPr>
        <w:footnoteRef/>
      </w:r>
      <w:r>
        <w:t xml:space="preserve"> </w:t>
      </w:r>
      <w:r w:rsidRPr="00E05F47">
        <w:rPr>
          <w:sz w:val="20"/>
        </w:rPr>
        <w:t>Applicants’ Description of Transaction and Public Interest Statement,</w:t>
      </w:r>
      <w:r w:rsidRPr="00E05F47">
        <w:rPr>
          <w:spacing w:val="-2"/>
          <w:sz w:val="20"/>
        </w:rPr>
        <w:t xml:space="preserve"> ULS File No. </w:t>
      </w:r>
      <w:r w:rsidRPr="00E05F47">
        <w:rPr>
          <w:sz w:val="20"/>
        </w:rPr>
        <w:t>0009262037,</w:t>
      </w:r>
      <w:r w:rsidRPr="00E05F47">
        <w:rPr>
          <w:spacing w:val="-2"/>
          <w:sz w:val="20"/>
        </w:rPr>
        <w:t xml:space="preserve"> 1 (filed Oct. 16, 2020)</w:t>
      </w:r>
      <w:r w:rsidRPr="00E05F47">
        <w:rPr>
          <w:sz w:val="20"/>
        </w:rPr>
        <w:t>.</w:t>
      </w:r>
      <w:r>
        <w:t xml:space="preserve"> </w:t>
      </w:r>
    </w:p>
  </w:footnote>
  <w:footnote w:id="7">
    <w:p w:rsidR="00B2173B" w:rsidRPr="00433622" w:rsidP="00E05F47" w14:paraId="520C85B5" w14:textId="2DDE852E">
      <w:pPr>
        <w:spacing w:after="120"/>
      </w:pPr>
      <w:r w:rsidRPr="00E05F47">
        <w:rPr>
          <w:rStyle w:val="FootnoteReference"/>
          <w:sz w:val="20"/>
        </w:rPr>
        <w:footnoteRef/>
      </w:r>
      <w:r>
        <w:t xml:space="preserve"> </w:t>
      </w:r>
      <w:r w:rsidRPr="00E05F47" w:rsidR="00B522FB">
        <w:rPr>
          <w:sz w:val="20"/>
        </w:rPr>
        <w:t>Applicants’ Description of Transaction and Public Interest Statement,</w:t>
      </w:r>
      <w:r w:rsidRPr="00E05F47" w:rsidR="00B522FB">
        <w:rPr>
          <w:spacing w:val="-2"/>
          <w:sz w:val="20"/>
        </w:rPr>
        <w:t xml:space="preserve"> ULS File No. </w:t>
      </w:r>
      <w:r w:rsidRPr="00E05F47" w:rsidR="00B522FB">
        <w:rPr>
          <w:sz w:val="20"/>
        </w:rPr>
        <w:t>0009262037,</w:t>
      </w:r>
      <w:r w:rsidRPr="00E05F47" w:rsidR="00B522FB">
        <w:rPr>
          <w:spacing w:val="-2"/>
          <w:sz w:val="20"/>
        </w:rPr>
        <w:t xml:space="preserve"> 1 (filed Oct. 16, 2020)</w:t>
      </w:r>
      <w:r w:rsidRPr="00E05F47" w:rsidR="00B522FB">
        <w:rPr>
          <w:sz w:val="20"/>
        </w:rPr>
        <w:t>.</w:t>
      </w:r>
      <w:r w:rsidR="00433622">
        <w:t xml:space="preserve"> </w:t>
      </w:r>
    </w:p>
  </w:footnote>
  <w:footnote w:id="8">
    <w:p w:rsidR="00B2173B" w:rsidRPr="00433622" w:rsidP="00E05F47" w14:paraId="7B5D12C5" w14:textId="666FD678">
      <w:pPr>
        <w:spacing w:after="120"/>
        <w:rPr>
          <w:sz w:val="20"/>
        </w:rPr>
      </w:pPr>
      <w:r w:rsidRPr="00E05F47">
        <w:rPr>
          <w:rStyle w:val="FootnoteReference"/>
          <w:sz w:val="20"/>
        </w:rPr>
        <w:footnoteRef/>
      </w:r>
      <w:r>
        <w:t xml:space="preserve"> </w:t>
      </w:r>
      <w:r w:rsidRPr="00433622">
        <w:rPr>
          <w:sz w:val="20"/>
        </w:rPr>
        <w:t xml:space="preserve">The </w:t>
      </w:r>
      <w:r w:rsidRPr="00433622">
        <w:rPr>
          <w:i/>
          <w:sz w:val="20"/>
        </w:rPr>
        <w:t>Mobile Spectrum Holdings Report and Order</w:t>
      </w:r>
      <w:r w:rsidRPr="00433622">
        <w:rPr>
          <w:sz w:val="20"/>
        </w:rPr>
        <w:t xml:space="preserve"> requires that we treat any proposed increase in below-1-GHz spectrum holdings resulting in the acquiring entity holding approximately one-third or more of the suitable and available spectrum below 1 GHz as an “enhanced factor” in our case-by-case review.</w:t>
      </w:r>
      <w:r w:rsidRPr="00433622">
        <w:rPr>
          <w:i/>
          <w:iCs/>
          <w:spacing w:val="-1"/>
          <w:sz w:val="20"/>
        </w:rPr>
        <w:t xml:space="preserve">  </w:t>
      </w:r>
      <w:r w:rsidRPr="00433622">
        <w:rPr>
          <w:i/>
          <w:sz w:val="20"/>
        </w:rPr>
        <w:t>Policies Regarding Mobile Spectrum Holdings; Expanding the Economic and Innovation Opportunities of Spectrum Through Incentive Auctions</w:t>
      </w:r>
      <w:r w:rsidRPr="00433622">
        <w:rPr>
          <w:sz w:val="20"/>
        </w:rPr>
        <w:t>, WT Docket No. 12-269, GN Docket No. 12-268, Report and Order, 29 FCC 6133, 6240, paras. 286-88 (2014) (</w:t>
      </w:r>
      <w:r w:rsidRPr="00433622">
        <w:rPr>
          <w:i/>
          <w:sz w:val="20"/>
        </w:rPr>
        <w:t>Mobile Spectrum Holdings Report and Order</w:t>
      </w:r>
      <w:r w:rsidRPr="00433622">
        <w:rPr>
          <w:sz w:val="20"/>
        </w:rPr>
        <w:t>)</w:t>
      </w:r>
      <w:r w:rsidRPr="00433622">
        <w:rPr>
          <w:color w:val="010101"/>
          <w:sz w:val="20"/>
        </w:rPr>
        <w:t xml:space="preserve">, </w:t>
      </w:r>
      <w:r w:rsidRPr="00433622">
        <w:rPr>
          <w:i/>
          <w:color w:val="010101"/>
          <w:sz w:val="20"/>
        </w:rPr>
        <w:t>recon. denied</w:t>
      </w:r>
      <w:r w:rsidRPr="00433622">
        <w:rPr>
          <w:color w:val="010101"/>
          <w:sz w:val="20"/>
        </w:rPr>
        <w:t xml:space="preserve">, Order on Reconsideration, 30 FCC </w:t>
      </w:r>
      <w:r w:rsidRPr="00433622">
        <w:rPr>
          <w:color w:val="010101"/>
          <w:sz w:val="20"/>
        </w:rPr>
        <w:t>Rcd</w:t>
      </w:r>
      <w:r w:rsidRPr="00433622">
        <w:rPr>
          <w:color w:val="010101"/>
          <w:sz w:val="20"/>
        </w:rPr>
        <w:t xml:space="preserve"> 8635 (2015)</w:t>
      </w:r>
      <w:r w:rsidRPr="00433622">
        <w:rPr>
          <w:spacing w:val="-1"/>
          <w:sz w:val="20"/>
        </w:rPr>
        <w:t>.</w:t>
      </w:r>
    </w:p>
  </w:footnote>
  <w:footnote w:id="9">
    <w:p w:rsidR="00B2173B" w:rsidRPr="00433622" w:rsidP="00E05F47" w14:paraId="091EC373" w14:textId="50FC4F86">
      <w:pPr>
        <w:spacing w:after="120"/>
        <w:rPr>
          <w:sz w:val="20"/>
        </w:rPr>
      </w:pPr>
      <w:r w:rsidRPr="00433622">
        <w:rPr>
          <w:rStyle w:val="FootnoteReference"/>
          <w:sz w:val="20"/>
        </w:rPr>
        <w:footnoteRef/>
      </w:r>
      <w:r w:rsidRPr="00433622">
        <w:rPr>
          <w:sz w:val="20"/>
        </w:rPr>
        <w:t xml:space="preserve"> The Commission adopted a separate threshold for high-band </w:t>
      </w:r>
      <w:r w:rsidR="00474AC4">
        <w:rPr>
          <w:sz w:val="20"/>
        </w:rPr>
        <w:t xml:space="preserve">(i.e., </w:t>
      </w:r>
      <w:r w:rsidRPr="00433622">
        <w:rPr>
          <w:sz w:val="20"/>
        </w:rPr>
        <w:t>millimeter</w:t>
      </w:r>
      <w:r w:rsidR="00474AC4">
        <w:rPr>
          <w:sz w:val="20"/>
        </w:rPr>
        <w:t>-</w:t>
      </w:r>
      <w:r w:rsidRPr="00433622">
        <w:rPr>
          <w:sz w:val="20"/>
        </w:rPr>
        <w:t>wave</w:t>
      </w:r>
      <w:r w:rsidR="00474AC4">
        <w:rPr>
          <w:sz w:val="20"/>
        </w:rPr>
        <w:t>)</w:t>
      </w:r>
      <w:r w:rsidRPr="00433622">
        <w:rPr>
          <w:sz w:val="20"/>
        </w:rPr>
        <w:t xml:space="preserve"> spectrum holdings, with an associated trigger of 1</w:t>
      </w:r>
      <w:r w:rsidR="00474AC4">
        <w:rPr>
          <w:sz w:val="20"/>
        </w:rPr>
        <w:t>,</w:t>
      </w:r>
      <w:r w:rsidRPr="00433622">
        <w:rPr>
          <w:sz w:val="20"/>
        </w:rPr>
        <w:t xml:space="preserve">850 megahertz, as an initial analytical tool to aid in identifying certain markets for further review in proposed secondary market transactions.  </w:t>
      </w:r>
      <w:r w:rsidRPr="00433622">
        <w:rPr>
          <w:i/>
          <w:iCs/>
          <w:sz w:val="20"/>
        </w:rPr>
        <w:t>Use of Spectrum Bands Above 24 GHz for Mobile Radio Services</w:t>
      </w:r>
      <w:r w:rsidRPr="00433622">
        <w:rPr>
          <w:sz w:val="20"/>
        </w:rPr>
        <w:t xml:space="preserve"> </w:t>
      </w:r>
      <w:r w:rsidRPr="00433622">
        <w:rPr>
          <w:i/>
          <w:iCs/>
          <w:sz w:val="20"/>
        </w:rPr>
        <w:t>et al.</w:t>
      </w:r>
      <w:r w:rsidRPr="00433622">
        <w:rPr>
          <w:sz w:val="20"/>
        </w:rPr>
        <w:t xml:space="preserve">, GN Docket No. 14-177, Second Report and Order, Second Further Notice of Proposed Rulemaking, Order on Reconsideration, and Memorandum Opinion and Order, 32 FCC </w:t>
      </w:r>
      <w:r w:rsidRPr="00433622">
        <w:rPr>
          <w:sz w:val="20"/>
        </w:rPr>
        <w:t>Rcd</w:t>
      </w:r>
      <w:r w:rsidRPr="00433622">
        <w:rPr>
          <w:sz w:val="20"/>
        </w:rPr>
        <w:t xml:space="preserve"> 10988, 11011, para. 74 (2017); </w:t>
      </w:r>
      <w:r w:rsidRPr="00433622">
        <w:rPr>
          <w:i/>
          <w:iCs/>
          <w:sz w:val="20"/>
        </w:rPr>
        <w:t>see also Use of Mobile Spectrum Bands Above 24 GHz For Mobile Radio Services et al.</w:t>
      </w:r>
      <w:r w:rsidRPr="00433622">
        <w:rPr>
          <w:sz w:val="20"/>
        </w:rPr>
        <w:t xml:space="preserve">, GN Docket No. 14-177, Report and Order and Further Notice of Proposed Rulemaking, 31 FCC </w:t>
      </w:r>
      <w:r w:rsidRPr="00433622">
        <w:rPr>
          <w:sz w:val="20"/>
        </w:rPr>
        <w:t>Rcd</w:t>
      </w:r>
      <w:r w:rsidRPr="00433622">
        <w:rPr>
          <w:sz w:val="20"/>
        </w:rPr>
        <w:t xml:space="preserve"> 8014, 8083-84, paras. 188-189 (2016).  </w:t>
      </w:r>
    </w:p>
  </w:footnote>
  <w:footnote w:id="10">
    <w:p w:rsidR="00B2173B" w:rsidP="00E05F47" w14:paraId="3550F3A9" w14:textId="230D4071">
      <w:pPr>
        <w:spacing w:after="120"/>
      </w:pPr>
      <w:r w:rsidRPr="00E05F47">
        <w:rPr>
          <w:rStyle w:val="FootnoteReference"/>
          <w:sz w:val="20"/>
        </w:rPr>
        <w:footnoteRef/>
      </w:r>
      <w:r>
        <w:t xml:space="preserve"> </w:t>
      </w:r>
      <w:r w:rsidRPr="00433622">
        <w:rPr>
          <w:spacing w:val="-1"/>
          <w:sz w:val="20"/>
        </w:rPr>
        <w:t>47</w:t>
      </w:r>
      <w:r w:rsidRPr="00433622">
        <w:rPr>
          <w:spacing w:val="1"/>
          <w:sz w:val="20"/>
        </w:rPr>
        <w:t xml:space="preserve"> </w:t>
      </w:r>
      <w:r w:rsidRPr="00433622">
        <w:rPr>
          <w:spacing w:val="-1"/>
          <w:sz w:val="20"/>
        </w:rPr>
        <w:t xml:space="preserve">CFR </w:t>
      </w:r>
      <w:r w:rsidRPr="00433622">
        <w:rPr>
          <w:sz w:val="20"/>
        </w:rPr>
        <w:t>§</w:t>
      </w:r>
      <w:r w:rsidRPr="00433622">
        <w:rPr>
          <w:spacing w:val="-2"/>
          <w:sz w:val="20"/>
        </w:rPr>
        <w:t xml:space="preserve"> </w:t>
      </w:r>
      <w:r w:rsidRPr="00433622">
        <w:rPr>
          <w:spacing w:val="-1"/>
          <w:sz w:val="20"/>
        </w:rPr>
        <w:t>1.1200(a).</w:t>
      </w:r>
    </w:p>
  </w:footnote>
  <w:footnote w:id="11">
    <w:p w:rsidR="00B2173B" w:rsidP="00E05F47" w14:paraId="6E967C65" w14:textId="459217A0">
      <w:pPr>
        <w:spacing w:after="120"/>
      </w:pPr>
      <w:r w:rsidRPr="00E05F47">
        <w:rPr>
          <w:rStyle w:val="FootnoteReference"/>
          <w:sz w:val="20"/>
        </w:rPr>
        <w:footnoteRef/>
      </w:r>
      <w:r>
        <w:t xml:space="preserve"> </w:t>
      </w:r>
      <w:r w:rsidRPr="00E05F47">
        <w:rPr>
          <w:sz w:val="20"/>
        </w:rPr>
        <w:t>47 CFR § 1.1206.</w:t>
      </w:r>
      <w:r>
        <w:t xml:space="preserve"> </w:t>
      </w:r>
    </w:p>
  </w:footnote>
  <w:footnote w:id="12">
    <w:p w:rsidR="00B2173B" w:rsidP="00E05F47" w14:paraId="6E0E3E39" w14:textId="201CD30C">
      <w:pPr>
        <w:spacing w:after="120"/>
      </w:pPr>
      <w:r w:rsidRPr="00E05F47">
        <w:rPr>
          <w:rStyle w:val="FootnoteReference"/>
          <w:sz w:val="20"/>
        </w:rPr>
        <w:footnoteRef/>
      </w:r>
      <w:r>
        <w:t xml:space="preserve"> </w:t>
      </w:r>
      <w:r w:rsidRPr="00E05F47">
        <w:rPr>
          <w:sz w:val="20"/>
        </w:rPr>
        <w:t>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173B" w:rsidRPr="009838BC" w:rsidP="009838BC" w14:paraId="64A5FDA8" w14:textId="4D08BA55">
    <w:pPr>
      <w:tabs>
        <w:tab w:val="center" w:pos="4680"/>
        <w:tab w:val="right" w:pos="9360"/>
      </w:tabs>
    </w:pPr>
    <w:r w:rsidRPr="009838BC">
      <w:rPr>
        <w:b/>
      </w:rPr>
      <w:tab/>
      <w:t>Federal Communications Commission</w:t>
    </w:r>
    <w:r w:rsidRPr="009838BC">
      <w:rPr>
        <w:b/>
      </w:rPr>
      <w:tab/>
    </w:r>
    <w:r>
      <w:rPr>
        <w:b/>
      </w:rPr>
      <w:t>DA 20</w:t>
    </w:r>
    <w:r w:rsidRPr="00555ABD">
      <w:rPr>
        <w:bCs/>
      </w:rPr>
      <w:t>-</w:t>
    </w:r>
    <w:r w:rsidRPr="00555ABD" w:rsidR="00555ABD">
      <w:rPr>
        <w:b/>
      </w:rPr>
      <w:t>1384</w:t>
    </w:r>
  </w:p>
  <w:p w:rsidR="00B2173B" w:rsidRPr="009838BC" w:rsidP="009838BC" w14:paraId="4F010034" w14:textId="408379CA">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B2173B" w:rsidRPr="009838BC" w:rsidP="009838BC" w14:paraId="7471B37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173B" w:rsidRPr="00A866AC" w:rsidP="009838BC" w14:paraId="43580444" w14:textId="130F61FA">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2173B" w:rsidP="009838BC" w14:textId="77777777">
                          <w:pPr>
                            <w:rPr>
                              <w:rFonts w:ascii="Arial" w:hAnsi="Arial"/>
                              <w:b/>
                            </w:rPr>
                          </w:pPr>
                          <w:r>
                            <w:rPr>
                              <w:rFonts w:ascii="Arial" w:hAnsi="Arial"/>
                              <w:b/>
                            </w:rPr>
                            <w:t>Federal Communications Commission</w:t>
                          </w:r>
                        </w:p>
                        <w:p w:rsidR="00B2173B" w:rsidP="009838BC" w14:textId="136BF954">
                          <w:pPr>
                            <w:rPr>
                              <w:rFonts w:ascii="Arial" w:hAnsi="Arial"/>
                              <w:sz w:val="24"/>
                            </w:rPr>
                          </w:pPr>
                          <w:r w:rsidRPr="00E05F47">
                            <w:rPr>
                              <w:rFonts w:ascii="Arial" w:hAnsi="Arial" w:cs="Arial"/>
                              <w:b/>
                              <w:bCs/>
                              <w:snapToGrid/>
                              <w:kern w:val="0"/>
                              <w:szCs w:val="22"/>
                            </w:rPr>
                            <w:t>45 L Street NE</w:t>
                          </w:r>
                          <w:r w:rsidRPr="009E1092">
                            <w:rPr>
                              <w:snapToGrid/>
                              <w:kern w:val="0"/>
                              <w:szCs w:val="22"/>
                            </w:rPr>
                            <w:t xml:space="preserve"> </w:t>
                          </w: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B2173B" w:rsidP="009838BC" w14:paraId="3321276B" w14:textId="77777777">
                    <w:pPr>
                      <w:rPr>
                        <w:rFonts w:ascii="Arial" w:hAnsi="Arial"/>
                        <w:b/>
                      </w:rPr>
                    </w:pPr>
                    <w:r>
                      <w:rPr>
                        <w:rFonts w:ascii="Arial" w:hAnsi="Arial"/>
                        <w:b/>
                      </w:rPr>
                      <w:t>Federal Communications Commission</w:t>
                    </w:r>
                  </w:p>
                  <w:p w:rsidR="00B2173B" w:rsidP="009838BC" w14:paraId="71F9FF58" w14:textId="136BF954">
                    <w:pPr>
                      <w:rPr>
                        <w:rFonts w:ascii="Arial" w:hAnsi="Arial"/>
                        <w:sz w:val="24"/>
                      </w:rPr>
                    </w:pPr>
                    <w:r w:rsidRPr="00E05F47">
                      <w:rPr>
                        <w:rFonts w:ascii="Arial" w:hAnsi="Arial" w:cs="Arial"/>
                        <w:b/>
                        <w:bCs/>
                        <w:snapToGrid/>
                        <w:kern w:val="0"/>
                        <w:szCs w:val="22"/>
                      </w:rPr>
                      <w:t>45 L Street NE</w:t>
                    </w:r>
                    <w:r w:rsidRPr="009E1092">
                      <w:rPr>
                        <w:snapToGrid/>
                        <w:kern w:val="0"/>
                        <w:szCs w:val="22"/>
                      </w:rPr>
                      <w:t xml:space="preserve"> </w:t>
                    </w: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49749"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B2173B" w:rsidRPr="00357D50" w:rsidP="009838BC" w14:paraId="22A87674" w14:textId="771BB918">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2173B" w:rsidP="009838BC" w14:textId="77777777">
                          <w:pPr>
                            <w:spacing w:before="40"/>
                            <w:jc w:val="right"/>
                            <w:rPr>
                              <w:rFonts w:ascii="Arial" w:hAnsi="Arial"/>
                              <w:b/>
                              <w:sz w:val="16"/>
                            </w:rPr>
                          </w:pPr>
                          <w:r>
                            <w:rPr>
                              <w:rFonts w:ascii="Arial" w:hAnsi="Arial"/>
                              <w:b/>
                              <w:sz w:val="16"/>
                            </w:rPr>
                            <w:t>News Media Information 202 / 418-0500</w:t>
                          </w:r>
                        </w:p>
                        <w:p w:rsidR="00B2173B" w:rsidP="009838B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B2173B"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B2173B" w:rsidP="009838BC" w14:paraId="244EE73C" w14:textId="77777777">
                    <w:pPr>
                      <w:spacing w:before="40"/>
                      <w:jc w:val="right"/>
                      <w:rPr>
                        <w:rFonts w:ascii="Arial" w:hAnsi="Arial"/>
                        <w:b/>
                        <w:sz w:val="16"/>
                      </w:rPr>
                    </w:pPr>
                    <w:r>
                      <w:rPr>
                        <w:rFonts w:ascii="Arial" w:hAnsi="Arial"/>
                        <w:b/>
                        <w:sz w:val="16"/>
                      </w:rPr>
                      <w:t>News Media Information 202 / 418-0500</w:t>
                    </w:r>
                  </w:p>
                  <w:p w:rsidR="00B2173B" w:rsidP="009838BC" w14:paraId="0209BD52"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B2173B" w:rsidP="009838BC" w14:paraId="4AB0A212" w14:textId="77777777">
                    <w:pPr>
                      <w:jc w:val="right"/>
                    </w:pPr>
                    <w:r>
                      <w:rPr>
                        <w:rFonts w:ascii="Arial" w:hAnsi="Arial"/>
                        <w:b/>
                        <w:sz w:val="16"/>
                      </w:rPr>
                      <w:t>TTY: 1-888-835-5322</w:t>
                    </w:r>
                  </w:p>
                </w:txbxContent>
              </v:textbox>
            </v:shape>
          </w:pict>
        </mc:Fallback>
      </mc:AlternateContent>
    </w:r>
  </w:p>
  <w:p w:rsidR="00B2173B" w:rsidRPr="009838BC" w:rsidP="009838BC" w14:paraId="33D4FA2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E2143F"/>
    <w:multiLevelType w:val="hybridMultilevel"/>
    <w:tmpl w:val="C2802764"/>
    <w:lvl w:ilvl="0">
      <w:start w:val="1"/>
      <w:numFmt w:val="upperRoman"/>
      <w:lvlText w:val="%1."/>
      <w:lvlJc w:val="left"/>
      <w:pPr>
        <w:ind w:left="720" w:hanging="720"/>
      </w:pPr>
      <w:rPr>
        <w:rFonts w:hint="default"/>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133750F"/>
    <w:multiLevelType w:val="hybridMultilevel"/>
    <w:tmpl w:val="2744B4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C593541"/>
    <w:multiLevelType w:val="hybridMultilevel"/>
    <w:tmpl w:val="34B426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3F40A0F"/>
    <w:multiLevelType w:val="multilevel"/>
    <w:tmpl w:val="3244DD0A"/>
    <w:lvl w:ilvl="0">
      <w:start w:val="1"/>
      <w:numFmt w:val="bullet"/>
      <w:pStyle w:val="Bullet"/>
      <w:lvlText w:val=""/>
      <w:lvlJc w:val="left"/>
      <w:pPr>
        <w:tabs>
          <w:tab w:val="num" w:pos="360"/>
        </w:tabs>
        <w:ind w:left="3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4BD2479"/>
    <w:multiLevelType w:val="hybridMultilevel"/>
    <w:tmpl w:val="5BC02C0A"/>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43D90D86"/>
    <w:multiLevelType w:val="hybridMultilevel"/>
    <w:tmpl w:val="081ECE0C"/>
    <w:lvl w:ilvl="0">
      <w:start w:val="1"/>
      <w:numFmt w:val="upperRoman"/>
      <w:lvlText w:val="%1."/>
      <w:lvlJc w:val="left"/>
      <w:pPr>
        <w:ind w:left="1440" w:hanging="720"/>
        <w:jc w:val="right"/>
      </w:pPr>
      <w:rPr>
        <w:rFonts w:ascii="Times New Roman" w:eastAsia="Times New Roman" w:hAnsi="Times New Roman" w:hint="default"/>
        <w:b/>
        <w:bCs/>
        <w:spacing w:val="-1"/>
        <w:w w:val="99"/>
        <w:sz w:val="22"/>
        <w:szCs w:val="22"/>
      </w:rPr>
    </w:lvl>
    <w:lvl w:ilvl="1">
      <w:start w:val="1"/>
      <w:numFmt w:val="bullet"/>
      <w:lvlText w:val=""/>
      <w:lvlJc w:val="left"/>
      <w:pPr>
        <w:ind w:left="840" w:hanging="360"/>
      </w:pPr>
      <w:rPr>
        <w:rFonts w:ascii="Symbol" w:eastAsia="Symbol" w:hAnsi="Symbol" w:hint="default"/>
        <w:w w:val="99"/>
        <w:sz w:val="22"/>
        <w:szCs w:val="22"/>
      </w:rPr>
    </w:lvl>
    <w:lvl w:ilvl="2">
      <w:start w:val="1"/>
      <w:numFmt w:val="bullet"/>
      <w:lvlText w:val="•"/>
      <w:lvlJc w:val="left"/>
      <w:pPr>
        <w:ind w:left="2735" w:hanging="360"/>
      </w:pPr>
      <w:rPr>
        <w:rFonts w:hint="default"/>
      </w:rPr>
    </w:lvl>
    <w:lvl w:ilvl="3">
      <w:start w:val="1"/>
      <w:numFmt w:val="bullet"/>
      <w:lvlText w:val="•"/>
      <w:lvlJc w:val="left"/>
      <w:pPr>
        <w:ind w:left="3590" w:hanging="360"/>
      </w:pPr>
      <w:rPr>
        <w:rFonts w:hint="default"/>
      </w:rPr>
    </w:lvl>
    <w:lvl w:ilvl="4">
      <w:start w:val="1"/>
      <w:numFmt w:val="bullet"/>
      <w:lvlText w:val="•"/>
      <w:lvlJc w:val="left"/>
      <w:pPr>
        <w:ind w:left="4446" w:hanging="360"/>
      </w:pPr>
      <w:rPr>
        <w:rFonts w:hint="default"/>
      </w:rPr>
    </w:lvl>
    <w:lvl w:ilvl="5">
      <w:start w:val="1"/>
      <w:numFmt w:val="bullet"/>
      <w:lvlText w:val="•"/>
      <w:lvlJc w:val="left"/>
      <w:pPr>
        <w:ind w:left="5302" w:hanging="360"/>
      </w:pPr>
      <w:rPr>
        <w:rFonts w:hint="default"/>
      </w:rPr>
    </w:lvl>
    <w:lvl w:ilvl="6">
      <w:start w:val="1"/>
      <w:numFmt w:val="bullet"/>
      <w:lvlText w:val="•"/>
      <w:lvlJc w:val="left"/>
      <w:pPr>
        <w:ind w:left="6157" w:hanging="360"/>
      </w:pPr>
      <w:rPr>
        <w:rFonts w:hint="default"/>
      </w:rPr>
    </w:lvl>
    <w:lvl w:ilvl="7">
      <w:start w:val="1"/>
      <w:numFmt w:val="bullet"/>
      <w:lvlText w:val="•"/>
      <w:lvlJc w:val="left"/>
      <w:pPr>
        <w:ind w:left="7013" w:hanging="360"/>
      </w:pPr>
      <w:rPr>
        <w:rFonts w:hint="default"/>
      </w:rPr>
    </w:lvl>
    <w:lvl w:ilvl="8">
      <w:start w:val="1"/>
      <w:numFmt w:val="bullet"/>
      <w:lvlText w:val="•"/>
      <w:lvlJc w:val="left"/>
      <w:pPr>
        <w:ind w:left="7868" w:hanging="360"/>
      </w:pPr>
      <w:rPr>
        <w:rFonts w:hint="default"/>
      </w:rPr>
    </w:lvl>
  </w:abstractNum>
  <w:abstractNum w:abstractNumId="9">
    <w:nsid w:val="4DF61CE4"/>
    <w:multiLevelType w:val="hybrid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74369D1"/>
    <w:multiLevelType w:val="hybridMultilevel"/>
    <w:tmpl w:val="788E768E"/>
    <w:lvl w:ilvl="0">
      <w:start w:val="4"/>
      <w:numFmt w:val="upperRoman"/>
      <w:lvlText w:val="%1&gt;"/>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1182925"/>
    <w:multiLevelType w:val="hybridMultilevel"/>
    <w:tmpl w:val="D180CED0"/>
    <w:lvl w:ilvl="0">
      <w:start w:val="1"/>
      <w:numFmt w:val="decimal"/>
      <w:pStyle w:val="ParaNum"/>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4"/>
  </w:num>
  <w:num w:numId="2">
    <w:abstractNumId w:val="11"/>
  </w:num>
  <w:num w:numId="3">
    <w:abstractNumId w:val="7"/>
  </w:num>
  <w:num w:numId="4">
    <w:abstractNumId w:val="9"/>
  </w:num>
  <w:num w:numId="5">
    <w:abstractNumId w:val="5"/>
  </w:num>
  <w:num w:numId="6">
    <w:abstractNumId w:val="0"/>
  </w:num>
  <w:num w:numId="7">
    <w:abstractNumId w:val="1"/>
  </w:num>
  <w:num w:numId="8">
    <w:abstractNumId w:val="8"/>
  </w:num>
  <w:num w:numId="9">
    <w:abstractNumId w:val="10"/>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B55"/>
    <w:rsid w:val="00002960"/>
    <w:rsid w:val="000030BF"/>
    <w:rsid w:val="00004086"/>
    <w:rsid w:val="000072CE"/>
    <w:rsid w:val="000073EE"/>
    <w:rsid w:val="00007946"/>
    <w:rsid w:val="00011695"/>
    <w:rsid w:val="000117FD"/>
    <w:rsid w:val="00013A8B"/>
    <w:rsid w:val="00014512"/>
    <w:rsid w:val="00015451"/>
    <w:rsid w:val="00015C82"/>
    <w:rsid w:val="00015E7F"/>
    <w:rsid w:val="0002116B"/>
    <w:rsid w:val="00021445"/>
    <w:rsid w:val="00022C9E"/>
    <w:rsid w:val="00031631"/>
    <w:rsid w:val="00036039"/>
    <w:rsid w:val="00037F90"/>
    <w:rsid w:val="00041535"/>
    <w:rsid w:val="000429FA"/>
    <w:rsid w:val="000444B8"/>
    <w:rsid w:val="00051082"/>
    <w:rsid w:val="000520D3"/>
    <w:rsid w:val="0005345C"/>
    <w:rsid w:val="00053F00"/>
    <w:rsid w:val="0005480C"/>
    <w:rsid w:val="0005622A"/>
    <w:rsid w:val="00057BB9"/>
    <w:rsid w:val="00061B78"/>
    <w:rsid w:val="000627C0"/>
    <w:rsid w:val="00064EDE"/>
    <w:rsid w:val="00065243"/>
    <w:rsid w:val="00066A3F"/>
    <w:rsid w:val="00067FE9"/>
    <w:rsid w:val="00070AE6"/>
    <w:rsid w:val="00071A99"/>
    <w:rsid w:val="00074438"/>
    <w:rsid w:val="00083928"/>
    <w:rsid w:val="000845B5"/>
    <w:rsid w:val="00085986"/>
    <w:rsid w:val="000875BF"/>
    <w:rsid w:val="000917EA"/>
    <w:rsid w:val="00092A4C"/>
    <w:rsid w:val="000953AD"/>
    <w:rsid w:val="00095BAE"/>
    <w:rsid w:val="000962EE"/>
    <w:rsid w:val="00096D8C"/>
    <w:rsid w:val="000A21EC"/>
    <w:rsid w:val="000A35E1"/>
    <w:rsid w:val="000A418E"/>
    <w:rsid w:val="000A484E"/>
    <w:rsid w:val="000B2DF3"/>
    <w:rsid w:val="000B4A18"/>
    <w:rsid w:val="000B6C80"/>
    <w:rsid w:val="000B7DA7"/>
    <w:rsid w:val="000B7FF8"/>
    <w:rsid w:val="000C0B65"/>
    <w:rsid w:val="000C38C5"/>
    <w:rsid w:val="000C4B2A"/>
    <w:rsid w:val="000D2903"/>
    <w:rsid w:val="000D2BA4"/>
    <w:rsid w:val="000D2E00"/>
    <w:rsid w:val="000D2F2E"/>
    <w:rsid w:val="000D691C"/>
    <w:rsid w:val="000D7204"/>
    <w:rsid w:val="000E16BC"/>
    <w:rsid w:val="000E208C"/>
    <w:rsid w:val="000E3D42"/>
    <w:rsid w:val="000E5884"/>
    <w:rsid w:val="000E5C04"/>
    <w:rsid w:val="000E6873"/>
    <w:rsid w:val="000E7B55"/>
    <w:rsid w:val="000F08A6"/>
    <w:rsid w:val="000F51FD"/>
    <w:rsid w:val="000F6D83"/>
    <w:rsid w:val="000F7036"/>
    <w:rsid w:val="000F7E64"/>
    <w:rsid w:val="00100CA5"/>
    <w:rsid w:val="00105E4D"/>
    <w:rsid w:val="001121E1"/>
    <w:rsid w:val="00112D31"/>
    <w:rsid w:val="00113272"/>
    <w:rsid w:val="00114272"/>
    <w:rsid w:val="00117A8D"/>
    <w:rsid w:val="001200D7"/>
    <w:rsid w:val="001206FD"/>
    <w:rsid w:val="001212B2"/>
    <w:rsid w:val="001222F0"/>
    <w:rsid w:val="00122BD5"/>
    <w:rsid w:val="00127957"/>
    <w:rsid w:val="00127F0B"/>
    <w:rsid w:val="00130CBD"/>
    <w:rsid w:val="00130D65"/>
    <w:rsid w:val="00134430"/>
    <w:rsid w:val="00140594"/>
    <w:rsid w:val="00140B36"/>
    <w:rsid w:val="00141232"/>
    <w:rsid w:val="00143052"/>
    <w:rsid w:val="00146E77"/>
    <w:rsid w:val="00150575"/>
    <w:rsid w:val="001515E2"/>
    <w:rsid w:val="00152788"/>
    <w:rsid w:val="00154D63"/>
    <w:rsid w:val="0015641B"/>
    <w:rsid w:val="00157984"/>
    <w:rsid w:val="00164C30"/>
    <w:rsid w:val="0017019B"/>
    <w:rsid w:val="00171C48"/>
    <w:rsid w:val="00174595"/>
    <w:rsid w:val="00176D46"/>
    <w:rsid w:val="001812AA"/>
    <w:rsid w:val="00181A6F"/>
    <w:rsid w:val="00182A5A"/>
    <w:rsid w:val="00183811"/>
    <w:rsid w:val="0019413F"/>
    <w:rsid w:val="00194847"/>
    <w:rsid w:val="001966C4"/>
    <w:rsid w:val="001977BA"/>
    <w:rsid w:val="001979D9"/>
    <w:rsid w:val="001A1B9B"/>
    <w:rsid w:val="001A25E4"/>
    <w:rsid w:val="001A311E"/>
    <w:rsid w:val="001A3BB7"/>
    <w:rsid w:val="001B03C8"/>
    <w:rsid w:val="001B057E"/>
    <w:rsid w:val="001B5D79"/>
    <w:rsid w:val="001B6E0A"/>
    <w:rsid w:val="001C047A"/>
    <w:rsid w:val="001C1A6F"/>
    <w:rsid w:val="001C1EF0"/>
    <w:rsid w:val="001C270C"/>
    <w:rsid w:val="001C38FE"/>
    <w:rsid w:val="001C45D8"/>
    <w:rsid w:val="001D198E"/>
    <w:rsid w:val="001D5A56"/>
    <w:rsid w:val="001D6870"/>
    <w:rsid w:val="001D6BCF"/>
    <w:rsid w:val="001D6F19"/>
    <w:rsid w:val="001E01CA"/>
    <w:rsid w:val="001E0F03"/>
    <w:rsid w:val="001E2057"/>
    <w:rsid w:val="001E3B0B"/>
    <w:rsid w:val="001E3F0A"/>
    <w:rsid w:val="001E5797"/>
    <w:rsid w:val="001F0D25"/>
    <w:rsid w:val="001F2C9F"/>
    <w:rsid w:val="001F56D1"/>
    <w:rsid w:val="001F6CC6"/>
    <w:rsid w:val="00202A7B"/>
    <w:rsid w:val="0020338D"/>
    <w:rsid w:val="00203941"/>
    <w:rsid w:val="00204FE5"/>
    <w:rsid w:val="002060D9"/>
    <w:rsid w:val="00210203"/>
    <w:rsid w:val="0021134E"/>
    <w:rsid w:val="0021185C"/>
    <w:rsid w:val="00212BDA"/>
    <w:rsid w:val="002161F9"/>
    <w:rsid w:val="002208AE"/>
    <w:rsid w:val="00221043"/>
    <w:rsid w:val="0022136C"/>
    <w:rsid w:val="00221F54"/>
    <w:rsid w:val="00222D9E"/>
    <w:rsid w:val="00226822"/>
    <w:rsid w:val="00226ED9"/>
    <w:rsid w:val="002276EE"/>
    <w:rsid w:val="00231CA5"/>
    <w:rsid w:val="00233320"/>
    <w:rsid w:val="00236C91"/>
    <w:rsid w:val="002419D6"/>
    <w:rsid w:val="002420C1"/>
    <w:rsid w:val="00250D66"/>
    <w:rsid w:val="00255661"/>
    <w:rsid w:val="0025771A"/>
    <w:rsid w:val="00260594"/>
    <w:rsid w:val="00260A29"/>
    <w:rsid w:val="0026286A"/>
    <w:rsid w:val="00262FEA"/>
    <w:rsid w:val="00263138"/>
    <w:rsid w:val="002663C8"/>
    <w:rsid w:val="0027099A"/>
    <w:rsid w:val="002723ED"/>
    <w:rsid w:val="00273E8C"/>
    <w:rsid w:val="00274382"/>
    <w:rsid w:val="00274D51"/>
    <w:rsid w:val="00276563"/>
    <w:rsid w:val="00276E39"/>
    <w:rsid w:val="00280176"/>
    <w:rsid w:val="0028028D"/>
    <w:rsid w:val="00280C84"/>
    <w:rsid w:val="00282FDE"/>
    <w:rsid w:val="00283886"/>
    <w:rsid w:val="0028400C"/>
    <w:rsid w:val="00285017"/>
    <w:rsid w:val="00290203"/>
    <w:rsid w:val="00295081"/>
    <w:rsid w:val="002978A4"/>
    <w:rsid w:val="002A0F33"/>
    <w:rsid w:val="002A2D2E"/>
    <w:rsid w:val="002A7C58"/>
    <w:rsid w:val="002A7C67"/>
    <w:rsid w:val="002B05BD"/>
    <w:rsid w:val="002B15D3"/>
    <w:rsid w:val="002B3873"/>
    <w:rsid w:val="002B6EFA"/>
    <w:rsid w:val="002C121C"/>
    <w:rsid w:val="002C2107"/>
    <w:rsid w:val="002C2396"/>
    <w:rsid w:val="002C310E"/>
    <w:rsid w:val="002C557E"/>
    <w:rsid w:val="002C7353"/>
    <w:rsid w:val="002C7851"/>
    <w:rsid w:val="002C79CA"/>
    <w:rsid w:val="002D0514"/>
    <w:rsid w:val="002D516E"/>
    <w:rsid w:val="002D6524"/>
    <w:rsid w:val="002D7CFC"/>
    <w:rsid w:val="002E16A8"/>
    <w:rsid w:val="002E19C5"/>
    <w:rsid w:val="002E22FF"/>
    <w:rsid w:val="002E324D"/>
    <w:rsid w:val="002E3DCD"/>
    <w:rsid w:val="002E66C8"/>
    <w:rsid w:val="002E7845"/>
    <w:rsid w:val="002F0433"/>
    <w:rsid w:val="002F15E1"/>
    <w:rsid w:val="002F2840"/>
    <w:rsid w:val="002F577C"/>
    <w:rsid w:val="002F7B93"/>
    <w:rsid w:val="0030223A"/>
    <w:rsid w:val="00306E99"/>
    <w:rsid w:val="00307664"/>
    <w:rsid w:val="00310B74"/>
    <w:rsid w:val="00313B37"/>
    <w:rsid w:val="003176DB"/>
    <w:rsid w:val="00317CA0"/>
    <w:rsid w:val="0032401D"/>
    <w:rsid w:val="00324D35"/>
    <w:rsid w:val="00326641"/>
    <w:rsid w:val="003300CD"/>
    <w:rsid w:val="00330744"/>
    <w:rsid w:val="00331911"/>
    <w:rsid w:val="00333FC8"/>
    <w:rsid w:val="00335150"/>
    <w:rsid w:val="003359CF"/>
    <w:rsid w:val="00340951"/>
    <w:rsid w:val="003427AF"/>
    <w:rsid w:val="00342D85"/>
    <w:rsid w:val="00343749"/>
    <w:rsid w:val="003438FA"/>
    <w:rsid w:val="00345303"/>
    <w:rsid w:val="00345E01"/>
    <w:rsid w:val="00346E93"/>
    <w:rsid w:val="0034714F"/>
    <w:rsid w:val="003476DD"/>
    <w:rsid w:val="003508F1"/>
    <w:rsid w:val="0035121E"/>
    <w:rsid w:val="0035433A"/>
    <w:rsid w:val="00355B27"/>
    <w:rsid w:val="00357D50"/>
    <w:rsid w:val="00361E38"/>
    <w:rsid w:val="00363037"/>
    <w:rsid w:val="00365885"/>
    <w:rsid w:val="003668BD"/>
    <w:rsid w:val="003669B7"/>
    <w:rsid w:val="003709D6"/>
    <w:rsid w:val="00371A75"/>
    <w:rsid w:val="00374ED1"/>
    <w:rsid w:val="00375CCF"/>
    <w:rsid w:val="003762E7"/>
    <w:rsid w:val="00376DA4"/>
    <w:rsid w:val="00381FEE"/>
    <w:rsid w:val="00387679"/>
    <w:rsid w:val="00390835"/>
    <w:rsid w:val="0039237A"/>
    <w:rsid w:val="003925DC"/>
    <w:rsid w:val="00394937"/>
    <w:rsid w:val="0039560B"/>
    <w:rsid w:val="003A3366"/>
    <w:rsid w:val="003A38FD"/>
    <w:rsid w:val="003B0550"/>
    <w:rsid w:val="003B3A0C"/>
    <w:rsid w:val="003B4670"/>
    <w:rsid w:val="003B622F"/>
    <w:rsid w:val="003B694F"/>
    <w:rsid w:val="003C01E2"/>
    <w:rsid w:val="003C0C57"/>
    <w:rsid w:val="003C19B0"/>
    <w:rsid w:val="003C246E"/>
    <w:rsid w:val="003C2690"/>
    <w:rsid w:val="003C5B1E"/>
    <w:rsid w:val="003C7E9B"/>
    <w:rsid w:val="003D076C"/>
    <w:rsid w:val="003D10A8"/>
    <w:rsid w:val="003D1E2E"/>
    <w:rsid w:val="003D45A8"/>
    <w:rsid w:val="003D57C9"/>
    <w:rsid w:val="003D58DD"/>
    <w:rsid w:val="003D72F6"/>
    <w:rsid w:val="003D7D9B"/>
    <w:rsid w:val="003E02BD"/>
    <w:rsid w:val="003E0582"/>
    <w:rsid w:val="003E51B3"/>
    <w:rsid w:val="003E7562"/>
    <w:rsid w:val="003E7E8D"/>
    <w:rsid w:val="003E7F3A"/>
    <w:rsid w:val="003F0780"/>
    <w:rsid w:val="003F171C"/>
    <w:rsid w:val="003F1BBE"/>
    <w:rsid w:val="003F22F0"/>
    <w:rsid w:val="003F4551"/>
    <w:rsid w:val="003F5B9A"/>
    <w:rsid w:val="00400626"/>
    <w:rsid w:val="00400849"/>
    <w:rsid w:val="00400FA3"/>
    <w:rsid w:val="0040314C"/>
    <w:rsid w:val="00406493"/>
    <w:rsid w:val="004071F1"/>
    <w:rsid w:val="00407DA8"/>
    <w:rsid w:val="004125D9"/>
    <w:rsid w:val="00412F64"/>
    <w:rsid w:val="00412FC5"/>
    <w:rsid w:val="0041366C"/>
    <w:rsid w:val="0042037D"/>
    <w:rsid w:val="00421AA1"/>
    <w:rsid w:val="00422111"/>
    <w:rsid w:val="00422276"/>
    <w:rsid w:val="00422393"/>
    <w:rsid w:val="004242C2"/>
    <w:rsid w:val="004242F1"/>
    <w:rsid w:val="00424C71"/>
    <w:rsid w:val="00426C11"/>
    <w:rsid w:val="00426EAF"/>
    <w:rsid w:val="00426F0F"/>
    <w:rsid w:val="00427FAE"/>
    <w:rsid w:val="00430753"/>
    <w:rsid w:val="004310A0"/>
    <w:rsid w:val="00431D81"/>
    <w:rsid w:val="00431E78"/>
    <w:rsid w:val="00432ECD"/>
    <w:rsid w:val="00433492"/>
    <w:rsid w:val="00433622"/>
    <w:rsid w:val="00441CAB"/>
    <w:rsid w:val="00441F9C"/>
    <w:rsid w:val="004424B7"/>
    <w:rsid w:val="00445463"/>
    <w:rsid w:val="00445A00"/>
    <w:rsid w:val="00447683"/>
    <w:rsid w:val="00451B0F"/>
    <w:rsid w:val="004524A6"/>
    <w:rsid w:val="00454204"/>
    <w:rsid w:val="004549D7"/>
    <w:rsid w:val="0045537E"/>
    <w:rsid w:val="0045548D"/>
    <w:rsid w:val="00455A20"/>
    <w:rsid w:val="00455A38"/>
    <w:rsid w:val="00460728"/>
    <w:rsid w:val="0046125F"/>
    <w:rsid w:val="004640AA"/>
    <w:rsid w:val="00466BB7"/>
    <w:rsid w:val="004710F3"/>
    <w:rsid w:val="00474AC4"/>
    <w:rsid w:val="00475B7F"/>
    <w:rsid w:val="0048001F"/>
    <w:rsid w:val="0048266C"/>
    <w:rsid w:val="004865F0"/>
    <w:rsid w:val="00487524"/>
    <w:rsid w:val="00487995"/>
    <w:rsid w:val="0049304D"/>
    <w:rsid w:val="00496106"/>
    <w:rsid w:val="004961B1"/>
    <w:rsid w:val="00496312"/>
    <w:rsid w:val="004A0ECD"/>
    <w:rsid w:val="004A39EF"/>
    <w:rsid w:val="004A42DD"/>
    <w:rsid w:val="004A4914"/>
    <w:rsid w:val="004A5356"/>
    <w:rsid w:val="004A6319"/>
    <w:rsid w:val="004B107C"/>
    <w:rsid w:val="004B1F0B"/>
    <w:rsid w:val="004B3C35"/>
    <w:rsid w:val="004B43EF"/>
    <w:rsid w:val="004B729C"/>
    <w:rsid w:val="004C12D0"/>
    <w:rsid w:val="004C18F5"/>
    <w:rsid w:val="004C2647"/>
    <w:rsid w:val="004C2AEF"/>
    <w:rsid w:val="004C2EE3"/>
    <w:rsid w:val="004C5F74"/>
    <w:rsid w:val="004C65AB"/>
    <w:rsid w:val="004C68E1"/>
    <w:rsid w:val="004C6ECA"/>
    <w:rsid w:val="004C7AA5"/>
    <w:rsid w:val="004D012C"/>
    <w:rsid w:val="004D7A8C"/>
    <w:rsid w:val="004E32D2"/>
    <w:rsid w:val="004E3E55"/>
    <w:rsid w:val="004E421E"/>
    <w:rsid w:val="004E4A22"/>
    <w:rsid w:val="004F090F"/>
    <w:rsid w:val="004F0B41"/>
    <w:rsid w:val="004F1808"/>
    <w:rsid w:val="004F312C"/>
    <w:rsid w:val="004F4C9D"/>
    <w:rsid w:val="004F4E42"/>
    <w:rsid w:val="004F5881"/>
    <w:rsid w:val="0050198B"/>
    <w:rsid w:val="005036D6"/>
    <w:rsid w:val="00503C20"/>
    <w:rsid w:val="00503D66"/>
    <w:rsid w:val="005052AD"/>
    <w:rsid w:val="00506218"/>
    <w:rsid w:val="00511968"/>
    <w:rsid w:val="00521B2E"/>
    <w:rsid w:val="00522F38"/>
    <w:rsid w:val="00523F64"/>
    <w:rsid w:val="005250B4"/>
    <w:rsid w:val="00530EDD"/>
    <w:rsid w:val="00534BF4"/>
    <w:rsid w:val="00535EA8"/>
    <w:rsid w:val="00540D47"/>
    <w:rsid w:val="005435E6"/>
    <w:rsid w:val="0054360B"/>
    <w:rsid w:val="00545498"/>
    <w:rsid w:val="00546E77"/>
    <w:rsid w:val="005516EF"/>
    <w:rsid w:val="00552BF6"/>
    <w:rsid w:val="00553A99"/>
    <w:rsid w:val="00555604"/>
    <w:rsid w:val="005559D1"/>
    <w:rsid w:val="00555ABD"/>
    <w:rsid w:val="00555F45"/>
    <w:rsid w:val="0055614C"/>
    <w:rsid w:val="00556D74"/>
    <w:rsid w:val="00557EF0"/>
    <w:rsid w:val="005602EA"/>
    <w:rsid w:val="00560739"/>
    <w:rsid w:val="005640CE"/>
    <w:rsid w:val="00564714"/>
    <w:rsid w:val="00565B33"/>
    <w:rsid w:val="005669ED"/>
    <w:rsid w:val="005677BC"/>
    <w:rsid w:val="00567ADD"/>
    <w:rsid w:val="00570B22"/>
    <w:rsid w:val="0057145C"/>
    <w:rsid w:val="0057496C"/>
    <w:rsid w:val="0057598D"/>
    <w:rsid w:val="00581271"/>
    <w:rsid w:val="00583294"/>
    <w:rsid w:val="005836C4"/>
    <w:rsid w:val="00583B55"/>
    <w:rsid w:val="005840F1"/>
    <w:rsid w:val="00587B08"/>
    <w:rsid w:val="00592A93"/>
    <w:rsid w:val="00593531"/>
    <w:rsid w:val="00596185"/>
    <w:rsid w:val="00597903"/>
    <w:rsid w:val="005A6E83"/>
    <w:rsid w:val="005B44CE"/>
    <w:rsid w:val="005B4794"/>
    <w:rsid w:val="005B4FE7"/>
    <w:rsid w:val="005B5D09"/>
    <w:rsid w:val="005B6B06"/>
    <w:rsid w:val="005B775F"/>
    <w:rsid w:val="005C022D"/>
    <w:rsid w:val="005C149D"/>
    <w:rsid w:val="005C5C94"/>
    <w:rsid w:val="005C707B"/>
    <w:rsid w:val="005E2C1C"/>
    <w:rsid w:val="005E5A65"/>
    <w:rsid w:val="005F075B"/>
    <w:rsid w:val="005F1D90"/>
    <w:rsid w:val="005F258E"/>
    <w:rsid w:val="005F36E9"/>
    <w:rsid w:val="005F6AB0"/>
    <w:rsid w:val="005F72C2"/>
    <w:rsid w:val="0060076F"/>
    <w:rsid w:val="006017DD"/>
    <w:rsid w:val="00604863"/>
    <w:rsid w:val="00606376"/>
    <w:rsid w:val="00607BA5"/>
    <w:rsid w:val="0061688B"/>
    <w:rsid w:val="00617BDA"/>
    <w:rsid w:val="00622714"/>
    <w:rsid w:val="006243A4"/>
    <w:rsid w:val="00624435"/>
    <w:rsid w:val="0062595E"/>
    <w:rsid w:val="00626EB6"/>
    <w:rsid w:val="006275C8"/>
    <w:rsid w:val="00631333"/>
    <w:rsid w:val="00632112"/>
    <w:rsid w:val="00633378"/>
    <w:rsid w:val="00633C11"/>
    <w:rsid w:val="006353A3"/>
    <w:rsid w:val="006355D2"/>
    <w:rsid w:val="006365C4"/>
    <w:rsid w:val="00646285"/>
    <w:rsid w:val="00647451"/>
    <w:rsid w:val="00650D0F"/>
    <w:rsid w:val="00654469"/>
    <w:rsid w:val="00654A6F"/>
    <w:rsid w:val="006555CF"/>
    <w:rsid w:val="00655975"/>
    <w:rsid w:val="00655D03"/>
    <w:rsid w:val="00660ADB"/>
    <w:rsid w:val="00661119"/>
    <w:rsid w:val="006625BE"/>
    <w:rsid w:val="00672EE2"/>
    <w:rsid w:val="0068271B"/>
    <w:rsid w:val="00683F84"/>
    <w:rsid w:val="00684AC2"/>
    <w:rsid w:val="00685FEF"/>
    <w:rsid w:val="00686578"/>
    <w:rsid w:val="006865A1"/>
    <w:rsid w:val="00687ABD"/>
    <w:rsid w:val="006903A5"/>
    <w:rsid w:val="006942EE"/>
    <w:rsid w:val="00697780"/>
    <w:rsid w:val="006977B4"/>
    <w:rsid w:val="00697D4F"/>
    <w:rsid w:val="00697FE6"/>
    <w:rsid w:val="006A6A81"/>
    <w:rsid w:val="006A7AAF"/>
    <w:rsid w:val="006B1FD9"/>
    <w:rsid w:val="006B21B7"/>
    <w:rsid w:val="006B41D4"/>
    <w:rsid w:val="006B447D"/>
    <w:rsid w:val="006B4B3E"/>
    <w:rsid w:val="006B52E1"/>
    <w:rsid w:val="006B6B3A"/>
    <w:rsid w:val="006C1B1F"/>
    <w:rsid w:val="006C1FAA"/>
    <w:rsid w:val="006C3880"/>
    <w:rsid w:val="006C3CDA"/>
    <w:rsid w:val="006C5AA4"/>
    <w:rsid w:val="006C766D"/>
    <w:rsid w:val="006D1E9F"/>
    <w:rsid w:val="006D2A7E"/>
    <w:rsid w:val="006D4575"/>
    <w:rsid w:val="006D5897"/>
    <w:rsid w:val="006D61A1"/>
    <w:rsid w:val="006D7CA5"/>
    <w:rsid w:val="006E1D8B"/>
    <w:rsid w:val="006E2041"/>
    <w:rsid w:val="006E26AF"/>
    <w:rsid w:val="006E44C8"/>
    <w:rsid w:val="006E4BD1"/>
    <w:rsid w:val="006E54FC"/>
    <w:rsid w:val="006F0354"/>
    <w:rsid w:val="006F1910"/>
    <w:rsid w:val="006F54AB"/>
    <w:rsid w:val="006F5836"/>
    <w:rsid w:val="006F6121"/>
    <w:rsid w:val="006F7393"/>
    <w:rsid w:val="00701D21"/>
    <w:rsid w:val="0070224F"/>
    <w:rsid w:val="00702DB4"/>
    <w:rsid w:val="00705092"/>
    <w:rsid w:val="00705BB8"/>
    <w:rsid w:val="00706CDF"/>
    <w:rsid w:val="00707511"/>
    <w:rsid w:val="007115F7"/>
    <w:rsid w:val="00712157"/>
    <w:rsid w:val="00712E08"/>
    <w:rsid w:val="0071340F"/>
    <w:rsid w:val="00714EB9"/>
    <w:rsid w:val="00715584"/>
    <w:rsid w:val="00722C14"/>
    <w:rsid w:val="00724816"/>
    <w:rsid w:val="00725633"/>
    <w:rsid w:val="00726D7E"/>
    <w:rsid w:val="007278AA"/>
    <w:rsid w:val="007308CA"/>
    <w:rsid w:val="00734D44"/>
    <w:rsid w:val="007375C0"/>
    <w:rsid w:val="007434ED"/>
    <w:rsid w:val="0075018E"/>
    <w:rsid w:val="00752C58"/>
    <w:rsid w:val="00752E11"/>
    <w:rsid w:val="00754026"/>
    <w:rsid w:val="007550F7"/>
    <w:rsid w:val="0076003F"/>
    <w:rsid w:val="00763395"/>
    <w:rsid w:val="007642EB"/>
    <w:rsid w:val="00765FBD"/>
    <w:rsid w:val="007666C0"/>
    <w:rsid w:val="0076779B"/>
    <w:rsid w:val="007702EE"/>
    <w:rsid w:val="0077431C"/>
    <w:rsid w:val="00785368"/>
    <w:rsid w:val="00785689"/>
    <w:rsid w:val="0079006E"/>
    <w:rsid w:val="00790961"/>
    <w:rsid w:val="007909BF"/>
    <w:rsid w:val="007910FB"/>
    <w:rsid w:val="007912B3"/>
    <w:rsid w:val="00791FCA"/>
    <w:rsid w:val="007943A6"/>
    <w:rsid w:val="00795AE5"/>
    <w:rsid w:val="0079612F"/>
    <w:rsid w:val="0079754B"/>
    <w:rsid w:val="007A1E6D"/>
    <w:rsid w:val="007A2FD5"/>
    <w:rsid w:val="007A3EE2"/>
    <w:rsid w:val="007A6F1E"/>
    <w:rsid w:val="007A7CAB"/>
    <w:rsid w:val="007B189E"/>
    <w:rsid w:val="007B1D45"/>
    <w:rsid w:val="007B202A"/>
    <w:rsid w:val="007B2975"/>
    <w:rsid w:val="007B3B75"/>
    <w:rsid w:val="007C1397"/>
    <w:rsid w:val="007C1DEE"/>
    <w:rsid w:val="007C1EE3"/>
    <w:rsid w:val="007C2906"/>
    <w:rsid w:val="007C524F"/>
    <w:rsid w:val="007C5C2B"/>
    <w:rsid w:val="007C6315"/>
    <w:rsid w:val="007C6F9B"/>
    <w:rsid w:val="007C7A7B"/>
    <w:rsid w:val="007D11FD"/>
    <w:rsid w:val="007D24B4"/>
    <w:rsid w:val="007D793A"/>
    <w:rsid w:val="007E10C3"/>
    <w:rsid w:val="007E168C"/>
    <w:rsid w:val="007E2229"/>
    <w:rsid w:val="007E5638"/>
    <w:rsid w:val="007E5C33"/>
    <w:rsid w:val="007E5DC9"/>
    <w:rsid w:val="007E7934"/>
    <w:rsid w:val="007F05BB"/>
    <w:rsid w:val="007F1EB9"/>
    <w:rsid w:val="007F63DC"/>
    <w:rsid w:val="008011AA"/>
    <w:rsid w:val="00801FD0"/>
    <w:rsid w:val="008034DD"/>
    <w:rsid w:val="00804AA0"/>
    <w:rsid w:val="008060EE"/>
    <w:rsid w:val="00806F7A"/>
    <w:rsid w:val="00812297"/>
    <w:rsid w:val="00813201"/>
    <w:rsid w:val="00813533"/>
    <w:rsid w:val="00820A2B"/>
    <w:rsid w:val="00822201"/>
    <w:rsid w:val="00822CE0"/>
    <w:rsid w:val="00823D13"/>
    <w:rsid w:val="00833322"/>
    <w:rsid w:val="00833C81"/>
    <w:rsid w:val="008358AC"/>
    <w:rsid w:val="008359BA"/>
    <w:rsid w:val="008360FA"/>
    <w:rsid w:val="008376D6"/>
    <w:rsid w:val="008378F3"/>
    <w:rsid w:val="00837C62"/>
    <w:rsid w:val="00841AB1"/>
    <w:rsid w:val="008424C3"/>
    <w:rsid w:val="00847C6C"/>
    <w:rsid w:val="00850738"/>
    <w:rsid w:val="00852612"/>
    <w:rsid w:val="0085311A"/>
    <w:rsid w:val="00853AAE"/>
    <w:rsid w:val="00856D3A"/>
    <w:rsid w:val="00857BDB"/>
    <w:rsid w:val="00860ED9"/>
    <w:rsid w:val="008620D9"/>
    <w:rsid w:val="008634E5"/>
    <w:rsid w:val="008652F1"/>
    <w:rsid w:val="00865A4E"/>
    <w:rsid w:val="00866051"/>
    <w:rsid w:val="00866AD8"/>
    <w:rsid w:val="00866CF2"/>
    <w:rsid w:val="00867ABB"/>
    <w:rsid w:val="008712F5"/>
    <w:rsid w:val="00873760"/>
    <w:rsid w:val="008747D8"/>
    <w:rsid w:val="00880C41"/>
    <w:rsid w:val="00881B36"/>
    <w:rsid w:val="008828B7"/>
    <w:rsid w:val="00887A54"/>
    <w:rsid w:val="0089317F"/>
    <w:rsid w:val="00894930"/>
    <w:rsid w:val="0089626C"/>
    <w:rsid w:val="00897622"/>
    <w:rsid w:val="008A26F3"/>
    <w:rsid w:val="008A334E"/>
    <w:rsid w:val="008A4754"/>
    <w:rsid w:val="008A61D0"/>
    <w:rsid w:val="008A6D19"/>
    <w:rsid w:val="008A6DFE"/>
    <w:rsid w:val="008B4A42"/>
    <w:rsid w:val="008B630B"/>
    <w:rsid w:val="008C22FD"/>
    <w:rsid w:val="008C570D"/>
    <w:rsid w:val="008C6169"/>
    <w:rsid w:val="008C6F99"/>
    <w:rsid w:val="008C6FC2"/>
    <w:rsid w:val="008D18F6"/>
    <w:rsid w:val="008D7873"/>
    <w:rsid w:val="008D7874"/>
    <w:rsid w:val="008E11AF"/>
    <w:rsid w:val="008E1801"/>
    <w:rsid w:val="008E2023"/>
    <w:rsid w:val="008E5856"/>
    <w:rsid w:val="008E6FD7"/>
    <w:rsid w:val="008F0C37"/>
    <w:rsid w:val="008F2DE0"/>
    <w:rsid w:val="00902D9D"/>
    <w:rsid w:val="0090318B"/>
    <w:rsid w:val="00904C3E"/>
    <w:rsid w:val="00906512"/>
    <w:rsid w:val="009069BA"/>
    <w:rsid w:val="00910F12"/>
    <w:rsid w:val="00914290"/>
    <w:rsid w:val="00916A7F"/>
    <w:rsid w:val="00921F41"/>
    <w:rsid w:val="00922173"/>
    <w:rsid w:val="00926503"/>
    <w:rsid w:val="00926966"/>
    <w:rsid w:val="00930ECF"/>
    <w:rsid w:val="00934758"/>
    <w:rsid w:val="009376E0"/>
    <w:rsid w:val="00941BB9"/>
    <w:rsid w:val="009435A5"/>
    <w:rsid w:val="0094434C"/>
    <w:rsid w:val="00944912"/>
    <w:rsid w:val="00945389"/>
    <w:rsid w:val="009459E5"/>
    <w:rsid w:val="00945DEF"/>
    <w:rsid w:val="00945F6F"/>
    <w:rsid w:val="00946374"/>
    <w:rsid w:val="00952F65"/>
    <w:rsid w:val="00953FB0"/>
    <w:rsid w:val="009547A3"/>
    <w:rsid w:val="009577CB"/>
    <w:rsid w:val="00961E32"/>
    <w:rsid w:val="009630E3"/>
    <w:rsid w:val="009645D5"/>
    <w:rsid w:val="00965594"/>
    <w:rsid w:val="009656BC"/>
    <w:rsid w:val="00966F77"/>
    <w:rsid w:val="00971330"/>
    <w:rsid w:val="00972EC9"/>
    <w:rsid w:val="00973E22"/>
    <w:rsid w:val="0097578F"/>
    <w:rsid w:val="009801FB"/>
    <w:rsid w:val="009807B0"/>
    <w:rsid w:val="009838BC"/>
    <w:rsid w:val="00985B45"/>
    <w:rsid w:val="009865B3"/>
    <w:rsid w:val="0099192A"/>
    <w:rsid w:val="00992B31"/>
    <w:rsid w:val="0099392F"/>
    <w:rsid w:val="009A0068"/>
    <w:rsid w:val="009A03A6"/>
    <w:rsid w:val="009A1914"/>
    <w:rsid w:val="009A19D1"/>
    <w:rsid w:val="009A2648"/>
    <w:rsid w:val="009A2B58"/>
    <w:rsid w:val="009A3031"/>
    <w:rsid w:val="009A7493"/>
    <w:rsid w:val="009A7BE5"/>
    <w:rsid w:val="009B12A7"/>
    <w:rsid w:val="009B2E96"/>
    <w:rsid w:val="009B3017"/>
    <w:rsid w:val="009B4335"/>
    <w:rsid w:val="009B7FED"/>
    <w:rsid w:val="009C2065"/>
    <w:rsid w:val="009C7A71"/>
    <w:rsid w:val="009D2077"/>
    <w:rsid w:val="009D20DF"/>
    <w:rsid w:val="009D45C9"/>
    <w:rsid w:val="009D6631"/>
    <w:rsid w:val="009D6F73"/>
    <w:rsid w:val="009E1092"/>
    <w:rsid w:val="009E192A"/>
    <w:rsid w:val="009E1EF1"/>
    <w:rsid w:val="009E1F28"/>
    <w:rsid w:val="009E539B"/>
    <w:rsid w:val="009E7286"/>
    <w:rsid w:val="009F0869"/>
    <w:rsid w:val="009F1D54"/>
    <w:rsid w:val="009F1F28"/>
    <w:rsid w:val="009F3D02"/>
    <w:rsid w:val="009F7864"/>
    <w:rsid w:val="009F797E"/>
    <w:rsid w:val="00A00B77"/>
    <w:rsid w:val="00A046DE"/>
    <w:rsid w:val="00A065D7"/>
    <w:rsid w:val="00A10ADB"/>
    <w:rsid w:val="00A131B7"/>
    <w:rsid w:val="00A14047"/>
    <w:rsid w:val="00A148F3"/>
    <w:rsid w:val="00A1694B"/>
    <w:rsid w:val="00A16EAC"/>
    <w:rsid w:val="00A24F7F"/>
    <w:rsid w:val="00A25A8B"/>
    <w:rsid w:val="00A35AF7"/>
    <w:rsid w:val="00A3634E"/>
    <w:rsid w:val="00A37AD2"/>
    <w:rsid w:val="00A406A1"/>
    <w:rsid w:val="00A45F4F"/>
    <w:rsid w:val="00A4783E"/>
    <w:rsid w:val="00A52581"/>
    <w:rsid w:val="00A568BE"/>
    <w:rsid w:val="00A600A9"/>
    <w:rsid w:val="00A60BCF"/>
    <w:rsid w:val="00A65DDA"/>
    <w:rsid w:val="00A668DF"/>
    <w:rsid w:val="00A66FF0"/>
    <w:rsid w:val="00A6748E"/>
    <w:rsid w:val="00A70A5F"/>
    <w:rsid w:val="00A71FA8"/>
    <w:rsid w:val="00A73639"/>
    <w:rsid w:val="00A73D77"/>
    <w:rsid w:val="00A743D0"/>
    <w:rsid w:val="00A77A4B"/>
    <w:rsid w:val="00A77D72"/>
    <w:rsid w:val="00A8037E"/>
    <w:rsid w:val="00A82AD2"/>
    <w:rsid w:val="00A863D6"/>
    <w:rsid w:val="00A866AC"/>
    <w:rsid w:val="00A90DA0"/>
    <w:rsid w:val="00A910BE"/>
    <w:rsid w:val="00A97482"/>
    <w:rsid w:val="00A974AB"/>
    <w:rsid w:val="00AA1AB6"/>
    <w:rsid w:val="00AA1DAE"/>
    <w:rsid w:val="00AA4B65"/>
    <w:rsid w:val="00AA55B7"/>
    <w:rsid w:val="00AA5A44"/>
    <w:rsid w:val="00AA5B9E"/>
    <w:rsid w:val="00AA7FE7"/>
    <w:rsid w:val="00AB2407"/>
    <w:rsid w:val="00AB53DF"/>
    <w:rsid w:val="00AB62FD"/>
    <w:rsid w:val="00AB747C"/>
    <w:rsid w:val="00AC042E"/>
    <w:rsid w:val="00AC1400"/>
    <w:rsid w:val="00AC39D1"/>
    <w:rsid w:val="00AC6249"/>
    <w:rsid w:val="00AC7115"/>
    <w:rsid w:val="00AC7EBF"/>
    <w:rsid w:val="00AD3863"/>
    <w:rsid w:val="00AD4D77"/>
    <w:rsid w:val="00AD5C1A"/>
    <w:rsid w:val="00AD6D13"/>
    <w:rsid w:val="00AD77E3"/>
    <w:rsid w:val="00AE04AF"/>
    <w:rsid w:val="00AE27F3"/>
    <w:rsid w:val="00AF112F"/>
    <w:rsid w:val="00AF2699"/>
    <w:rsid w:val="00AF48DF"/>
    <w:rsid w:val="00AF62A3"/>
    <w:rsid w:val="00AF74D5"/>
    <w:rsid w:val="00B01EFB"/>
    <w:rsid w:val="00B052E5"/>
    <w:rsid w:val="00B054F7"/>
    <w:rsid w:val="00B06003"/>
    <w:rsid w:val="00B07E41"/>
    <w:rsid w:val="00B07E5C"/>
    <w:rsid w:val="00B10DBC"/>
    <w:rsid w:val="00B115D9"/>
    <w:rsid w:val="00B127BC"/>
    <w:rsid w:val="00B14E73"/>
    <w:rsid w:val="00B16634"/>
    <w:rsid w:val="00B16B4F"/>
    <w:rsid w:val="00B20BA6"/>
    <w:rsid w:val="00B20D0D"/>
    <w:rsid w:val="00B2173B"/>
    <w:rsid w:val="00B27386"/>
    <w:rsid w:val="00B30384"/>
    <w:rsid w:val="00B31879"/>
    <w:rsid w:val="00B326E3"/>
    <w:rsid w:val="00B33898"/>
    <w:rsid w:val="00B342DD"/>
    <w:rsid w:val="00B40613"/>
    <w:rsid w:val="00B40BE7"/>
    <w:rsid w:val="00B4398D"/>
    <w:rsid w:val="00B43AEE"/>
    <w:rsid w:val="00B442CC"/>
    <w:rsid w:val="00B443A6"/>
    <w:rsid w:val="00B522FB"/>
    <w:rsid w:val="00B56D8C"/>
    <w:rsid w:val="00B57045"/>
    <w:rsid w:val="00B601EE"/>
    <w:rsid w:val="00B60B4A"/>
    <w:rsid w:val="00B61475"/>
    <w:rsid w:val="00B61ABA"/>
    <w:rsid w:val="00B61C1D"/>
    <w:rsid w:val="00B64910"/>
    <w:rsid w:val="00B7029C"/>
    <w:rsid w:val="00B70582"/>
    <w:rsid w:val="00B711C6"/>
    <w:rsid w:val="00B72FAE"/>
    <w:rsid w:val="00B811F7"/>
    <w:rsid w:val="00B8194F"/>
    <w:rsid w:val="00B82950"/>
    <w:rsid w:val="00B9023D"/>
    <w:rsid w:val="00B904D0"/>
    <w:rsid w:val="00B9341F"/>
    <w:rsid w:val="00B93944"/>
    <w:rsid w:val="00B94B24"/>
    <w:rsid w:val="00B96D7E"/>
    <w:rsid w:val="00B97767"/>
    <w:rsid w:val="00BA1125"/>
    <w:rsid w:val="00BA1221"/>
    <w:rsid w:val="00BA22F4"/>
    <w:rsid w:val="00BA4399"/>
    <w:rsid w:val="00BA58C2"/>
    <w:rsid w:val="00BA5DC6"/>
    <w:rsid w:val="00BA5E08"/>
    <w:rsid w:val="00BA6196"/>
    <w:rsid w:val="00BA6896"/>
    <w:rsid w:val="00BB0501"/>
    <w:rsid w:val="00BB0900"/>
    <w:rsid w:val="00BB2C03"/>
    <w:rsid w:val="00BB30F7"/>
    <w:rsid w:val="00BB7EF0"/>
    <w:rsid w:val="00BC202F"/>
    <w:rsid w:val="00BC49DA"/>
    <w:rsid w:val="00BC6D8C"/>
    <w:rsid w:val="00BD14D4"/>
    <w:rsid w:val="00BD489B"/>
    <w:rsid w:val="00BD6156"/>
    <w:rsid w:val="00BD7E06"/>
    <w:rsid w:val="00BD7E37"/>
    <w:rsid w:val="00BE227F"/>
    <w:rsid w:val="00BE6575"/>
    <w:rsid w:val="00BF018C"/>
    <w:rsid w:val="00BF01ED"/>
    <w:rsid w:val="00BF1083"/>
    <w:rsid w:val="00BF2AF4"/>
    <w:rsid w:val="00BF39BA"/>
    <w:rsid w:val="00BF593D"/>
    <w:rsid w:val="00BF673A"/>
    <w:rsid w:val="00BF6E51"/>
    <w:rsid w:val="00BF7E2B"/>
    <w:rsid w:val="00C00F85"/>
    <w:rsid w:val="00C016B4"/>
    <w:rsid w:val="00C03674"/>
    <w:rsid w:val="00C1387E"/>
    <w:rsid w:val="00C13DCF"/>
    <w:rsid w:val="00C14AD1"/>
    <w:rsid w:val="00C15A81"/>
    <w:rsid w:val="00C16AF2"/>
    <w:rsid w:val="00C22D4F"/>
    <w:rsid w:val="00C23547"/>
    <w:rsid w:val="00C23978"/>
    <w:rsid w:val="00C23AED"/>
    <w:rsid w:val="00C24717"/>
    <w:rsid w:val="00C25342"/>
    <w:rsid w:val="00C34006"/>
    <w:rsid w:val="00C36BC1"/>
    <w:rsid w:val="00C37550"/>
    <w:rsid w:val="00C426B1"/>
    <w:rsid w:val="00C432E7"/>
    <w:rsid w:val="00C43B45"/>
    <w:rsid w:val="00C43F2A"/>
    <w:rsid w:val="00C45D89"/>
    <w:rsid w:val="00C50CF4"/>
    <w:rsid w:val="00C56983"/>
    <w:rsid w:val="00C609BD"/>
    <w:rsid w:val="00C61B3E"/>
    <w:rsid w:val="00C6490C"/>
    <w:rsid w:val="00C64F4F"/>
    <w:rsid w:val="00C65B38"/>
    <w:rsid w:val="00C70710"/>
    <w:rsid w:val="00C708D7"/>
    <w:rsid w:val="00C710CC"/>
    <w:rsid w:val="00C73F69"/>
    <w:rsid w:val="00C74CBE"/>
    <w:rsid w:val="00C7551B"/>
    <w:rsid w:val="00C75809"/>
    <w:rsid w:val="00C76F55"/>
    <w:rsid w:val="00C80E7C"/>
    <w:rsid w:val="00C82B6B"/>
    <w:rsid w:val="00C85BC8"/>
    <w:rsid w:val="00C8634D"/>
    <w:rsid w:val="00C903A0"/>
    <w:rsid w:val="00C90D6A"/>
    <w:rsid w:val="00C950F7"/>
    <w:rsid w:val="00C9771F"/>
    <w:rsid w:val="00CA77A0"/>
    <w:rsid w:val="00CB18D9"/>
    <w:rsid w:val="00CB2638"/>
    <w:rsid w:val="00CC09EC"/>
    <w:rsid w:val="00CC373A"/>
    <w:rsid w:val="00CC6314"/>
    <w:rsid w:val="00CC6613"/>
    <w:rsid w:val="00CC68CA"/>
    <w:rsid w:val="00CC72B6"/>
    <w:rsid w:val="00CD3C3C"/>
    <w:rsid w:val="00CD43E0"/>
    <w:rsid w:val="00CD4E6F"/>
    <w:rsid w:val="00CD5173"/>
    <w:rsid w:val="00CD5CD8"/>
    <w:rsid w:val="00CD5E66"/>
    <w:rsid w:val="00CD7265"/>
    <w:rsid w:val="00CE2A6D"/>
    <w:rsid w:val="00CE37C1"/>
    <w:rsid w:val="00CE3824"/>
    <w:rsid w:val="00CE4BA3"/>
    <w:rsid w:val="00CE5193"/>
    <w:rsid w:val="00CE5303"/>
    <w:rsid w:val="00CE6992"/>
    <w:rsid w:val="00CF17EB"/>
    <w:rsid w:val="00CF1915"/>
    <w:rsid w:val="00CF37AB"/>
    <w:rsid w:val="00CF772C"/>
    <w:rsid w:val="00D0139B"/>
    <w:rsid w:val="00D01E77"/>
    <w:rsid w:val="00D0218D"/>
    <w:rsid w:val="00D03374"/>
    <w:rsid w:val="00D04E61"/>
    <w:rsid w:val="00D10C6F"/>
    <w:rsid w:val="00D10E7A"/>
    <w:rsid w:val="00D11462"/>
    <w:rsid w:val="00D116A9"/>
    <w:rsid w:val="00D11F3E"/>
    <w:rsid w:val="00D127E0"/>
    <w:rsid w:val="00D16F4B"/>
    <w:rsid w:val="00D178E1"/>
    <w:rsid w:val="00D20C88"/>
    <w:rsid w:val="00D216CD"/>
    <w:rsid w:val="00D25306"/>
    <w:rsid w:val="00D26625"/>
    <w:rsid w:val="00D26AC7"/>
    <w:rsid w:val="00D273F0"/>
    <w:rsid w:val="00D27EDC"/>
    <w:rsid w:val="00D30554"/>
    <w:rsid w:val="00D30DB9"/>
    <w:rsid w:val="00D33CAF"/>
    <w:rsid w:val="00D35EE5"/>
    <w:rsid w:val="00D46E8E"/>
    <w:rsid w:val="00D4782F"/>
    <w:rsid w:val="00D5083E"/>
    <w:rsid w:val="00D508FC"/>
    <w:rsid w:val="00D5169B"/>
    <w:rsid w:val="00D51D7E"/>
    <w:rsid w:val="00D53721"/>
    <w:rsid w:val="00D53ACE"/>
    <w:rsid w:val="00D54484"/>
    <w:rsid w:val="00D55D6E"/>
    <w:rsid w:val="00D576DF"/>
    <w:rsid w:val="00D57814"/>
    <w:rsid w:val="00D61023"/>
    <w:rsid w:val="00D625E8"/>
    <w:rsid w:val="00D63CE0"/>
    <w:rsid w:val="00D64B18"/>
    <w:rsid w:val="00D65B7A"/>
    <w:rsid w:val="00D714C8"/>
    <w:rsid w:val="00D71C24"/>
    <w:rsid w:val="00D73700"/>
    <w:rsid w:val="00D744C9"/>
    <w:rsid w:val="00D74DA8"/>
    <w:rsid w:val="00D803FE"/>
    <w:rsid w:val="00D83F95"/>
    <w:rsid w:val="00D938CD"/>
    <w:rsid w:val="00D9520A"/>
    <w:rsid w:val="00D95AF4"/>
    <w:rsid w:val="00D96141"/>
    <w:rsid w:val="00DA2529"/>
    <w:rsid w:val="00DA3642"/>
    <w:rsid w:val="00DA37F8"/>
    <w:rsid w:val="00DA7EFA"/>
    <w:rsid w:val="00DB0953"/>
    <w:rsid w:val="00DB130A"/>
    <w:rsid w:val="00DB75CA"/>
    <w:rsid w:val="00DC10A1"/>
    <w:rsid w:val="00DC15E6"/>
    <w:rsid w:val="00DC21E9"/>
    <w:rsid w:val="00DC333E"/>
    <w:rsid w:val="00DC655F"/>
    <w:rsid w:val="00DC7B9B"/>
    <w:rsid w:val="00DC7C45"/>
    <w:rsid w:val="00DD0DA5"/>
    <w:rsid w:val="00DD17E0"/>
    <w:rsid w:val="00DD209A"/>
    <w:rsid w:val="00DD7EBD"/>
    <w:rsid w:val="00DE05B8"/>
    <w:rsid w:val="00DE173F"/>
    <w:rsid w:val="00DE409C"/>
    <w:rsid w:val="00DE509A"/>
    <w:rsid w:val="00DE54A4"/>
    <w:rsid w:val="00DE7AC5"/>
    <w:rsid w:val="00DE7E48"/>
    <w:rsid w:val="00DF02E7"/>
    <w:rsid w:val="00DF3577"/>
    <w:rsid w:val="00DF3ADB"/>
    <w:rsid w:val="00DF3CA2"/>
    <w:rsid w:val="00DF5006"/>
    <w:rsid w:val="00DF62B6"/>
    <w:rsid w:val="00DF7DC5"/>
    <w:rsid w:val="00E0372C"/>
    <w:rsid w:val="00E05F47"/>
    <w:rsid w:val="00E06838"/>
    <w:rsid w:val="00E07225"/>
    <w:rsid w:val="00E07C39"/>
    <w:rsid w:val="00E101A7"/>
    <w:rsid w:val="00E104A2"/>
    <w:rsid w:val="00E15207"/>
    <w:rsid w:val="00E15405"/>
    <w:rsid w:val="00E155B7"/>
    <w:rsid w:val="00E2072A"/>
    <w:rsid w:val="00E213C4"/>
    <w:rsid w:val="00E239D2"/>
    <w:rsid w:val="00E25C1C"/>
    <w:rsid w:val="00E27CBD"/>
    <w:rsid w:val="00E30F61"/>
    <w:rsid w:val="00E3262F"/>
    <w:rsid w:val="00E35C29"/>
    <w:rsid w:val="00E36A05"/>
    <w:rsid w:val="00E36AC1"/>
    <w:rsid w:val="00E3782E"/>
    <w:rsid w:val="00E4298F"/>
    <w:rsid w:val="00E42E43"/>
    <w:rsid w:val="00E43E23"/>
    <w:rsid w:val="00E45D77"/>
    <w:rsid w:val="00E46697"/>
    <w:rsid w:val="00E511F7"/>
    <w:rsid w:val="00E51760"/>
    <w:rsid w:val="00E5409F"/>
    <w:rsid w:val="00E54702"/>
    <w:rsid w:val="00E5715B"/>
    <w:rsid w:val="00E57341"/>
    <w:rsid w:val="00E5777F"/>
    <w:rsid w:val="00E6559D"/>
    <w:rsid w:val="00E65F32"/>
    <w:rsid w:val="00E65FB6"/>
    <w:rsid w:val="00E668E2"/>
    <w:rsid w:val="00E729BA"/>
    <w:rsid w:val="00E7402D"/>
    <w:rsid w:val="00E74C58"/>
    <w:rsid w:val="00E76399"/>
    <w:rsid w:val="00E82BBD"/>
    <w:rsid w:val="00E83D40"/>
    <w:rsid w:val="00E876A8"/>
    <w:rsid w:val="00E90929"/>
    <w:rsid w:val="00E922C7"/>
    <w:rsid w:val="00E962D2"/>
    <w:rsid w:val="00E96B1A"/>
    <w:rsid w:val="00EA081E"/>
    <w:rsid w:val="00EA232E"/>
    <w:rsid w:val="00EA29B9"/>
    <w:rsid w:val="00EA4AE9"/>
    <w:rsid w:val="00EA4EF9"/>
    <w:rsid w:val="00EA67D6"/>
    <w:rsid w:val="00EA7AD3"/>
    <w:rsid w:val="00EB1F20"/>
    <w:rsid w:val="00EB2223"/>
    <w:rsid w:val="00EB3236"/>
    <w:rsid w:val="00EB3E95"/>
    <w:rsid w:val="00EB5DD6"/>
    <w:rsid w:val="00EB60CF"/>
    <w:rsid w:val="00EB633D"/>
    <w:rsid w:val="00EB6C5E"/>
    <w:rsid w:val="00EB7F6A"/>
    <w:rsid w:val="00EC0185"/>
    <w:rsid w:val="00EC17F9"/>
    <w:rsid w:val="00EC1CFB"/>
    <w:rsid w:val="00EC1D10"/>
    <w:rsid w:val="00EC234F"/>
    <w:rsid w:val="00EC2F55"/>
    <w:rsid w:val="00EC3ECE"/>
    <w:rsid w:val="00EC43D9"/>
    <w:rsid w:val="00ED0662"/>
    <w:rsid w:val="00ED47D8"/>
    <w:rsid w:val="00ED7251"/>
    <w:rsid w:val="00EE1183"/>
    <w:rsid w:val="00EE239C"/>
    <w:rsid w:val="00EE292C"/>
    <w:rsid w:val="00EE480F"/>
    <w:rsid w:val="00EE5C17"/>
    <w:rsid w:val="00EE74F4"/>
    <w:rsid w:val="00EF0F22"/>
    <w:rsid w:val="00EF1FA8"/>
    <w:rsid w:val="00EF212F"/>
    <w:rsid w:val="00EF24C4"/>
    <w:rsid w:val="00EF26A9"/>
    <w:rsid w:val="00EF65A3"/>
    <w:rsid w:val="00F0099B"/>
    <w:rsid w:val="00F00FC0"/>
    <w:rsid w:val="00F011A2"/>
    <w:rsid w:val="00F021FA"/>
    <w:rsid w:val="00F02FBA"/>
    <w:rsid w:val="00F03CB9"/>
    <w:rsid w:val="00F11805"/>
    <w:rsid w:val="00F1215C"/>
    <w:rsid w:val="00F12E30"/>
    <w:rsid w:val="00F1317A"/>
    <w:rsid w:val="00F15069"/>
    <w:rsid w:val="00F15BBD"/>
    <w:rsid w:val="00F16038"/>
    <w:rsid w:val="00F2291F"/>
    <w:rsid w:val="00F23901"/>
    <w:rsid w:val="00F240CE"/>
    <w:rsid w:val="00F2444B"/>
    <w:rsid w:val="00F26343"/>
    <w:rsid w:val="00F2747C"/>
    <w:rsid w:val="00F34507"/>
    <w:rsid w:val="00F3654E"/>
    <w:rsid w:val="00F3701C"/>
    <w:rsid w:val="00F373F4"/>
    <w:rsid w:val="00F37776"/>
    <w:rsid w:val="00F4085F"/>
    <w:rsid w:val="00F4263F"/>
    <w:rsid w:val="00F435E9"/>
    <w:rsid w:val="00F44F6C"/>
    <w:rsid w:val="00F45E96"/>
    <w:rsid w:val="00F509F5"/>
    <w:rsid w:val="00F54B8F"/>
    <w:rsid w:val="00F57ACA"/>
    <w:rsid w:val="00F62420"/>
    <w:rsid w:val="00F62E97"/>
    <w:rsid w:val="00F64209"/>
    <w:rsid w:val="00F663FC"/>
    <w:rsid w:val="00F6799B"/>
    <w:rsid w:val="00F70ACB"/>
    <w:rsid w:val="00F71C4B"/>
    <w:rsid w:val="00F73C27"/>
    <w:rsid w:val="00F73D90"/>
    <w:rsid w:val="00F8065D"/>
    <w:rsid w:val="00F82045"/>
    <w:rsid w:val="00F82FF9"/>
    <w:rsid w:val="00F8457A"/>
    <w:rsid w:val="00F86E37"/>
    <w:rsid w:val="00F909B4"/>
    <w:rsid w:val="00F92EED"/>
    <w:rsid w:val="00F93BF5"/>
    <w:rsid w:val="00F96122"/>
    <w:rsid w:val="00F96F63"/>
    <w:rsid w:val="00F96F7C"/>
    <w:rsid w:val="00F97042"/>
    <w:rsid w:val="00F97292"/>
    <w:rsid w:val="00FA06A0"/>
    <w:rsid w:val="00FA071A"/>
    <w:rsid w:val="00FA57D9"/>
    <w:rsid w:val="00FA58C1"/>
    <w:rsid w:val="00FB03D3"/>
    <w:rsid w:val="00FB2A1C"/>
    <w:rsid w:val="00FB4093"/>
    <w:rsid w:val="00FB444F"/>
    <w:rsid w:val="00FB5CA1"/>
    <w:rsid w:val="00FB7489"/>
    <w:rsid w:val="00FC0126"/>
    <w:rsid w:val="00FC4710"/>
    <w:rsid w:val="00FC57FD"/>
    <w:rsid w:val="00FC753A"/>
    <w:rsid w:val="00FD1271"/>
    <w:rsid w:val="00FD2D8F"/>
    <w:rsid w:val="00FD7C8A"/>
    <w:rsid w:val="00FE02EB"/>
    <w:rsid w:val="00FE179C"/>
    <w:rsid w:val="00FE33F6"/>
    <w:rsid w:val="00FE3D92"/>
    <w:rsid w:val="00FE4605"/>
    <w:rsid w:val="00FE67CF"/>
    <w:rsid w:val="00FE7F1E"/>
    <w:rsid w:val="00FF6862"/>
    <w:rsid w:val="00FF6EFF"/>
    <w:rsid w:val="0B7A879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383B17F-0C34-4BD3-89CA-4AEFC03E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table" w:styleId="TableGrid">
    <w:name w:val="Table Grid"/>
    <w:basedOn w:val="TableNormal"/>
    <w:uiPriority w:val="59"/>
    <w:rsid w:val="00FE3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NECG) Footnote Reference,Appel note de bas de p,FR,Footnote Reference/,Footnote Reference1,Style 12,Style 124,Style 13,Style 17,Style 3,Style 4,Style 6,Style 7,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uiPriority w:val="99"/>
    <w:semiHidden/>
    <w:unhideWhenUsed/>
    <w:rsid w:val="00431D81"/>
    <w:rPr>
      <w:sz w:val="16"/>
      <w:szCs w:val="16"/>
    </w:rPr>
  </w:style>
  <w:style w:type="paragraph" w:styleId="CommentText">
    <w:name w:val="annotation text"/>
    <w:basedOn w:val="Normal"/>
    <w:link w:val="CommentTextChar"/>
    <w:uiPriority w:val="99"/>
    <w:unhideWhenUsed/>
    <w:rsid w:val="00431D81"/>
    <w:rPr>
      <w:sz w:val="20"/>
    </w:rPr>
  </w:style>
  <w:style w:type="character" w:customStyle="1" w:styleId="CommentTextChar">
    <w:name w:val="Comment Text Char"/>
    <w:link w:val="CommentText"/>
    <w:uiPriority w:val="99"/>
    <w:rsid w:val="00431D81"/>
    <w:rPr>
      <w:snapToGrid w:val="0"/>
      <w:kern w:val="28"/>
    </w:rPr>
  </w:style>
  <w:style w:type="paragraph" w:styleId="CommentSubject">
    <w:name w:val="annotation subject"/>
    <w:basedOn w:val="CommentText"/>
    <w:next w:val="CommentText"/>
    <w:link w:val="CommentSubjectChar"/>
    <w:uiPriority w:val="99"/>
    <w:semiHidden/>
    <w:unhideWhenUsed/>
    <w:rsid w:val="00431D81"/>
    <w:rPr>
      <w:b/>
      <w:bCs/>
    </w:rPr>
  </w:style>
  <w:style w:type="character" w:customStyle="1" w:styleId="CommentSubjectChar">
    <w:name w:val="Comment Subject Char"/>
    <w:link w:val="CommentSubject"/>
    <w:uiPriority w:val="99"/>
    <w:semiHidden/>
    <w:rsid w:val="00431D81"/>
    <w:rPr>
      <w:b/>
      <w:bCs/>
      <w:snapToGrid w:val="0"/>
      <w:kern w:val="28"/>
    </w:rPr>
  </w:style>
  <w:style w:type="paragraph" w:styleId="BalloonText">
    <w:name w:val="Balloon Text"/>
    <w:basedOn w:val="Normal"/>
    <w:link w:val="BalloonTextChar"/>
    <w:uiPriority w:val="99"/>
    <w:semiHidden/>
    <w:unhideWhenUsed/>
    <w:rsid w:val="00431D81"/>
    <w:rPr>
      <w:rFonts w:ascii="Segoe UI" w:hAnsi="Segoe UI" w:cs="Segoe UI"/>
      <w:sz w:val="18"/>
      <w:szCs w:val="18"/>
    </w:rPr>
  </w:style>
  <w:style w:type="character" w:customStyle="1" w:styleId="BalloonTextChar">
    <w:name w:val="Balloon Text Char"/>
    <w:link w:val="BalloonText"/>
    <w:uiPriority w:val="99"/>
    <w:semiHidden/>
    <w:rsid w:val="00431D81"/>
    <w:rPr>
      <w:rFonts w:ascii="Segoe UI" w:hAnsi="Segoe UI" w:cs="Segoe UI"/>
      <w:snapToGrid w:val="0"/>
      <w:kern w:val="28"/>
      <w:sz w:val="18"/>
      <w:szCs w:val="18"/>
    </w:rPr>
  </w:style>
  <w:style w:type="paragraph" w:styleId="Revision">
    <w:name w:val="Revision"/>
    <w:hidden/>
    <w:uiPriority w:val="99"/>
    <w:semiHidden/>
    <w:rsid w:val="00650D0F"/>
    <w:rPr>
      <w:snapToGrid w:val="0"/>
      <w:kern w:val="28"/>
      <w:sz w:val="22"/>
    </w:rPr>
  </w:style>
  <w:style w:type="paragraph" w:styleId="ListParagraph">
    <w:name w:val="List Paragraph"/>
    <w:basedOn w:val="Normal"/>
    <w:uiPriority w:val="34"/>
    <w:qFormat/>
    <w:rsid w:val="00282FDE"/>
    <w:pPr>
      <w:ind w:left="720"/>
    </w:pPr>
  </w:style>
  <w:style w:type="character" w:customStyle="1" w:styleId="UnresolvedMention">
    <w:name w:val="Unresolved Mention"/>
    <w:uiPriority w:val="99"/>
    <w:semiHidden/>
    <w:unhideWhenUsed/>
    <w:rsid w:val="00F12E30"/>
    <w:rPr>
      <w:color w:val="605E5C"/>
      <w:shd w:val="clear" w:color="auto" w:fill="E1DFDD"/>
    </w:rPr>
  </w:style>
  <w:style w:type="character" w:customStyle="1" w:styleId="Normal1">
    <w:name w:val="Normal1"/>
    <w:rsid w:val="00E05F47"/>
    <w:rPr>
      <w:rFonts w:ascii="Times New Roman" w:hAnsi="Times New Roman"/>
      <w:noProof w:val="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Pam.Megna@fcc.gov" TargetMode="External" /><Relationship Id="rId11" Type="http://schemas.openxmlformats.org/officeDocument/2006/relationships/hyperlink" Target="mailto:fcc504@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Kathy.Harris@fcc.gov" TargetMode="External" /><Relationship Id="rId8" Type="http://schemas.openxmlformats.org/officeDocument/2006/relationships/hyperlink" Target="mailto:Linda.Ray@fcc.gov" TargetMode="External" /><Relationship Id="rId9" Type="http://schemas.openxmlformats.org/officeDocument/2006/relationships/hyperlink" Target="mailto:Stacy.Ferraro@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