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42FEE148" w14:textId="77777777">
      <w:pPr>
        <w:jc w:val="right"/>
        <w:rPr>
          <w:sz w:val="24"/>
        </w:rPr>
      </w:pPr>
    </w:p>
    <w:p w:rsidR="00013A8B" w:rsidRPr="00B20363" w:rsidP="00013A8B" w14:paraId="1BEBD4A7" w14:textId="54BAEA81">
      <w:pPr>
        <w:jc w:val="right"/>
        <w:rPr>
          <w:b/>
          <w:sz w:val="24"/>
        </w:rPr>
      </w:pPr>
      <w:r>
        <w:rPr>
          <w:b/>
          <w:sz w:val="24"/>
        </w:rPr>
        <w:t>DA 20-1388</w:t>
      </w:r>
    </w:p>
    <w:p w:rsidR="00013A8B" w:rsidRPr="00B20363" w:rsidP="00013A8B" w14:paraId="4149D778" w14:textId="794D46D2">
      <w:pPr>
        <w:spacing w:before="60"/>
        <w:jc w:val="right"/>
        <w:rPr>
          <w:b/>
          <w:sz w:val="24"/>
        </w:rPr>
      </w:pPr>
      <w:r>
        <w:rPr>
          <w:b/>
          <w:sz w:val="24"/>
        </w:rPr>
        <w:t xml:space="preserve">Released:  </w:t>
      </w:r>
      <w:r w:rsidR="00410007">
        <w:rPr>
          <w:b/>
          <w:sz w:val="24"/>
        </w:rPr>
        <w:t>November 23, 2020</w:t>
      </w:r>
    </w:p>
    <w:p w:rsidR="004643B2" w:rsidRPr="00A94AB3" w:rsidP="00013A8B" w14:paraId="0265BD64" w14:textId="77777777">
      <w:pPr>
        <w:jc w:val="right"/>
        <w:rPr>
          <w:sz w:val="24"/>
        </w:rPr>
      </w:pPr>
    </w:p>
    <w:p w:rsidR="00A94AB3" w:rsidP="00013A8B" w14:paraId="018EA062" w14:textId="080E343B">
      <w:pPr>
        <w:spacing w:after="240"/>
        <w:jc w:val="center"/>
        <w:rPr>
          <w:rFonts w:ascii="Times New Roman Bold" w:hAnsi="Times New Roman Bold"/>
          <w:b/>
          <w:caps/>
          <w:sz w:val="24"/>
        </w:rPr>
      </w:pPr>
      <w:r w:rsidRPr="00F96137">
        <w:rPr>
          <w:b/>
          <w:bCs/>
          <w:snapToGrid/>
          <w:kern w:val="0"/>
          <w:szCs w:val="22"/>
        </w:rPr>
        <w:t>SECTION 214 APPLICATIONS</w:t>
      </w:r>
      <w:r w:rsidRPr="00C61809">
        <w:rPr>
          <w:b/>
          <w:bCs/>
          <w:snapToGrid/>
          <w:kern w:val="0"/>
          <w:szCs w:val="22"/>
        </w:rPr>
        <w:t xml:space="preserve"> </w:t>
      </w:r>
      <w:r w:rsidRPr="00F96137" w:rsidR="00752E51">
        <w:rPr>
          <w:b/>
          <w:bCs/>
          <w:caps/>
          <w:szCs w:val="22"/>
        </w:rPr>
        <w:t>granted</w:t>
      </w:r>
    </w:p>
    <w:p w:rsidR="00752E51" w:rsidRPr="004C0BEB" w:rsidP="00752E51" w14:paraId="16F97211" w14:textId="23F6714F">
      <w:pPr>
        <w:jc w:val="center"/>
        <w:rPr>
          <w:bCs/>
          <w:szCs w:val="22"/>
        </w:rPr>
      </w:pPr>
      <w:r w:rsidRPr="004C0BEB">
        <w:rPr>
          <w:bCs/>
          <w:szCs w:val="22"/>
        </w:rPr>
        <w:t>WC Docket</w:t>
      </w:r>
      <w:r w:rsidRPr="004C0BEB" w:rsidR="00A94AB3">
        <w:rPr>
          <w:bCs/>
          <w:szCs w:val="22"/>
        </w:rPr>
        <w:t xml:space="preserve"> </w:t>
      </w:r>
      <w:r w:rsidRPr="004C0BEB">
        <w:rPr>
          <w:bCs/>
          <w:szCs w:val="22"/>
        </w:rPr>
        <w:t>No</w:t>
      </w:r>
      <w:r w:rsidRPr="004C0BEB" w:rsidR="00A94AB3">
        <w:rPr>
          <w:bCs/>
          <w:szCs w:val="22"/>
        </w:rPr>
        <w:t>s</w:t>
      </w:r>
      <w:r w:rsidRPr="004C0BEB">
        <w:rPr>
          <w:bCs/>
          <w:szCs w:val="22"/>
        </w:rPr>
        <w:t xml:space="preserve">. </w:t>
      </w:r>
      <w:r w:rsidRPr="004C0BEB" w:rsidR="00A94AB3">
        <w:rPr>
          <w:bCs/>
          <w:szCs w:val="22"/>
        </w:rPr>
        <w:t xml:space="preserve">20-207, </w:t>
      </w:r>
      <w:r w:rsidRPr="004C0BEB">
        <w:rPr>
          <w:bCs/>
          <w:szCs w:val="22"/>
        </w:rPr>
        <w:t>20-218</w:t>
      </w:r>
    </w:p>
    <w:p w:rsidR="00752E51" w:rsidP="00752E51" w14:paraId="7300097E" w14:textId="77777777">
      <w:pPr>
        <w:jc w:val="center"/>
        <w:rPr>
          <w:b/>
          <w:sz w:val="24"/>
        </w:rPr>
      </w:pPr>
    </w:p>
    <w:p w:rsidR="00176EEE" w:rsidP="00F96137" w14:paraId="73366875" w14:textId="5FD3A7C0">
      <w:pPr>
        <w:autoSpaceDE w:val="0"/>
        <w:autoSpaceDN w:val="0"/>
        <w:adjustRightInd w:val="0"/>
        <w:spacing w:after="120"/>
        <w:ind w:firstLine="720"/>
        <w:rPr>
          <w:szCs w:val="22"/>
        </w:rPr>
      </w:pPr>
      <w:r w:rsidRPr="00DF1B24">
        <w:rPr>
          <w:color w:val="000000"/>
        </w:rPr>
        <w:t xml:space="preserve">By this Public Notice, </w:t>
      </w:r>
      <w:r>
        <w:rPr>
          <w:szCs w:val="22"/>
        </w:rPr>
        <w:t xml:space="preserve">the Wireline Competition Bureau and the International Bureau (Bureaus) </w:t>
      </w:r>
      <w:r>
        <w:rPr>
          <w:color w:val="000000"/>
        </w:rPr>
        <w:t xml:space="preserve">grant the following </w:t>
      </w:r>
      <w:r w:rsidR="00531889">
        <w:rPr>
          <w:color w:val="000000"/>
        </w:rPr>
        <w:t>a</w:t>
      </w:r>
      <w:r w:rsidRPr="007E7363">
        <w:rPr>
          <w:szCs w:val="22"/>
        </w:rPr>
        <w:t>pplications pursuant to section 214 of the Communications Act of 1934, as amended (Act), and sections 63.03-04, 63.18, and 63.24 of the Commission’s rules</w:t>
      </w:r>
      <w:r>
        <w:rPr>
          <w:szCs w:val="22"/>
        </w:rPr>
        <w:t>.</w:t>
      </w:r>
      <w:r>
        <w:rPr>
          <w:rStyle w:val="FootnoteReference"/>
          <w:szCs w:val="22"/>
        </w:rPr>
        <w:footnoteReference w:id="3"/>
      </w:r>
      <w:r>
        <w:rPr>
          <w:szCs w:val="22"/>
        </w:rPr>
        <w:t xml:space="preserve"> </w:t>
      </w:r>
      <w:r w:rsidRPr="007E7363">
        <w:rPr>
          <w:szCs w:val="22"/>
        </w:rPr>
        <w:t xml:space="preserve"> </w:t>
      </w:r>
      <w:r>
        <w:rPr>
          <w:szCs w:val="22"/>
        </w:rPr>
        <w:t>The Bureaus receive</w:t>
      </w:r>
      <w:r w:rsidR="004643B2">
        <w:rPr>
          <w:szCs w:val="22"/>
        </w:rPr>
        <w:t>d</w:t>
      </w:r>
      <w:r>
        <w:rPr>
          <w:szCs w:val="22"/>
        </w:rPr>
        <w:t xml:space="preserve"> </w:t>
      </w:r>
      <w:r w:rsidR="004643B2">
        <w:rPr>
          <w:szCs w:val="22"/>
        </w:rPr>
        <w:t xml:space="preserve">no </w:t>
      </w:r>
      <w:r>
        <w:rPr>
          <w:szCs w:val="22"/>
        </w:rPr>
        <w:t xml:space="preserve">comments or petitions in opposition to </w:t>
      </w:r>
      <w:r w:rsidR="004643B2">
        <w:rPr>
          <w:szCs w:val="22"/>
        </w:rPr>
        <w:t xml:space="preserve">grant of </w:t>
      </w:r>
      <w:r>
        <w:rPr>
          <w:szCs w:val="22"/>
        </w:rPr>
        <w:t xml:space="preserve">these </w:t>
      </w:r>
      <w:r w:rsidR="00531889">
        <w:rPr>
          <w:szCs w:val="22"/>
        </w:rPr>
        <w:t>a</w:t>
      </w:r>
      <w:r>
        <w:rPr>
          <w:szCs w:val="22"/>
        </w:rPr>
        <w:t>pplications.</w:t>
      </w:r>
    </w:p>
    <w:p w:rsidR="00176EEE" w:rsidRPr="00192C5C" w:rsidP="00176EEE" w14:paraId="042FCDAA" w14:textId="01670DF9">
      <w:pPr>
        <w:autoSpaceDE w:val="0"/>
        <w:autoSpaceDN w:val="0"/>
        <w:adjustRightInd w:val="0"/>
        <w:spacing w:after="120"/>
        <w:ind w:firstLine="720"/>
        <w:rPr>
          <w:snapToGrid/>
          <w:kern w:val="0"/>
          <w:szCs w:val="22"/>
        </w:rPr>
      </w:pPr>
      <w:r w:rsidRPr="0026411D">
        <w:rPr>
          <w:b/>
          <w:bCs/>
        </w:rPr>
        <w:t>Section 214 Application</w:t>
      </w:r>
      <w:r>
        <w:rPr>
          <w:b/>
          <w:bCs/>
        </w:rPr>
        <w:t xml:space="preserve">s Filed for </w:t>
      </w:r>
      <w:r w:rsidRPr="00ED7832">
        <w:rPr>
          <w:b/>
          <w:bCs/>
          <w:szCs w:val="22"/>
        </w:rPr>
        <w:t xml:space="preserve">Consent to Transfer Contracts </w:t>
      </w:r>
      <w:r w:rsidRPr="0026411D">
        <w:rPr>
          <w:b/>
          <w:bCs/>
        </w:rPr>
        <w:t xml:space="preserve">of </w:t>
      </w:r>
      <w:r w:rsidRPr="0026411D" w:rsidR="004210DB">
        <w:rPr>
          <w:b/>
          <w:bCs/>
          <w:szCs w:val="22"/>
        </w:rPr>
        <w:t>Legacy Long Distance International, Inc. d/b/a Legacy Inmate Communication</w:t>
      </w:r>
      <w:r w:rsidR="00B63AC3">
        <w:rPr>
          <w:b/>
          <w:bCs/>
          <w:szCs w:val="22"/>
        </w:rPr>
        <w:t>s</w:t>
      </w:r>
      <w:r w:rsidRPr="0026411D">
        <w:rPr>
          <w:b/>
          <w:bCs/>
          <w:szCs w:val="22"/>
        </w:rPr>
        <w:t xml:space="preserve"> </w:t>
      </w:r>
      <w:r w:rsidR="00B63AC3">
        <w:rPr>
          <w:b/>
          <w:bCs/>
          <w:szCs w:val="22"/>
        </w:rPr>
        <w:t>t</w:t>
      </w:r>
      <w:r w:rsidRPr="0026411D">
        <w:rPr>
          <w:b/>
          <w:bCs/>
          <w:szCs w:val="22"/>
        </w:rPr>
        <w:t xml:space="preserve">o </w:t>
      </w:r>
      <w:r w:rsidRPr="00ED7832">
        <w:rPr>
          <w:b/>
          <w:bCs/>
          <w:szCs w:val="22"/>
        </w:rPr>
        <w:t>Network Communications International Corp. d/b/a NCIC Inmate Communications</w:t>
      </w:r>
      <w:r>
        <w:rPr>
          <w:b/>
          <w:bCs/>
          <w:szCs w:val="22"/>
        </w:rPr>
        <w:t xml:space="preserve">, </w:t>
      </w:r>
      <w:r w:rsidRPr="0026411D">
        <w:rPr>
          <w:b/>
          <w:bCs/>
          <w:szCs w:val="22"/>
        </w:rPr>
        <w:t>WC Docket 20-2</w:t>
      </w:r>
      <w:r w:rsidR="00B63AC3">
        <w:rPr>
          <w:b/>
          <w:bCs/>
          <w:szCs w:val="22"/>
        </w:rPr>
        <w:t>07</w:t>
      </w:r>
      <w:r>
        <w:rPr>
          <w:b/>
          <w:bCs/>
          <w:szCs w:val="22"/>
        </w:rPr>
        <w:t>, ITC-ASG-20200609-00101</w:t>
      </w:r>
      <w:r w:rsidRPr="0026411D">
        <w:rPr>
          <w:b/>
          <w:bCs/>
          <w:szCs w:val="22"/>
        </w:rPr>
        <w:t xml:space="preserve"> (filed </w:t>
      </w:r>
      <w:r>
        <w:rPr>
          <w:b/>
          <w:bCs/>
          <w:szCs w:val="22"/>
        </w:rPr>
        <w:t>June 29</w:t>
      </w:r>
      <w:r w:rsidRPr="0026411D">
        <w:rPr>
          <w:b/>
          <w:bCs/>
          <w:szCs w:val="22"/>
        </w:rPr>
        <w:t>, 2020).</w:t>
      </w:r>
      <w:r w:rsidRPr="009B4344">
        <w:t xml:space="preserve"> </w:t>
      </w:r>
      <w:r>
        <w:t xml:space="preserve"> On August 27, 2020, the Bureaus released a Public Notice</w:t>
      </w:r>
      <w:r>
        <w:rPr>
          <w:rStyle w:val="FootnoteReference"/>
        </w:rPr>
        <w:footnoteReference w:id="4"/>
      </w:r>
      <w:r>
        <w:t xml:space="preserve"> seeking comment on an application </w:t>
      </w:r>
      <w:r w:rsidRPr="007E7363">
        <w:rPr>
          <w:szCs w:val="22"/>
        </w:rPr>
        <w:t xml:space="preserve">filed by </w:t>
      </w:r>
      <w:r w:rsidRPr="00E4338E" w:rsidR="004210DB">
        <w:rPr>
          <w:szCs w:val="22"/>
        </w:rPr>
        <w:t>Legacy Long Distance International, Inc. d/b/a Legacy Inmate Communications (Legacy)</w:t>
      </w:r>
      <w:r w:rsidRPr="00E4338E">
        <w:rPr>
          <w:szCs w:val="22"/>
        </w:rPr>
        <w:t xml:space="preserve"> </w:t>
      </w:r>
      <w:r>
        <w:rPr>
          <w:szCs w:val="22"/>
        </w:rPr>
        <w:t xml:space="preserve">and </w:t>
      </w:r>
      <w:r>
        <w:t>Network Communications International Corp. d/b/a NCIC Inmate Communications</w:t>
      </w:r>
      <w:r w:rsidRPr="009B4344">
        <w:t xml:space="preserve"> </w:t>
      </w:r>
      <w:r>
        <w:t>(NCIC)</w:t>
      </w:r>
      <w:r>
        <w:rPr>
          <w:szCs w:val="22"/>
        </w:rPr>
        <w:t xml:space="preserve"> requesting approval for Legacy to transfer certain correctional facility contracts to NCIC</w:t>
      </w:r>
      <w:r w:rsidRPr="007E7363">
        <w:rPr>
          <w:szCs w:val="22"/>
        </w:rPr>
        <w:t>.</w:t>
      </w:r>
      <w:r>
        <w:rPr>
          <w:szCs w:val="22"/>
          <w:vertAlign w:val="superscript"/>
        </w:rPr>
        <w:footnoteReference w:id="5"/>
      </w:r>
      <w:r w:rsidRPr="007E7363">
        <w:rPr>
          <w:szCs w:val="22"/>
        </w:rPr>
        <w:t xml:space="preserve">  </w:t>
      </w:r>
      <w:r>
        <w:rPr>
          <w:szCs w:val="22"/>
        </w:rPr>
        <w:t>NCIC is a Texas S corporation that holds authorizations from the Commission to provide domestic and international telecommunications services.</w:t>
      </w:r>
      <w:r>
        <w:rPr>
          <w:rStyle w:val="FootnoteReference"/>
          <w:szCs w:val="22"/>
        </w:rPr>
        <w:footnoteReference w:id="6"/>
      </w:r>
      <w:r>
        <w:rPr>
          <w:szCs w:val="22"/>
        </w:rPr>
        <w:t xml:space="preserve">  Applicants state that NCIC specializes in the provision of inmate communications services to correctional facilities with customers in all 50 states and Puerto Rico.</w:t>
      </w:r>
      <w:r>
        <w:rPr>
          <w:rStyle w:val="FootnoteReference"/>
          <w:szCs w:val="22"/>
        </w:rPr>
        <w:footnoteReference w:id="7"/>
      </w:r>
      <w:r>
        <w:rPr>
          <w:szCs w:val="22"/>
        </w:rPr>
        <w:t xml:space="preserve">  NCIC’s services include operator services, debit, and prepaid calling services.</w:t>
      </w:r>
      <w:r>
        <w:rPr>
          <w:rStyle w:val="FootnoteReference"/>
          <w:szCs w:val="22"/>
        </w:rPr>
        <w:footnoteReference w:id="8"/>
      </w:r>
    </w:p>
    <w:p w:rsidR="00176EEE" w:rsidRPr="00176EEE" w:rsidP="00176EEE" w14:paraId="3348A006" w14:textId="7B77281C">
      <w:pPr>
        <w:widowControl/>
        <w:autoSpaceDE w:val="0"/>
        <w:autoSpaceDN w:val="0"/>
        <w:adjustRightInd w:val="0"/>
        <w:spacing w:after="120"/>
        <w:ind w:firstLine="720"/>
      </w:pPr>
      <w:r>
        <w:t>Applicants state that Legacy is exiting the inmate calling service</w:t>
      </w:r>
      <w:r w:rsidR="00D11423">
        <w:t>s</w:t>
      </w:r>
      <w:r>
        <w:t xml:space="preserve"> industry and that the proposed transaction is part of its effort to ensure a smooth transition of existing inmate calling services customers </w:t>
      </w:r>
      <w:r>
        <w:t>to new providers</w:t>
      </w:r>
      <w:r>
        <w:rPr>
          <w:szCs w:val="22"/>
        </w:rPr>
        <w:t>.</w:t>
      </w:r>
      <w:r>
        <w:rPr>
          <w:rStyle w:val="FootnoteReference"/>
          <w:szCs w:val="22"/>
        </w:rPr>
        <w:footnoteReference w:id="9"/>
      </w:r>
      <w:r>
        <w:rPr>
          <w:szCs w:val="22"/>
        </w:rPr>
        <w:t xml:space="preserve">  Pursuant to the terms of the proposed transaction, </w:t>
      </w:r>
      <w:r>
        <w:rPr>
          <w:snapToGrid/>
          <w:kern w:val="0"/>
          <w:szCs w:val="22"/>
        </w:rPr>
        <w:t xml:space="preserve">Legacy will transfer </w:t>
      </w:r>
      <w:r w:rsidRPr="00D0679C">
        <w:t>6</w:t>
      </w:r>
      <w:bookmarkStart w:id="0" w:name="_GoBack"/>
      <w:bookmarkEnd w:id="0"/>
      <w:r>
        <w:t>5</w:t>
      </w:r>
      <w:r w:rsidRPr="00D0679C">
        <w:t xml:space="preserve"> correctional facility contracts to NCIC.</w:t>
      </w:r>
      <w:r>
        <w:rPr>
          <w:rStyle w:val="FootnoteReference"/>
        </w:rPr>
        <w:footnoteReference w:id="10"/>
      </w:r>
      <w:r>
        <w:t xml:space="preserve">  These contracts are for services provided to jails and do not include prison contracts.</w:t>
      </w:r>
      <w:r>
        <w:rPr>
          <w:rStyle w:val="FootnoteReference"/>
        </w:rPr>
        <w:footnoteReference w:id="11"/>
      </w:r>
      <w:r>
        <w:t xml:space="preserve">  Applicants state that, after the consummation of the proposed transaction, NCIC will provide inmate calling services to the incarcerated individuals within the correctional facilities at “</w:t>
      </w:r>
      <w:r w:rsidRPr="00C826E6">
        <w:t>existing or lower rates under the Correctional Facility Customer contracts to be transferred subject to federal and state regulations, and applicable contract terms and conditions.”</w:t>
      </w:r>
      <w:r>
        <w:rPr>
          <w:rStyle w:val="FootnoteReference"/>
        </w:rPr>
        <w:footnoteReference w:id="12"/>
      </w:r>
    </w:p>
    <w:p w:rsidR="00F47E3D" w:rsidP="00F47E3D" w14:paraId="52AD1533" w14:textId="144E4AB5">
      <w:pPr>
        <w:widowControl/>
        <w:autoSpaceDE w:val="0"/>
        <w:autoSpaceDN w:val="0"/>
        <w:adjustRightInd w:val="0"/>
        <w:spacing w:after="120"/>
        <w:ind w:firstLine="720"/>
      </w:pPr>
      <w:r w:rsidRPr="0026411D">
        <w:rPr>
          <w:b/>
          <w:bCs/>
        </w:rPr>
        <w:t>Section 214 Application</w:t>
      </w:r>
      <w:r w:rsidR="004643B2">
        <w:rPr>
          <w:b/>
          <w:bCs/>
        </w:rPr>
        <w:t>s</w:t>
      </w:r>
      <w:r>
        <w:rPr>
          <w:b/>
          <w:bCs/>
        </w:rPr>
        <w:t xml:space="preserve"> Filed for the Transfer of Control of Certain Assets</w:t>
      </w:r>
      <w:r w:rsidRPr="0026411D">
        <w:rPr>
          <w:b/>
          <w:bCs/>
        </w:rPr>
        <w:t xml:space="preserve"> of </w:t>
      </w:r>
      <w:r w:rsidRPr="0026411D">
        <w:rPr>
          <w:b/>
          <w:bCs/>
          <w:szCs w:val="22"/>
        </w:rPr>
        <w:t>Legacy to Global Tel*Link Corporation, WC Docket 20-218</w:t>
      </w:r>
      <w:r w:rsidR="00F17F28">
        <w:rPr>
          <w:b/>
          <w:bCs/>
          <w:szCs w:val="22"/>
        </w:rPr>
        <w:t>, ITC-ASG-2020008-00112</w:t>
      </w:r>
      <w:r w:rsidRPr="0026411D">
        <w:rPr>
          <w:b/>
          <w:bCs/>
          <w:szCs w:val="22"/>
        </w:rPr>
        <w:t xml:space="preserve"> (filed July 8, 2020).</w:t>
      </w:r>
      <w:r w:rsidRPr="009B4344">
        <w:t xml:space="preserve"> </w:t>
      </w:r>
      <w:r>
        <w:t xml:space="preserve"> On August 27, 2020, the Bureau</w:t>
      </w:r>
      <w:r w:rsidR="00C61809">
        <w:t>s</w:t>
      </w:r>
      <w:r>
        <w:t xml:space="preserve"> released a Public Notice</w:t>
      </w:r>
      <w:r>
        <w:rPr>
          <w:rStyle w:val="FootnoteReference"/>
          <w:szCs w:val="22"/>
        </w:rPr>
        <w:footnoteReference w:id="13"/>
      </w:r>
      <w:r>
        <w:t xml:space="preserve"> </w:t>
      </w:r>
      <w:r w:rsidR="00ED5DD3">
        <w:t>seeking</w:t>
      </w:r>
      <w:r>
        <w:t xml:space="preserve"> comment on an application </w:t>
      </w:r>
      <w:r w:rsidRPr="007E7363">
        <w:rPr>
          <w:szCs w:val="22"/>
        </w:rPr>
        <w:t>filed by</w:t>
      </w:r>
      <w:r w:rsidR="00B63AC3">
        <w:rPr>
          <w:szCs w:val="22"/>
        </w:rPr>
        <w:t xml:space="preserve"> </w:t>
      </w:r>
      <w:r w:rsidRPr="00E4338E">
        <w:rPr>
          <w:szCs w:val="22"/>
        </w:rPr>
        <w:t>Legacy</w:t>
      </w:r>
      <w:r>
        <w:rPr>
          <w:szCs w:val="22"/>
        </w:rPr>
        <w:t xml:space="preserve"> and </w:t>
      </w:r>
      <w:r w:rsidRPr="00E4338E">
        <w:rPr>
          <w:szCs w:val="22"/>
        </w:rPr>
        <w:t>Global Tel*Link Corporation (GTL)</w:t>
      </w:r>
      <w:r>
        <w:rPr>
          <w:szCs w:val="22"/>
        </w:rPr>
        <w:t xml:space="preserve"> requesting approval for Legacy to transfer </w:t>
      </w:r>
      <w:r w:rsidR="00A111CC">
        <w:rPr>
          <w:szCs w:val="22"/>
        </w:rPr>
        <w:t xml:space="preserve">certain </w:t>
      </w:r>
      <w:r>
        <w:rPr>
          <w:szCs w:val="22"/>
        </w:rPr>
        <w:t>correctional facilit</w:t>
      </w:r>
      <w:r w:rsidR="00B63AC3">
        <w:rPr>
          <w:szCs w:val="22"/>
        </w:rPr>
        <w:t>y contracts</w:t>
      </w:r>
      <w:r>
        <w:rPr>
          <w:szCs w:val="22"/>
        </w:rPr>
        <w:t xml:space="preserve"> </w:t>
      </w:r>
      <w:r w:rsidR="00A111CC">
        <w:rPr>
          <w:szCs w:val="22"/>
        </w:rPr>
        <w:t>from Legacy</w:t>
      </w:r>
      <w:r>
        <w:rPr>
          <w:szCs w:val="22"/>
        </w:rPr>
        <w:t xml:space="preserve"> to GTL.</w:t>
      </w:r>
      <w:r>
        <w:rPr>
          <w:rStyle w:val="FootnoteReference"/>
          <w:szCs w:val="22"/>
        </w:rPr>
        <w:footnoteReference w:id="14"/>
      </w:r>
      <w:r>
        <w:rPr>
          <w:szCs w:val="22"/>
        </w:rPr>
        <w:t xml:space="preserve">  Legacy is a wholly owned subsidiary of Jail Education Solutions, Inc. d/b/a </w:t>
      </w:r>
      <w:r>
        <w:rPr>
          <w:szCs w:val="22"/>
        </w:rPr>
        <w:t>Edovo</w:t>
      </w:r>
      <w:r>
        <w:rPr>
          <w:szCs w:val="22"/>
        </w:rPr>
        <w:t xml:space="preserve"> </w:t>
      </w:r>
      <w:r w:rsidR="00961408">
        <w:rPr>
          <w:szCs w:val="22"/>
        </w:rPr>
        <w:t>and holds authorizations from the Commission to provide domestic and international telecommunications services.</w:t>
      </w:r>
      <w:r>
        <w:rPr>
          <w:rStyle w:val="FootnoteReference"/>
          <w:szCs w:val="22"/>
        </w:rPr>
        <w:footnoteReference w:id="15"/>
      </w:r>
      <w:r>
        <w:rPr>
          <w:szCs w:val="22"/>
        </w:rPr>
        <w:t xml:space="preserve">  </w:t>
      </w:r>
      <w:r w:rsidR="00B00012">
        <w:rPr>
          <w:szCs w:val="22"/>
        </w:rPr>
        <w:t xml:space="preserve">Applicants </w:t>
      </w:r>
      <w:r w:rsidR="00ED5DD3">
        <w:rPr>
          <w:szCs w:val="22"/>
        </w:rPr>
        <w:t xml:space="preserve">state that </w:t>
      </w:r>
      <w:r w:rsidR="00B00012">
        <w:rPr>
          <w:szCs w:val="22"/>
        </w:rPr>
        <w:t>Legacy</w:t>
      </w:r>
      <w:r>
        <w:rPr>
          <w:szCs w:val="22"/>
        </w:rPr>
        <w:t xml:space="preserve"> </w:t>
      </w:r>
      <w:r w:rsidR="00961408">
        <w:rPr>
          <w:szCs w:val="22"/>
        </w:rPr>
        <w:t>provides</w:t>
      </w:r>
      <w:r>
        <w:t xml:space="preserve"> inmate communications services </w:t>
      </w:r>
      <w:r w:rsidR="000B3240">
        <w:t xml:space="preserve">including inmate calling services </w:t>
      </w:r>
      <w:r>
        <w:t xml:space="preserve">and investigative technology </w:t>
      </w:r>
      <w:r w:rsidR="00961408">
        <w:t>to</w:t>
      </w:r>
      <w:r>
        <w:t xml:space="preserve"> hundreds of correctional institutions nationwide</w:t>
      </w:r>
      <w:r>
        <w:t>.</w:t>
      </w:r>
      <w:r>
        <w:rPr>
          <w:rStyle w:val="FootnoteReference"/>
        </w:rPr>
        <w:footnoteReference w:id="16"/>
      </w:r>
      <w:r>
        <w:t xml:space="preserve"> </w:t>
      </w:r>
    </w:p>
    <w:p w:rsidR="00DC1EDD" w:rsidP="00DC1EDD" w14:paraId="4D501694" w14:textId="11163F68">
      <w:pPr>
        <w:widowControl/>
        <w:autoSpaceDE w:val="0"/>
        <w:autoSpaceDN w:val="0"/>
        <w:adjustRightInd w:val="0"/>
        <w:spacing w:after="120"/>
        <w:ind w:firstLine="720"/>
      </w:pPr>
      <w:r>
        <w:t>GT</w:t>
      </w:r>
      <w:r w:rsidR="00C02A75">
        <w:t>L</w:t>
      </w:r>
      <w:r w:rsidR="00961408">
        <w:t xml:space="preserve"> is a wholly owned subsidiary of GTEL Holdings, Inc.</w:t>
      </w:r>
      <w:r>
        <w:rPr>
          <w:rStyle w:val="FootnoteReference"/>
        </w:rPr>
        <w:footnoteReference w:id="17"/>
      </w:r>
      <w:r w:rsidR="00961408">
        <w:t xml:space="preserve"> and</w:t>
      </w:r>
      <w:r w:rsidR="00BE6AAF">
        <w:t xml:space="preserve"> </w:t>
      </w:r>
      <w:r>
        <w:t>holds authorizations from the Commission to provide interstate and international telecommunications services.</w:t>
      </w:r>
      <w:r>
        <w:rPr>
          <w:rStyle w:val="FootnoteReference"/>
        </w:rPr>
        <w:footnoteReference w:id="18"/>
      </w:r>
      <w:r>
        <w:t xml:space="preserve">  GTL and its wholly owned subsidiaries offer or are certified to offer telecommunications services, interexchange services, payphone services, operator services, or inmate calling services in Puerto Rico, the District of Columbia, and all fifty (50) states with the exception of Alaska.</w:t>
      </w:r>
      <w:r>
        <w:rPr>
          <w:rStyle w:val="FootnoteReference"/>
        </w:rPr>
        <w:footnoteReference w:id="19"/>
      </w:r>
      <w:r>
        <w:t xml:space="preserve">  </w:t>
      </w:r>
      <w:r w:rsidR="00BE6AAF">
        <w:t>Applicants</w:t>
      </w:r>
      <w:r>
        <w:t xml:space="preserve"> state that </w:t>
      </w:r>
      <w:r w:rsidR="00BE6AAF">
        <w:t>GTL</w:t>
      </w:r>
      <w:r>
        <w:t xml:space="preserve"> specializes in the provision of managed inmate communications services, including inmate calling services.</w:t>
      </w:r>
      <w:r>
        <w:rPr>
          <w:rStyle w:val="FootnoteReference"/>
        </w:rPr>
        <w:footnoteReference w:id="20"/>
      </w:r>
      <w:r>
        <w:t xml:space="preserve">  </w:t>
      </w:r>
    </w:p>
    <w:p w:rsidR="00C02A75" w:rsidP="00DC1EDD" w14:paraId="0D297FF5" w14:textId="35B94E2F">
      <w:pPr>
        <w:widowControl/>
        <w:autoSpaceDE w:val="0"/>
        <w:autoSpaceDN w:val="0"/>
        <w:adjustRightInd w:val="0"/>
        <w:spacing w:after="120"/>
        <w:ind w:firstLine="720"/>
      </w:pPr>
      <w:r>
        <w:rPr>
          <w:szCs w:val="22"/>
        </w:rPr>
        <w:t>Applicants state that the proposed transaction is part of Legacy’s plan to exit the inmate calling services marketplace</w:t>
      </w:r>
      <w:r w:rsidR="00DC1EDD">
        <w:t>.</w:t>
      </w:r>
      <w:r>
        <w:rPr>
          <w:rStyle w:val="FootnoteReference"/>
        </w:rPr>
        <w:footnoteReference w:id="21"/>
      </w:r>
      <w:r w:rsidR="00DC1EDD">
        <w:t xml:space="preserve">  </w:t>
      </w:r>
      <w:r>
        <w:t xml:space="preserve">Pursuant to the terms of the proposed transaction, Legacy will transfer </w:t>
      </w:r>
      <w:r w:rsidR="00A111CC">
        <w:t xml:space="preserve">14 inmate communications service contracts with </w:t>
      </w:r>
      <w:r>
        <w:t>correctional facilit</w:t>
      </w:r>
      <w:r w:rsidR="00A111CC">
        <w:t>ies located in</w:t>
      </w:r>
      <w:r w:rsidR="000B3240">
        <w:t xml:space="preserve"> California, Florida, Illinois, Maine, Maryland, New Mexico, Oregon, and Washington </w:t>
      </w:r>
      <w:r>
        <w:t>to GTL</w:t>
      </w:r>
      <w:r w:rsidR="00DC1EDD">
        <w:t>.</w:t>
      </w:r>
      <w:r>
        <w:rPr>
          <w:rStyle w:val="FootnoteReference"/>
        </w:rPr>
        <w:footnoteReference w:id="22"/>
      </w:r>
      <w:r w:rsidR="00DC1EDD">
        <w:t xml:space="preserve">  Applicants state that</w:t>
      </w:r>
      <w:r w:rsidRPr="0082403E">
        <w:t xml:space="preserve"> GTL will </w:t>
      </w:r>
      <w:r w:rsidR="00174DF7">
        <w:t xml:space="preserve">thereafter </w:t>
      </w:r>
      <w:r w:rsidRPr="0082403E">
        <w:t>provide inmate calling service</w:t>
      </w:r>
      <w:r w:rsidR="00D11423">
        <w:t>s</w:t>
      </w:r>
      <w:r w:rsidRPr="0082403E">
        <w:t xml:space="preserve"> </w:t>
      </w:r>
      <w:r w:rsidR="00DC1EDD">
        <w:t xml:space="preserve">and ancillary services </w:t>
      </w:r>
      <w:r w:rsidRPr="0082403E">
        <w:t>to</w:t>
      </w:r>
      <w:r w:rsidR="00ED5DD3">
        <w:t xml:space="preserve"> the </w:t>
      </w:r>
      <w:r w:rsidR="00023361">
        <w:t xml:space="preserve">transferred </w:t>
      </w:r>
      <w:r w:rsidR="00ED5DD3">
        <w:t>correctional facility customers and th</w:t>
      </w:r>
      <w:r w:rsidR="00023361">
        <w:t>e</w:t>
      </w:r>
      <w:r w:rsidRPr="0082403E">
        <w:t xml:space="preserve"> incarcerated </w:t>
      </w:r>
      <w:r w:rsidR="00023361">
        <w:t>individuals in those facilities</w:t>
      </w:r>
      <w:r w:rsidR="00CF1A3A">
        <w:t xml:space="preserve"> </w:t>
      </w:r>
      <w:r w:rsidRPr="0082403E">
        <w:t>“</w:t>
      </w:r>
      <w:r w:rsidRPr="00C826E6" w:rsidR="00C826E6">
        <w:t>at the existing rates under the Correctional Facility Customer contracts to be transferred subject to federal and state regulations, and applicable contract terms and conditions</w:t>
      </w:r>
      <w:r w:rsidR="00F945F8">
        <w:t>.”</w:t>
      </w:r>
      <w:r>
        <w:rPr>
          <w:rStyle w:val="FootnoteReference"/>
        </w:rPr>
        <w:footnoteReference w:id="23"/>
      </w:r>
    </w:p>
    <w:p w:rsidR="00192C5C" w:rsidRPr="00192C5C" w:rsidP="00192C5C" w14:paraId="608A9539" w14:textId="6C9A74E2">
      <w:pPr>
        <w:widowControl/>
        <w:spacing w:after="120"/>
        <w:rPr>
          <w:b/>
          <w:szCs w:val="22"/>
          <w:u w:val="single"/>
        </w:rPr>
      </w:pPr>
      <w:r>
        <w:rPr>
          <w:b/>
          <w:szCs w:val="22"/>
          <w:u w:val="single"/>
        </w:rPr>
        <w:t>Discussion</w:t>
      </w:r>
    </w:p>
    <w:p w:rsidR="002435EC" w:rsidP="00192C5C" w14:paraId="42DCB1DF" w14:textId="4DC484D8">
      <w:pPr>
        <w:widowControl/>
        <w:autoSpaceDE w:val="0"/>
        <w:autoSpaceDN w:val="0"/>
        <w:adjustRightInd w:val="0"/>
        <w:spacing w:after="120"/>
        <w:ind w:firstLine="720"/>
      </w:pPr>
      <w:r>
        <w:t>We find, u</w:t>
      </w:r>
      <w:r w:rsidRPr="00DB54CA" w:rsidR="00192C5C">
        <w:rPr>
          <w:color w:val="000000"/>
        </w:rPr>
        <w:t>pon consideration of the record,</w:t>
      </w:r>
      <w:r w:rsidR="004A2C21">
        <w:rPr>
          <w:color w:val="000000"/>
        </w:rPr>
        <w:t xml:space="preserve"> </w:t>
      </w:r>
      <w:r w:rsidRPr="00DB54CA" w:rsidR="00192C5C">
        <w:rPr>
          <w:color w:val="000000"/>
        </w:rPr>
        <w:t>that the proposed tra</w:t>
      </w:r>
      <w:r w:rsidR="00192C5C">
        <w:rPr>
          <w:color w:val="000000"/>
        </w:rPr>
        <w:t xml:space="preserve">nsactions </w:t>
      </w:r>
      <w:r w:rsidRPr="00DB54CA" w:rsidR="00192C5C">
        <w:rPr>
          <w:color w:val="000000"/>
        </w:rPr>
        <w:t>will serve the public interest, convenience, and necessity</w:t>
      </w:r>
      <w:r w:rsidRPr="00F66D37" w:rsidR="00192C5C">
        <w:t>.</w:t>
      </w:r>
      <w:r w:rsidR="00192C5C">
        <w:t xml:space="preserve">  </w:t>
      </w:r>
      <w:r w:rsidR="00D11423">
        <w:t xml:space="preserve">Although </w:t>
      </w:r>
      <w:r>
        <w:t xml:space="preserve">the Commission has found that the potential for public interest harm is unlikely in transactions involving non-dominant carriers providing resold or facilities-based </w:t>
      </w:r>
      <w:bookmarkStart w:id="1" w:name="_Hlk47700201"/>
      <w:r>
        <w:t>interstate, interexchange services</w:t>
      </w:r>
      <w:bookmarkEnd w:id="1"/>
      <w:r>
        <w:t>,</w:t>
      </w:r>
      <w:r>
        <w:rPr>
          <w:rStyle w:val="FootnoteReference"/>
        </w:rPr>
        <w:footnoteReference w:id="24"/>
      </w:r>
      <w:r>
        <w:t xml:space="preserve"> </w:t>
      </w:r>
      <w:r w:rsidR="00A64341">
        <w:t>t</w:t>
      </w:r>
      <w:r w:rsidR="004A2C21">
        <w:t>he</w:t>
      </w:r>
      <w:r>
        <w:t xml:space="preserve"> Applicants </w:t>
      </w:r>
      <w:r w:rsidR="00192C5C">
        <w:t xml:space="preserve">in these transactions provide their </w:t>
      </w:r>
      <w:r w:rsidR="00A64341">
        <w:t xml:space="preserve">interstate, interexchange </w:t>
      </w:r>
      <w:r w:rsidR="004A2C21">
        <w:t>telecommunications services</w:t>
      </w:r>
      <w:r w:rsidR="00192C5C">
        <w:t xml:space="preserve"> in the inmate calling services </w:t>
      </w:r>
      <w:r w:rsidR="004A2C21">
        <w:t>industry</w:t>
      </w:r>
      <w:r w:rsidR="00A64341">
        <w:t>.</w:t>
      </w:r>
      <w:r w:rsidR="00192C5C">
        <w:t xml:space="preserve"> </w:t>
      </w:r>
      <w:r w:rsidR="00D2323D">
        <w:t xml:space="preserve"> </w:t>
      </w:r>
      <w:r w:rsidR="00A64341">
        <w:t>T</w:t>
      </w:r>
      <w:r w:rsidR="00192C5C">
        <w:t>he Commission has historically rec</w:t>
      </w:r>
      <w:r w:rsidR="004A2C21">
        <w:t xml:space="preserve">ognized </w:t>
      </w:r>
      <w:r w:rsidR="00A64341">
        <w:t>that the inmate calling services market</w:t>
      </w:r>
      <w:r w:rsidR="008A6EE5">
        <w:t>place</w:t>
      </w:r>
      <w:r w:rsidR="00A64341">
        <w:t xml:space="preserve"> is </w:t>
      </w:r>
      <w:r w:rsidR="00192C5C">
        <w:t xml:space="preserve">different from other </w:t>
      </w:r>
      <w:r w:rsidR="00192C5C">
        <w:t>telecommunications market</w:t>
      </w:r>
      <w:r w:rsidR="008A6EE5">
        <w:t>place</w:t>
      </w:r>
      <w:r w:rsidR="00192C5C">
        <w:t>s</w:t>
      </w:r>
      <w:r w:rsidR="004A2C21">
        <w:t>.</w:t>
      </w:r>
      <w:r>
        <w:rPr>
          <w:rStyle w:val="FootnoteReference"/>
        </w:rPr>
        <w:footnoteReference w:id="25"/>
      </w:r>
      <w:r w:rsidR="004A2C21">
        <w:t xml:space="preserve">  </w:t>
      </w:r>
      <w:r w:rsidR="00192C5C">
        <w:t xml:space="preserve">In light of this difference, </w:t>
      </w:r>
      <w:r w:rsidR="00F02C3B">
        <w:rPr>
          <w:color w:val="000000"/>
        </w:rPr>
        <w:t xml:space="preserve">we have carefully considered these transactions </w:t>
      </w:r>
      <w:r w:rsidR="00D81D47">
        <w:rPr>
          <w:color w:val="000000"/>
        </w:rPr>
        <w:t xml:space="preserve">taking into account </w:t>
      </w:r>
      <w:r w:rsidR="00F02C3B">
        <w:rPr>
          <w:color w:val="000000"/>
        </w:rPr>
        <w:t>the size of the entities involved and the unique concerns applicable to the inmate calling service</w:t>
      </w:r>
      <w:r w:rsidR="00D81D47">
        <w:rPr>
          <w:color w:val="000000"/>
        </w:rPr>
        <w:t>s</w:t>
      </w:r>
      <w:r w:rsidR="00F02C3B">
        <w:rPr>
          <w:color w:val="000000"/>
        </w:rPr>
        <w:t xml:space="preserve"> industry,</w:t>
      </w:r>
      <w:r w:rsidR="00BE5D4F">
        <w:rPr>
          <w:color w:val="000000"/>
        </w:rPr>
        <w:t xml:space="preserve"> </w:t>
      </w:r>
      <w:r w:rsidR="00F02C3B">
        <w:rPr>
          <w:color w:val="000000"/>
        </w:rPr>
        <w:t>including the impact the transaction could have on the ability of incarcerated individuals to communicate with their families and other loved ones at just and reasonable rates and charges.</w:t>
      </w:r>
      <w:r w:rsidR="00F02C3B">
        <w:t xml:space="preserve">  W</w:t>
      </w:r>
      <w:r w:rsidR="00192C5C">
        <w:t xml:space="preserve">e have </w:t>
      </w:r>
      <w:r w:rsidR="00F02C3B">
        <w:t xml:space="preserve">also </w:t>
      </w:r>
      <w:r w:rsidR="00192C5C">
        <w:t xml:space="preserve">considered whether the transfer of the correctional facility contracts at issue in the proposed transactions would result in anti-competitive harm in the inmate calling services </w:t>
      </w:r>
      <w:r w:rsidR="004A2C21">
        <w:t>industry</w:t>
      </w:r>
      <w:r w:rsidR="00A64341">
        <w:t>.</w:t>
      </w:r>
      <w:r>
        <w:rPr>
          <w:rStyle w:val="FootnoteReference"/>
        </w:rPr>
        <w:footnoteReference w:id="26"/>
      </w:r>
      <w:r w:rsidR="00A64341">
        <w:t xml:space="preserve"> </w:t>
      </w:r>
      <w:r w:rsidR="008A6EE5">
        <w:t xml:space="preserve"> </w:t>
      </w:r>
    </w:p>
    <w:p w:rsidR="004A2C21" w:rsidP="00192C5C" w14:paraId="663667B7" w14:textId="06E3F60A">
      <w:pPr>
        <w:widowControl/>
        <w:autoSpaceDE w:val="0"/>
        <w:autoSpaceDN w:val="0"/>
        <w:adjustRightInd w:val="0"/>
        <w:spacing w:after="120"/>
        <w:ind w:firstLine="720"/>
      </w:pPr>
      <w:r>
        <w:t>We</w:t>
      </w:r>
      <w:r>
        <w:t xml:space="preserve"> </w:t>
      </w:r>
      <w:r>
        <w:t>conclude that</w:t>
      </w:r>
      <w:r w:rsidR="00BE6AAF">
        <w:t>,</w:t>
      </w:r>
      <w:r>
        <w:t xml:space="preserve"> based on the specific factual circumstances surrounding Legacy’s decision to exit th</w:t>
      </w:r>
      <w:r w:rsidR="002435EC">
        <w:t>e ICS</w:t>
      </w:r>
      <w:r>
        <w:t xml:space="preserve"> marketplace and cease providing inmate calling services, the likelihood of harm is minima</w:t>
      </w:r>
      <w:r w:rsidR="002435EC">
        <w:t>l</w:t>
      </w:r>
      <w:r>
        <w:t>.</w:t>
      </w:r>
      <w:r>
        <w:t xml:space="preserve">  </w:t>
      </w:r>
      <w:r>
        <w:t xml:space="preserve">Unlike </w:t>
      </w:r>
      <w:r>
        <w:t>proposed</w:t>
      </w:r>
      <w:r w:rsidR="00C76A03">
        <w:t xml:space="preserve"> </w:t>
      </w:r>
      <w:r>
        <w:t>transactions where a carrier seek</w:t>
      </w:r>
      <w:r w:rsidR="00C76A03">
        <w:t xml:space="preserve">s </w:t>
      </w:r>
      <w:r>
        <w:t xml:space="preserve">to </w:t>
      </w:r>
      <w:r w:rsidR="00B2650D">
        <w:t xml:space="preserve">acquire and </w:t>
      </w:r>
      <w:r>
        <w:t>eliminate a</w:t>
      </w:r>
      <w:r w:rsidR="00B2650D">
        <w:t>n independent</w:t>
      </w:r>
      <w:r>
        <w:t xml:space="preserve"> </w:t>
      </w:r>
      <w:r w:rsidR="00C76A03">
        <w:t xml:space="preserve">growing </w:t>
      </w:r>
      <w:r>
        <w:t>competitor</w:t>
      </w:r>
      <w:r w:rsidR="00B33A48">
        <w:t>,</w:t>
      </w:r>
      <w:r w:rsidR="00C76A03">
        <w:t xml:space="preserve"> </w:t>
      </w:r>
      <w:r>
        <w:t>Legacy has chosen to exit the inmate calling services industry</w:t>
      </w:r>
      <w:r w:rsidR="00B33A48">
        <w:t xml:space="preserve">, after considering other alternatives, </w:t>
      </w:r>
      <w:r>
        <w:t>for its own business reasons</w:t>
      </w:r>
      <w:r w:rsidR="00C76A03">
        <w:t>.</w:t>
      </w:r>
      <w:r>
        <w:rPr>
          <w:rStyle w:val="FootnoteReference"/>
        </w:rPr>
        <w:footnoteReference w:id="27"/>
      </w:r>
      <w:r>
        <w:t xml:space="preserve"> </w:t>
      </w:r>
      <w:r w:rsidR="00C76A03">
        <w:t xml:space="preserve"> In doing so, it </w:t>
      </w:r>
      <w:r w:rsidR="002435EC">
        <w:t xml:space="preserve">has </w:t>
      </w:r>
      <w:r w:rsidR="00684F65">
        <w:t xml:space="preserve">worked to ensure continuity of service for its correctional facility customers </w:t>
      </w:r>
      <w:r w:rsidR="00F12B68">
        <w:t>through trans</w:t>
      </w:r>
      <w:r w:rsidR="00C76A03">
        <w:t>actions with existing</w:t>
      </w:r>
      <w:r w:rsidR="00B33A48">
        <w:t xml:space="preserve"> </w:t>
      </w:r>
      <w:r w:rsidR="00F12B68">
        <w:t>inmate calling service</w:t>
      </w:r>
      <w:r w:rsidR="0048740D">
        <w:t>s</w:t>
      </w:r>
      <w:r w:rsidR="00F12B68">
        <w:t xml:space="preserve"> providers</w:t>
      </w:r>
      <w:r w:rsidR="00C76A03">
        <w:t xml:space="preserve"> that could seamlessly </w:t>
      </w:r>
      <w:r w:rsidR="00B33A48">
        <w:t>honor the transferred contracts</w:t>
      </w:r>
      <w:r w:rsidR="00684F65">
        <w:t>.</w:t>
      </w:r>
      <w:r>
        <w:rPr>
          <w:rStyle w:val="FootnoteReference"/>
        </w:rPr>
        <w:footnoteReference w:id="28"/>
      </w:r>
      <w:r w:rsidR="00684F65">
        <w:t xml:space="preserve">  The proposed transactions</w:t>
      </w:r>
      <w:r w:rsidR="00F12B68">
        <w:t xml:space="preserve"> are the result of that effort</w:t>
      </w:r>
      <w:r w:rsidR="00684F65">
        <w:t>,</w:t>
      </w:r>
      <w:r>
        <w:rPr>
          <w:rStyle w:val="FootnoteReference"/>
        </w:rPr>
        <w:footnoteReference w:id="29"/>
      </w:r>
      <w:r w:rsidR="00684F65">
        <w:t xml:space="preserve"> and no party has objected to NCIC</w:t>
      </w:r>
      <w:r w:rsidRPr="00B33A48" w:rsidR="00B33A48">
        <w:t xml:space="preserve"> </w:t>
      </w:r>
      <w:r w:rsidR="00B33A48">
        <w:t xml:space="preserve">or GTL </w:t>
      </w:r>
      <w:r w:rsidR="00684F65">
        <w:t xml:space="preserve">acquiring the </w:t>
      </w:r>
      <w:r w:rsidR="00B33A48">
        <w:t xml:space="preserve">respective </w:t>
      </w:r>
      <w:r w:rsidR="00684F65">
        <w:t xml:space="preserve">contracts </w:t>
      </w:r>
      <w:r w:rsidR="00B33A48">
        <w:t>reflected on A</w:t>
      </w:r>
      <w:r w:rsidR="00076186">
        <w:t>ttachment</w:t>
      </w:r>
      <w:r w:rsidR="00B33A48">
        <w:t xml:space="preserve"> A.</w:t>
      </w:r>
      <w:r w:rsidR="00684F65">
        <w:t xml:space="preserve">  </w:t>
      </w:r>
      <w:r w:rsidRPr="00B2650D" w:rsidR="00684F65">
        <w:t>Further</w:t>
      </w:r>
      <w:r w:rsidRPr="00B2650D" w:rsidR="00F02C3B">
        <w:t>more</w:t>
      </w:r>
      <w:r w:rsidRPr="00B2650D" w:rsidR="00684F65">
        <w:t xml:space="preserve">, </w:t>
      </w:r>
      <w:r w:rsidRPr="00B2650D" w:rsidR="00F02C3B">
        <w:t xml:space="preserve">upon </w:t>
      </w:r>
      <w:r w:rsidRPr="00B2650D" w:rsidR="00684F65">
        <w:t>consummation of the proposed transactions</w:t>
      </w:r>
      <w:r w:rsidRPr="00B2650D" w:rsidR="00947CEA">
        <w:t xml:space="preserve"> and expiration of the terms of the contracts transferred to NCIC and GTL</w:t>
      </w:r>
      <w:r w:rsidRPr="00B2650D" w:rsidR="00684F65">
        <w:t xml:space="preserve">, </w:t>
      </w:r>
      <w:r w:rsidRPr="00B2650D" w:rsidR="00474150">
        <w:t>other</w:t>
      </w:r>
      <w:r w:rsidRPr="00B2650D" w:rsidR="00684F65">
        <w:t xml:space="preserve"> inmate calling service</w:t>
      </w:r>
      <w:r w:rsidR="0048740D">
        <w:t>s</w:t>
      </w:r>
      <w:r w:rsidRPr="00B2650D" w:rsidR="00684F65">
        <w:t xml:space="preserve"> providers will remain </w:t>
      </w:r>
      <w:r w:rsidRPr="00B2650D" w:rsidR="00947CEA">
        <w:t xml:space="preserve">in the industry </w:t>
      </w:r>
      <w:r w:rsidRPr="00B2650D" w:rsidR="00684F65">
        <w:t xml:space="preserve">to </w:t>
      </w:r>
      <w:r w:rsidRPr="00B2650D" w:rsidR="00A851DD">
        <w:t xml:space="preserve">compete for </w:t>
      </w:r>
      <w:r w:rsidRPr="00B2650D" w:rsidR="00684F65">
        <w:t>the</w:t>
      </w:r>
      <w:r w:rsidRPr="00B2650D" w:rsidR="00947CEA">
        <w:t>se</w:t>
      </w:r>
      <w:r w:rsidRPr="00B2650D" w:rsidR="00684F65">
        <w:t xml:space="preserve"> contracts when</w:t>
      </w:r>
      <w:r w:rsidRPr="00B2650D" w:rsidR="00A851DD">
        <w:t xml:space="preserve"> they</w:t>
      </w:r>
      <w:r w:rsidRPr="00B2650D" w:rsidR="00684F65">
        <w:t xml:space="preserve"> </w:t>
      </w:r>
      <w:r w:rsidRPr="00B2650D" w:rsidR="00A851DD">
        <w:t>are</w:t>
      </w:r>
      <w:r w:rsidRPr="00B2650D" w:rsidR="00341EE6">
        <w:t xml:space="preserve"> publicly</w:t>
      </w:r>
      <w:r w:rsidRPr="00B2650D" w:rsidR="00A851DD">
        <w:t xml:space="preserve"> rebid</w:t>
      </w:r>
      <w:r w:rsidRPr="00B2650D" w:rsidR="00947CEA">
        <w:t>,</w:t>
      </w:r>
      <w:r w:rsidRPr="00B2650D" w:rsidR="00A851DD">
        <w:t xml:space="preserve"> </w:t>
      </w:r>
      <w:r w:rsidRPr="00B2650D" w:rsidR="00947CEA">
        <w:t>as typically occurs in this industry.</w:t>
      </w:r>
      <w:r>
        <w:rPr>
          <w:rStyle w:val="FootnoteReference"/>
        </w:rPr>
        <w:footnoteReference w:id="30"/>
      </w:r>
    </w:p>
    <w:p w:rsidR="00D2323D" w:rsidP="00192C5C" w14:paraId="003F3F17" w14:textId="58AAA408">
      <w:pPr>
        <w:widowControl/>
        <w:autoSpaceDE w:val="0"/>
        <w:autoSpaceDN w:val="0"/>
        <w:adjustRightInd w:val="0"/>
        <w:spacing w:after="120"/>
        <w:ind w:firstLine="720"/>
      </w:pPr>
      <w:r>
        <w:t xml:space="preserve">With respect to NCIC, </w:t>
      </w:r>
      <w:r w:rsidR="00850EB2">
        <w:t>we agree that “</w:t>
      </w:r>
      <w:r w:rsidR="00A83A08">
        <w:t>[</w:t>
      </w:r>
      <w:r w:rsidR="00850EB2">
        <w:t>t</w:t>
      </w:r>
      <w:r w:rsidR="00A83A08">
        <w:t>]</w:t>
      </w:r>
      <w:r w:rsidR="00850EB2">
        <w:t>he financial and managerial support of NCIC will further the development of new and better services for the benefit” of the customers it will acquire from Legacy,</w:t>
      </w:r>
      <w:r>
        <w:rPr>
          <w:rStyle w:val="FootnoteReference"/>
        </w:rPr>
        <w:footnoteReference w:id="31"/>
      </w:r>
      <w:r w:rsidR="00850EB2">
        <w:t xml:space="preserve"> including new product offerings.</w:t>
      </w:r>
      <w:r>
        <w:rPr>
          <w:rStyle w:val="FootnoteReference"/>
        </w:rPr>
        <w:footnoteReference w:id="32"/>
      </w:r>
      <w:r w:rsidR="00850EB2">
        <w:t xml:space="preserve">  We also </w:t>
      </w:r>
      <w:r>
        <w:t xml:space="preserve">agree that its acquisition of the Legacy contracts </w:t>
      </w:r>
      <w:r>
        <w:t>would allow</w:t>
      </w:r>
      <w:r w:rsidR="00850EB2">
        <w:t xml:space="preserve"> NCIC</w:t>
      </w:r>
      <w:r>
        <w:t xml:space="preserve"> to become a stronger competitor to larger inmate calling services providers, including GTL, and be better positioned to more competitively bid for future contracts by offering better prices and services for inmates and their families.</w:t>
      </w:r>
      <w:r>
        <w:rPr>
          <w:rStyle w:val="FootnoteReference"/>
        </w:rPr>
        <w:footnoteReference w:id="33"/>
      </w:r>
      <w:r>
        <w:t xml:space="preserve">  </w:t>
      </w:r>
    </w:p>
    <w:p w:rsidR="00A851DD" w:rsidP="00192C5C" w14:paraId="6D52DE0A" w14:textId="0EF6DE35">
      <w:pPr>
        <w:widowControl/>
        <w:autoSpaceDE w:val="0"/>
        <w:autoSpaceDN w:val="0"/>
        <w:adjustRightInd w:val="0"/>
        <w:spacing w:after="120"/>
        <w:ind w:firstLine="720"/>
      </w:pPr>
      <w:r>
        <w:t xml:space="preserve">With respect to GTL, </w:t>
      </w:r>
      <w:r w:rsidR="002D4DBB">
        <w:t>g</w:t>
      </w:r>
      <w:r>
        <w:t xml:space="preserve">iven </w:t>
      </w:r>
      <w:r w:rsidR="002D4DBB">
        <w:t xml:space="preserve">its position </w:t>
      </w:r>
      <w:r>
        <w:t>a</w:t>
      </w:r>
      <w:r>
        <w:t>s the largest provider of inmate calling services in the United States,</w:t>
      </w:r>
      <w:r>
        <w:rPr>
          <w:rStyle w:val="FootnoteReference"/>
        </w:rPr>
        <w:footnoteReference w:id="34"/>
      </w:r>
      <w:r>
        <w:t xml:space="preserve"> </w:t>
      </w:r>
      <w:r w:rsidR="002D4DBB">
        <w:t xml:space="preserve">any </w:t>
      </w:r>
      <w:r w:rsidRPr="00720B31" w:rsidR="002D4DBB">
        <w:t>transaction that serves to increase GTL’s  industry position raises concerns of potential competitive harm</w:t>
      </w:r>
      <w:r w:rsidRPr="00FF4D53">
        <w:t xml:space="preserve"> </w:t>
      </w:r>
      <w:r w:rsidR="002D4DBB">
        <w:t xml:space="preserve">and potential </w:t>
      </w:r>
      <w:r w:rsidRPr="00FF4D53">
        <w:t>adverse impact</w:t>
      </w:r>
      <w:r w:rsidRPr="00FF4D53" w:rsidR="00257F5D">
        <w:t xml:space="preserve">s </w:t>
      </w:r>
      <w:r w:rsidR="002D4DBB">
        <w:t xml:space="preserve">on </w:t>
      </w:r>
      <w:r w:rsidRPr="00FF4D53">
        <w:t>incarcerated individuals</w:t>
      </w:r>
      <w:r w:rsidR="002D4DBB">
        <w:t>’ ability</w:t>
      </w:r>
      <w:r w:rsidRPr="00FF4D53">
        <w:t xml:space="preserve"> to communicate with their families and other loved ones at just and reasonable rates and charges.</w:t>
      </w:r>
      <w:r>
        <w:t xml:space="preserve">  </w:t>
      </w:r>
      <w:r w:rsidRPr="00720B31" w:rsidR="002D4DBB">
        <w:t xml:space="preserve">These concerns are mitigated here, however, based on the specific factual circumstances surrounding </w:t>
      </w:r>
      <w:r w:rsidR="002435EC">
        <w:t xml:space="preserve">this </w:t>
      </w:r>
      <w:r w:rsidR="002D4DBB">
        <w:t>t</w:t>
      </w:r>
      <w:r w:rsidRPr="00720B31" w:rsidR="002D4DBB">
        <w:t>ransaction</w:t>
      </w:r>
      <w:r w:rsidR="002D4DBB">
        <w:t xml:space="preserve">.  </w:t>
      </w:r>
      <w:bookmarkStart w:id="3" w:name="_Hlk56584543"/>
      <w:r w:rsidR="002D4DBB">
        <w:t>T</w:t>
      </w:r>
      <w:r w:rsidR="00257F5D">
        <w:t>he</w:t>
      </w:r>
      <w:r w:rsidR="008A7431">
        <w:t xml:space="preserve"> contracts to be transferred from Legacy to GTL </w:t>
      </w:r>
      <w:r w:rsidR="002D4DBB">
        <w:t>(</w:t>
      </w:r>
      <w:r w:rsidR="008A7431">
        <w:t>and NCIC</w:t>
      </w:r>
      <w:r w:rsidR="002D4DBB">
        <w:t>)</w:t>
      </w:r>
      <w:r w:rsidR="008A7431">
        <w:t xml:space="preserve"> collectively represen</w:t>
      </w:r>
      <w:bookmarkEnd w:id="3"/>
      <w:r w:rsidR="008A7431">
        <w:t xml:space="preserve">t a </w:t>
      </w:r>
      <w:r w:rsidRPr="00F96137" w:rsidR="003745CB">
        <w:rPr>
          <w:i/>
          <w:iCs/>
        </w:rPr>
        <w:t>de minimis</w:t>
      </w:r>
      <w:r w:rsidR="003745CB">
        <w:t xml:space="preserve"> </w:t>
      </w:r>
      <w:r w:rsidR="008A7431">
        <w:t>share of the inmate calling service</w:t>
      </w:r>
      <w:r w:rsidR="0048740D">
        <w:t>s</w:t>
      </w:r>
      <w:r w:rsidR="008A7431">
        <w:t xml:space="preserve"> industry in </w:t>
      </w:r>
      <w:r w:rsidRPr="007E117C" w:rsidR="008A7431">
        <w:t xml:space="preserve">terms of both </w:t>
      </w:r>
      <w:r w:rsidRPr="007E117C" w:rsidR="00AA4ED7">
        <w:t xml:space="preserve">publicly available </w:t>
      </w:r>
      <w:r w:rsidRPr="007E117C" w:rsidR="008A7431">
        <w:t>average daily population</w:t>
      </w:r>
      <w:r>
        <w:rPr>
          <w:rStyle w:val="FootnoteReference"/>
        </w:rPr>
        <w:footnoteReference w:id="35"/>
      </w:r>
      <w:r w:rsidRPr="007E117C" w:rsidR="00AA4ED7">
        <w:t xml:space="preserve"> and Commission data </w:t>
      </w:r>
      <w:r w:rsidRPr="007E117C" w:rsidR="007E117C">
        <w:t>o</w:t>
      </w:r>
      <w:r w:rsidRPr="007E117C" w:rsidR="00AA4ED7">
        <w:t>n</w:t>
      </w:r>
      <w:r w:rsidRPr="007E117C" w:rsidR="002D4DBB">
        <w:t xml:space="preserve"> total </w:t>
      </w:r>
      <w:r w:rsidRPr="007E117C" w:rsidR="00AA4ED7">
        <w:t xml:space="preserve">industry </w:t>
      </w:r>
      <w:r w:rsidRPr="007E117C" w:rsidR="002D4DBB">
        <w:t>revenue</w:t>
      </w:r>
      <w:r w:rsidRPr="007E117C" w:rsidR="008A7431">
        <w:t>.</w:t>
      </w:r>
      <w:r>
        <w:rPr>
          <w:rStyle w:val="FootnoteReference"/>
        </w:rPr>
        <w:footnoteReference w:id="36"/>
      </w:r>
      <w:r w:rsidRPr="007E117C" w:rsidR="008A7431">
        <w:t xml:space="preserve">  </w:t>
      </w:r>
      <w:bookmarkStart w:id="4" w:name="_Hlk56584669"/>
      <w:r w:rsidRPr="007E117C" w:rsidR="0099420D">
        <w:t>For example</w:t>
      </w:r>
      <w:r w:rsidRPr="007E117C" w:rsidR="007E117C">
        <w:t>,</w:t>
      </w:r>
      <w:r w:rsidRPr="007E117C" w:rsidR="0099420D">
        <w:t xml:space="preserve"> </w:t>
      </w:r>
      <w:r w:rsidRPr="007E117C" w:rsidR="007E117C">
        <w:t xml:space="preserve">based on Commission data, </w:t>
      </w:r>
      <w:r w:rsidRPr="007E117C" w:rsidR="008A7431">
        <w:t xml:space="preserve">GTL’s </w:t>
      </w:r>
      <w:r w:rsidRPr="007E117C" w:rsidR="007E117C">
        <w:t xml:space="preserve">industry </w:t>
      </w:r>
      <w:r w:rsidRPr="007E117C" w:rsidR="008A7431">
        <w:t>share</w:t>
      </w:r>
      <w:r w:rsidRPr="007E117C" w:rsidR="007E117C">
        <w:t xml:space="preserve"> will only increase by roughly </w:t>
      </w:r>
      <w:r w:rsidRPr="007E117C" w:rsidR="0099420D">
        <w:t>1%</w:t>
      </w:r>
      <w:r w:rsidRPr="007E117C" w:rsidR="008A7431">
        <w:t xml:space="preserve"> as a result of </w:t>
      </w:r>
      <w:r w:rsidRPr="007E117C" w:rsidR="00482193">
        <w:t>acquiring the Legacy contracts for the remainder of their service terms</w:t>
      </w:r>
      <w:bookmarkEnd w:id="4"/>
      <w:r w:rsidRPr="007E117C" w:rsidR="008A7431">
        <w:t>.</w:t>
      </w:r>
      <w:r>
        <w:rPr>
          <w:rStyle w:val="FootnoteReference"/>
        </w:rPr>
        <w:footnoteReference w:id="37"/>
      </w:r>
      <w:r w:rsidRPr="007E117C" w:rsidR="00257F5D">
        <w:t xml:space="preserve">  Accordingly, </w:t>
      </w:r>
      <w:r w:rsidRPr="007E117C" w:rsidR="00602C1E">
        <w:t>although</w:t>
      </w:r>
      <w:r w:rsidR="00602C1E">
        <w:t xml:space="preserve"> th</w:t>
      </w:r>
      <w:r w:rsidR="0099420D">
        <w:t xml:space="preserve">is transaction </w:t>
      </w:r>
      <w:r w:rsidR="00FD1E42">
        <w:t>(</w:t>
      </w:r>
      <w:r w:rsidR="0099420D">
        <w:t>as well as the NCIC tran</w:t>
      </w:r>
      <w:r w:rsidR="00FD1E42">
        <w:t xml:space="preserve">saction) </w:t>
      </w:r>
      <w:r w:rsidR="002435EC">
        <w:t xml:space="preserve">is related to </w:t>
      </w:r>
      <w:r w:rsidR="00CB2FA6">
        <w:t xml:space="preserve">a reduction in </w:t>
      </w:r>
      <w:r w:rsidR="00FD1E42">
        <w:t xml:space="preserve">the </w:t>
      </w:r>
      <w:r w:rsidR="002435EC">
        <w:t xml:space="preserve">total </w:t>
      </w:r>
      <w:r w:rsidR="00FD1E42">
        <w:t xml:space="preserve">number of </w:t>
      </w:r>
      <w:r w:rsidR="00CB2FA6">
        <w:t>competitors in the inmate calling</w:t>
      </w:r>
      <w:r w:rsidR="00FD1E42">
        <w:t xml:space="preserve"> </w:t>
      </w:r>
      <w:r w:rsidR="002435EC">
        <w:t xml:space="preserve">services </w:t>
      </w:r>
      <w:r w:rsidR="00FD1E42">
        <w:t xml:space="preserve">industry upon </w:t>
      </w:r>
      <w:r w:rsidR="00474150">
        <w:t>Legacy</w:t>
      </w:r>
      <w:r w:rsidR="00FD1E42">
        <w:t>’s</w:t>
      </w:r>
      <w:r w:rsidR="00474150">
        <w:t xml:space="preserve"> </w:t>
      </w:r>
      <w:r w:rsidR="002435EC">
        <w:t xml:space="preserve">ultimate </w:t>
      </w:r>
      <w:r w:rsidR="00474150">
        <w:t>exit</w:t>
      </w:r>
      <w:r w:rsidR="00CB2FA6">
        <w:t xml:space="preserve">, </w:t>
      </w:r>
      <w:r w:rsidR="00257F5D">
        <w:t>th</w:t>
      </w:r>
      <w:r w:rsidR="002435EC">
        <w:t>is</w:t>
      </w:r>
      <w:r w:rsidR="00257F5D">
        <w:t xml:space="preserve"> proposed transaction </w:t>
      </w:r>
      <w:r w:rsidR="00FD1E42">
        <w:t xml:space="preserve">is not the cause of that reduction, nor </w:t>
      </w:r>
      <w:r w:rsidR="00257F5D">
        <w:t xml:space="preserve">will </w:t>
      </w:r>
      <w:r w:rsidR="00500FBC">
        <w:t>it materially</w:t>
      </w:r>
      <w:r w:rsidR="00FD1E42">
        <w:t xml:space="preserve"> increase</w:t>
      </w:r>
      <w:r w:rsidR="00257F5D">
        <w:t xml:space="preserve"> GTL’s</w:t>
      </w:r>
      <w:r w:rsidR="00FD1E42">
        <w:t xml:space="preserve"> industry</w:t>
      </w:r>
      <w:r w:rsidR="00257F5D">
        <w:t xml:space="preserve"> position in the inmate calling service</w:t>
      </w:r>
      <w:r w:rsidR="0048740D">
        <w:t>s</w:t>
      </w:r>
      <w:r w:rsidR="00257F5D">
        <w:t xml:space="preserve"> industry</w:t>
      </w:r>
      <w:r w:rsidR="00474150">
        <w:t xml:space="preserve"> s</w:t>
      </w:r>
      <w:r w:rsidR="00FD1E42">
        <w:t xml:space="preserve">o as to raise concerns of potential </w:t>
      </w:r>
      <w:r w:rsidR="00474150">
        <w:t>competitive harm</w:t>
      </w:r>
      <w:r w:rsidR="00257F5D">
        <w:t>.</w:t>
      </w:r>
      <w:r w:rsidR="002435EC">
        <w:t xml:space="preserve"> </w:t>
      </w:r>
      <w:r w:rsidR="006306F5">
        <w:t xml:space="preserve"> </w:t>
      </w:r>
      <w:r w:rsidR="002435EC">
        <w:t>Moreover</w:t>
      </w:r>
      <w:r w:rsidR="00201E3B">
        <w:t>,</w:t>
      </w:r>
      <w:r w:rsidR="002435EC">
        <w:t xml:space="preserve"> Applicants </w:t>
      </w:r>
      <w:r w:rsidR="006306F5">
        <w:t xml:space="preserve">assert </w:t>
      </w:r>
      <w:r w:rsidR="002435EC">
        <w:t xml:space="preserve">that GTL has significant experience in the inmate calling services industry and that the pertinent correctional facility customers will continue </w:t>
      </w:r>
      <w:r w:rsidR="002435EC">
        <w:t>to receive high-quality service supported by GTL’s inmate communications expertise and experienced</w:t>
      </w:r>
      <w:r w:rsidRPr="006306F5" w:rsidR="006306F5">
        <w:t xml:space="preserve"> </w:t>
      </w:r>
      <w:r w:rsidR="006306F5">
        <w:t>management team.</w:t>
      </w:r>
      <w:r>
        <w:rPr>
          <w:rStyle w:val="FootnoteReference"/>
        </w:rPr>
        <w:footnoteReference w:id="38"/>
      </w:r>
      <w:r w:rsidR="002435EC">
        <w:t xml:space="preserve"> </w:t>
      </w:r>
    </w:p>
    <w:p w:rsidR="00CB03B9" w:rsidP="00192C5C" w14:paraId="03F04FDD" w14:textId="4EB4FEA0">
      <w:pPr>
        <w:widowControl/>
        <w:autoSpaceDE w:val="0"/>
        <w:autoSpaceDN w:val="0"/>
        <w:adjustRightInd w:val="0"/>
        <w:spacing w:after="120"/>
        <w:ind w:firstLine="720"/>
      </w:pPr>
      <w:r w:rsidRPr="00A335C5">
        <w:t xml:space="preserve">Applicants </w:t>
      </w:r>
      <w:r w:rsidR="00771F3A">
        <w:t xml:space="preserve">in both transactions </w:t>
      </w:r>
      <w:r w:rsidRPr="00A335C5">
        <w:t xml:space="preserve">represent that approval of the proposed transactions is necessary to avoid imminent disruptions in </w:t>
      </w:r>
      <w:r w:rsidR="00771F3A">
        <w:t xml:space="preserve">calling </w:t>
      </w:r>
      <w:r w:rsidRPr="00A335C5">
        <w:t>service</w:t>
      </w:r>
      <w:r w:rsidR="00771F3A">
        <w:t>s</w:t>
      </w:r>
      <w:r w:rsidRPr="00A335C5">
        <w:t xml:space="preserve"> </w:t>
      </w:r>
      <w:r w:rsidR="00CC3F5C">
        <w:t xml:space="preserve">at </w:t>
      </w:r>
      <w:r w:rsidRPr="00A335C5">
        <w:t>the pertinent correctional facilit</w:t>
      </w:r>
      <w:r w:rsidR="00CC3F5C">
        <w:t>ies</w:t>
      </w:r>
      <w:r w:rsidR="00B24A8B">
        <w:t xml:space="preserve"> </w:t>
      </w:r>
      <w:r w:rsidR="00CC3F5C">
        <w:t xml:space="preserve">for </w:t>
      </w:r>
      <w:r w:rsidR="00771F3A">
        <w:t xml:space="preserve">incarcerated </w:t>
      </w:r>
      <w:r w:rsidR="00B24A8B">
        <w:t>end users</w:t>
      </w:r>
      <w:r w:rsidR="00771F3A">
        <w:t xml:space="preserve"> residing in those facilities</w:t>
      </w:r>
      <w:r w:rsidR="005E038C">
        <w:t>.</w:t>
      </w:r>
      <w:r>
        <w:rPr>
          <w:rStyle w:val="FootnoteReference"/>
        </w:rPr>
        <w:footnoteReference w:id="39"/>
      </w:r>
      <w:r w:rsidRPr="007A3CC9">
        <w:t xml:space="preserve"> </w:t>
      </w:r>
      <w:r>
        <w:t xml:space="preserve"> </w:t>
      </w:r>
      <w:r w:rsidR="005E038C">
        <w:t>Such interruptions would impede incarcerated individuals’ ability to maintain vital connections with families and loved ones that have been shown to increase their chances of success after release and lower the risk of recidivism.</w:t>
      </w:r>
      <w:r>
        <w:rPr>
          <w:rStyle w:val="FootnoteReference"/>
        </w:rPr>
        <w:footnoteReference w:id="40"/>
      </w:r>
      <w:r w:rsidR="005E038C">
        <w:t xml:space="preserve">  </w:t>
      </w:r>
      <w:r w:rsidR="00771F3A">
        <w:t>We agree that approval and c</w:t>
      </w:r>
      <w:r w:rsidR="005E038C">
        <w:t>onsummation of the</w:t>
      </w:r>
      <w:r w:rsidR="00771F3A">
        <w:t>se two</w:t>
      </w:r>
      <w:r w:rsidRPr="007A3CC9" w:rsidR="005E038C">
        <w:t xml:space="preserve"> transactions</w:t>
      </w:r>
      <w:r w:rsidR="005E038C">
        <w:t xml:space="preserve"> will ensure that the</w:t>
      </w:r>
      <w:r w:rsidR="00771F3A">
        <w:t xml:space="preserve"> affected </w:t>
      </w:r>
      <w:r w:rsidR="005E038C">
        <w:t xml:space="preserve">correctional facilities, </w:t>
      </w:r>
      <w:r w:rsidR="00771F3A">
        <w:t xml:space="preserve">their </w:t>
      </w:r>
      <w:r w:rsidR="00CC3F5C">
        <w:t xml:space="preserve">resident </w:t>
      </w:r>
      <w:r w:rsidR="005E038C">
        <w:t>in</w:t>
      </w:r>
      <w:r w:rsidR="00771F3A">
        <w:t>carcerated individuals</w:t>
      </w:r>
      <w:r w:rsidR="005E038C">
        <w:t>, and th</w:t>
      </w:r>
      <w:r w:rsidR="00CC3F5C">
        <w:t>os</w:t>
      </w:r>
      <w:r w:rsidR="005E038C">
        <w:t xml:space="preserve">e </w:t>
      </w:r>
      <w:r w:rsidR="00CC3F5C">
        <w:t xml:space="preserve">incarcerated individuals’ </w:t>
      </w:r>
      <w:r w:rsidR="005E038C">
        <w:t>families</w:t>
      </w:r>
      <w:r w:rsidR="00B24A8B">
        <w:t xml:space="preserve"> and loved ones</w:t>
      </w:r>
      <w:r w:rsidR="005E038C">
        <w:t xml:space="preserve"> continue to receive these essential </w:t>
      </w:r>
      <w:r w:rsidR="00CC3F5C">
        <w:t xml:space="preserve">communications </w:t>
      </w:r>
      <w:r w:rsidR="005E038C">
        <w:t>services</w:t>
      </w:r>
      <w:r w:rsidR="003E5459">
        <w:t xml:space="preserve"> on an uninterrupted basis</w:t>
      </w:r>
      <w:r w:rsidR="005E038C">
        <w:t xml:space="preserve">, </w:t>
      </w:r>
      <w:r w:rsidR="00E254E6">
        <w:t xml:space="preserve">which is of </w:t>
      </w:r>
      <w:r w:rsidR="00771F3A">
        <w:t>particular</w:t>
      </w:r>
      <w:r w:rsidR="00E254E6">
        <w:t xml:space="preserve"> importance</w:t>
      </w:r>
      <w:r w:rsidR="00771F3A">
        <w:t xml:space="preserve"> as the </w:t>
      </w:r>
      <w:r w:rsidR="00E254E6">
        <w:t xml:space="preserve">COVID-19 </w:t>
      </w:r>
      <w:r w:rsidR="00771F3A">
        <w:t>pandemic continues to preclude in-person visitation</w:t>
      </w:r>
      <w:r w:rsidR="003E5459">
        <w:t>.</w:t>
      </w:r>
      <w:r w:rsidR="000F1215">
        <w:t xml:space="preserve">  </w:t>
      </w:r>
    </w:p>
    <w:p w:rsidR="008A7431" w:rsidP="00192C5C" w14:paraId="0DB12FC8" w14:textId="441D4B9D">
      <w:pPr>
        <w:widowControl/>
        <w:autoSpaceDE w:val="0"/>
        <w:autoSpaceDN w:val="0"/>
        <w:adjustRightInd w:val="0"/>
        <w:spacing w:after="120"/>
        <w:ind w:firstLine="720"/>
      </w:pPr>
      <w:r>
        <w:t>Finally</w:t>
      </w:r>
      <w:r w:rsidR="005E038C">
        <w:t xml:space="preserve">, </w:t>
      </w:r>
      <w:r w:rsidR="0089218B">
        <w:t>Applicants represent</w:t>
      </w:r>
      <w:r w:rsidR="005E038C">
        <w:t xml:space="preserve"> to the Commission that, after the completion of the proposed transactions, </w:t>
      </w:r>
      <w:r w:rsidR="0089218B">
        <w:t>NCIC</w:t>
      </w:r>
      <w:r w:rsidR="00CC3F5C">
        <w:t xml:space="preserve"> and GTL</w:t>
      </w:r>
      <w:r w:rsidR="005E038C">
        <w:t xml:space="preserve"> will continue </w:t>
      </w:r>
      <w:r w:rsidR="0089218B">
        <w:t>providing high-quality services to the correctional facility customers and incarcerated end users pursuant to</w:t>
      </w:r>
      <w:r w:rsidR="00E254E6">
        <w:t xml:space="preserve"> the same</w:t>
      </w:r>
      <w:r w:rsidR="0089218B">
        <w:t xml:space="preserve"> </w:t>
      </w:r>
      <w:r w:rsidR="005E038C">
        <w:t>terms and conditions</w:t>
      </w:r>
      <w:r w:rsidR="0089218B">
        <w:t xml:space="preserve"> as their existing contracts with </w:t>
      </w:r>
      <w:r w:rsidR="005E038C">
        <w:t>Legacy</w:t>
      </w:r>
      <w:r w:rsidR="007562E4">
        <w:t>.</w:t>
      </w:r>
      <w:r>
        <w:rPr>
          <w:rStyle w:val="FootnoteReference"/>
        </w:rPr>
        <w:footnoteReference w:id="41"/>
      </w:r>
      <w:r w:rsidR="005E038C">
        <w:t xml:space="preserve"> </w:t>
      </w:r>
      <w:r w:rsidR="00257F5D">
        <w:t xml:space="preserve"> </w:t>
      </w:r>
      <w:r w:rsidR="005E038C">
        <w:t>The Commission has</w:t>
      </w:r>
      <w:r w:rsidR="008E6EE8">
        <w:t xml:space="preserve"> previously</w:t>
      </w:r>
      <w:r w:rsidR="005E038C">
        <w:t xml:space="preserve"> deemed continued service </w:t>
      </w:r>
      <w:r w:rsidR="008E6EE8">
        <w:t xml:space="preserve">to incarcerated individuals </w:t>
      </w:r>
      <w:r w:rsidR="005E038C">
        <w:t>at existing rates</w:t>
      </w:r>
      <w:r w:rsidR="008E6EE8">
        <w:t xml:space="preserve">, terms, and conditions to be a </w:t>
      </w:r>
      <w:r w:rsidR="00E254E6">
        <w:t>public</w:t>
      </w:r>
      <w:r w:rsidR="008E6EE8">
        <w:t xml:space="preserve"> benefit </w:t>
      </w:r>
      <w:r w:rsidR="00C5259B">
        <w:t>when reviewing a</w:t>
      </w:r>
      <w:r w:rsidR="00764BCB">
        <w:t xml:space="preserve"> transaction between</w:t>
      </w:r>
      <w:r w:rsidR="008E6EE8">
        <w:t xml:space="preserve"> inmate calling service</w:t>
      </w:r>
      <w:r w:rsidR="002C7C32">
        <w:t>s</w:t>
      </w:r>
      <w:r w:rsidR="00C5259B">
        <w:t xml:space="preserve"> </w:t>
      </w:r>
      <w:r w:rsidR="00764BCB">
        <w:t>providers</w:t>
      </w:r>
      <w:r w:rsidR="005E038C">
        <w:t>.</w:t>
      </w:r>
      <w:r>
        <w:rPr>
          <w:rStyle w:val="FootnoteReference"/>
        </w:rPr>
        <w:footnoteReference w:id="42"/>
      </w:r>
    </w:p>
    <w:p w:rsidR="00192C5C" w:rsidRPr="00192C5C" w:rsidP="00010997" w14:paraId="1BE318CB" w14:textId="6CD1F65C">
      <w:pPr>
        <w:widowControl/>
        <w:autoSpaceDE w:val="0"/>
        <w:autoSpaceDN w:val="0"/>
        <w:adjustRightInd w:val="0"/>
        <w:spacing w:after="120"/>
        <w:ind w:firstLine="720"/>
      </w:pPr>
      <w:r>
        <w:t>Accordingly, p</w:t>
      </w:r>
      <w:r w:rsidRPr="00C7200D">
        <w:t xml:space="preserve">ursuant to </w:t>
      </w:r>
      <w:r>
        <w:t>s</w:t>
      </w:r>
      <w:r w:rsidRPr="00C7200D">
        <w:t>ections 214(a)</w:t>
      </w:r>
      <w:r>
        <w:t xml:space="preserve"> and </w:t>
      </w:r>
      <w:r w:rsidRPr="00C7200D">
        <w:t>214(c)</w:t>
      </w:r>
      <w:r>
        <w:t xml:space="preserve"> </w:t>
      </w:r>
      <w:r w:rsidRPr="00C7200D">
        <w:t xml:space="preserve">of the </w:t>
      </w:r>
      <w:r>
        <w:t xml:space="preserve">Communications </w:t>
      </w:r>
      <w:r w:rsidRPr="00C7200D">
        <w:t>Act</w:t>
      </w:r>
      <w:r>
        <w:t xml:space="preserve"> of 1934</w:t>
      </w:r>
      <w:r w:rsidRPr="00C7200D">
        <w:t xml:space="preserve">, </w:t>
      </w:r>
      <w:r>
        <w:t xml:space="preserve">as amended, </w:t>
      </w:r>
      <w:r w:rsidRPr="00C7200D">
        <w:t xml:space="preserve">47 U.S.C. §§ 214(a), 214(c), and </w:t>
      </w:r>
      <w:r>
        <w:t>s</w:t>
      </w:r>
      <w:r w:rsidRPr="00B73C0C">
        <w:t>ection</w:t>
      </w:r>
      <w:r>
        <w:t>s</w:t>
      </w:r>
      <w:r w:rsidRPr="00B73C0C">
        <w:t xml:space="preserve"> </w:t>
      </w:r>
      <w:r>
        <w:t xml:space="preserve">63.03-04, 63.18, and 63.24 </w:t>
      </w:r>
      <w:r w:rsidRPr="00B73C0C">
        <w:t>of the Commission’s rules, 47 CFR §§</w:t>
      </w:r>
      <w:r>
        <w:t xml:space="preserve"> </w:t>
      </w:r>
      <w:r w:rsidRPr="00B73C0C">
        <w:t>63.</w:t>
      </w:r>
      <w:r>
        <w:t>03-</w:t>
      </w:r>
      <w:r w:rsidRPr="00B73C0C">
        <w:t xml:space="preserve">04, </w:t>
      </w:r>
      <w:r>
        <w:t xml:space="preserve">63.18, </w:t>
      </w:r>
      <w:r w:rsidRPr="00B73C0C">
        <w:t xml:space="preserve">63.24, and pursuant to the authority delegated under </w:t>
      </w:r>
      <w:r>
        <w:t>s</w:t>
      </w:r>
      <w:r w:rsidRPr="00C7200D">
        <w:t>ections 0.51</w:t>
      </w:r>
      <w:r>
        <w:t xml:space="preserve">, </w:t>
      </w:r>
      <w:r w:rsidRPr="00C7200D">
        <w:t xml:space="preserve">0.91, 0.261, </w:t>
      </w:r>
      <w:r>
        <w:t xml:space="preserve">and </w:t>
      </w:r>
      <w:r w:rsidRPr="00C7200D">
        <w:t xml:space="preserve">0.291 of the Commission’s rules, </w:t>
      </w:r>
      <w:r w:rsidRPr="00235FC2">
        <w:t xml:space="preserve">47 CFR §§ 0.51, 0.91, 0.261, and 0.291, we grant the </w:t>
      </w:r>
      <w:r w:rsidR="00531889">
        <w:t>a</w:t>
      </w:r>
      <w:r w:rsidRPr="00235FC2">
        <w:t xml:space="preserve">pplications listed </w:t>
      </w:r>
      <w:r>
        <w:t>in this Public Notice</w:t>
      </w:r>
      <w:r w:rsidRPr="00235FC2">
        <w:t>.</w:t>
      </w:r>
      <w:r w:rsidRPr="00C7200D">
        <w:t xml:space="preserve"> </w:t>
      </w:r>
    </w:p>
    <w:p w:rsidR="00192C5C" w:rsidP="00192C5C" w14:paraId="56CCB277" w14:textId="4CD1AF62">
      <w:pPr>
        <w:widowControl/>
        <w:spacing w:after="120"/>
        <w:ind w:firstLine="720"/>
        <w:rPr>
          <w:color w:val="000000"/>
        </w:rPr>
      </w:pP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ED5DD3" w:rsidRPr="00341EE6" w:rsidP="00341EE6" w14:paraId="67BF2608" w14:textId="23A89D27">
      <w:pPr>
        <w:widowControl/>
        <w:autoSpaceDE w:val="0"/>
        <w:autoSpaceDN w:val="0"/>
        <w:adjustRightInd w:val="0"/>
        <w:spacing w:after="120"/>
        <w:ind w:firstLine="720"/>
        <w:rPr>
          <w:snapToGrid/>
          <w:kern w:val="0"/>
          <w:szCs w:val="22"/>
        </w:rPr>
      </w:pPr>
      <w:r w:rsidRPr="007E7363">
        <w:rPr>
          <w:snapToGrid/>
          <w:kern w:val="0"/>
          <w:szCs w:val="22"/>
        </w:rPr>
        <w:t xml:space="preserve">For further information, please contact </w:t>
      </w:r>
      <w:r>
        <w:rPr>
          <w:snapToGrid/>
          <w:kern w:val="0"/>
          <w:szCs w:val="22"/>
        </w:rPr>
        <w:t>Jesse Goodwin,</w:t>
      </w:r>
      <w:r w:rsidRPr="007E7363">
        <w:rPr>
          <w:szCs w:val="22"/>
        </w:rPr>
        <w:t xml:space="preserve"> Wireline Competition Bureau (202) </w:t>
      </w:r>
      <w:r>
        <w:rPr>
          <w:szCs w:val="22"/>
        </w:rPr>
        <w:t>418-0958</w:t>
      </w:r>
      <w:r w:rsidR="00F17F28">
        <w:rPr>
          <w:szCs w:val="22"/>
        </w:rPr>
        <w:t xml:space="preserve"> </w:t>
      </w:r>
      <w:r w:rsidR="009006AB">
        <w:rPr>
          <w:szCs w:val="22"/>
        </w:rPr>
        <w:t xml:space="preserve">or </w:t>
      </w:r>
      <w:r w:rsidRPr="00F17F28" w:rsidR="00F17F28">
        <w:rPr>
          <w:szCs w:val="22"/>
        </w:rPr>
        <w:t>Sumita Mukhoty</w:t>
      </w:r>
      <w:r w:rsidR="00F17F28">
        <w:rPr>
          <w:szCs w:val="22"/>
        </w:rPr>
        <w:t>, International Bureau (202) 418-7165.</w:t>
      </w:r>
    </w:p>
    <w:p w:rsidR="00A111CC" w:rsidP="00341EE6" w14:paraId="05DA87CF" w14:textId="77777777">
      <w:pPr>
        <w:widowControl/>
        <w:autoSpaceDE w:val="0"/>
        <w:autoSpaceDN w:val="0"/>
        <w:adjustRightInd w:val="0"/>
        <w:spacing w:after="120"/>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930ECF" w:rsidP="00A111CC" w14:paraId="10DC8174" w14:textId="3D4849A0">
      <w:pPr>
        <w:jc w:val="center"/>
        <w:rPr>
          <w:b/>
          <w:bCs/>
          <w:szCs w:val="22"/>
          <w:u w:val="single"/>
        </w:rPr>
      </w:pPr>
      <w:r w:rsidRPr="005C6E4B">
        <w:rPr>
          <w:b/>
          <w:bCs/>
          <w:szCs w:val="22"/>
          <w:u w:val="single"/>
        </w:rPr>
        <w:t>Attachment A</w:t>
      </w:r>
    </w:p>
    <w:p w:rsidR="00E25C7E" w:rsidP="00A111CC" w14:paraId="193D5EA9" w14:textId="62654392">
      <w:pPr>
        <w:jc w:val="center"/>
        <w:rPr>
          <w:b/>
          <w:bCs/>
          <w:szCs w:val="22"/>
          <w:u w:val="single"/>
        </w:rPr>
      </w:pPr>
    </w:p>
    <w:p w:rsidR="00E25C7E" w:rsidP="00E25C7E" w14:paraId="61DE317F" w14:textId="7B089771">
      <w:pPr>
        <w:rPr>
          <w:b/>
          <w:bCs/>
          <w:szCs w:val="22"/>
        </w:rPr>
      </w:pPr>
      <w:r>
        <w:rPr>
          <w:b/>
          <w:bCs/>
          <w:szCs w:val="22"/>
        </w:rPr>
        <w:t>SECTION 214 AUTHORIZATIONS</w:t>
      </w:r>
    </w:p>
    <w:p w:rsidR="00E25C7E" w:rsidP="00E25C7E" w14:paraId="13A6BA12" w14:textId="7E3D0D4A">
      <w:pPr>
        <w:rPr>
          <w:b/>
          <w:bCs/>
          <w:szCs w:val="22"/>
        </w:rPr>
      </w:pPr>
    </w:p>
    <w:p w:rsidR="00E25C7E" w:rsidP="00E25C7E" w14:paraId="0733DE66" w14:textId="2D9F0062">
      <w:pPr>
        <w:ind w:firstLine="720"/>
        <w:rPr>
          <w:b/>
          <w:bCs/>
          <w:szCs w:val="22"/>
        </w:rPr>
      </w:pPr>
      <w:r>
        <w:rPr>
          <w:b/>
          <w:bCs/>
          <w:szCs w:val="22"/>
        </w:rPr>
        <w:t>A.</w:t>
      </w:r>
      <w:r>
        <w:rPr>
          <w:b/>
          <w:bCs/>
          <w:szCs w:val="22"/>
        </w:rPr>
        <w:tab/>
        <w:t>International</w:t>
      </w:r>
    </w:p>
    <w:p w:rsidR="00E25C7E" w:rsidP="00E25C7E" w14:paraId="47DE8AF0" w14:textId="3F850323">
      <w:pPr>
        <w:rPr>
          <w:b/>
          <w:bCs/>
          <w:szCs w:val="22"/>
        </w:rPr>
      </w:pPr>
    </w:p>
    <w:tbl>
      <w:tblPr>
        <w:tblW w:w="9738" w:type="dxa"/>
        <w:tblLook w:val="01E0"/>
      </w:tblPr>
      <w:tblGrid>
        <w:gridCol w:w="2880"/>
        <w:gridCol w:w="3888"/>
        <w:gridCol w:w="2970"/>
      </w:tblGrid>
      <w:tr w14:paraId="089B3F08" w14:textId="77777777" w:rsidTr="00947CEA">
        <w:tblPrEx>
          <w:tblW w:w="9738" w:type="dxa"/>
          <w:tblLook w:val="01E0"/>
        </w:tblPrEx>
        <w:tc>
          <w:tcPr>
            <w:tcW w:w="2880" w:type="dxa"/>
          </w:tcPr>
          <w:p w:rsidR="00E25C7E" w:rsidRPr="00986813" w:rsidP="00947CEA" w14:paraId="6EFF76DC" w14:textId="77777777">
            <w:pPr>
              <w:rPr>
                <w:b/>
                <w:color w:val="000000"/>
                <w:szCs w:val="22"/>
              </w:rPr>
            </w:pPr>
            <w:r w:rsidRPr="00986813">
              <w:rPr>
                <w:b/>
                <w:color w:val="000000"/>
                <w:szCs w:val="22"/>
                <w:u w:val="single"/>
              </w:rPr>
              <w:t>File Number</w:t>
            </w:r>
          </w:p>
        </w:tc>
        <w:tc>
          <w:tcPr>
            <w:tcW w:w="3888" w:type="dxa"/>
          </w:tcPr>
          <w:p w:rsidR="00E25C7E" w:rsidRPr="00986813" w:rsidP="00947CEA" w14:paraId="597FCE55" w14:textId="77777777">
            <w:pPr>
              <w:rPr>
                <w:b/>
                <w:color w:val="000000"/>
                <w:szCs w:val="22"/>
              </w:rPr>
            </w:pPr>
            <w:r w:rsidRPr="00986813">
              <w:rPr>
                <w:b/>
                <w:color w:val="000000"/>
                <w:szCs w:val="22"/>
                <w:u w:val="single"/>
              </w:rPr>
              <w:t>Authorization Holder</w:t>
            </w:r>
          </w:p>
        </w:tc>
        <w:tc>
          <w:tcPr>
            <w:tcW w:w="2970" w:type="dxa"/>
          </w:tcPr>
          <w:p w:rsidR="00E25C7E" w:rsidRPr="00986813" w:rsidP="00947CEA" w14:paraId="171B68D3" w14:textId="77777777">
            <w:pPr>
              <w:rPr>
                <w:b/>
                <w:color w:val="000000"/>
                <w:szCs w:val="22"/>
                <w:u w:val="single"/>
              </w:rPr>
            </w:pPr>
            <w:r w:rsidRPr="00986813">
              <w:rPr>
                <w:b/>
                <w:color w:val="000000"/>
                <w:szCs w:val="22"/>
                <w:u w:val="single"/>
              </w:rPr>
              <w:t>Authorization Number</w:t>
            </w:r>
          </w:p>
          <w:p w:rsidR="00E25C7E" w:rsidRPr="00986813" w:rsidP="00947CEA" w14:paraId="1191273E" w14:textId="77777777">
            <w:pPr>
              <w:rPr>
                <w:b/>
                <w:color w:val="000000"/>
                <w:szCs w:val="22"/>
                <w:u w:val="single"/>
              </w:rPr>
            </w:pPr>
          </w:p>
        </w:tc>
      </w:tr>
      <w:tr w14:paraId="100900B1" w14:textId="77777777" w:rsidTr="00947CEA">
        <w:tblPrEx>
          <w:tblW w:w="9738" w:type="dxa"/>
          <w:tblLook w:val="01E0"/>
        </w:tblPrEx>
        <w:tc>
          <w:tcPr>
            <w:tcW w:w="2880" w:type="dxa"/>
          </w:tcPr>
          <w:p w:rsidR="00530EA9" w:rsidP="00947CEA" w14:paraId="16547B14" w14:textId="7E0D329B">
            <w:r>
              <w:t>ITC-ASG-20200708-00112</w:t>
            </w:r>
          </w:p>
        </w:tc>
        <w:tc>
          <w:tcPr>
            <w:tcW w:w="3888" w:type="dxa"/>
          </w:tcPr>
          <w:p w:rsidR="00530EA9" w:rsidP="00947CEA" w14:paraId="420277EC" w14:textId="32E61756">
            <w:r>
              <w:t>Legacy Long Distance International, Inc.</w:t>
            </w:r>
          </w:p>
        </w:tc>
        <w:tc>
          <w:tcPr>
            <w:tcW w:w="2970" w:type="dxa"/>
          </w:tcPr>
          <w:p w:rsidR="00530EA9" w:rsidP="00947CEA" w14:paraId="73BF6169" w14:textId="5E858A9E">
            <w:r>
              <w:t>ITC-214-19961125-00596</w:t>
            </w:r>
            <w:r>
              <w:rPr>
                <w:rStyle w:val="FootnoteReference"/>
              </w:rPr>
              <w:footnoteReference w:id="43"/>
            </w:r>
          </w:p>
        </w:tc>
      </w:tr>
      <w:tr w14:paraId="51371E2F" w14:textId="77777777" w:rsidTr="00947CEA">
        <w:tblPrEx>
          <w:tblW w:w="9738" w:type="dxa"/>
          <w:tblLook w:val="01E0"/>
        </w:tblPrEx>
        <w:tc>
          <w:tcPr>
            <w:tcW w:w="2880" w:type="dxa"/>
          </w:tcPr>
          <w:p w:rsidR="00E25C7E" w:rsidRPr="00986813" w:rsidP="00947CEA" w14:paraId="46CDD0A6" w14:textId="78FB9595">
            <w:pPr>
              <w:rPr>
                <w:color w:val="000000"/>
                <w:szCs w:val="22"/>
              </w:rPr>
            </w:pPr>
            <w:r>
              <w:t>ITC-ASG-20200629-00101</w:t>
            </w:r>
          </w:p>
        </w:tc>
        <w:tc>
          <w:tcPr>
            <w:tcW w:w="3888" w:type="dxa"/>
          </w:tcPr>
          <w:p w:rsidR="00E25C7E" w:rsidRPr="00986813" w:rsidP="00947CEA" w14:paraId="60CA59BA" w14:textId="1DA9E9DF">
            <w:pPr>
              <w:rPr>
                <w:szCs w:val="22"/>
              </w:rPr>
            </w:pPr>
            <w:r>
              <w:t>Legacy Long Distance International, Inc.</w:t>
            </w:r>
          </w:p>
        </w:tc>
        <w:tc>
          <w:tcPr>
            <w:tcW w:w="2970" w:type="dxa"/>
          </w:tcPr>
          <w:p w:rsidR="00530EA9" w:rsidRPr="00530EA9" w:rsidP="00947CEA" w14:paraId="4DE12437" w14:textId="0B735B6C">
            <w:r>
              <w:t>ITC-214-19961125-00596</w:t>
            </w:r>
            <w:r>
              <w:rPr>
                <w:rStyle w:val="FootnoteReference"/>
              </w:rPr>
              <w:footnoteReference w:id="44"/>
            </w:r>
          </w:p>
        </w:tc>
      </w:tr>
      <w:tr w14:paraId="7DE775FC" w14:textId="77777777" w:rsidTr="00947CEA">
        <w:tblPrEx>
          <w:tblW w:w="9738" w:type="dxa"/>
          <w:tblLook w:val="01E0"/>
        </w:tblPrEx>
        <w:tc>
          <w:tcPr>
            <w:tcW w:w="2880" w:type="dxa"/>
          </w:tcPr>
          <w:p w:rsidR="00E25C7E" w:rsidRPr="00986813" w:rsidP="00947CEA" w14:paraId="4A8DC07F" w14:textId="6630CB7E">
            <w:pPr>
              <w:rPr>
                <w:color w:val="000000"/>
                <w:szCs w:val="22"/>
              </w:rPr>
            </w:pPr>
          </w:p>
        </w:tc>
        <w:tc>
          <w:tcPr>
            <w:tcW w:w="3888" w:type="dxa"/>
          </w:tcPr>
          <w:p w:rsidR="00E25C7E" w:rsidRPr="00986813" w:rsidP="00947CEA" w14:paraId="3B1EB6A8" w14:textId="77777777">
            <w:pPr>
              <w:rPr>
                <w:szCs w:val="22"/>
              </w:rPr>
            </w:pPr>
          </w:p>
        </w:tc>
        <w:tc>
          <w:tcPr>
            <w:tcW w:w="2970" w:type="dxa"/>
          </w:tcPr>
          <w:p w:rsidR="00E25C7E" w:rsidRPr="00986813" w:rsidP="00947CEA" w14:paraId="245221CD" w14:textId="77777777">
            <w:pPr>
              <w:rPr>
                <w:szCs w:val="22"/>
              </w:rPr>
            </w:pPr>
          </w:p>
        </w:tc>
      </w:tr>
    </w:tbl>
    <w:p w:rsidR="00E25C7E" w:rsidP="00E25C7E" w14:paraId="6CD62968" w14:textId="74122A38">
      <w:pPr>
        <w:ind w:firstLine="720"/>
        <w:rPr>
          <w:b/>
          <w:bCs/>
          <w:szCs w:val="22"/>
        </w:rPr>
      </w:pPr>
      <w:r>
        <w:rPr>
          <w:b/>
          <w:bCs/>
          <w:szCs w:val="22"/>
        </w:rPr>
        <w:t>B.</w:t>
      </w:r>
      <w:r>
        <w:rPr>
          <w:b/>
          <w:bCs/>
          <w:szCs w:val="22"/>
        </w:rPr>
        <w:tab/>
        <w:t>Domestic</w:t>
      </w:r>
    </w:p>
    <w:p w:rsidR="00E25C7E" w:rsidP="00E25C7E" w14:paraId="77EA8B0B" w14:textId="7BE529FE">
      <w:pPr>
        <w:rPr>
          <w:b/>
          <w:bCs/>
          <w:szCs w:val="22"/>
        </w:rPr>
      </w:pPr>
    </w:p>
    <w:p w:rsidR="00E25C7E" w:rsidP="00E25C7E" w14:paraId="3AA344AB" w14:textId="7F327DCC">
      <w:pPr>
        <w:ind w:firstLine="720"/>
        <w:rPr>
          <w:snapToGrid/>
          <w:kern w:val="0"/>
        </w:rPr>
      </w:pPr>
      <w:r>
        <w:t>The Wireline Competition Bureau grants the applications to transfer control of domestic section 214 authority in connection with the proposed transactions – WC Docket Nos. 20-207, 20-218.</w:t>
      </w:r>
      <w:r>
        <w:rPr>
          <w:snapToGrid/>
          <w:color w:val="000000"/>
          <w:kern w:val="0"/>
          <w:szCs w:val="22"/>
          <w:vertAlign w:val="superscript"/>
        </w:rPr>
        <w:footnoteReference w:id="45"/>
      </w:r>
    </w:p>
    <w:p w:rsidR="00E25C7E" w:rsidP="00E25C7E" w14:paraId="3DC369A0" w14:textId="6522B01C">
      <w:pPr>
        <w:rPr>
          <w:b/>
          <w:bCs/>
          <w:szCs w:val="22"/>
        </w:rPr>
      </w:pPr>
    </w:p>
    <w:p w:rsidR="004D646C" w:rsidRPr="005C6E4B" w:rsidP="004D646C" w14:paraId="08EFD9A3" w14:textId="4F10FBE9">
      <w:pPr>
        <w:rPr>
          <w:b/>
          <w:bCs/>
          <w:szCs w:val="22"/>
          <w:u w:val="single"/>
        </w:rPr>
      </w:pPr>
      <w:r w:rsidRPr="005C6E4B">
        <w:rPr>
          <w:b/>
          <w:bCs/>
          <w:szCs w:val="22"/>
          <w:u w:val="single"/>
        </w:rPr>
        <w:t>Correctional Facility Contracts to Be Transferred from Legacy to GTL</w:t>
      </w:r>
    </w:p>
    <w:p w:rsidR="004D646C" w:rsidRPr="005C6E4B" w:rsidP="004D646C" w14:paraId="04582388" w14:textId="0539A233">
      <w:pPr>
        <w:rPr>
          <w:b/>
          <w:bCs/>
          <w:szCs w:val="22"/>
          <w:u w:val="single"/>
        </w:rPr>
      </w:pPr>
    </w:p>
    <w:p w:rsidR="0061720B" w:rsidRPr="005C6E4B" w:rsidP="004D646C" w14:paraId="2791D0B3" w14:textId="77777777">
      <w:pPr>
        <w:rPr>
          <w:szCs w:val="22"/>
        </w:rPr>
      </w:pPr>
      <w:r w:rsidRPr="005C6E4B">
        <w:rPr>
          <w:szCs w:val="22"/>
        </w:rPr>
        <w:t>Bay County, Florida</w:t>
      </w:r>
    </w:p>
    <w:p w:rsidR="0061720B" w:rsidRPr="005C6E4B" w:rsidP="004D646C" w14:paraId="200036CD" w14:textId="77777777">
      <w:pPr>
        <w:rPr>
          <w:szCs w:val="22"/>
        </w:rPr>
      </w:pPr>
      <w:r w:rsidRPr="005C6E4B">
        <w:rPr>
          <w:szCs w:val="22"/>
        </w:rPr>
        <w:t>Carroll County, Maryland</w:t>
      </w:r>
    </w:p>
    <w:p w:rsidR="0061720B" w:rsidRPr="005C6E4B" w:rsidP="004D646C" w14:paraId="43430CCC" w14:textId="77777777">
      <w:pPr>
        <w:rPr>
          <w:szCs w:val="22"/>
        </w:rPr>
      </w:pPr>
      <w:r w:rsidRPr="005C6E4B">
        <w:rPr>
          <w:szCs w:val="22"/>
        </w:rPr>
        <w:t>City of Santa Ana, California</w:t>
      </w:r>
    </w:p>
    <w:p w:rsidR="0061720B" w:rsidRPr="005C6E4B" w:rsidP="004D646C" w14:paraId="7E4EBC08" w14:textId="77777777">
      <w:pPr>
        <w:rPr>
          <w:szCs w:val="22"/>
        </w:rPr>
      </w:pPr>
      <w:r w:rsidRPr="005C6E4B">
        <w:rPr>
          <w:szCs w:val="22"/>
        </w:rPr>
        <w:t>Cook County, Illinois</w:t>
      </w:r>
    </w:p>
    <w:p w:rsidR="0061720B" w:rsidRPr="005C6E4B" w:rsidP="004D646C" w14:paraId="2D907B83" w14:textId="77777777">
      <w:pPr>
        <w:rPr>
          <w:szCs w:val="22"/>
        </w:rPr>
      </w:pPr>
      <w:r w:rsidRPr="005C6E4B">
        <w:rPr>
          <w:szCs w:val="22"/>
        </w:rPr>
        <w:t>Dõna</w:t>
      </w:r>
      <w:r w:rsidRPr="005C6E4B">
        <w:rPr>
          <w:szCs w:val="22"/>
        </w:rPr>
        <w:t xml:space="preserve"> Ana, New Mexico</w:t>
      </w:r>
    </w:p>
    <w:p w:rsidR="0061720B" w:rsidRPr="005C6E4B" w:rsidP="004D646C" w14:paraId="1ADF2D21" w14:textId="77777777">
      <w:pPr>
        <w:rPr>
          <w:szCs w:val="22"/>
        </w:rPr>
      </w:pPr>
      <w:r w:rsidRPr="005C6E4B">
        <w:rPr>
          <w:szCs w:val="22"/>
        </w:rPr>
        <w:t>Dunn County, Wisconsin</w:t>
      </w:r>
    </w:p>
    <w:p w:rsidR="0061720B" w:rsidRPr="005C6E4B" w:rsidP="004D646C" w14:paraId="7ED30AF9" w14:textId="77777777">
      <w:pPr>
        <w:rPr>
          <w:szCs w:val="22"/>
        </w:rPr>
      </w:pPr>
      <w:r w:rsidRPr="005C6E4B">
        <w:rPr>
          <w:szCs w:val="22"/>
        </w:rPr>
        <w:t>Fresno County, California</w:t>
      </w:r>
    </w:p>
    <w:p w:rsidR="0061720B" w:rsidRPr="005C6E4B" w:rsidP="004D646C" w14:paraId="0158F74F" w14:textId="77777777">
      <w:pPr>
        <w:rPr>
          <w:szCs w:val="22"/>
        </w:rPr>
      </w:pPr>
      <w:r w:rsidRPr="005C6E4B">
        <w:rPr>
          <w:szCs w:val="22"/>
        </w:rPr>
        <w:t>Jackson County, Oregon</w:t>
      </w:r>
    </w:p>
    <w:p w:rsidR="0061720B" w:rsidRPr="005C6E4B" w:rsidP="004D646C" w14:paraId="4D14471F" w14:textId="77777777">
      <w:pPr>
        <w:rPr>
          <w:szCs w:val="22"/>
        </w:rPr>
      </w:pPr>
      <w:r w:rsidRPr="005C6E4B">
        <w:rPr>
          <w:szCs w:val="22"/>
        </w:rPr>
        <w:t>Kane County, Illinois</w:t>
      </w:r>
    </w:p>
    <w:p w:rsidR="0061720B" w:rsidRPr="005C6E4B" w:rsidP="004D646C" w14:paraId="1DF95DA9" w14:textId="77777777">
      <w:pPr>
        <w:rPr>
          <w:szCs w:val="22"/>
        </w:rPr>
      </w:pPr>
      <w:r w:rsidRPr="005C6E4B">
        <w:rPr>
          <w:szCs w:val="22"/>
        </w:rPr>
        <w:t>Maine Department of Corrections</w:t>
      </w:r>
    </w:p>
    <w:p w:rsidR="0061720B" w:rsidRPr="005C6E4B" w:rsidP="004D646C" w14:paraId="028AE2D5" w14:textId="77777777">
      <w:pPr>
        <w:rPr>
          <w:szCs w:val="22"/>
        </w:rPr>
      </w:pPr>
      <w:r w:rsidRPr="005C6E4B">
        <w:rPr>
          <w:szCs w:val="22"/>
        </w:rPr>
        <w:t xml:space="preserve">Mendocino County, California </w:t>
      </w:r>
    </w:p>
    <w:p w:rsidR="0061720B" w:rsidRPr="005C6E4B" w:rsidP="004D646C" w14:paraId="252CAEF7" w14:textId="77777777">
      <w:pPr>
        <w:rPr>
          <w:szCs w:val="22"/>
        </w:rPr>
      </w:pPr>
      <w:r w:rsidRPr="005C6E4B">
        <w:rPr>
          <w:szCs w:val="22"/>
        </w:rPr>
        <w:t>Santa Clara County, California</w:t>
      </w:r>
    </w:p>
    <w:p w:rsidR="0061720B" w:rsidRPr="005C6E4B" w:rsidP="004D646C" w14:paraId="3E410C4E" w14:textId="77777777">
      <w:pPr>
        <w:rPr>
          <w:szCs w:val="22"/>
        </w:rPr>
      </w:pPr>
      <w:r w:rsidRPr="005C6E4B">
        <w:rPr>
          <w:szCs w:val="22"/>
        </w:rPr>
        <w:t>Sonoma County, California</w:t>
      </w:r>
    </w:p>
    <w:p w:rsidR="0061720B" w:rsidRPr="005C6E4B" w:rsidP="004D646C" w14:paraId="6081DD42" w14:textId="77777777">
      <w:pPr>
        <w:rPr>
          <w:szCs w:val="22"/>
        </w:rPr>
      </w:pPr>
      <w:r w:rsidRPr="005C6E4B">
        <w:rPr>
          <w:szCs w:val="22"/>
        </w:rPr>
        <w:t>Yolo County, California</w:t>
      </w:r>
    </w:p>
    <w:p w:rsidR="004D646C" w:rsidRPr="005C6E4B" w:rsidP="004D646C" w14:paraId="681786CE" w14:textId="77777777">
      <w:pPr>
        <w:rPr>
          <w:b/>
          <w:bCs/>
          <w:szCs w:val="22"/>
          <w:u w:val="single"/>
        </w:rPr>
      </w:pPr>
    </w:p>
    <w:p w:rsidR="004D646C" w:rsidRPr="005C6E4B" w:rsidP="004D646C" w14:paraId="7538A5A9" w14:textId="5602BE51">
      <w:pPr>
        <w:rPr>
          <w:b/>
          <w:bCs/>
          <w:szCs w:val="22"/>
          <w:u w:val="single"/>
        </w:rPr>
      </w:pPr>
      <w:r w:rsidRPr="005C6E4B">
        <w:rPr>
          <w:b/>
          <w:bCs/>
          <w:szCs w:val="22"/>
          <w:u w:val="single"/>
        </w:rPr>
        <w:t>Correctional Facility Contracts to Be Transferred from Legacy to NCIC</w:t>
      </w:r>
    </w:p>
    <w:p w:rsidR="004D646C" w:rsidRPr="005C6E4B" w:rsidP="004D646C" w14:paraId="424BFF98" w14:textId="78993FB5">
      <w:pPr>
        <w:rPr>
          <w:b/>
          <w:bCs/>
          <w:szCs w:val="22"/>
          <w:u w:val="single"/>
        </w:rPr>
      </w:pPr>
    </w:p>
    <w:p w:rsidR="004D646C" w:rsidRPr="005C6E4B" w:rsidP="004D646C" w14:paraId="43A711FE" w14:textId="77777777">
      <w:pPr>
        <w:autoSpaceDE w:val="0"/>
        <w:autoSpaceDN w:val="0"/>
        <w:adjustRightInd w:val="0"/>
        <w:rPr>
          <w:b/>
          <w:szCs w:val="22"/>
          <w:u w:val="single"/>
        </w:rPr>
      </w:pPr>
      <w:r w:rsidRPr="005C6E4B">
        <w:rPr>
          <w:b/>
          <w:szCs w:val="22"/>
          <w:u w:val="single"/>
        </w:rPr>
        <w:t>Alabama</w:t>
      </w:r>
    </w:p>
    <w:p w:rsidR="0061720B" w:rsidRPr="005C6E4B" w:rsidP="004D646C" w14:paraId="030F626B" w14:textId="77777777">
      <w:pPr>
        <w:autoSpaceDE w:val="0"/>
        <w:autoSpaceDN w:val="0"/>
        <w:adjustRightInd w:val="0"/>
        <w:rPr>
          <w:bCs/>
          <w:szCs w:val="22"/>
        </w:rPr>
      </w:pPr>
      <w:r w:rsidRPr="005C6E4B">
        <w:rPr>
          <w:bCs/>
          <w:szCs w:val="22"/>
        </w:rPr>
        <w:t>Albertville City Police Dept.</w:t>
      </w:r>
    </w:p>
    <w:p w:rsidR="0061720B" w:rsidRPr="005C6E4B" w:rsidP="004D646C" w14:paraId="003F5BAC" w14:textId="77777777">
      <w:pPr>
        <w:autoSpaceDE w:val="0"/>
        <w:autoSpaceDN w:val="0"/>
        <w:adjustRightInd w:val="0"/>
        <w:rPr>
          <w:bCs/>
          <w:szCs w:val="22"/>
        </w:rPr>
      </w:pPr>
      <w:r w:rsidRPr="005C6E4B">
        <w:rPr>
          <w:bCs/>
          <w:szCs w:val="22"/>
        </w:rPr>
        <w:t>Arab City Police Dept.</w:t>
      </w:r>
    </w:p>
    <w:p w:rsidR="0061720B" w:rsidRPr="005C6E4B" w:rsidP="004D646C" w14:paraId="19AC7CD4" w14:textId="77777777">
      <w:pPr>
        <w:autoSpaceDE w:val="0"/>
        <w:autoSpaceDN w:val="0"/>
        <w:adjustRightInd w:val="0"/>
        <w:rPr>
          <w:bCs/>
          <w:szCs w:val="22"/>
        </w:rPr>
      </w:pPr>
      <w:r w:rsidRPr="005C6E4B">
        <w:rPr>
          <w:bCs/>
          <w:szCs w:val="22"/>
        </w:rPr>
        <w:t>Daphne City Police Dept.</w:t>
      </w:r>
    </w:p>
    <w:p w:rsidR="0061720B" w:rsidRPr="005C6E4B" w:rsidP="004D646C" w14:paraId="093D82FE" w14:textId="77777777">
      <w:pPr>
        <w:autoSpaceDE w:val="0"/>
        <w:autoSpaceDN w:val="0"/>
        <w:adjustRightInd w:val="0"/>
        <w:rPr>
          <w:bCs/>
          <w:szCs w:val="22"/>
        </w:rPr>
      </w:pPr>
      <w:r w:rsidRPr="005C6E4B">
        <w:rPr>
          <w:bCs/>
          <w:szCs w:val="22"/>
        </w:rPr>
        <w:t>Dothan Police Dept.</w:t>
      </w:r>
    </w:p>
    <w:p w:rsidR="0061720B" w:rsidRPr="005C6E4B" w:rsidP="004D646C" w14:paraId="17D6F369" w14:textId="77777777">
      <w:pPr>
        <w:autoSpaceDE w:val="0"/>
        <w:autoSpaceDN w:val="0"/>
        <w:adjustRightInd w:val="0"/>
        <w:rPr>
          <w:bCs/>
          <w:szCs w:val="22"/>
        </w:rPr>
      </w:pPr>
      <w:r w:rsidRPr="005C6E4B">
        <w:rPr>
          <w:bCs/>
          <w:szCs w:val="22"/>
        </w:rPr>
        <w:t>Guntersville City Police Dept.</w:t>
      </w:r>
    </w:p>
    <w:p w:rsidR="0061720B" w:rsidP="004D646C" w14:paraId="2C44D245" w14:textId="77777777">
      <w:pPr>
        <w:autoSpaceDE w:val="0"/>
        <w:autoSpaceDN w:val="0"/>
        <w:adjustRightInd w:val="0"/>
        <w:rPr>
          <w:bCs/>
          <w:szCs w:val="22"/>
        </w:rPr>
      </w:pPr>
      <w:r w:rsidRPr="005C6E4B">
        <w:rPr>
          <w:bCs/>
          <w:szCs w:val="22"/>
        </w:rPr>
        <w:t>Houston County</w:t>
      </w:r>
    </w:p>
    <w:p w:rsidR="0061720B" w:rsidRPr="005C6E4B" w:rsidP="004D646C" w14:paraId="674373B6" w14:textId="77777777">
      <w:pPr>
        <w:autoSpaceDE w:val="0"/>
        <w:autoSpaceDN w:val="0"/>
        <w:adjustRightInd w:val="0"/>
        <w:rPr>
          <w:bCs/>
          <w:szCs w:val="22"/>
        </w:rPr>
      </w:pPr>
      <w:r w:rsidRPr="005C6E4B">
        <w:rPr>
          <w:bCs/>
          <w:szCs w:val="22"/>
        </w:rPr>
        <w:t>Montgomery County Detention Center</w:t>
      </w:r>
    </w:p>
    <w:p w:rsidR="0061720B" w:rsidRPr="005C6E4B" w:rsidP="004D646C" w14:paraId="21BAF45F" w14:textId="77777777">
      <w:pPr>
        <w:autoSpaceDE w:val="0"/>
        <w:autoSpaceDN w:val="0"/>
        <w:adjustRightInd w:val="0"/>
        <w:rPr>
          <w:bCs/>
          <w:szCs w:val="22"/>
        </w:rPr>
      </w:pPr>
      <w:r w:rsidRPr="005C6E4B">
        <w:rPr>
          <w:bCs/>
          <w:szCs w:val="22"/>
        </w:rPr>
        <w:t>Orange Beach Police Dept.</w:t>
      </w:r>
    </w:p>
    <w:p w:rsidR="005C6E4B" w:rsidRPr="005C6E4B" w:rsidP="004D646C" w14:paraId="4D968A92" w14:textId="77777777">
      <w:pPr>
        <w:autoSpaceDE w:val="0"/>
        <w:autoSpaceDN w:val="0"/>
        <w:adjustRightInd w:val="0"/>
        <w:rPr>
          <w:bCs/>
          <w:szCs w:val="22"/>
        </w:rPr>
      </w:pPr>
    </w:p>
    <w:p w:rsidR="004D646C" w:rsidRPr="005C6E4B" w:rsidP="004D646C" w14:paraId="76BDAA45" w14:textId="77777777">
      <w:pPr>
        <w:autoSpaceDE w:val="0"/>
        <w:autoSpaceDN w:val="0"/>
        <w:adjustRightInd w:val="0"/>
        <w:rPr>
          <w:b/>
          <w:szCs w:val="22"/>
          <w:u w:val="single"/>
        </w:rPr>
      </w:pPr>
      <w:r w:rsidRPr="005C6E4B">
        <w:rPr>
          <w:b/>
          <w:szCs w:val="22"/>
          <w:u w:val="single"/>
        </w:rPr>
        <w:t>Arizona</w:t>
      </w:r>
    </w:p>
    <w:p w:rsidR="0061720B" w:rsidRPr="005C6E4B" w:rsidP="004D646C" w14:paraId="0C696EED" w14:textId="77777777">
      <w:pPr>
        <w:autoSpaceDE w:val="0"/>
        <w:autoSpaceDN w:val="0"/>
        <w:adjustRightInd w:val="0"/>
        <w:rPr>
          <w:bCs/>
          <w:szCs w:val="22"/>
        </w:rPr>
      </w:pPr>
      <w:r w:rsidRPr="005C6E4B">
        <w:rPr>
          <w:bCs/>
          <w:szCs w:val="22"/>
        </w:rPr>
        <w:t>Colorado River Indian Tribes Detention</w:t>
      </w:r>
    </w:p>
    <w:p w:rsidR="0061720B" w:rsidRPr="005C6E4B" w:rsidP="004D646C" w14:paraId="43D143C1" w14:textId="77777777">
      <w:pPr>
        <w:autoSpaceDE w:val="0"/>
        <w:autoSpaceDN w:val="0"/>
        <w:adjustRightInd w:val="0"/>
        <w:rPr>
          <w:bCs/>
          <w:szCs w:val="22"/>
        </w:rPr>
      </w:pPr>
      <w:r w:rsidRPr="005C6E4B">
        <w:rPr>
          <w:bCs/>
          <w:szCs w:val="22"/>
        </w:rPr>
        <w:t>Hualapai Adult Detention Center</w:t>
      </w:r>
    </w:p>
    <w:p w:rsidR="0061720B" w:rsidP="004D646C" w14:paraId="4E210BCB" w14:textId="77777777">
      <w:pPr>
        <w:autoSpaceDE w:val="0"/>
        <w:autoSpaceDN w:val="0"/>
        <w:adjustRightInd w:val="0"/>
        <w:rPr>
          <w:bCs/>
          <w:szCs w:val="22"/>
        </w:rPr>
      </w:pPr>
      <w:r w:rsidRPr="005C6E4B">
        <w:rPr>
          <w:bCs/>
          <w:szCs w:val="22"/>
        </w:rPr>
        <w:t>White Mountain Apache Corrections Center</w:t>
      </w:r>
    </w:p>
    <w:p w:rsidR="005C6E4B" w:rsidRPr="005C6E4B" w:rsidP="004D646C" w14:paraId="2659746F" w14:textId="77777777">
      <w:pPr>
        <w:autoSpaceDE w:val="0"/>
        <w:autoSpaceDN w:val="0"/>
        <w:adjustRightInd w:val="0"/>
        <w:rPr>
          <w:bCs/>
          <w:szCs w:val="22"/>
        </w:rPr>
      </w:pPr>
    </w:p>
    <w:p w:rsidR="004D646C" w:rsidRPr="005C6E4B" w:rsidP="004D646C" w14:paraId="6B3F7363" w14:textId="77777777">
      <w:pPr>
        <w:autoSpaceDE w:val="0"/>
        <w:autoSpaceDN w:val="0"/>
        <w:adjustRightInd w:val="0"/>
        <w:rPr>
          <w:bCs/>
          <w:szCs w:val="22"/>
        </w:rPr>
      </w:pPr>
      <w:r w:rsidRPr="005C6E4B">
        <w:rPr>
          <w:b/>
          <w:szCs w:val="22"/>
          <w:u w:val="single"/>
        </w:rPr>
        <w:t>California</w:t>
      </w:r>
    </w:p>
    <w:p w:rsidR="0061720B" w:rsidRPr="005C6E4B" w:rsidP="004D646C" w14:paraId="1C8E696B" w14:textId="77777777">
      <w:pPr>
        <w:autoSpaceDE w:val="0"/>
        <w:autoSpaceDN w:val="0"/>
        <w:adjustRightInd w:val="0"/>
        <w:rPr>
          <w:bCs/>
          <w:szCs w:val="22"/>
        </w:rPr>
      </w:pPr>
      <w:r w:rsidRPr="005C6E4B">
        <w:rPr>
          <w:bCs/>
          <w:szCs w:val="22"/>
        </w:rPr>
        <w:t>Alhambra Police Dept.</w:t>
      </w:r>
    </w:p>
    <w:p w:rsidR="0061720B" w:rsidRPr="005C6E4B" w:rsidP="004D646C" w14:paraId="1E6EE013" w14:textId="77777777">
      <w:pPr>
        <w:autoSpaceDE w:val="0"/>
        <w:autoSpaceDN w:val="0"/>
        <w:adjustRightInd w:val="0"/>
        <w:rPr>
          <w:bCs/>
          <w:szCs w:val="22"/>
        </w:rPr>
      </w:pPr>
      <w:r w:rsidRPr="005C6E4B">
        <w:rPr>
          <w:bCs/>
          <w:szCs w:val="22"/>
        </w:rPr>
        <w:t>Beverly Hills Police Dept.</w:t>
      </w:r>
    </w:p>
    <w:p w:rsidR="0061720B" w:rsidRPr="005C6E4B" w:rsidP="004D646C" w14:paraId="1E970734" w14:textId="77777777">
      <w:pPr>
        <w:autoSpaceDE w:val="0"/>
        <w:autoSpaceDN w:val="0"/>
        <w:adjustRightInd w:val="0"/>
        <w:rPr>
          <w:bCs/>
          <w:szCs w:val="22"/>
        </w:rPr>
      </w:pPr>
      <w:r w:rsidRPr="005C6E4B">
        <w:rPr>
          <w:bCs/>
          <w:szCs w:val="22"/>
        </w:rPr>
        <w:t>Buena Park Police Dept.</w:t>
      </w:r>
    </w:p>
    <w:p w:rsidR="0061720B" w:rsidRPr="005C6E4B" w:rsidP="004D646C" w14:paraId="22FC289D" w14:textId="77777777">
      <w:pPr>
        <w:autoSpaceDE w:val="0"/>
        <w:autoSpaceDN w:val="0"/>
        <w:adjustRightInd w:val="0"/>
        <w:rPr>
          <w:bCs/>
          <w:szCs w:val="22"/>
        </w:rPr>
      </w:pPr>
      <w:r w:rsidRPr="005C6E4B">
        <w:rPr>
          <w:bCs/>
          <w:szCs w:val="22"/>
        </w:rPr>
        <w:t>Burbank Police Dept.</w:t>
      </w:r>
    </w:p>
    <w:p w:rsidR="0061720B" w:rsidP="004D646C" w14:paraId="3EAED6E4" w14:textId="77777777">
      <w:pPr>
        <w:autoSpaceDE w:val="0"/>
        <w:autoSpaceDN w:val="0"/>
        <w:adjustRightInd w:val="0"/>
        <w:rPr>
          <w:bCs/>
          <w:szCs w:val="22"/>
        </w:rPr>
      </w:pPr>
      <w:r w:rsidRPr="005C6E4B">
        <w:rPr>
          <w:bCs/>
          <w:szCs w:val="22"/>
        </w:rPr>
        <w:t>Chula Vista City Jail</w:t>
      </w:r>
    </w:p>
    <w:p w:rsidR="0061720B" w:rsidRPr="005C6E4B" w:rsidP="004D646C" w14:paraId="5476CA16" w14:textId="77777777">
      <w:pPr>
        <w:autoSpaceDE w:val="0"/>
        <w:autoSpaceDN w:val="0"/>
        <w:adjustRightInd w:val="0"/>
        <w:rPr>
          <w:bCs/>
          <w:szCs w:val="22"/>
        </w:rPr>
      </w:pPr>
      <w:r w:rsidRPr="005C6E4B">
        <w:rPr>
          <w:bCs/>
          <w:szCs w:val="22"/>
        </w:rPr>
        <w:t>Clovis Police Dept.</w:t>
      </w:r>
    </w:p>
    <w:p w:rsidR="0061720B" w:rsidRPr="005C6E4B" w:rsidP="004D646C" w14:paraId="6C337EFD" w14:textId="77777777">
      <w:pPr>
        <w:autoSpaceDE w:val="0"/>
        <w:autoSpaceDN w:val="0"/>
        <w:adjustRightInd w:val="0"/>
        <w:rPr>
          <w:bCs/>
          <w:szCs w:val="22"/>
        </w:rPr>
      </w:pPr>
      <w:r w:rsidRPr="005C6E4B">
        <w:rPr>
          <w:bCs/>
          <w:szCs w:val="22"/>
        </w:rPr>
        <w:t>Colusa County Jail</w:t>
      </w:r>
    </w:p>
    <w:p w:rsidR="0061720B" w:rsidRPr="005C6E4B" w:rsidP="004D646C" w14:paraId="0E9B9751" w14:textId="77777777">
      <w:pPr>
        <w:autoSpaceDE w:val="0"/>
        <w:autoSpaceDN w:val="0"/>
        <w:adjustRightInd w:val="0"/>
        <w:rPr>
          <w:bCs/>
          <w:szCs w:val="22"/>
        </w:rPr>
      </w:pPr>
      <w:r w:rsidRPr="005C6E4B">
        <w:rPr>
          <w:bCs/>
          <w:szCs w:val="22"/>
        </w:rPr>
        <w:t>Costa Mesa Police Dept.</w:t>
      </w:r>
    </w:p>
    <w:p w:rsidR="0061720B" w:rsidRPr="005C6E4B" w:rsidP="004D646C" w14:paraId="0208A505" w14:textId="77777777">
      <w:pPr>
        <w:autoSpaceDE w:val="0"/>
        <w:autoSpaceDN w:val="0"/>
        <w:adjustRightInd w:val="0"/>
        <w:rPr>
          <w:bCs/>
          <w:szCs w:val="22"/>
        </w:rPr>
      </w:pPr>
      <w:r w:rsidRPr="005C6E4B">
        <w:rPr>
          <w:bCs/>
          <w:szCs w:val="22"/>
        </w:rPr>
        <w:t>El Monte Police Dept.</w:t>
      </w:r>
    </w:p>
    <w:p w:rsidR="0061720B" w:rsidRPr="005C6E4B" w:rsidP="004D646C" w14:paraId="20AF52D6" w14:textId="77777777">
      <w:pPr>
        <w:autoSpaceDE w:val="0"/>
        <w:autoSpaceDN w:val="0"/>
        <w:adjustRightInd w:val="0"/>
        <w:rPr>
          <w:bCs/>
          <w:szCs w:val="22"/>
        </w:rPr>
      </w:pPr>
      <w:r w:rsidRPr="005C6E4B">
        <w:rPr>
          <w:bCs/>
          <w:szCs w:val="22"/>
        </w:rPr>
        <w:t>El Segundo Police Dept.</w:t>
      </w:r>
    </w:p>
    <w:p w:rsidR="0061720B" w:rsidRPr="005C6E4B" w:rsidP="004D646C" w14:paraId="0109A10F" w14:textId="77777777">
      <w:pPr>
        <w:autoSpaceDE w:val="0"/>
        <w:autoSpaceDN w:val="0"/>
        <w:adjustRightInd w:val="0"/>
        <w:rPr>
          <w:bCs/>
          <w:szCs w:val="22"/>
        </w:rPr>
      </w:pPr>
      <w:r w:rsidRPr="005C6E4B">
        <w:rPr>
          <w:bCs/>
          <w:szCs w:val="22"/>
        </w:rPr>
        <w:t>Fremont Police Department</w:t>
      </w:r>
    </w:p>
    <w:p w:rsidR="0061720B" w:rsidRPr="005C6E4B" w:rsidP="004D646C" w14:paraId="6974613D" w14:textId="77777777">
      <w:pPr>
        <w:autoSpaceDE w:val="0"/>
        <w:autoSpaceDN w:val="0"/>
        <w:adjustRightInd w:val="0"/>
        <w:rPr>
          <w:bCs/>
          <w:szCs w:val="22"/>
        </w:rPr>
      </w:pPr>
      <w:r w:rsidRPr="005C6E4B">
        <w:rPr>
          <w:bCs/>
          <w:szCs w:val="22"/>
        </w:rPr>
        <w:t>Gardena Police Dept.</w:t>
      </w:r>
    </w:p>
    <w:p w:rsidR="0061720B" w:rsidRPr="005C6E4B" w:rsidP="004D646C" w14:paraId="30C3421F" w14:textId="77777777">
      <w:pPr>
        <w:autoSpaceDE w:val="0"/>
        <w:autoSpaceDN w:val="0"/>
        <w:adjustRightInd w:val="0"/>
        <w:rPr>
          <w:bCs/>
          <w:szCs w:val="22"/>
        </w:rPr>
      </w:pPr>
      <w:r w:rsidRPr="005C6E4B">
        <w:rPr>
          <w:bCs/>
          <w:szCs w:val="22"/>
        </w:rPr>
        <w:t>Glendale Police Dept.</w:t>
      </w:r>
    </w:p>
    <w:p w:rsidR="0061720B" w:rsidRPr="005C6E4B" w:rsidP="004D646C" w14:paraId="4DCC5FD9" w14:textId="77777777">
      <w:pPr>
        <w:autoSpaceDE w:val="0"/>
        <w:autoSpaceDN w:val="0"/>
        <w:adjustRightInd w:val="0"/>
        <w:rPr>
          <w:bCs/>
          <w:szCs w:val="22"/>
        </w:rPr>
      </w:pPr>
      <w:r w:rsidRPr="005C6E4B">
        <w:rPr>
          <w:bCs/>
          <w:szCs w:val="22"/>
        </w:rPr>
        <w:t>Hawthorne Police Dept.</w:t>
      </w:r>
    </w:p>
    <w:p w:rsidR="0061720B" w:rsidRPr="005C6E4B" w:rsidP="004D646C" w14:paraId="3485F7B3" w14:textId="77777777">
      <w:pPr>
        <w:autoSpaceDE w:val="0"/>
        <w:autoSpaceDN w:val="0"/>
        <w:adjustRightInd w:val="0"/>
        <w:rPr>
          <w:bCs/>
          <w:szCs w:val="22"/>
        </w:rPr>
      </w:pPr>
      <w:r w:rsidRPr="005C6E4B">
        <w:rPr>
          <w:bCs/>
          <w:szCs w:val="22"/>
        </w:rPr>
        <w:t>Hayward Police Dept.</w:t>
      </w:r>
    </w:p>
    <w:p w:rsidR="0061720B" w:rsidRPr="005C6E4B" w:rsidP="004D646C" w14:paraId="127C6F23" w14:textId="77777777">
      <w:pPr>
        <w:autoSpaceDE w:val="0"/>
        <w:autoSpaceDN w:val="0"/>
        <w:adjustRightInd w:val="0"/>
        <w:rPr>
          <w:bCs/>
          <w:szCs w:val="22"/>
        </w:rPr>
      </w:pPr>
      <w:r w:rsidRPr="005C6E4B">
        <w:rPr>
          <w:bCs/>
          <w:szCs w:val="22"/>
        </w:rPr>
        <w:t>Huntington Beach Police Dept.</w:t>
      </w:r>
    </w:p>
    <w:p w:rsidR="0061720B" w:rsidRPr="005C6E4B" w:rsidP="004D646C" w14:paraId="4AC054C6" w14:textId="77777777">
      <w:pPr>
        <w:autoSpaceDE w:val="0"/>
        <w:autoSpaceDN w:val="0"/>
        <w:adjustRightInd w:val="0"/>
        <w:rPr>
          <w:bCs/>
          <w:szCs w:val="22"/>
        </w:rPr>
      </w:pPr>
      <w:r w:rsidRPr="005C6E4B">
        <w:rPr>
          <w:bCs/>
          <w:szCs w:val="22"/>
        </w:rPr>
        <w:t>Inglewood Police Dept.</w:t>
      </w:r>
    </w:p>
    <w:p w:rsidR="0061720B" w:rsidRPr="005C6E4B" w:rsidP="004D646C" w14:paraId="4F811F92" w14:textId="77777777">
      <w:pPr>
        <w:autoSpaceDE w:val="0"/>
        <w:autoSpaceDN w:val="0"/>
        <w:adjustRightInd w:val="0"/>
        <w:rPr>
          <w:bCs/>
          <w:szCs w:val="22"/>
        </w:rPr>
      </w:pPr>
      <w:r w:rsidRPr="005C6E4B">
        <w:rPr>
          <w:bCs/>
          <w:szCs w:val="22"/>
        </w:rPr>
        <w:t>Lodi Police Dept.</w:t>
      </w:r>
    </w:p>
    <w:p w:rsidR="0061720B" w:rsidRPr="005C6E4B" w:rsidP="004D646C" w14:paraId="27A5169B" w14:textId="77777777">
      <w:pPr>
        <w:autoSpaceDE w:val="0"/>
        <w:autoSpaceDN w:val="0"/>
        <w:adjustRightInd w:val="0"/>
        <w:rPr>
          <w:bCs/>
          <w:szCs w:val="22"/>
        </w:rPr>
      </w:pPr>
      <w:r w:rsidRPr="005C6E4B">
        <w:rPr>
          <w:bCs/>
          <w:szCs w:val="22"/>
        </w:rPr>
        <w:t>Manhattan Beach Police Dept.</w:t>
      </w:r>
    </w:p>
    <w:p w:rsidR="0061720B" w:rsidRPr="005C6E4B" w:rsidP="004D646C" w14:paraId="036107BD" w14:textId="77777777">
      <w:pPr>
        <w:autoSpaceDE w:val="0"/>
        <w:autoSpaceDN w:val="0"/>
        <w:adjustRightInd w:val="0"/>
        <w:rPr>
          <w:bCs/>
          <w:szCs w:val="22"/>
        </w:rPr>
      </w:pPr>
      <w:r w:rsidRPr="005C6E4B">
        <w:rPr>
          <w:bCs/>
          <w:szCs w:val="22"/>
        </w:rPr>
        <w:t>Mariposa County Jail</w:t>
      </w:r>
    </w:p>
    <w:p w:rsidR="0061720B" w:rsidRPr="005C6E4B" w:rsidP="004D646C" w14:paraId="3C727F74" w14:textId="77777777">
      <w:pPr>
        <w:autoSpaceDE w:val="0"/>
        <w:autoSpaceDN w:val="0"/>
        <w:adjustRightInd w:val="0"/>
        <w:rPr>
          <w:bCs/>
          <w:szCs w:val="22"/>
        </w:rPr>
      </w:pPr>
      <w:r w:rsidRPr="005C6E4B">
        <w:rPr>
          <w:bCs/>
          <w:szCs w:val="22"/>
        </w:rPr>
        <w:t>Monterey Park Police Dept.</w:t>
      </w:r>
    </w:p>
    <w:p w:rsidR="0061720B" w:rsidRPr="005C6E4B" w:rsidP="004D646C" w14:paraId="0F905BE9" w14:textId="77777777">
      <w:pPr>
        <w:autoSpaceDE w:val="0"/>
        <w:autoSpaceDN w:val="0"/>
        <w:adjustRightInd w:val="0"/>
        <w:rPr>
          <w:bCs/>
          <w:szCs w:val="22"/>
        </w:rPr>
      </w:pPr>
      <w:r w:rsidRPr="005C6E4B">
        <w:rPr>
          <w:bCs/>
          <w:szCs w:val="22"/>
        </w:rPr>
        <w:t>Pasadena Police Dept.</w:t>
      </w:r>
    </w:p>
    <w:p w:rsidR="0061720B" w:rsidRPr="005C6E4B" w:rsidP="004D646C" w14:paraId="3022BA29" w14:textId="77777777">
      <w:pPr>
        <w:autoSpaceDE w:val="0"/>
        <w:autoSpaceDN w:val="0"/>
        <w:adjustRightInd w:val="0"/>
        <w:rPr>
          <w:bCs/>
          <w:szCs w:val="22"/>
        </w:rPr>
      </w:pPr>
      <w:r w:rsidRPr="005C6E4B">
        <w:rPr>
          <w:bCs/>
          <w:szCs w:val="22"/>
        </w:rPr>
        <w:t>Redondo Beach Police Dept.</w:t>
      </w:r>
    </w:p>
    <w:p w:rsidR="0061720B" w:rsidRPr="005C6E4B" w:rsidP="004D646C" w14:paraId="3F4C796E" w14:textId="77777777">
      <w:pPr>
        <w:autoSpaceDE w:val="0"/>
        <w:autoSpaceDN w:val="0"/>
        <w:adjustRightInd w:val="0"/>
        <w:rPr>
          <w:bCs/>
          <w:szCs w:val="22"/>
        </w:rPr>
      </w:pPr>
      <w:r w:rsidRPr="005C6E4B">
        <w:rPr>
          <w:bCs/>
          <w:szCs w:val="22"/>
        </w:rPr>
        <w:t>San Bernardino Juvenile Detention and Assessment Center</w:t>
      </w:r>
    </w:p>
    <w:p w:rsidR="0061720B" w:rsidRPr="005C6E4B" w:rsidP="004D646C" w14:paraId="73DB5630" w14:textId="77777777">
      <w:pPr>
        <w:autoSpaceDE w:val="0"/>
        <w:autoSpaceDN w:val="0"/>
        <w:adjustRightInd w:val="0"/>
        <w:rPr>
          <w:bCs/>
          <w:szCs w:val="22"/>
        </w:rPr>
      </w:pPr>
      <w:r w:rsidRPr="005C6E4B">
        <w:rPr>
          <w:bCs/>
          <w:szCs w:val="22"/>
        </w:rPr>
        <w:t>Signal Hill Police Dept.</w:t>
      </w:r>
    </w:p>
    <w:p w:rsidR="0061720B" w:rsidRPr="005C6E4B" w:rsidP="004D646C" w14:paraId="4086587D" w14:textId="77777777">
      <w:pPr>
        <w:autoSpaceDE w:val="0"/>
        <w:autoSpaceDN w:val="0"/>
        <w:adjustRightInd w:val="0"/>
        <w:rPr>
          <w:bCs/>
          <w:szCs w:val="22"/>
        </w:rPr>
      </w:pPr>
      <w:r w:rsidRPr="005C6E4B">
        <w:rPr>
          <w:bCs/>
          <w:szCs w:val="22"/>
        </w:rPr>
        <w:t>Torrance Police Department</w:t>
      </w:r>
    </w:p>
    <w:p w:rsidR="0061720B" w:rsidRPr="005C6E4B" w:rsidP="004D646C" w14:paraId="7CFD805C" w14:textId="77777777">
      <w:pPr>
        <w:autoSpaceDE w:val="0"/>
        <w:autoSpaceDN w:val="0"/>
        <w:adjustRightInd w:val="0"/>
        <w:rPr>
          <w:bCs/>
          <w:szCs w:val="22"/>
        </w:rPr>
      </w:pPr>
      <w:r w:rsidRPr="005C6E4B">
        <w:rPr>
          <w:bCs/>
          <w:szCs w:val="22"/>
        </w:rPr>
        <w:t>Whittier Police Dept.</w:t>
      </w:r>
    </w:p>
    <w:p w:rsidR="005C6E4B" w:rsidRPr="005C6E4B" w:rsidP="004D646C" w14:paraId="05BE37B4" w14:textId="77777777">
      <w:pPr>
        <w:autoSpaceDE w:val="0"/>
        <w:autoSpaceDN w:val="0"/>
        <w:adjustRightInd w:val="0"/>
        <w:rPr>
          <w:bCs/>
          <w:szCs w:val="22"/>
        </w:rPr>
      </w:pPr>
    </w:p>
    <w:p w:rsidR="004D646C" w:rsidRPr="005C6E4B" w:rsidP="004D646C" w14:paraId="270FC809" w14:textId="77777777">
      <w:pPr>
        <w:autoSpaceDE w:val="0"/>
        <w:autoSpaceDN w:val="0"/>
        <w:adjustRightInd w:val="0"/>
        <w:rPr>
          <w:bCs/>
          <w:szCs w:val="22"/>
        </w:rPr>
      </w:pPr>
      <w:r w:rsidRPr="005C6E4B">
        <w:rPr>
          <w:b/>
          <w:szCs w:val="22"/>
          <w:u w:val="single"/>
        </w:rPr>
        <w:t>Idaho</w:t>
      </w:r>
    </w:p>
    <w:p w:rsidR="0061720B" w:rsidRPr="005C6E4B" w:rsidP="004D646C" w14:paraId="28C5AB4C" w14:textId="77777777">
      <w:pPr>
        <w:autoSpaceDE w:val="0"/>
        <w:autoSpaceDN w:val="0"/>
        <w:adjustRightInd w:val="0"/>
        <w:rPr>
          <w:bCs/>
          <w:szCs w:val="22"/>
        </w:rPr>
      </w:pPr>
      <w:r w:rsidRPr="005C6E4B">
        <w:rPr>
          <w:bCs/>
          <w:szCs w:val="22"/>
        </w:rPr>
        <w:t>Clark County Sheriff’s Office</w:t>
      </w:r>
    </w:p>
    <w:p w:rsidR="0061720B" w:rsidRPr="005C6E4B" w:rsidP="004D646C" w14:paraId="4249533B" w14:textId="77777777">
      <w:pPr>
        <w:autoSpaceDE w:val="0"/>
        <w:autoSpaceDN w:val="0"/>
        <w:adjustRightInd w:val="0"/>
        <w:rPr>
          <w:bCs/>
          <w:szCs w:val="22"/>
        </w:rPr>
      </w:pPr>
      <w:r w:rsidRPr="005C6E4B">
        <w:rPr>
          <w:bCs/>
          <w:szCs w:val="22"/>
        </w:rPr>
        <w:t>Clearwater County Sheriff’s Dept.</w:t>
      </w:r>
    </w:p>
    <w:p w:rsidR="0061720B" w:rsidP="004D646C" w14:paraId="120AE95C" w14:textId="77777777">
      <w:pPr>
        <w:autoSpaceDE w:val="0"/>
        <w:autoSpaceDN w:val="0"/>
        <w:adjustRightInd w:val="0"/>
        <w:rPr>
          <w:bCs/>
          <w:szCs w:val="22"/>
        </w:rPr>
      </w:pPr>
      <w:r w:rsidRPr="005C6E4B">
        <w:rPr>
          <w:bCs/>
          <w:szCs w:val="22"/>
        </w:rPr>
        <w:t>Lewis County Sheriff’s Office</w:t>
      </w:r>
    </w:p>
    <w:p w:rsidR="005C6E4B" w:rsidRPr="005C6E4B" w:rsidP="004D646C" w14:paraId="575E5272" w14:textId="77777777">
      <w:pPr>
        <w:autoSpaceDE w:val="0"/>
        <w:autoSpaceDN w:val="0"/>
        <w:adjustRightInd w:val="0"/>
        <w:rPr>
          <w:bCs/>
          <w:szCs w:val="22"/>
        </w:rPr>
      </w:pPr>
    </w:p>
    <w:p w:rsidR="004D646C" w:rsidRPr="005C6E4B" w:rsidP="004D646C" w14:paraId="7403C866" w14:textId="77777777">
      <w:pPr>
        <w:autoSpaceDE w:val="0"/>
        <w:autoSpaceDN w:val="0"/>
        <w:adjustRightInd w:val="0"/>
        <w:rPr>
          <w:bCs/>
          <w:szCs w:val="22"/>
        </w:rPr>
      </w:pPr>
      <w:r w:rsidRPr="005C6E4B">
        <w:rPr>
          <w:b/>
          <w:szCs w:val="22"/>
          <w:u w:val="single"/>
        </w:rPr>
        <w:t>Massachusetts</w:t>
      </w:r>
    </w:p>
    <w:p w:rsidR="004D646C" w:rsidP="004D646C" w14:paraId="502BDE00" w14:textId="588DD1AE">
      <w:pPr>
        <w:autoSpaceDE w:val="0"/>
        <w:autoSpaceDN w:val="0"/>
        <w:adjustRightInd w:val="0"/>
        <w:rPr>
          <w:bCs/>
          <w:szCs w:val="22"/>
        </w:rPr>
      </w:pPr>
      <w:r w:rsidRPr="005C6E4B">
        <w:rPr>
          <w:bCs/>
          <w:szCs w:val="22"/>
        </w:rPr>
        <w:t>Boston PD</w:t>
      </w:r>
    </w:p>
    <w:p w:rsidR="005C6E4B" w:rsidRPr="005C6E4B" w:rsidP="004D646C" w14:paraId="53B1DA20" w14:textId="77777777">
      <w:pPr>
        <w:autoSpaceDE w:val="0"/>
        <w:autoSpaceDN w:val="0"/>
        <w:adjustRightInd w:val="0"/>
        <w:rPr>
          <w:bCs/>
          <w:szCs w:val="22"/>
        </w:rPr>
      </w:pPr>
    </w:p>
    <w:p w:rsidR="004D646C" w:rsidRPr="005C6E4B" w:rsidP="004D646C" w14:paraId="3DF08409" w14:textId="77777777">
      <w:pPr>
        <w:autoSpaceDE w:val="0"/>
        <w:autoSpaceDN w:val="0"/>
        <w:adjustRightInd w:val="0"/>
        <w:rPr>
          <w:bCs/>
          <w:szCs w:val="22"/>
        </w:rPr>
      </w:pPr>
      <w:r w:rsidRPr="005C6E4B">
        <w:rPr>
          <w:b/>
          <w:szCs w:val="22"/>
          <w:u w:val="single"/>
        </w:rPr>
        <w:t>Missouri</w:t>
      </w:r>
    </w:p>
    <w:p w:rsidR="0061720B" w:rsidRPr="005C6E4B" w:rsidP="004D646C" w14:paraId="45E1266C" w14:textId="77777777">
      <w:pPr>
        <w:autoSpaceDE w:val="0"/>
        <w:autoSpaceDN w:val="0"/>
        <w:adjustRightInd w:val="0"/>
        <w:rPr>
          <w:bCs/>
          <w:szCs w:val="22"/>
        </w:rPr>
      </w:pPr>
      <w:r w:rsidRPr="005C6E4B">
        <w:rPr>
          <w:bCs/>
          <w:szCs w:val="22"/>
        </w:rPr>
        <w:t>Douglas County Sheriff</w:t>
      </w:r>
    </w:p>
    <w:p w:rsidR="0061720B" w:rsidRPr="005C6E4B" w:rsidP="004D646C" w14:paraId="698BC670" w14:textId="77777777">
      <w:pPr>
        <w:autoSpaceDE w:val="0"/>
        <w:autoSpaceDN w:val="0"/>
        <w:adjustRightInd w:val="0"/>
        <w:rPr>
          <w:bCs/>
          <w:szCs w:val="22"/>
        </w:rPr>
      </w:pPr>
      <w:r w:rsidRPr="005C6E4B">
        <w:rPr>
          <w:bCs/>
          <w:szCs w:val="22"/>
        </w:rPr>
        <w:t>Independence City Jail</w:t>
      </w:r>
    </w:p>
    <w:p w:rsidR="0061720B" w:rsidP="004D646C" w14:paraId="3248A249" w14:textId="77777777">
      <w:pPr>
        <w:autoSpaceDE w:val="0"/>
        <w:autoSpaceDN w:val="0"/>
        <w:adjustRightInd w:val="0"/>
        <w:rPr>
          <w:bCs/>
          <w:szCs w:val="22"/>
        </w:rPr>
      </w:pPr>
      <w:r w:rsidRPr="005C6E4B">
        <w:rPr>
          <w:bCs/>
          <w:szCs w:val="22"/>
        </w:rPr>
        <w:t>Montgomery County Jail</w:t>
      </w:r>
    </w:p>
    <w:p w:rsidR="005C6E4B" w:rsidRPr="005C6E4B" w:rsidP="004D646C" w14:paraId="396DC3F9" w14:textId="77777777">
      <w:pPr>
        <w:autoSpaceDE w:val="0"/>
        <w:autoSpaceDN w:val="0"/>
        <w:adjustRightInd w:val="0"/>
        <w:rPr>
          <w:bCs/>
          <w:szCs w:val="22"/>
        </w:rPr>
      </w:pPr>
    </w:p>
    <w:p w:rsidR="004D646C" w:rsidRPr="005C6E4B" w:rsidP="004D646C" w14:paraId="76AB4AE3" w14:textId="77777777">
      <w:pPr>
        <w:autoSpaceDE w:val="0"/>
        <w:autoSpaceDN w:val="0"/>
        <w:adjustRightInd w:val="0"/>
        <w:rPr>
          <w:bCs/>
          <w:szCs w:val="22"/>
        </w:rPr>
      </w:pPr>
      <w:r w:rsidRPr="005C6E4B">
        <w:rPr>
          <w:b/>
          <w:szCs w:val="22"/>
          <w:u w:val="single"/>
        </w:rPr>
        <w:t>Nebraska</w:t>
      </w:r>
    </w:p>
    <w:p w:rsidR="0061720B" w:rsidRPr="005C6E4B" w:rsidP="004D646C" w14:paraId="743026C7" w14:textId="77777777">
      <w:pPr>
        <w:autoSpaceDE w:val="0"/>
        <w:autoSpaceDN w:val="0"/>
        <w:adjustRightInd w:val="0"/>
        <w:rPr>
          <w:bCs/>
          <w:szCs w:val="22"/>
        </w:rPr>
      </w:pPr>
      <w:r w:rsidRPr="005C6E4B">
        <w:rPr>
          <w:bCs/>
          <w:szCs w:val="22"/>
        </w:rPr>
        <w:t>Lancaster Youth Services Center</w:t>
      </w:r>
    </w:p>
    <w:p w:rsidR="0061720B" w:rsidP="004D646C" w14:paraId="764C9E2B" w14:textId="77777777">
      <w:pPr>
        <w:autoSpaceDE w:val="0"/>
        <w:autoSpaceDN w:val="0"/>
        <w:adjustRightInd w:val="0"/>
        <w:rPr>
          <w:bCs/>
          <w:szCs w:val="22"/>
        </w:rPr>
      </w:pPr>
      <w:r w:rsidRPr="005C6E4B">
        <w:rPr>
          <w:bCs/>
          <w:szCs w:val="22"/>
        </w:rPr>
        <w:t>Pierce County Sheriff</w:t>
      </w:r>
    </w:p>
    <w:p w:rsidR="005C6E4B" w:rsidRPr="005C6E4B" w:rsidP="004D646C" w14:paraId="0A0365AF" w14:textId="77777777">
      <w:pPr>
        <w:autoSpaceDE w:val="0"/>
        <w:autoSpaceDN w:val="0"/>
        <w:adjustRightInd w:val="0"/>
        <w:rPr>
          <w:bCs/>
          <w:szCs w:val="22"/>
        </w:rPr>
      </w:pPr>
    </w:p>
    <w:p w:rsidR="004D646C" w:rsidRPr="005C6E4B" w:rsidP="004D646C" w14:paraId="6C11967A" w14:textId="77777777">
      <w:pPr>
        <w:autoSpaceDE w:val="0"/>
        <w:autoSpaceDN w:val="0"/>
        <w:adjustRightInd w:val="0"/>
        <w:rPr>
          <w:b/>
          <w:szCs w:val="22"/>
          <w:u w:val="single"/>
        </w:rPr>
      </w:pPr>
      <w:r w:rsidRPr="005C6E4B">
        <w:rPr>
          <w:b/>
          <w:szCs w:val="22"/>
          <w:u w:val="single"/>
        </w:rPr>
        <w:t>Nevada</w:t>
      </w:r>
    </w:p>
    <w:p w:rsidR="0061720B" w:rsidP="004D646C" w14:paraId="57068E75" w14:textId="77777777">
      <w:pPr>
        <w:autoSpaceDE w:val="0"/>
        <w:autoSpaceDN w:val="0"/>
        <w:adjustRightInd w:val="0"/>
        <w:rPr>
          <w:bCs/>
          <w:szCs w:val="22"/>
        </w:rPr>
      </w:pPr>
      <w:r w:rsidRPr="005C6E4B">
        <w:rPr>
          <w:bCs/>
          <w:szCs w:val="22"/>
        </w:rPr>
        <w:t>Elko County Sheriff’s Office</w:t>
      </w:r>
    </w:p>
    <w:p w:rsidR="0061720B" w:rsidRPr="005C6E4B" w:rsidP="004D646C" w14:paraId="31941484" w14:textId="77777777">
      <w:pPr>
        <w:autoSpaceDE w:val="0"/>
        <w:autoSpaceDN w:val="0"/>
        <w:adjustRightInd w:val="0"/>
        <w:rPr>
          <w:bCs/>
          <w:szCs w:val="22"/>
        </w:rPr>
      </w:pPr>
      <w:r w:rsidRPr="005C6E4B">
        <w:rPr>
          <w:bCs/>
          <w:szCs w:val="22"/>
        </w:rPr>
        <w:t>Washoe County Jail</w:t>
      </w:r>
    </w:p>
    <w:p w:rsidR="005C6E4B" w:rsidRPr="005C6E4B" w:rsidP="004D646C" w14:paraId="7931A3AB" w14:textId="77777777">
      <w:pPr>
        <w:autoSpaceDE w:val="0"/>
        <w:autoSpaceDN w:val="0"/>
        <w:adjustRightInd w:val="0"/>
        <w:rPr>
          <w:bCs/>
          <w:szCs w:val="22"/>
        </w:rPr>
      </w:pPr>
    </w:p>
    <w:p w:rsidR="004D646C" w:rsidRPr="005C6E4B" w:rsidP="004D646C" w14:paraId="46C8D60C" w14:textId="77777777">
      <w:pPr>
        <w:autoSpaceDE w:val="0"/>
        <w:autoSpaceDN w:val="0"/>
        <w:adjustRightInd w:val="0"/>
        <w:rPr>
          <w:bCs/>
          <w:szCs w:val="22"/>
        </w:rPr>
      </w:pPr>
      <w:r w:rsidRPr="005C6E4B">
        <w:rPr>
          <w:b/>
          <w:szCs w:val="22"/>
          <w:u w:val="single"/>
        </w:rPr>
        <w:t>New Mexico</w:t>
      </w:r>
    </w:p>
    <w:p w:rsidR="0061720B" w:rsidP="004D646C" w14:paraId="16BA693E" w14:textId="77777777">
      <w:pPr>
        <w:autoSpaceDE w:val="0"/>
        <w:autoSpaceDN w:val="0"/>
        <w:adjustRightInd w:val="0"/>
        <w:rPr>
          <w:bCs/>
          <w:szCs w:val="22"/>
        </w:rPr>
      </w:pPr>
      <w:r w:rsidRPr="005C6E4B">
        <w:rPr>
          <w:bCs/>
          <w:szCs w:val="22"/>
        </w:rPr>
        <w:t>Pueblo of Laguna Detention Facility</w:t>
      </w:r>
    </w:p>
    <w:p w:rsidR="0061720B" w:rsidRPr="005C6E4B" w:rsidP="004D646C" w14:paraId="08642F71" w14:textId="77777777">
      <w:pPr>
        <w:autoSpaceDE w:val="0"/>
        <w:autoSpaceDN w:val="0"/>
        <w:adjustRightInd w:val="0"/>
        <w:rPr>
          <w:bCs/>
          <w:szCs w:val="22"/>
        </w:rPr>
      </w:pPr>
      <w:r w:rsidRPr="005C6E4B">
        <w:rPr>
          <w:bCs/>
          <w:szCs w:val="22"/>
        </w:rPr>
        <w:t>Zuni Department of Corrections</w:t>
      </w:r>
    </w:p>
    <w:p w:rsidR="005C6E4B" w:rsidRPr="005C6E4B" w:rsidP="004D646C" w14:paraId="1AC1C47A" w14:textId="77777777">
      <w:pPr>
        <w:autoSpaceDE w:val="0"/>
        <w:autoSpaceDN w:val="0"/>
        <w:adjustRightInd w:val="0"/>
        <w:rPr>
          <w:bCs/>
          <w:szCs w:val="22"/>
        </w:rPr>
      </w:pPr>
    </w:p>
    <w:p w:rsidR="004D646C" w:rsidRPr="005C6E4B" w:rsidP="004D646C" w14:paraId="5483AD13" w14:textId="77777777">
      <w:pPr>
        <w:autoSpaceDE w:val="0"/>
        <w:autoSpaceDN w:val="0"/>
        <w:adjustRightInd w:val="0"/>
        <w:rPr>
          <w:bCs/>
          <w:szCs w:val="22"/>
        </w:rPr>
      </w:pPr>
      <w:r w:rsidRPr="005C6E4B">
        <w:rPr>
          <w:b/>
          <w:szCs w:val="22"/>
          <w:u w:val="single"/>
        </w:rPr>
        <w:t>North Carolina</w:t>
      </w:r>
    </w:p>
    <w:p w:rsidR="004D646C" w:rsidP="004D646C" w14:paraId="5A93999A" w14:textId="169B3160">
      <w:pPr>
        <w:autoSpaceDE w:val="0"/>
        <w:autoSpaceDN w:val="0"/>
        <w:adjustRightInd w:val="0"/>
        <w:rPr>
          <w:bCs/>
          <w:szCs w:val="22"/>
        </w:rPr>
      </w:pPr>
      <w:r w:rsidRPr="005C6E4B">
        <w:rPr>
          <w:bCs/>
          <w:szCs w:val="22"/>
        </w:rPr>
        <w:t>Moore County Detention Center</w:t>
      </w:r>
    </w:p>
    <w:p w:rsidR="005C6E4B" w:rsidRPr="005C6E4B" w:rsidP="004D646C" w14:paraId="5AC1E273" w14:textId="77777777">
      <w:pPr>
        <w:autoSpaceDE w:val="0"/>
        <w:autoSpaceDN w:val="0"/>
        <w:adjustRightInd w:val="0"/>
        <w:rPr>
          <w:bCs/>
          <w:szCs w:val="22"/>
        </w:rPr>
      </w:pPr>
    </w:p>
    <w:p w:rsidR="004D646C" w:rsidRPr="005C6E4B" w:rsidP="004D646C" w14:paraId="6B7891C5" w14:textId="77777777">
      <w:pPr>
        <w:autoSpaceDE w:val="0"/>
        <w:autoSpaceDN w:val="0"/>
        <w:adjustRightInd w:val="0"/>
        <w:rPr>
          <w:bCs/>
          <w:szCs w:val="22"/>
        </w:rPr>
      </w:pPr>
      <w:r w:rsidRPr="005C6E4B">
        <w:rPr>
          <w:b/>
          <w:szCs w:val="22"/>
          <w:u w:val="single"/>
        </w:rPr>
        <w:t>Ohio</w:t>
      </w:r>
    </w:p>
    <w:p w:rsidR="004D646C" w:rsidP="004D646C" w14:paraId="0B7D10D4" w14:textId="5B1946EB">
      <w:pPr>
        <w:autoSpaceDE w:val="0"/>
        <w:autoSpaceDN w:val="0"/>
        <w:adjustRightInd w:val="0"/>
        <w:rPr>
          <w:bCs/>
          <w:szCs w:val="22"/>
        </w:rPr>
      </w:pPr>
      <w:r w:rsidRPr="005C6E4B">
        <w:rPr>
          <w:bCs/>
          <w:szCs w:val="22"/>
        </w:rPr>
        <w:t>City of Middletown Police Dept.</w:t>
      </w:r>
    </w:p>
    <w:p w:rsidR="005C6E4B" w:rsidRPr="005C6E4B" w:rsidP="004D646C" w14:paraId="73C289D9" w14:textId="77777777">
      <w:pPr>
        <w:autoSpaceDE w:val="0"/>
        <w:autoSpaceDN w:val="0"/>
        <w:adjustRightInd w:val="0"/>
        <w:rPr>
          <w:bCs/>
          <w:szCs w:val="22"/>
        </w:rPr>
      </w:pPr>
    </w:p>
    <w:p w:rsidR="004D646C" w:rsidRPr="005C6E4B" w:rsidP="004D646C" w14:paraId="57FB5BF9" w14:textId="77777777">
      <w:pPr>
        <w:autoSpaceDE w:val="0"/>
        <w:autoSpaceDN w:val="0"/>
        <w:adjustRightInd w:val="0"/>
        <w:rPr>
          <w:b/>
          <w:szCs w:val="22"/>
          <w:u w:val="single"/>
        </w:rPr>
      </w:pPr>
      <w:r w:rsidRPr="005C6E4B">
        <w:rPr>
          <w:b/>
          <w:szCs w:val="22"/>
          <w:u w:val="single"/>
        </w:rPr>
        <w:t>Oklahoma</w:t>
      </w:r>
    </w:p>
    <w:p w:rsidR="004D646C" w:rsidRPr="005C6E4B" w:rsidP="004D646C" w14:paraId="610439D2" w14:textId="77777777">
      <w:pPr>
        <w:autoSpaceDE w:val="0"/>
        <w:autoSpaceDN w:val="0"/>
        <w:adjustRightInd w:val="0"/>
        <w:rPr>
          <w:bCs/>
          <w:szCs w:val="22"/>
        </w:rPr>
      </w:pPr>
      <w:r w:rsidRPr="005C6E4B">
        <w:rPr>
          <w:bCs/>
          <w:szCs w:val="22"/>
        </w:rPr>
        <w:t>City of Tulsa Police Department</w:t>
      </w:r>
    </w:p>
    <w:p w:rsidR="004D646C" w:rsidP="004D646C" w14:paraId="60138AC7" w14:textId="092F39EE">
      <w:pPr>
        <w:autoSpaceDE w:val="0"/>
        <w:autoSpaceDN w:val="0"/>
        <w:adjustRightInd w:val="0"/>
        <w:rPr>
          <w:bCs/>
          <w:szCs w:val="22"/>
        </w:rPr>
      </w:pPr>
      <w:r w:rsidRPr="005C6E4B">
        <w:rPr>
          <w:bCs/>
          <w:szCs w:val="22"/>
        </w:rPr>
        <w:t>Cleveland County</w:t>
      </w:r>
    </w:p>
    <w:p w:rsidR="005C6E4B" w:rsidRPr="005C6E4B" w:rsidP="004D646C" w14:paraId="73CE08BE" w14:textId="77777777">
      <w:pPr>
        <w:autoSpaceDE w:val="0"/>
        <w:autoSpaceDN w:val="0"/>
        <w:adjustRightInd w:val="0"/>
        <w:rPr>
          <w:bCs/>
          <w:szCs w:val="22"/>
        </w:rPr>
      </w:pPr>
    </w:p>
    <w:p w:rsidR="004D646C" w:rsidRPr="005C6E4B" w:rsidP="004D646C" w14:paraId="68BFEB80" w14:textId="77777777">
      <w:pPr>
        <w:autoSpaceDE w:val="0"/>
        <w:autoSpaceDN w:val="0"/>
        <w:adjustRightInd w:val="0"/>
        <w:rPr>
          <w:bCs/>
          <w:szCs w:val="22"/>
        </w:rPr>
      </w:pPr>
      <w:r w:rsidRPr="005C6E4B">
        <w:rPr>
          <w:b/>
          <w:szCs w:val="22"/>
          <w:u w:val="single"/>
        </w:rPr>
        <w:t>Oregon</w:t>
      </w:r>
    </w:p>
    <w:p w:rsidR="004D646C" w:rsidP="004D646C" w14:paraId="25BA8D54" w14:textId="42326473">
      <w:pPr>
        <w:autoSpaceDE w:val="0"/>
        <w:autoSpaceDN w:val="0"/>
        <w:adjustRightInd w:val="0"/>
        <w:rPr>
          <w:bCs/>
          <w:szCs w:val="22"/>
        </w:rPr>
      </w:pPr>
      <w:r w:rsidRPr="005C6E4B">
        <w:rPr>
          <w:bCs/>
          <w:szCs w:val="22"/>
        </w:rPr>
        <w:t>Benton County Jail</w:t>
      </w:r>
    </w:p>
    <w:p w:rsidR="005C6E4B" w:rsidRPr="005C6E4B" w:rsidP="004D646C" w14:paraId="22445A55" w14:textId="77777777">
      <w:pPr>
        <w:autoSpaceDE w:val="0"/>
        <w:autoSpaceDN w:val="0"/>
        <w:adjustRightInd w:val="0"/>
        <w:rPr>
          <w:bCs/>
          <w:szCs w:val="22"/>
        </w:rPr>
      </w:pPr>
    </w:p>
    <w:p w:rsidR="004D646C" w:rsidRPr="005C6E4B" w:rsidP="004D646C" w14:paraId="00CCA4B7" w14:textId="77777777">
      <w:pPr>
        <w:autoSpaceDE w:val="0"/>
        <w:autoSpaceDN w:val="0"/>
        <w:adjustRightInd w:val="0"/>
        <w:rPr>
          <w:bCs/>
          <w:szCs w:val="22"/>
        </w:rPr>
      </w:pPr>
      <w:r w:rsidRPr="005C6E4B">
        <w:rPr>
          <w:b/>
          <w:szCs w:val="22"/>
          <w:u w:val="single"/>
        </w:rPr>
        <w:t>South Carolina</w:t>
      </w:r>
    </w:p>
    <w:p w:rsidR="0061720B" w:rsidP="004D646C" w14:paraId="11A58BE8" w14:textId="77777777">
      <w:pPr>
        <w:autoSpaceDE w:val="0"/>
        <w:autoSpaceDN w:val="0"/>
        <w:adjustRightInd w:val="0"/>
        <w:rPr>
          <w:bCs/>
          <w:szCs w:val="22"/>
        </w:rPr>
      </w:pPr>
      <w:r w:rsidRPr="005C6E4B">
        <w:rPr>
          <w:bCs/>
          <w:szCs w:val="22"/>
        </w:rPr>
        <w:t>Darlington County Prison Farm</w:t>
      </w:r>
    </w:p>
    <w:p w:rsidR="0061720B" w:rsidRPr="005C6E4B" w:rsidP="004D646C" w14:paraId="16F4FCAE" w14:textId="77777777">
      <w:pPr>
        <w:autoSpaceDE w:val="0"/>
        <w:autoSpaceDN w:val="0"/>
        <w:adjustRightInd w:val="0"/>
        <w:rPr>
          <w:bCs/>
          <w:szCs w:val="22"/>
        </w:rPr>
      </w:pPr>
      <w:r w:rsidRPr="005C6E4B">
        <w:rPr>
          <w:bCs/>
          <w:szCs w:val="22"/>
        </w:rPr>
        <w:t>McCormick County Sheriff’s Office</w:t>
      </w:r>
    </w:p>
    <w:p w:rsidR="005C6E4B" w:rsidRPr="005C6E4B" w:rsidP="004D646C" w14:paraId="424ABE3C" w14:textId="77777777">
      <w:pPr>
        <w:autoSpaceDE w:val="0"/>
        <w:autoSpaceDN w:val="0"/>
        <w:adjustRightInd w:val="0"/>
        <w:rPr>
          <w:bCs/>
          <w:szCs w:val="22"/>
        </w:rPr>
      </w:pPr>
    </w:p>
    <w:p w:rsidR="004D646C" w:rsidRPr="005C6E4B" w:rsidP="004D646C" w14:paraId="4C014145" w14:textId="77777777">
      <w:pPr>
        <w:autoSpaceDE w:val="0"/>
        <w:autoSpaceDN w:val="0"/>
        <w:adjustRightInd w:val="0"/>
        <w:rPr>
          <w:b/>
          <w:szCs w:val="22"/>
          <w:u w:val="single"/>
        </w:rPr>
      </w:pPr>
      <w:r w:rsidRPr="005C6E4B">
        <w:rPr>
          <w:b/>
          <w:szCs w:val="22"/>
          <w:u w:val="single"/>
        </w:rPr>
        <w:t>Texas</w:t>
      </w:r>
    </w:p>
    <w:p w:rsidR="0061720B" w:rsidRPr="005C6E4B" w:rsidP="004D646C" w14:paraId="1B961083" w14:textId="77777777">
      <w:pPr>
        <w:autoSpaceDE w:val="0"/>
        <w:autoSpaceDN w:val="0"/>
        <w:adjustRightInd w:val="0"/>
        <w:rPr>
          <w:bCs/>
          <w:szCs w:val="22"/>
        </w:rPr>
      </w:pPr>
      <w:r w:rsidRPr="005C6E4B">
        <w:rPr>
          <w:bCs/>
          <w:szCs w:val="22"/>
        </w:rPr>
        <w:t>City of Hurst Police Dept.</w:t>
      </w:r>
    </w:p>
    <w:p w:rsidR="0061720B" w:rsidRPr="005C6E4B" w:rsidP="004D646C" w14:paraId="670420F1" w14:textId="77777777">
      <w:pPr>
        <w:autoSpaceDE w:val="0"/>
        <w:autoSpaceDN w:val="0"/>
        <w:adjustRightInd w:val="0"/>
        <w:rPr>
          <w:bCs/>
          <w:szCs w:val="22"/>
        </w:rPr>
      </w:pPr>
      <w:r w:rsidRPr="005C6E4B">
        <w:rPr>
          <w:bCs/>
          <w:szCs w:val="22"/>
        </w:rPr>
        <w:t>City of Lewisville</w:t>
      </w:r>
    </w:p>
    <w:p w:rsidR="0061720B" w:rsidRPr="005C6E4B" w:rsidP="004D646C" w14:paraId="2470B5F6" w14:textId="77777777">
      <w:pPr>
        <w:autoSpaceDE w:val="0"/>
        <w:autoSpaceDN w:val="0"/>
        <w:adjustRightInd w:val="0"/>
        <w:rPr>
          <w:bCs/>
          <w:szCs w:val="22"/>
        </w:rPr>
      </w:pPr>
      <w:r w:rsidRPr="005C6E4B">
        <w:rPr>
          <w:bCs/>
          <w:szCs w:val="22"/>
        </w:rPr>
        <w:t>The Colony Police Dept.</w:t>
      </w:r>
    </w:p>
    <w:p w:rsidR="0061720B" w:rsidP="004D646C" w14:paraId="1301743D" w14:textId="77777777">
      <w:pPr>
        <w:autoSpaceDE w:val="0"/>
        <w:autoSpaceDN w:val="0"/>
        <w:adjustRightInd w:val="0"/>
        <w:rPr>
          <w:bCs/>
          <w:szCs w:val="22"/>
        </w:rPr>
      </w:pPr>
      <w:r w:rsidRPr="005C6E4B">
        <w:rPr>
          <w:bCs/>
          <w:szCs w:val="22"/>
        </w:rPr>
        <w:t>Walker County</w:t>
      </w:r>
    </w:p>
    <w:p w:rsidR="005C6E4B" w:rsidRPr="005C6E4B" w:rsidP="004D646C" w14:paraId="2B417B6B" w14:textId="77777777">
      <w:pPr>
        <w:autoSpaceDE w:val="0"/>
        <w:autoSpaceDN w:val="0"/>
        <w:adjustRightInd w:val="0"/>
        <w:rPr>
          <w:bCs/>
          <w:szCs w:val="22"/>
        </w:rPr>
      </w:pPr>
    </w:p>
    <w:p w:rsidR="004D646C" w:rsidRPr="005C6E4B" w:rsidP="004D646C" w14:paraId="688B1B1D" w14:textId="77777777">
      <w:pPr>
        <w:autoSpaceDE w:val="0"/>
        <w:autoSpaceDN w:val="0"/>
        <w:adjustRightInd w:val="0"/>
        <w:rPr>
          <w:bCs/>
          <w:szCs w:val="22"/>
        </w:rPr>
      </w:pPr>
      <w:r w:rsidRPr="005C6E4B">
        <w:rPr>
          <w:b/>
          <w:szCs w:val="22"/>
          <w:u w:val="single"/>
        </w:rPr>
        <w:t>Washington</w:t>
      </w:r>
    </w:p>
    <w:p w:rsidR="0061720B" w:rsidRPr="005C6E4B" w:rsidP="004D646C" w14:paraId="03E41659" w14:textId="77777777">
      <w:pPr>
        <w:autoSpaceDE w:val="0"/>
        <w:autoSpaceDN w:val="0"/>
        <w:adjustRightInd w:val="0"/>
        <w:rPr>
          <w:bCs/>
          <w:szCs w:val="22"/>
        </w:rPr>
      </w:pPr>
      <w:r w:rsidRPr="005C6E4B">
        <w:rPr>
          <w:bCs/>
          <w:szCs w:val="22"/>
        </w:rPr>
        <w:t>Adams County Sheriff’s Dept.</w:t>
      </w:r>
    </w:p>
    <w:p w:rsidR="0061720B" w:rsidRPr="005C6E4B" w:rsidP="004D646C" w14:paraId="6039FBBE" w14:textId="77777777">
      <w:pPr>
        <w:autoSpaceDE w:val="0"/>
        <w:autoSpaceDN w:val="0"/>
        <w:adjustRightInd w:val="0"/>
        <w:rPr>
          <w:bCs/>
          <w:szCs w:val="22"/>
        </w:rPr>
      </w:pPr>
      <w:r w:rsidRPr="005C6E4B">
        <w:rPr>
          <w:bCs/>
          <w:szCs w:val="22"/>
        </w:rPr>
        <w:t>Grays Harbor County Jail</w:t>
      </w:r>
    </w:p>
    <w:p w:rsidR="0061720B" w:rsidRPr="005C6E4B" w:rsidP="004D646C" w14:paraId="2B7BA231" w14:textId="77777777">
      <w:pPr>
        <w:autoSpaceDE w:val="0"/>
        <w:autoSpaceDN w:val="0"/>
        <w:adjustRightInd w:val="0"/>
        <w:rPr>
          <w:bCs/>
          <w:szCs w:val="22"/>
        </w:rPr>
      </w:pPr>
      <w:r w:rsidRPr="005C6E4B">
        <w:rPr>
          <w:bCs/>
          <w:szCs w:val="22"/>
        </w:rPr>
        <w:t>Hoquiam Police Dept.</w:t>
      </w:r>
    </w:p>
    <w:p w:rsidR="004D646C" w:rsidRPr="005C6E4B" w:rsidP="004D646C" w14:paraId="05ED222F" w14:textId="77777777">
      <w:pPr>
        <w:autoSpaceDE w:val="0"/>
        <w:autoSpaceDN w:val="0"/>
        <w:adjustRightInd w:val="0"/>
        <w:rPr>
          <w:bCs/>
          <w:szCs w:val="22"/>
        </w:rPr>
      </w:pPr>
    </w:p>
    <w:p w:rsidR="004D646C" w:rsidRPr="005C6E4B" w:rsidP="004D646C" w14:paraId="75452B81" w14:textId="77777777">
      <w:pPr>
        <w:autoSpaceDE w:val="0"/>
        <w:autoSpaceDN w:val="0"/>
        <w:adjustRightInd w:val="0"/>
        <w:jc w:val="center"/>
        <w:rPr>
          <w:b/>
          <w:szCs w:val="22"/>
        </w:rPr>
      </w:pPr>
    </w:p>
    <w:p w:rsidR="004D646C" w:rsidRPr="005C6E4B" w:rsidP="006C6FE3" w14:paraId="79FE92FE" w14:textId="77777777">
      <w:pPr>
        <w:autoSpaceDE w:val="0"/>
        <w:autoSpaceDN w:val="0"/>
        <w:adjustRightInd w:val="0"/>
        <w:rPr>
          <w:b/>
          <w:szCs w:val="22"/>
        </w:rPr>
      </w:pPr>
    </w:p>
    <w:p w:rsidR="004D646C" w:rsidRPr="005C6E4B" w:rsidP="004D646C" w14:paraId="365A019A" w14:textId="77777777">
      <w:pPr>
        <w:autoSpaceDE w:val="0"/>
        <w:autoSpaceDN w:val="0"/>
        <w:adjustRightInd w:val="0"/>
        <w:jc w:val="center"/>
        <w:rPr>
          <w:b/>
          <w:szCs w:val="22"/>
        </w:rPr>
      </w:pPr>
    </w:p>
    <w:p w:rsidR="004D646C" w:rsidRPr="005C6E4B" w:rsidP="004D646C" w14:paraId="35FC3701" w14:textId="77777777">
      <w:pPr>
        <w:autoSpaceDE w:val="0"/>
        <w:autoSpaceDN w:val="0"/>
        <w:adjustRightInd w:val="0"/>
        <w:jc w:val="center"/>
        <w:rPr>
          <w:b/>
          <w:szCs w:val="22"/>
        </w:rPr>
      </w:pPr>
    </w:p>
    <w:p w:rsidR="004D646C" w:rsidRPr="00B04BB3" w:rsidP="00B04BB3" w14:paraId="2A2E0CA0" w14:textId="47A7D5C1">
      <w:pPr>
        <w:autoSpaceDE w:val="0"/>
        <w:autoSpaceDN w:val="0"/>
        <w:adjustRightInd w:val="0"/>
        <w:jc w:val="center"/>
        <w:rPr>
          <w:color w:val="000000"/>
          <w:szCs w:val="22"/>
        </w:rPr>
      </w:pPr>
      <w:r w:rsidRPr="005C6E4B">
        <w:rPr>
          <w:b/>
          <w:szCs w:val="22"/>
        </w:rPr>
        <w:t>-FCC-</w:t>
      </w:r>
    </w:p>
    <w:sectPr w:rsidSect="004D646C">
      <w:headerReference w:type="even" r:id="rId10"/>
      <w:headerReference w:type="default" r:id="rId11"/>
      <w:footerReference w:type="default" r:id="rId12"/>
      <w:headerReference w:type="first" r:id="rId13"/>
      <w:endnotePr>
        <w:numFmt w:val="decimal"/>
      </w:endnotePr>
      <w:pgSz w:w="12240" w:h="15840"/>
      <w:pgMar w:top="1440" w:right="1440" w:bottom="720" w:left="1440" w:header="630" w:footer="720" w:gutter="0"/>
      <w:pgNumType w:fmt="lowerRoman"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P="0055614C" w14:paraId="26FE89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9E434D" w14:paraId="0DE879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P="00910F12" w14:paraId="6CE187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72C0F14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0743590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9E434D" w:rsidP="00910F12" w14:paraId="115C76B7" w14:textId="234305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1059" w14:paraId="6B940D18" w14:textId="77777777">
      <w:r>
        <w:separator/>
      </w:r>
    </w:p>
  </w:footnote>
  <w:footnote w:type="continuationSeparator" w:id="1">
    <w:p w:rsidR="00021059" w14:paraId="59F2D248" w14:textId="77777777">
      <w:pPr>
        <w:rPr>
          <w:sz w:val="20"/>
        </w:rPr>
      </w:pPr>
      <w:r>
        <w:rPr>
          <w:sz w:val="20"/>
        </w:rPr>
        <w:t xml:space="preserve">(Continued from previous page)  </w:t>
      </w:r>
      <w:r>
        <w:rPr>
          <w:sz w:val="20"/>
        </w:rPr>
        <w:separator/>
      </w:r>
    </w:p>
  </w:footnote>
  <w:footnote w:type="continuationNotice" w:id="2">
    <w:p w:rsidR="00021059" w:rsidP="00910F12" w14:paraId="06DA4AC1" w14:textId="77777777">
      <w:pPr>
        <w:jc w:val="right"/>
        <w:rPr>
          <w:sz w:val="20"/>
        </w:rPr>
      </w:pPr>
      <w:r>
        <w:rPr>
          <w:sz w:val="20"/>
        </w:rPr>
        <w:t>(continued….)</w:t>
      </w:r>
    </w:p>
  </w:footnote>
  <w:footnote w:id="3">
    <w:p w:rsidR="009E434D" w:rsidRPr="00487CA0" w:rsidP="00754EDF" w14:paraId="2DE78D02" w14:textId="0D43219F">
      <w:pPr>
        <w:pStyle w:val="FootnoteText"/>
      </w:pPr>
      <w:r w:rsidRPr="00487CA0">
        <w:rPr>
          <w:rStyle w:val="FootnoteReference"/>
          <w:sz w:val="20"/>
        </w:rPr>
        <w:footnoteRef/>
      </w:r>
      <w:r w:rsidRPr="00487CA0">
        <w:t xml:space="preserve"> 47 U.S.C. § 214; 47 CFR §§ 63.03-04, 63.18, 63.24.</w:t>
      </w:r>
    </w:p>
  </w:footnote>
  <w:footnote w:id="4">
    <w:p w:rsidR="009E434D" w:rsidP="00176EEE" w14:paraId="71BE1860" w14:textId="3BE128E5">
      <w:pPr>
        <w:pStyle w:val="FootnoteText"/>
      </w:pPr>
      <w:r>
        <w:rPr>
          <w:rStyle w:val="FootnoteReference"/>
        </w:rPr>
        <w:footnoteRef/>
      </w:r>
      <w:r>
        <w:t xml:space="preserve"> </w:t>
      </w:r>
      <w:r w:rsidRPr="00FB6F37">
        <w:rPr>
          <w:i/>
          <w:iCs/>
        </w:rPr>
        <w:t xml:space="preserve">Acquisition </w:t>
      </w:r>
      <w:r>
        <w:rPr>
          <w:i/>
          <w:iCs/>
        </w:rPr>
        <w:t>o</w:t>
      </w:r>
      <w:r w:rsidRPr="00FB6F37">
        <w:rPr>
          <w:i/>
          <w:iCs/>
        </w:rPr>
        <w:t xml:space="preserve">f Certain Assets </w:t>
      </w:r>
      <w:r>
        <w:rPr>
          <w:i/>
          <w:iCs/>
        </w:rPr>
        <w:t>o</w:t>
      </w:r>
      <w:r w:rsidRPr="00FB6F37">
        <w:rPr>
          <w:i/>
          <w:iCs/>
        </w:rPr>
        <w:t>f Legacy Long Distance International, Inc. d/b/a Legacy Inmate Communications by Network Communications International Corp. d/b/a NCIC Inmate Communications</w:t>
      </w:r>
      <w:r w:rsidRPr="00FB6F37">
        <w:t>, WC Docket 20-207, Public Notice, 35</w:t>
      </w:r>
      <w:r>
        <w:t xml:space="preserve"> </w:t>
      </w:r>
      <w:r w:rsidRPr="00FB6F37">
        <w:t xml:space="preserve">FCC </w:t>
      </w:r>
      <w:r w:rsidRPr="00FB6F37">
        <w:t>Rcd</w:t>
      </w:r>
      <w:r w:rsidRPr="00FB6F37">
        <w:t xml:space="preserve"> 9945</w:t>
      </w:r>
      <w:r>
        <w:t xml:space="preserve"> (2020).</w:t>
      </w:r>
    </w:p>
  </w:footnote>
  <w:footnote w:id="5">
    <w:p w:rsidR="009E434D" w:rsidRPr="00487CA0" w:rsidP="00176EEE" w14:paraId="24B9FD8F" w14:textId="426F77CA">
      <w:pPr>
        <w:pStyle w:val="FootnoteText"/>
      </w:pPr>
      <w:r w:rsidRPr="009B4344">
        <w:rPr>
          <w:rStyle w:val="FootnoteReference"/>
          <w:sz w:val="20"/>
        </w:rPr>
        <w:footnoteRef/>
      </w:r>
      <w:r w:rsidRPr="009B4344">
        <w:t xml:space="preserve"> Joint Application of </w:t>
      </w:r>
      <w:r w:rsidRPr="00E4338E">
        <w:rPr>
          <w:szCs w:val="22"/>
        </w:rPr>
        <w:t>Legacy Long Distance International, Inc. d/b/a Legacy Inmate Communication</w:t>
      </w:r>
      <w:r>
        <w:rPr>
          <w:szCs w:val="22"/>
        </w:rPr>
        <w:t xml:space="preserve">s and </w:t>
      </w:r>
      <w:r>
        <w:t>Network Communications International Corp. d/b/a NCIC Inmate Communications</w:t>
      </w:r>
      <w:r w:rsidRPr="009B4344">
        <w:t xml:space="preserve"> for </w:t>
      </w:r>
      <w:r>
        <w:t>Consent To Transfer Contracts of Legacy Long Distance International, Inc. Pursuant to Section 214 of the Communications Act of 1934, As Amended</w:t>
      </w:r>
      <w:r w:rsidRPr="009B4344">
        <w:t>, WC Docket No. 20-</w:t>
      </w:r>
      <w:r>
        <w:t>207, ITC-ASG-20200609-0010, at 1-2</w:t>
      </w:r>
      <w:r w:rsidRPr="009B4344">
        <w:t xml:space="preserve"> (filed </w:t>
      </w:r>
      <w:r>
        <w:t>June 29</w:t>
      </w:r>
      <w:r w:rsidRPr="009B4344">
        <w:t>, 2020)</w:t>
      </w:r>
      <w:r>
        <w:t xml:space="preserve"> (NCIC Application).  Applicants filed a supplement to their application on July 30, 2020.  Letter from Sharon R. Warren, Consultant, to Marlene H. Dortch, Secretary, FCC, WC Docket No. 20-207 (filed July 30, 2020) (NCIC July 30 Supplement Letter).  Applicants filed a further supplement to their application on October 9, 2020.  Letter from Brian Hill, Chief Executive Officer, Legacy, and Bill Pope, President, NCIC, to Marlene H. Dortch, Secretary, FCC, WC Docket No.</w:t>
      </w:r>
      <w:r w:rsidR="007D3162">
        <w:t xml:space="preserve"> </w:t>
      </w:r>
      <w:r>
        <w:t>20-207 (filed October 9, 2020) (NCIC October 9 Supplement Letter).</w:t>
      </w:r>
    </w:p>
  </w:footnote>
  <w:footnote w:id="6">
    <w:p w:rsidR="009E434D" w:rsidRPr="004210DB" w:rsidP="00176EEE" w14:paraId="0E4112F8" w14:textId="4D03EE9F">
      <w:pPr>
        <w:pStyle w:val="FootnoteText"/>
        <w:rPr>
          <w:i/>
          <w:iCs/>
        </w:rPr>
      </w:pPr>
      <w:r>
        <w:rPr>
          <w:rStyle w:val="FootnoteReference"/>
        </w:rPr>
        <w:footnoteRef/>
      </w:r>
      <w:r>
        <w:t xml:space="preserve"> NCIC Application at 3.  </w:t>
      </w:r>
    </w:p>
  </w:footnote>
  <w:footnote w:id="7">
    <w:p w:rsidR="009E434D" w:rsidP="00176EEE" w14:paraId="71817A86" w14:textId="2AE622A1">
      <w:pPr>
        <w:pStyle w:val="FootnoteText"/>
      </w:pPr>
      <w:r>
        <w:rPr>
          <w:rStyle w:val="FootnoteReference"/>
        </w:rPr>
        <w:footnoteRef/>
      </w:r>
      <w:r>
        <w:t xml:space="preserve"> </w:t>
      </w:r>
      <w:r>
        <w:rPr>
          <w:i/>
          <w:iCs/>
        </w:rPr>
        <w:t>Id</w:t>
      </w:r>
      <w:r>
        <w:t>. at 2.</w:t>
      </w:r>
    </w:p>
  </w:footnote>
  <w:footnote w:id="8">
    <w:p w:rsidR="009E434D" w:rsidP="00176EEE" w14:paraId="0F465CFF" w14:textId="363DF49D">
      <w:pPr>
        <w:pStyle w:val="FootnoteText"/>
      </w:pPr>
      <w:r>
        <w:rPr>
          <w:rStyle w:val="FootnoteReference"/>
        </w:rPr>
        <w:footnoteRef/>
      </w:r>
      <w:r>
        <w:t xml:space="preserve"> </w:t>
      </w:r>
      <w:r>
        <w:rPr>
          <w:i/>
          <w:iCs/>
        </w:rPr>
        <w:t>Id</w:t>
      </w:r>
      <w:r>
        <w:t>.</w:t>
      </w:r>
    </w:p>
  </w:footnote>
  <w:footnote w:id="9">
    <w:p w:rsidR="009E434D" w:rsidP="00176EEE" w14:paraId="196A4EEC" w14:textId="141802F9">
      <w:pPr>
        <w:pStyle w:val="FootnoteText"/>
      </w:pPr>
      <w:r>
        <w:rPr>
          <w:rStyle w:val="FootnoteReference"/>
        </w:rPr>
        <w:footnoteRef/>
      </w:r>
      <w:r>
        <w:t xml:space="preserve"> NCIC October 9 Supplement Letter at 1-2; </w:t>
      </w:r>
      <w:r>
        <w:rPr>
          <w:i/>
          <w:iCs/>
        </w:rPr>
        <w:t xml:space="preserve">see also </w:t>
      </w:r>
      <w:r>
        <w:t xml:space="preserve">Application of Legacy Long Distance International, Inc. for Authority Pursuant to Section 214 of the Communications Act of 1934, As Amended, To Discontinue the Provision of Service, WC Docket 20-52, at 1-2 (filed Feb. 18, 2020) (Legacy Discontinuance Application); </w:t>
      </w:r>
      <w:r w:rsidRPr="00176EEE">
        <w:rPr>
          <w:i/>
          <w:iCs/>
        </w:rPr>
        <w:t>Comments Invited on Section 214 Application(s) to Discontinue Domestic Non-Dominant Carrier Telecommunications and/or Interconnected VoIP Services</w:t>
      </w:r>
      <w:r>
        <w:t xml:space="preserve">, </w:t>
      </w:r>
      <w:r w:rsidR="000B3240">
        <w:t xml:space="preserve">WC Docket Nos. 20-52, 20-59, and 20-77, Public Notice, DA 20-274, </w:t>
      </w:r>
      <w:r w:rsidRPr="00C91522" w:rsidR="000B3240">
        <w:rPr>
          <w:shd w:val="clear" w:color="auto" w:fill="FFFFFF"/>
        </w:rPr>
        <w:t xml:space="preserve">35 FCC </w:t>
      </w:r>
      <w:r w:rsidRPr="00C91522" w:rsidR="000B3240">
        <w:rPr>
          <w:shd w:val="clear" w:color="auto" w:fill="FFFFFF"/>
        </w:rPr>
        <w:t>Rcd</w:t>
      </w:r>
      <w:r w:rsidRPr="00C91522" w:rsidR="000B3240">
        <w:rPr>
          <w:shd w:val="clear" w:color="auto" w:fill="FFFFFF"/>
        </w:rPr>
        <w:t xml:space="preserve"> 2090</w:t>
      </w:r>
      <w:r w:rsidR="000B3240">
        <w:rPr>
          <w:shd w:val="clear" w:color="auto" w:fill="FFFFFF"/>
        </w:rPr>
        <w:t>, 2091</w:t>
      </w:r>
      <w:r w:rsidR="000B3240">
        <w:t xml:space="preserve"> (WCB March 13, </w:t>
      </w:r>
      <w:r w:rsidRPr="007F759B" w:rsidR="000B3240">
        <w:t>2020),</w:t>
      </w:r>
      <w:r w:rsidR="000B3240">
        <w:t xml:space="preserve"> (Legacy Discontinuance Grant Public Notice).  </w:t>
      </w:r>
    </w:p>
  </w:footnote>
  <w:footnote w:id="10">
    <w:p w:rsidR="009E434D" w:rsidRPr="007F011E" w:rsidP="00176EEE" w14:paraId="1E6274A0" w14:textId="77777777">
      <w:pPr>
        <w:pStyle w:val="FootnoteText"/>
        <w:spacing w:after="60"/>
      </w:pPr>
      <w:r w:rsidRPr="007F011E">
        <w:rPr>
          <w:rStyle w:val="FootnoteReference"/>
        </w:rPr>
        <w:footnoteRef/>
      </w:r>
      <w:r w:rsidRPr="007F011E">
        <w:t xml:space="preserve"> </w:t>
      </w:r>
      <w:r w:rsidRPr="007F011E">
        <w:rPr>
          <w:i/>
          <w:iCs/>
        </w:rPr>
        <w:t xml:space="preserve">See </w:t>
      </w:r>
      <w:r>
        <w:t xml:space="preserve">Letter from Sharon R. Warren, Consultant, to Marlene H. Dortch, Secretary, FCC, WC Docket No. 20-207, at </w:t>
      </w:r>
      <w:r>
        <w:t>Exh</w:t>
      </w:r>
      <w:r>
        <w:t xml:space="preserve">. A (Account List) (filed Aug. 25, 2020) (August 25 Supplement Letter); Letter from Sharon R. Warren, Consultant, to Marlene H. Dortch, Secretary, FCC, WC Docket 20-207, at </w:t>
      </w:r>
      <w:r>
        <w:t>Exh</w:t>
      </w:r>
      <w:r>
        <w:t xml:space="preserve">. A (Account List) (filed Oct. 13, 2020) (updating the list of correctional facilities to be transferred to exclude </w:t>
      </w:r>
      <w:r w:rsidRPr="00151A43">
        <w:t>Doña Ana</w:t>
      </w:r>
      <w:r>
        <w:t xml:space="preserve"> </w:t>
      </w:r>
      <w:r w:rsidRPr="00151A43">
        <w:t>County, New Mexico</w:t>
      </w:r>
      <w:r>
        <w:t>).  The facility customer contracts to be transferred from Legacy to NCIC are listed in Attachment A.</w:t>
      </w:r>
    </w:p>
  </w:footnote>
  <w:footnote w:id="11">
    <w:p w:rsidR="009E434D" w:rsidP="00176EEE" w14:paraId="4220DD24" w14:textId="77777777">
      <w:pPr>
        <w:pStyle w:val="FootnoteText"/>
      </w:pPr>
      <w:r>
        <w:rPr>
          <w:rStyle w:val="FootnoteReference"/>
        </w:rPr>
        <w:footnoteRef/>
      </w:r>
      <w:r>
        <w:t xml:space="preserve"> NCIC July 30 Supplement Letter at 1.</w:t>
      </w:r>
    </w:p>
  </w:footnote>
  <w:footnote w:id="12">
    <w:p w:rsidR="009E434D" w:rsidRPr="007F759B" w:rsidP="00176EEE" w14:paraId="01D07EB5" w14:textId="4899CA03">
      <w:pPr>
        <w:pStyle w:val="FootnoteText"/>
      </w:pPr>
      <w:r>
        <w:rPr>
          <w:rStyle w:val="FootnoteReference"/>
        </w:rPr>
        <w:footnoteRef/>
      </w:r>
      <w:r>
        <w:t xml:space="preserve"> NCIC October 9 Supplement</w:t>
      </w:r>
      <w:r w:rsidR="000B3240">
        <w:t xml:space="preserve"> Letter</w:t>
      </w:r>
      <w:r>
        <w:t xml:space="preserve"> at 3.  </w:t>
      </w:r>
      <w:r w:rsidRPr="00C826E6">
        <w:t>NCIC states that it “will make any necessary revisions to its interstate/international web-posted rates, terms, and conditions for ICS and ancillary service charges to incorporate the Legacy existing Correctional Facility Customer contract rates as necessary</w:t>
      </w:r>
      <w:r>
        <w:t>.</w:t>
      </w:r>
      <w:r w:rsidRPr="00C826E6">
        <w:t>”</w:t>
      </w:r>
      <w:r>
        <w:t xml:space="preserve">  </w:t>
      </w:r>
      <w:r>
        <w:rPr>
          <w:i/>
          <w:iCs/>
        </w:rPr>
        <w:t>Id</w:t>
      </w:r>
      <w:r>
        <w:t>.</w:t>
      </w:r>
    </w:p>
  </w:footnote>
  <w:footnote w:id="13">
    <w:p w:rsidR="009E434D" w:rsidP="00C02A75" w14:paraId="4DF0ED8A" w14:textId="1976D5F2">
      <w:pPr>
        <w:pStyle w:val="FootnoteText"/>
      </w:pPr>
      <w:r>
        <w:rPr>
          <w:rStyle w:val="FootnoteReference"/>
        </w:rPr>
        <w:footnoteRef/>
      </w:r>
      <w:r>
        <w:t xml:space="preserve"> </w:t>
      </w:r>
      <w:r w:rsidRPr="00FB6F37">
        <w:rPr>
          <w:i/>
          <w:iCs/>
        </w:rPr>
        <w:t>Acquisition of Certain Assets of Legacy Long Distance International, Inc. d/b/a Legacy Inmate Communications by Global Tel*Link Corporation</w:t>
      </w:r>
      <w:r w:rsidRPr="00FB6F37">
        <w:t>, WC Docket 20-218, Public Notice, 35</w:t>
      </w:r>
      <w:r>
        <w:t xml:space="preserve"> </w:t>
      </w:r>
      <w:r w:rsidRPr="00FB6F37">
        <w:t>FCC</w:t>
      </w:r>
      <w:r>
        <w:t xml:space="preserve"> </w:t>
      </w:r>
      <w:r w:rsidRPr="00FB6F37">
        <w:t>Rcd</w:t>
      </w:r>
      <w:r>
        <w:t xml:space="preserve"> </w:t>
      </w:r>
      <w:r w:rsidRPr="00FB6F37">
        <w:t>9940</w:t>
      </w:r>
      <w:r>
        <w:t xml:space="preserve"> (2020).</w:t>
      </w:r>
    </w:p>
  </w:footnote>
  <w:footnote w:id="14">
    <w:p w:rsidR="009E434D" w:rsidP="00C02A75" w14:paraId="2ED5B8E0" w14:textId="6C9B7181">
      <w:pPr>
        <w:pStyle w:val="FootnoteText"/>
      </w:pPr>
      <w:r>
        <w:rPr>
          <w:rStyle w:val="FootnoteReference"/>
        </w:rPr>
        <w:footnoteRef/>
      </w:r>
      <w:r>
        <w:t xml:space="preserve"> </w:t>
      </w:r>
      <w:r w:rsidRPr="009B4344">
        <w:t xml:space="preserve">Joint Application of </w:t>
      </w:r>
      <w:r w:rsidRPr="00E4338E">
        <w:rPr>
          <w:szCs w:val="22"/>
        </w:rPr>
        <w:t>Legacy Long Distance International, Inc. d/b/a Legacy Inmate Communication</w:t>
      </w:r>
      <w:r>
        <w:rPr>
          <w:szCs w:val="22"/>
        </w:rPr>
        <w:t xml:space="preserve">s and </w:t>
      </w:r>
      <w:r w:rsidRPr="00E4338E">
        <w:rPr>
          <w:szCs w:val="22"/>
        </w:rPr>
        <w:t>Global Tel*Link Corporation</w:t>
      </w:r>
      <w:r w:rsidRPr="009B4344">
        <w:t xml:space="preserve"> for Consent to Transfer Control of </w:t>
      </w:r>
      <w:r>
        <w:t>Control of Certain Assets Pursuant to Section 214 of the Communications Act of 1934, as Amended</w:t>
      </w:r>
      <w:r w:rsidRPr="009B4344">
        <w:t>, WC Docket No. 20-</w:t>
      </w:r>
      <w:r>
        <w:t>218, ITC-ASG-20200708-00112, at 1, 4</w:t>
      </w:r>
      <w:r w:rsidRPr="009B4344">
        <w:t xml:space="preserve"> (filed </w:t>
      </w:r>
      <w:r>
        <w:t>July 8</w:t>
      </w:r>
      <w:r w:rsidRPr="009B4344">
        <w:t>, 2020)</w:t>
      </w:r>
      <w:r>
        <w:t xml:space="preserve"> (GTL Application).  Applicants</w:t>
      </w:r>
      <w:r w:rsidRPr="009B4344">
        <w:t xml:space="preserve"> filed a supplement to their application on </w:t>
      </w:r>
      <w:r>
        <w:t xml:space="preserve">September 21, 2020, updating the list of correctional facility customers to be transferred to GTL to include </w:t>
      </w:r>
      <w:r w:rsidRPr="00151A43">
        <w:t>Doña Ana</w:t>
      </w:r>
      <w:r>
        <w:t xml:space="preserve"> </w:t>
      </w:r>
      <w:r w:rsidRPr="00151A43">
        <w:t>County, New Mexico</w:t>
      </w:r>
      <w:r w:rsidRPr="009B4344">
        <w:t xml:space="preserve">.  </w:t>
      </w:r>
      <w:r>
        <w:t xml:space="preserve">Letter from </w:t>
      </w:r>
      <w:r w:rsidRPr="001E5E95">
        <w:t>Chérie R. Kiser</w:t>
      </w:r>
      <w:r>
        <w:t xml:space="preserve"> and Angela F. Collins, Counsel for Global Tel*Link Corporation, to</w:t>
      </w:r>
      <w:r w:rsidRPr="001E5E95">
        <w:t xml:space="preserve"> Marlene H. Dortch, Secretary, FCC,</w:t>
      </w:r>
      <w:r>
        <w:t xml:space="preserve"> WC Docket 20-218, at 1 (filed Sept. 21, 2020) (GTL September 21 Supplement Letter).  </w:t>
      </w:r>
      <w:r w:rsidRPr="009B4344">
        <w:t>Applicants filed a</w:t>
      </w:r>
      <w:r>
        <w:t xml:space="preserve"> further</w:t>
      </w:r>
      <w:r w:rsidRPr="009B4344">
        <w:t xml:space="preserve"> supplement to their application on </w:t>
      </w:r>
      <w:r>
        <w:t>October 9</w:t>
      </w:r>
      <w:r w:rsidRPr="009B4344">
        <w:t xml:space="preserve">, 2020.  </w:t>
      </w:r>
      <w:r>
        <w:t>Letter from Brian Hill, Chief Executive Officer, Legacy, and Matthew Caesar, Executive Vice President, Global Tel*Link Corporation, to</w:t>
      </w:r>
      <w:r w:rsidRPr="001E5E95">
        <w:t xml:space="preserve"> Marlene H. Dortch, Secretary, FCC,</w:t>
      </w:r>
      <w:r>
        <w:t xml:space="preserve"> WC Docket 20-218 (filed Oct. 9, 2020) (GTL October 9 Supplement Letter).</w:t>
      </w:r>
    </w:p>
  </w:footnote>
  <w:footnote w:id="15">
    <w:p w:rsidR="009E434D" w:rsidP="00F47E3D" w14:paraId="7EFA0D6D" w14:textId="516881AD">
      <w:pPr>
        <w:pStyle w:val="FootnoteText"/>
      </w:pPr>
      <w:r>
        <w:rPr>
          <w:rStyle w:val="FootnoteReference"/>
        </w:rPr>
        <w:footnoteRef/>
      </w:r>
      <w:r>
        <w:t xml:space="preserve"> GTL Application at 2.  The proposed transaction does not include transferring these authorizations from Legacy to GTL.  </w:t>
      </w:r>
      <w:r w:rsidRPr="00174DF7">
        <w:rPr>
          <w:i/>
          <w:iCs/>
        </w:rPr>
        <w:t>Id</w:t>
      </w:r>
      <w:r>
        <w:t xml:space="preserve">. at 1. </w:t>
      </w:r>
    </w:p>
  </w:footnote>
  <w:footnote w:id="16">
    <w:p w:rsidR="009E434D" w:rsidP="00C02A75" w14:paraId="33ECB880" w14:textId="53DDDB25">
      <w:pPr>
        <w:pStyle w:val="FootnoteText"/>
      </w:pPr>
      <w:r>
        <w:rPr>
          <w:rStyle w:val="FootnoteReference"/>
        </w:rPr>
        <w:footnoteRef/>
      </w:r>
      <w:r>
        <w:t xml:space="preserve"> </w:t>
      </w:r>
      <w:r>
        <w:rPr>
          <w:i/>
          <w:iCs/>
        </w:rPr>
        <w:t>Id</w:t>
      </w:r>
      <w:r>
        <w:t>. at 2.</w:t>
      </w:r>
    </w:p>
  </w:footnote>
  <w:footnote w:id="17">
    <w:p w:rsidR="009E434D" w:rsidRPr="00961408" w14:paraId="5C3D9B70" w14:textId="29DF81A8">
      <w:pPr>
        <w:pStyle w:val="FootnoteText"/>
      </w:pPr>
      <w:r>
        <w:rPr>
          <w:rStyle w:val="FootnoteReference"/>
        </w:rPr>
        <w:footnoteRef/>
      </w:r>
      <w:r>
        <w:t xml:space="preserve"> GTL Application at 7.  GTEL Holdings, Inc. is indirectly held by ASP GTEL </w:t>
      </w:r>
      <w:r>
        <w:t>Investco</w:t>
      </w:r>
      <w:r>
        <w:t xml:space="preserve">, LP (ASP </w:t>
      </w:r>
      <w:r>
        <w:t>Investco</w:t>
      </w:r>
      <w:r>
        <w:t xml:space="preserve">), a Delaware limited liability company (96% equity interest).  American Securities Partners VI, LP (ASP VI), a Delaware limited partnership, owns approximately 98% of ASP </w:t>
      </w:r>
      <w:r>
        <w:t>Investco</w:t>
      </w:r>
      <w:r>
        <w:t xml:space="preserve">.  No limited partner in ASP VI owns a 10% or greater interest in ASP VI.  The general partner of ASP VI is American Securities Associates VI, LLC (ASA), a Delaware limited liability company.  </w:t>
      </w:r>
      <w:r>
        <w:rPr>
          <w:i/>
          <w:iCs/>
        </w:rPr>
        <w:t>Id</w:t>
      </w:r>
      <w:r>
        <w:t>. at 7-8.  ASP VI is a private equity fund managed by American Securities LLC (</w:t>
      </w:r>
      <w:r>
        <w:t>AmSec</w:t>
      </w:r>
      <w:r>
        <w:t xml:space="preserve">), a New York limited liability company. Applicants state that </w:t>
      </w:r>
      <w:r>
        <w:t>AmSec</w:t>
      </w:r>
      <w:r>
        <w:t xml:space="preserve"> does not have any ownership interest or day-to-day management role in GTL or ASP VI.  Letter from Cherie R. Kiser and Angela F. Collins, Counsel for GTL, to Marlene H. Dortch, Secretary, FCC, WC Docket No. 20-218, at 1 (filed July 30, 2020) (GTL July 30 Supplement Letter).  The following individuals, all U.S. citizens, hold a 10% or greater ownership interest in ASA: Michael G. Fisch, Paul Rossetti, David L. </w:t>
      </w:r>
      <w:r>
        <w:t>Horing</w:t>
      </w:r>
      <w:r>
        <w:t xml:space="preserve">, and Matthew </w:t>
      </w:r>
      <w:r>
        <w:t>LeBaron</w:t>
      </w:r>
      <w:r>
        <w:t>.  GTL Application at 7-8.</w:t>
      </w:r>
    </w:p>
  </w:footnote>
  <w:footnote w:id="18">
    <w:p w:rsidR="009E434D" w14:paraId="5D55844F" w14:textId="42882FA7">
      <w:pPr>
        <w:pStyle w:val="FootnoteText"/>
      </w:pPr>
      <w:r>
        <w:rPr>
          <w:rStyle w:val="FootnoteReference"/>
        </w:rPr>
        <w:footnoteRef/>
      </w:r>
      <w:r>
        <w:t xml:space="preserve"> </w:t>
      </w:r>
      <w:r>
        <w:rPr>
          <w:i/>
          <w:iCs/>
        </w:rPr>
        <w:t>Id</w:t>
      </w:r>
      <w:r>
        <w:t>. at 2.  Neither GTL nor any of its 10% or greater direct or indirect owners hold interests in any other telecommunications entity.  GTL July 30 Supplement Letter at 2.</w:t>
      </w:r>
    </w:p>
  </w:footnote>
  <w:footnote w:id="19">
    <w:p w:rsidR="009E434D" w14:paraId="36E06970" w14:textId="727C5AC7">
      <w:pPr>
        <w:pStyle w:val="FootnoteText"/>
      </w:pPr>
      <w:r>
        <w:rPr>
          <w:rStyle w:val="FootnoteReference"/>
        </w:rPr>
        <w:footnoteRef/>
      </w:r>
      <w:r>
        <w:t xml:space="preserve"> GTL Application at 2-3.  Applicants state that the following wholly owned subsidiaries of GTL also hold authority to provide interstate and international telecommunications services and/or interconnected Voice over Internet Protocol services: (1) DSI-ITI, Inc.; (2) Public Communications Services, Inc.; (3) Value-Added Communications, Inc.; and (4) </w:t>
      </w:r>
      <w:r>
        <w:t>Telmate</w:t>
      </w:r>
      <w:r>
        <w:t xml:space="preserve"> LLC.  GTL Application at 2.</w:t>
      </w:r>
    </w:p>
  </w:footnote>
  <w:footnote w:id="20">
    <w:p w:rsidR="009E434D" w14:paraId="4E2E6B45" w14:textId="6E2C6451">
      <w:pPr>
        <w:pStyle w:val="FootnoteText"/>
      </w:pPr>
      <w:r>
        <w:rPr>
          <w:rStyle w:val="FootnoteReference"/>
        </w:rPr>
        <w:footnoteRef/>
      </w:r>
      <w:r>
        <w:t xml:space="preserve"> </w:t>
      </w:r>
      <w:r>
        <w:rPr>
          <w:i/>
          <w:iCs/>
        </w:rPr>
        <w:t>Id</w:t>
      </w:r>
      <w:r>
        <w:t>. at 3.</w:t>
      </w:r>
    </w:p>
  </w:footnote>
  <w:footnote w:id="21">
    <w:p w:rsidR="009E434D" w:rsidP="00DC1EDD" w14:paraId="67FBBB76" w14:textId="471810F1">
      <w:pPr>
        <w:pStyle w:val="FootnoteText"/>
      </w:pPr>
      <w:r>
        <w:rPr>
          <w:rStyle w:val="FootnoteReference"/>
        </w:rPr>
        <w:footnoteRef/>
      </w:r>
      <w:r>
        <w:t xml:space="preserve"> GTL October 9 Supplement Letter at 2; </w:t>
      </w:r>
      <w:r>
        <w:rPr>
          <w:i/>
          <w:iCs/>
        </w:rPr>
        <w:t xml:space="preserve">see also </w:t>
      </w:r>
      <w:r>
        <w:t>Legacy Discontinuance Application; Legacy Discontinuance Grant Public Notice.</w:t>
      </w:r>
    </w:p>
  </w:footnote>
  <w:footnote w:id="22">
    <w:p w:rsidR="009E434D" w:rsidP="00C02A75" w14:paraId="45E294ED" w14:textId="3CA065CA">
      <w:pPr>
        <w:pStyle w:val="FootnoteText"/>
      </w:pPr>
      <w:r>
        <w:rPr>
          <w:rStyle w:val="FootnoteReference"/>
        </w:rPr>
        <w:footnoteRef/>
      </w:r>
      <w:r>
        <w:t xml:space="preserve"> GTL Application at </w:t>
      </w:r>
      <w:r w:rsidR="00943841">
        <w:t>4.  The correctional facility customers at issue in the proposed transaction are listed in Attachment A hereto.</w:t>
      </w:r>
    </w:p>
  </w:footnote>
  <w:footnote w:id="23">
    <w:p w:rsidR="009E434D" w:rsidRPr="00BE6AAF" w:rsidP="00C02A75" w14:paraId="2078168D" w14:textId="172C8C3D">
      <w:pPr>
        <w:pStyle w:val="FootnoteText"/>
      </w:pPr>
      <w:r>
        <w:rPr>
          <w:rStyle w:val="FootnoteReference"/>
        </w:rPr>
        <w:footnoteRef/>
      </w:r>
      <w:r>
        <w:t xml:space="preserve"> GTL October 9 Supplement</w:t>
      </w:r>
      <w:r w:rsidR="00A83A08">
        <w:t xml:space="preserve"> Letter</w:t>
      </w:r>
      <w:r>
        <w:t xml:space="preserve"> at 3.  </w:t>
      </w:r>
      <w:r w:rsidRPr="00C826E6">
        <w:t>GTL indicates that it “will make any necessary revisions to its interstate/international web-posted rates, terms, and conditions for ICS and ancillary service charges to incorporate the Legacy existing Correctional Facility Customer contract rates as necessary</w:t>
      </w:r>
      <w:r>
        <w:t xml:space="preserve">.”  </w:t>
      </w:r>
      <w:r>
        <w:rPr>
          <w:i/>
          <w:iCs/>
        </w:rPr>
        <w:t>Id</w:t>
      </w:r>
      <w:r>
        <w:t>.</w:t>
      </w:r>
    </w:p>
  </w:footnote>
  <w:footnote w:id="24">
    <w:p w:rsidR="009E434D" w:rsidP="00EE6C42" w14:paraId="632A8294" w14:textId="77777777">
      <w:pPr>
        <w:pStyle w:val="FootnoteText"/>
      </w:pPr>
      <w:r>
        <w:rPr>
          <w:rStyle w:val="FootnoteReference"/>
        </w:rPr>
        <w:footnoteRef/>
      </w:r>
      <w:r>
        <w:t xml:space="preserve"> </w:t>
      </w:r>
      <w:r>
        <w:rPr>
          <w:i/>
          <w:iCs/>
        </w:rPr>
        <w:t>Implementation of Further Streamlining Measures for Domestic Section 214 Authorizations</w:t>
      </w:r>
      <w:r>
        <w:t xml:space="preserve">, CC Docket No. 01-150, Report and Order, 17 FCC </w:t>
      </w:r>
      <w:r>
        <w:t>Rcd</w:t>
      </w:r>
      <w:r>
        <w:t xml:space="preserve"> 5517, 5533, paras. 29-30 (2002).  </w:t>
      </w:r>
    </w:p>
  </w:footnote>
  <w:footnote w:id="25">
    <w:p w:rsidR="009E434D" w:rsidRPr="00F12B68" w:rsidP="00F12B68" w14:paraId="746CB0FB" w14:textId="7A351A9A">
      <w:pPr>
        <w:spacing w:after="120"/>
        <w:rPr>
          <w:snapToGrid/>
          <w:kern w:val="0"/>
          <w:sz w:val="20"/>
        </w:rPr>
      </w:pPr>
      <w:r>
        <w:rPr>
          <w:rStyle w:val="FootnoteReference"/>
        </w:rPr>
        <w:footnoteRef/>
      </w:r>
      <w:r>
        <w:t xml:space="preserve"> </w:t>
      </w:r>
      <w:r w:rsidRPr="00F12B68">
        <w:rPr>
          <w:i/>
          <w:iCs/>
          <w:sz w:val="20"/>
          <w:szCs w:val="18"/>
        </w:rPr>
        <w:t xml:space="preserve">See Applications Granted for the Transfer of Control of CenturyLink Public Communications, Inc. to Inmate Calling Solutions, LLC D/B/A </w:t>
      </w:r>
      <w:r w:rsidRPr="00F12B68">
        <w:rPr>
          <w:i/>
          <w:iCs/>
          <w:sz w:val="20"/>
          <w:szCs w:val="18"/>
        </w:rPr>
        <w:t>ICSolutions</w:t>
      </w:r>
      <w:r w:rsidRPr="00F12B68">
        <w:rPr>
          <w:sz w:val="20"/>
          <w:szCs w:val="18"/>
        </w:rPr>
        <w:t xml:space="preserve">, WC Docket No. 20-150, Public Notice, 35 FCC </w:t>
      </w:r>
      <w:r w:rsidRPr="00F12B68">
        <w:rPr>
          <w:sz w:val="20"/>
          <w:szCs w:val="18"/>
        </w:rPr>
        <w:t>Rcd</w:t>
      </w:r>
      <w:r w:rsidRPr="00F12B68">
        <w:rPr>
          <w:sz w:val="20"/>
          <w:szCs w:val="18"/>
        </w:rPr>
        <w:t xml:space="preserve"> 8661, 8663 &amp; n.15 (WCB/IB 2020)</w:t>
      </w:r>
      <w:r>
        <w:rPr>
          <w:sz w:val="20"/>
          <w:szCs w:val="18"/>
        </w:rPr>
        <w:t xml:space="preserve"> (</w:t>
      </w:r>
      <w:r w:rsidRPr="004C0BEB">
        <w:rPr>
          <w:i/>
          <w:iCs/>
          <w:sz w:val="20"/>
          <w:szCs w:val="18"/>
        </w:rPr>
        <w:t>CenturyLink/</w:t>
      </w:r>
      <w:r w:rsidRPr="004C0BEB">
        <w:rPr>
          <w:i/>
          <w:iCs/>
          <w:sz w:val="20"/>
          <w:szCs w:val="18"/>
        </w:rPr>
        <w:t>ICSolutions</w:t>
      </w:r>
      <w:r w:rsidRPr="004C0BEB">
        <w:rPr>
          <w:i/>
          <w:iCs/>
          <w:sz w:val="20"/>
          <w:szCs w:val="18"/>
        </w:rPr>
        <w:t xml:space="preserve"> Grant P</w:t>
      </w:r>
      <w:r>
        <w:rPr>
          <w:i/>
          <w:iCs/>
          <w:sz w:val="20"/>
          <w:szCs w:val="18"/>
        </w:rPr>
        <w:t xml:space="preserve">ublic </w:t>
      </w:r>
      <w:r w:rsidRPr="004C0BEB">
        <w:rPr>
          <w:i/>
          <w:iCs/>
          <w:sz w:val="20"/>
          <w:szCs w:val="18"/>
        </w:rPr>
        <w:t>N</w:t>
      </w:r>
      <w:r>
        <w:rPr>
          <w:i/>
          <w:iCs/>
          <w:sz w:val="20"/>
          <w:szCs w:val="18"/>
        </w:rPr>
        <w:t>otice</w:t>
      </w:r>
      <w:r>
        <w:rPr>
          <w:sz w:val="20"/>
          <w:szCs w:val="18"/>
        </w:rPr>
        <w:t>)</w:t>
      </w:r>
      <w:r w:rsidRPr="00F12B68">
        <w:rPr>
          <w:sz w:val="20"/>
          <w:szCs w:val="18"/>
        </w:rPr>
        <w:t xml:space="preserve"> (citing </w:t>
      </w:r>
      <w:r w:rsidRPr="00F12B68">
        <w:rPr>
          <w:i/>
          <w:iCs/>
          <w:sz w:val="20"/>
          <w:szCs w:val="18"/>
        </w:rPr>
        <w:t>Rates for Interstate Calling Services</w:t>
      </w:r>
      <w:r w:rsidRPr="00F12B68">
        <w:rPr>
          <w:sz w:val="20"/>
          <w:szCs w:val="18"/>
        </w:rPr>
        <w:t xml:space="preserve">, WC Docket 12-375, Report and Order on Remand and Fourth Further Notice of Proposed Rulemaking, 35 FCC </w:t>
      </w:r>
      <w:r w:rsidRPr="00F12B68">
        <w:rPr>
          <w:sz w:val="20"/>
          <w:szCs w:val="18"/>
        </w:rPr>
        <w:t>Rcd</w:t>
      </w:r>
      <w:r w:rsidRPr="00F12B68">
        <w:rPr>
          <w:sz w:val="20"/>
          <w:szCs w:val="18"/>
        </w:rPr>
        <w:t xml:space="preserve"> 8485, 8486-87,</w:t>
      </w:r>
      <w:r w:rsidRPr="00F12B68">
        <w:rPr>
          <w:sz w:val="20"/>
        </w:rPr>
        <w:t xml:space="preserve"> para. 5 (2020) (</w:t>
      </w:r>
      <w:r w:rsidRPr="00F12B68">
        <w:rPr>
          <w:i/>
          <w:iCs/>
          <w:sz w:val="20"/>
        </w:rPr>
        <w:t>2020</w:t>
      </w:r>
      <w:r w:rsidRPr="00F12B68">
        <w:rPr>
          <w:sz w:val="20"/>
        </w:rPr>
        <w:t xml:space="preserve"> </w:t>
      </w:r>
      <w:r w:rsidRPr="00F12B68">
        <w:rPr>
          <w:i/>
          <w:iCs/>
          <w:sz w:val="20"/>
        </w:rPr>
        <w:t>ICS Order and NPRM</w:t>
      </w:r>
      <w:r w:rsidRPr="00F12B68">
        <w:rPr>
          <w:sz w:val="20"/>
        </w:rPr>
        <w:t>)).</w:t>
      </w:r>
    </w:p>
  </w:footnote>
  <w:footnote w:id="26">
    <w:p w:rsidR="009E434D" w:rsidRPr="001704BC" w:rsidP="008A6EE5" w14:paraId="77422378" w14:textId="11C29AA0">
      <w:pPr>
        <w:pStyle w:val="FootnoteText"/>
      </w:pPr>
      <w:r>
        <w:rPr>
          <w:rStyle w:val="FootnoteReference"/>
        </w:rPr>
        <w:footnoteRef/>
      </w:r>
      <w:r>
        <w:t xml:space="preserve"> Applicants in both transactions state that, upon closing of the proposed transaction, NCIC and</w:t>
      </w:r>
      <w:r w:rsidRPr="008A6EE5">
        <w:t xml:space="preserve"> </w:t>
      </w:r>
      <w:r>
        <w:t>GTL, independently, would each have a market share in the interstate, interexchange market of less than 10% and not be dominant with respect to any telecommunications service.  NCIC Application at 2;</w:t>
      </w:r>
      <w:r w:rsidRPr="008A6EE5">
        <w:t xml:space="preserve"> </w:t>
      </w:r>
      <w:r>
        <w:t>GTL Application at 3.  Applicants therefore requested streamlined treatment of their applications in accordance with the Commission’s presumption that such applications qualify for streamlining.  Because of the related nature of the multiple applications in these dockets by carriers providing inmate calling services, the necessary public interest review did not warrant streamlined treatment and</w:t>
      </w:r>
      <w:r w:rsidRPr="00EE7AE0">
        <w:t xml:space="preserve"> </w:t>
      </w:r>
      <w:r>
        <w:t xml:space="preserve">the Bureaus exercised their discretion to accept the applications for non-streamlined processing.  </w:t>
      </w:r>
      <w:bookmarkStart w:id="2" w:name="_Hlk56677988"/>
      <w:r w:rsidRPr="004C0BEB">
        <w:rPr>
          <w:i/>
          <w:iCs/>
        </w:rPr>
        <w:t>See</w:t>
      </w:r>
      <w:r>
        <w:t xml:space="preserve"> 47 CFR § 63.03(c)(1)(v), (2).  </w:t>
      </w:r>
      <w:r w:rsidRPr="004C0BEB">
        <w:rPr>
          <w:i/>
          <w:iCs/>
        </w:rPr>
        <w:t>See also</w:t>
      </w:r>
      <w:r>
        <w:t xml:space="preserve"> </w:t>
      </w:r>
      <w:r w:rsidRPr="00720B31">
        <w:rPr>
          <w:i/>
          <w:iCs/>
          <w:szCs w:val="18"/>
        </w:rPr>
        <w:t>CenturyLink/</w:t>
      </w:r>
      <w:r w:rsidRPr="00720B31">
        <w:rPr>
          <w:i/>
          <w:iCs/>
          <w:szCs w:val="18"/>
        </w:rPr>
        <w:t>ICSolutions</w:t>
      </w:r>
      <w:r w:rsidRPr="00720B31">
        <w:rPr>
          <w:i/>
          <w:iCs/>
          <w:szCs w:val="18"/>
        </w:rPr>
        <w:t xml:space="preserve"> Grant P</w:t>
      </w:r>
      <w:r>
        <w:rPr>
          <w:i/>
          <w:iCs/>
          <w:szCs w:val="18"/>
        </w:rPr>
        <w:t xml:space="preserve">ublic </w:t>
      </w:r>
      <w:r w:rsidRPr="00720B31">
        <w:rPr>
          <w:i/>
          <w:iCs/>
          <w:szCs w:val="18"/>
        </w:rPr>
        <w:t>N</w:t>
      </w:r>
      <w:r>
        <w:rPr>
          <w:i/>
          <w:iCs/>
          <w:szCs w:val="18"/>
        </w:rPr>
        <w:t>otice</w:t>
      </w:r>
      <w:r>
        <w:rPr>
          <w:szCs w:val="18"/>
        </w:rPr>
        <w:t xml:space="preserve">, 35 FCC </w:t>
      </w:r>
      <w:r>
        <w:rPr>
          <w:szCs w:val="18"/>
        </w:rPr>
        <w:t>Rcd</w:t>
      </w:r>
      <w:r>
        <w:rPr>
          <w:i/>
          <w:iCs/>
          <w:szCs w:val="18"/>
        </w:rPr>
        <w:t xml:space="preserve"> </w:t>
      </w:r>
      <w:r w:rsidRPr="004C0BEB">
        <w:rPr>
          <w:szCs w:val="18"/>
        </w:rPr>
        <w:t xml:space="preserve">at </w:t>
      </w:r>
      <w:r>
        <w:rPr>
          <w:szCs w:val="18"/>
        </w:rPr>
        <w:t>8662 &amp; n.</w:t>
      </w:r>
      <w:r w:rsidRPr="004C0BEB">
        <w:rPr>
          <w:szCs w:val="18"/>
        </w:rPr>
        <w:t>1</w:t>
      </w:r>
      <w:r>
        <w:rPr>
          <w:szCs w:val="18"/>
        </w:rPr>
        <w:t>4.</w:t>
      </w:r>
    </w:p>
    <w:bookmarkEnd w:id="2"/>
  </w:footnote>
  <w:footnote w:id="27">
    <w:p w:rsidR="009E434D" w:rsidRPr="00BE6AAF" w14:paraId="7B71BC5B" w14:textId="0F6F2F50">
      <w:pPr>
        <w:pStyle w:val="FootnoteText"/>
        <w:rPr>
          <w:i/>
          <w:iCs/>
        </w:rPr>
      </w:pPr>
      <w:r>
        <w:rPr>
          <w:rStyle w:val="FootnoteReference"/>
        </w:rPr>
        <w:footnoteRef/>
      </w:r>
      <w:r>
        <w:t xml:space="preserve"> </w:t>
      </w:r>
      <w:r w:rsidRPr="00752E51">
        <w:t>GTL October 9 Supplement Letter at 2; NCIC October 9 Supplement Letter at 2</w:t>
      </w:r>
      <w:r>
        <w:t xml:space="preserve">; </w:t>
      </w:r>
      <w:r>
        <w:rPr>
          <w:i/>
          <w:iCs/>
        </w:rPr>
        <w:t xml:space="preserve">see also </w:t>
      </w:r>
      <w:r>
        <w:t>Legacy Discontinuance</w:t>
      </w:r>
      <w:r w:rsidRPr="00752E51">
        <w:t xml:space="preserve"> Application at </w:t>
      </w:r>
      <w:r w:rsidRPr="00481690">
        <w:t>2</w:t>
      </w:r>
      <w:r>
        <w:t>.</w:t>
      </w:r>
    </w:p>
  </w:footnote>
  <w:footnote w:id="28">
    <w:p w:rsidR="009E434D" w14:paraId="0575C19F" w14:textId="582FA382">
      <w:pPr>
        <w:pStyle w:val="FootnoteText"/>
      </w:pPr>
      <w:r>
        <w:rPr>
          <w:rStyle w:val="FootnoteReference"/>
        </w:rPr>
        <w:footnoteRef/>
      </w:r>
      <w:r>
        <w:t xml:space="preserve"> GTL October 9 Supplement Letter at 2-3; NCIC October 9 Supplement Letter at 2-3.</w:t>
      </w:r>
    </w:p>
  </w:footnote>
  <w:footnote w:id="29">
    <w:p w:rsidR="009E434D" w14:paraId="5A4C4E05" w14:textId="0A4E36EA">
      <w:pPr>
        <w:pStyle w:val="FootnoteText"/>
      </w:pPr>
      <w:r>
        <w:rPr>
          <w:rStyle w:val="FootnoteReference"/>
        </w:rPr>
        <w:footnoteRef/>
      </w:r>
      <w:r>
        <w:t xml:space="preserve"> GTL October 9 Supplement Letter at </w:t>
      </w:r>
      <w:r w:rsidR="00A83A08">
        <w:t>1</w:t>
      </w:r>
      <w:r w:rsidR="00D4043A">
        <w:t>, 3</w:t>
      </w:r>
      <w:r>
        <w:t xml:space="preserve">; NCIC October 9 Supplement Letter at </w:t>
      </w:r>
      <w:r w:rsidR="00A83A08">
        <w:t>1</w:t>
      </w:r>
      <w:r w:rsidR="00D4043A">
        <w:t>, 3</w:t>
      </w:r>
      <w:r>
        <w:t>.</w:t>
      </w:r>
      <w:r>
        <w:t xml:space="preserve"> </w:t>
      </w:r>
    </w:p>
  </w:footnote>
  <w:footnote w:id="30">
    <w:p w:rsidR="009E434D" w:rsidRPr="007533F6" w14:paraId="75510D54" w14:textId="49774ABE">
      <w:pPr>
        <w:pStyle w:val="FootnoteText"/>
      </w:pPr>
      <w:r>
        <w:rPr>
          <w:rStyle w:val="FootnoteReference"/>
        </w:rPr>
        <w:footnoteRef/>
      </w:r>
      <w:r>
        <w:t xml:space="preserve"> </w:t>
      </w:r>
      <w:r>
        <w:rPr>
          <w:i/>
          <w:iCs/>
        </w:rPr>
        <w:t xml:space="preserve">See, e.g., </w:t>
      </w:r>
      <w:r>
        <w:t xml:space="preserve">Cook County, Illinois Government, Board of Commissioners, </w:t>
      </w:r>
      <w:hyperlink r:id="rId1" w:history="1">
        <w:r w:rsidRPr="00763854">
          <w:rPr>
            <w:rStyle w:val="Hyperlink"/>
          </w:rPr>
          <w:t>https://cook-county.legistar.com/LegislationDetail.aspx?ID=3838415&amp;GUID=B28DFE68-E804-4F19-8FCE-DCDFCC9B729E&amp;Options=&amp;Search=</w:t>
        </w:r>
      </w:hyperlink>
      <w:r>
        <w:t xml:space="preserve"> (last visited November 18, 2020</w:t>
      </w:r>
      <w:r w:rsidRPr="00022C42">
        <w:t xml:space="preserve">) (stating that </w:t>
      </w:r>
      <w:r>
        <w:t>Edovo</w:t>
      </w:r>
      <w:r w:rsidRPr="00022C42">
        <w:t>’s</w:t>
      </w:r>
      <w:r w:rsidRPr="00022C42">
        <w:t xml:space="preserve"> contract to provide services to </w:t>
      </w:r>
      <w:r w:rsidRPr="003878DF">
        <w:rPr>
          <w:color w:val="000000"/>
          <w:shd w:val="clear" w:color="auto" w:fill="FFFFFF"/>
        </w:rPr>
        <w:t>Cook County jail and the Juvenile Temporary Detention Center</w:t>
      </w:r>
      <w:r w:rsidRPr="00022C42">
        <w:t xml:space="preserve"> “</w:t>
      </w:r>
      <w:r w:rsidRPr="003878DF">
        <w:rPr>
          <w:color w:val="000000"/>
          <w:shd w:val="clear" w:color="auto" w:fill="FFFFFF"/>
        </w:rPr>
        <w:t>was awarded through Request for Proposals (RFP) procedures in accordance with the Cook County Procurement Code”).</w:t>
      </w:r>
      <w:r>
        <w:rPr>
          <w:color w:val="000000"/>
          <w:shd w:val="clear" w:color="auto" w:fill="FFFFFF"/>
        </w:rPr>
        <w:t xml:space="preserve">  </w:t>
      </w:r>
      <w:r w:rsidR="0048740D">
        <w:rPr>
          <w:color w:val="000000"/>
          <w:shd w:val="clear" w:color="auto" w:fill="FFFFFF"/>
        </w:rPr>
        <w:t xml:space="preserve">Although </w:t>
      </w:r>
      <w:r>
        <w:rPr>
          <w:color w:val="000000"/>
          <w:shd w:val="clear" w:color="auto" w:fill="FFFFFF"/>
        </w:rPr>
        <w:t>Legacy has determined it will transition away from providing inmate calling service</w:t>
      </w:r>
      <w:r w:rsidR="0048740D">
        <w:rPr>
          <w:color w:val="000000"/>
          <w:shd w:val="clear" w:color="auto" w:fill="FFFFFF"/>
        </w:rPr>
        <w:t>s</w:t>
      </w:r>
      <w:r>
        <w:rPr>
          <w:color w:val="000000"/>
          <w:shd w:val="clear" w:color="auto" w:fill="FFFFFF"/>
        </w:rPr>
        <w:t xml:space="preserve">, there is no evidence in this record of barriers that would prevent other inmate calling services providers from bidding on these contracts when they expire.  </w:t>
      </w:r>
      <w:r>
        <w:rPr>
          <w:i/>
          <w:iCs/>
          <w:color w:val="000000"/>
          <w:shd w:val="clear" w:color="auto" w:fill="FFFFFF"/>
        </w:rPr>
        <w:t>See C</w:t>
      </w:r>
      <w:r w:rsidRPr="00720B31">
        <w:rPr>
          <w:i/>
          <w:iCs/>
          <w:szCs w:val="18"/>
        </w:rPr>
        <w:t>enturyLink/</w:t>
      </w:r>
      <w:r w:rsidRPr="00720B31">
        <w:rPr>
          <w:i/>
          <w:iCs/>
          <w:szCs w:val="18"/>
        </w:rPr>
        <w:t>ICSolutions</w:t>
      </w:r>
      <w:r w:rsidRPr="00720B31">
        <w:rPr>
          <w:i/>
          <w:iCs/>
          <w:szCs w:val="18"/>
        </w:rPr>
        <w:t xml:space="preserve"> Grant P</w:t>
      </w:r>
      <w:r>
        <w:rPr>
          <w:i/>
          <w:iCs/>
          <w:szCs w:val="18"/>
        </w:rPr>
        <w:t xml:space="preserve">ublic </w:t>
      </w:r>
      <w:r w:rsidRPr="00720B31">
        <w:rPr>
          <w:i/>
          <w:iCs/>
          <w:szCs w:val="18"/>
        </w:rPr>
        <w:t>N</w:t>
      </w:r>
      <w:r>
        <w:rPr>
          <w:i/>
          <w:iCs/>
          <w:szCs w:val="18"/>
        </w:rPr>
        <w:t xml:space="preserve">otice </w:t>
      </w:r>
      <w:r w:rsidRPr="004C0BEB">
        <w:rPr>
          <w:szCs w:val="18"/>
        </w:rPr>
        <w:t>at</w:t>
      </w:r>
      <w:r w:rsidR="00A83A08">
        <w:rPr>
          <w:szCs w:val="18"/>
        </w:rPr>
        <w:t xml:space="preserve"> 35 FCC </w:t>
      </w:r>
      <w:r w:rsidR="00A83A08">
        <w:rPr>
          <w:szCs w:val="18"/>
        </w:rPr>
        <w:t>Rcd</w:t>
      </w:r>
      <w:r w:rsidR="00A83A08">
        <w:rPr>
          <w:szCs w:val="18"/>
        </w:rPr>
        <w:t xml:space="preserve"> at</w:t>
      </w:r>
      <w:r>
        <w:rPr>
          <w:szCs w:val="18"/>
        </w:rPr>
        <w:t xml:space="preserve"> 8664 </w:t>
      </w:r>
      <w:r w:rsidRPr="00F12B68">
        <w:rPr>
          <w:szCs w:val="18"/>
        </w:rPr>
        <w:t>&amp; n.1</w:t>
      </w:r>
      <w:r>
        <w:rPr>
          <w:szCs w:val="18"/>
        </w:rPr>
        <w:t>7.</w:t>
      </w:r>
    </w:p>
  </w:footnote>
  <w:footnote w:id="31">
    <w:p w:rsidR="00266C33" w14:paraId="1A5D69BD" w14:textId="6643F8BF">
      <w:pPr>
        <w:pStyle w:val="FootnoteText"/>
      </w:pPr>
      <w:r>
        <w:rPr>
          <w:rStyle w:val="FootnoteReference"/>
        </w:rPr>
        <w:footnoteRef/>
      </w:r>
      <w:r>
        <w:t xml:space="preserve"> </w:t>
      </w:r>
      <w:r w:rsidRPr="00266C33">
        <w:t>NCIC Application at 4.</w:t>
      </w:r>
    </w:p>
  </w:footnote>
  <w:footnote w:id="32">
    <w:p w:rsidR="00266C33" w:rsidRPr="00266C33" w14:paraId="2563AF49" w14:textId="33E5FE3A">
      <w:pPr>
        <w:pStyle w:val="FootnoteText"/>
      </w:pPr>
      <w:r>
        <w:rPr>
          <w:rStyle w:val="FootnoteReference"/>
        </w:rPr>
        <w:footnoteRef/>
      </w:r>
      <w:r>
        <w:t xml:space="preserve"> </w:t>
      </w:r>
      <w:r>
        <w:rPr>
          <w:i/>
          <w:iCs/>
        </w:rPr>
        <w:t xml:space="preserve">Id. </w:t>
      </w:r>
      <w:r>
        <w:t>at 5.</w:t>
      </w:r>
    </w:p>
  </w:footnote>
  <w:footnote w:id="33">
    <w:p w:rsidR="009E434D" w:rsidRPr="00F47F05" w:rsidP="00D2323D" w14:paraId="56EDBC6A" w14:textId="2470BE23">
      <w:pPr>
        <w:pStyle w:val="FootnoteText"/>
      </w:pPr>
      <w:r>
        <w:rPr>
          <w:rStyle w:val="FootnoteReference"/>
        </w:rPr>
        <w:footnoteRef/>
      </w:r>
      <w:r>
        <w:t xml:space="preserve"> </w:t>
      </w:r>
      <w:r>
        <w:rPr>
          <w:i/>
          <w:iCs/>
        </w:rPr>
        <w:t>Id</w:t>
      </w:r>
      <w:r>
        <w:t>. at 4 (asserting that the proposed transaction between Legacy and NCIC would “allow</w:t>
      </w:r>
      <w:r w:rsidR="00A83A08">
        <w:t>[]</w:t>
      </w:r>
      <w:r>
        <w:t xml:space="preserve"> NCIC to become a stronger competitor, which will result in the continued aspiration to provide fair and reasonable </w:t>
      </w:r>
      <w:r w:rsidRPr="00CD417A">
        <w:t>rates, low</w:t>
      </w:r>
      <w:r>
        <w:rPr>
          <w:color w:val="FF0000"/>
        </w:rPr>
        <w:t xml:space="preserve"> </w:t>
      </w:r>
      <w:r>
        <w:t xml:space="preserve">fees and live, friendly customer support to family and friends of the incarcerated.”).  </w:t>
      </w:r>
      <w:r w:rsidRPr="00481690">
        <w:rPr>
          <w:i/>
          <w:iCs/>
        </w:rPr>
        <w:t>See Applications of Level 3 Communications, Inc. and CenturyLink, Inc. for Consent to Transfer Control of Licenses and Authorizations</w:t>
      </w:r>
      <w:r>
        <w:t xml:space="preserve">, Memorandum Opinion and Order, 32 FCC </w:t>
      </w:r>
      <w:r>
        <w:t>Rcd</w:t>
      </w:r>
      <w:r>
        <w:t xml:space="preserve"> 9581, 9594, 9605, paras. 26 and 52 (2017) (finding no harm to competition where applicants competed for certain services and stating that the transaction would result in a newly combined firm that can be a more effective and stronger competitor against larger providers).</w:t>
      </w:r>
    </w:p>
  </w:footnote>
  <w:footnote w:id="34">
    <w:p w:rsidR="009E434D" w14:paraId="24DECFB1" w14:textId="3831A2AD">
      <w:pPr>
        <w:pStyle w:val="FootnoteText"/>
      </w:pPr>
      <w:r>
        <w:rPr>
          <w:rStyle w:val="FootnoteReference"/>
        </w:rPr>
        <w:footnoteRef/>
      </w:r>
      <w:r>
        <w:t xml:space="preserve"> </w:t>
      </w:r>
      <w:r w:rsidRPr="00AD45E4">
        <w:rPr>
          <w:i/>
          <w:iCs/>
          <w:szCs w:val="22"/>
        </w:rPr>
        <w:t xml:space="preserve">2020 </w:t>
      </w:r>
      <w:r w:rsidRPr="00235FC2">
        <w:rPr>
          <w:i/>
          <w:iCs/>
          <w:szCs w:val="22"/>
        </w:rPr>
        <w:t>ICS Order and NPRM</w:t>
      </w:r>
      <w:r w:rsidRPr="00235FC2">
        <w:t xml:space="preserve">, </w:t>
      </w:r>
      <w:r w:rsidRPr="00126645">
        <w:t xml:space="preserve">35 FCC </w:t>
      </w:r>
      <w:r w:rsidRPr="00126645">
        <w:t>Rc</w:t>
      </w:r>
      <w:r w:rsidRPr="00752E51">
        <w:t>d</w:t>
      </w:r>
      <w:r w:rsidRPr="00752E51">
        <w:t xml:space="preserve"> at 8518,</w:t>
      </w:r>
      <w:r w:rsidRPr="00752E51">
        <w:rPr>
          <w:szCs w:val="22"/>
        </w:rPr>
        <w:t xml:space="preserve"> para. 94 (2020) (noting that GTL is the largest inmate calling services provider).</w:t>
      </w:r>
    </w:p>
  </w:footnote>
  <w:footnote w:id="35">
    <w:p w:rsidR="009E434D" w:rsidRPr="004C0BEB" w:rsidP="006D565C" w14:paraId="1F3BAF5D" w14:textId="7D5142D7">
      <w:pPr>
        <w:widowControl/>
        <w:autoSpaceDE w:val="0"/>
        <w:autoSpaceDN w:val="0"/>
        <w:adjustRightInd w:val="0"/>
        <w:spacing w:after="120"/>
        <w:rPr>
          <w:sz w:val="20"/>
        </w:rPr>
      </w:pPr>
      <w:r w:rsidRPr="001812D1">
        <w:rPr>
          <w:rStyle w:val="FootnoteReference"/>
        </w:rPr>
        <w:footnoteRef/>
      </w:r>
      <w:r w:rsidRPr="001812D1">
        <w:t xml:space="preserve"> </w:t>
      </w:r>
      <w:r w:rsidRPr="004C0BEB">
        <w:rPr>
          <w:sz w:val="20"/>
        </w:rPr>
        <w:t>Information concerning the correctional facilities and average daily populations</w:t>
      </w:r>
      <w:r>
        <w:rPr>
          <w:sz w:val="20"/>
        </w:rPr>
        <w:t xml:space="preserve"> </w:t>
      </w:r>
      <w:r w:rsidRPr="004C0BEB">
        <w:rPr>
          <w:sz w:val="20"/>
        </w:rPr>
        <w:t>served by inmate calling service</w:t>
      </w:r>
      <w:r w:rsidR="0048740D">
        <w:rPr>
          <w:sz w:val="20"/>
        </w:rPr>
        <w:t>s</w:t>
      </w:r>
      <w:r w:rsidRPr="004C0BEB">
        <w:rPr>
          <w:sz w:val="20"/>
        </w:rPr>
        <w:t xml:space="preserve"> providers is </w:t>
      </w:r>
      <w:r>
        <w:rPr>
          <w:sz w:val="20"/>
        </w:rPr>
        <w:t xml:space="preserve">publicly </w:t>
      </w:r>
      <w:r w:rsidRPr="004C0BEB">
        <w:rPr>
          <w:sz w:val="20"/>
        </w:rPr>
        <w:t>available via annual reports filed by inmate calling service</w:t>
      </w:r>
      <w:r w:rsidR="0048740D">
        <w:rPr>
          <w:sz w:val="20"/>
        </w:rPr>
        <w:t>s</w:t>
      </w:r>
      <w:r w:rsidRPr="004C0BEB">
        <w:rPr>
          <w:sz w:val="20"/>
        </w:rPr>
        <w:t xml:space="preserve"> providers in WC Docket No. 12-375</w:t>
      </w:r>
      <w:r>
        <w:rPr>
          <w:sz w:val="20"/>
        </w:rPr>
        <w:t xml:space="preserve">.  </w:t>
      </w:r>
      <w:r w:rsidRPr="004C0BEB">
        <w:rPr>
          <w:i/>
          <w:iCs/>
          <w:sz w:val="20"/>
        </w:rPr>
        <w:t>See</w:t>
      </w:r>
      <w:r w:rsidRPr="004C0BEB">
        <w:rPr>
          <w:sz w:val="20"/>
        </w:rPr>
        <w:t xml:space="preserve"> </w:t>
      </w:r>
      <w:r w:rsidRPr="004C0BEB">
        <w:rPr>
          <w:snapToGrid/>
          <w:kern w:val="0"/>
          <w:sz w:val="20"/>
        </w:rPr>
        <w:t>47 CFR §§ 64.6</w:t>
      </w:r>
      <w:r w:rsidRPr="004C0BEB">
        <w:rPr>
          <w:sz w:val="20"/>
        </w:rPr>
        <w:t>06</w:t>
      </w:r>
      <w:r w:rsidRPr="004C0BEB">
        <w:rPr>
          <w:snapToGrid/>
          <w:kern w:val="0"/>
          <w:sz w:val="20"/>
        </w:rPr>
        <w:t>0</w:t>
      </w:r>
      <w:r w:rsidRPr="004C0BEB">
        <w:rPr>
          <w:sz w:val="20"/>
        </w:rPr>
        <w:t xml:space="preserve"> </w:t>
      </w:r>
      <w:r>
        <w:rPr>
          <w:sz w:val="20"/>
        </w:rPr>
        <w:t>(</w:t>
      </w:r>
      <w:r w:rsidRPr="004C0BEB">
        <w:rPr>
          <w:sz w:val="20"/>
        </w:rPr>
        <w:t>requiring providers to submit annual reports by April 1 of each calendar year</w:t>
      </w:r>
      <w:r>
        <w:rPr>
          <w:sz w:val="20"/>
        </w:rPr>
        <w:t xml:space="preserve">).  </w:t>
      </w:r>
      <w:r w:rsidRPr="004C0BEB">
        <w:rPr>
          <w:i/>
          <w:iCs/>
          <w:sz w:val="20"/>
        </w:rPr>
        <w:t>See also</w:t>
      </w:r>
      <w:r>
        <w:rPr>
          <w:sz w:val="20"/>
        </w:rPr>
        <w:t xml:space="preserve"> </w:t>
      </w:r>
      <w:r w:rsidRPr="004C0BEB">
        <w:rPr>
          <w:i/>
          <w:iCs/>
          <w:snapToGrid/>
          <w:kern w:val="0"/>
          <w:sz w:val="20"/>
        </w:rPr>
        <w:t>Wireline Competition Bureau Announces OMB Renewal of Information</w:t>
      </w:r>
      <w:r>
        <w:rPr>
          <w:i/>
          <w:iCs/>
          <w:snapToGrid/>
          <w:kern w:val="0"/>
          <w:sz w:val="20"/>
        </w:rPr>
        <w:t xml:space="preserve"> </w:t>
      </w:r>
      <w:r w:rsidRPr="004C0BEB">
        <w:rPr>
          <w:i/>
          <w:iCs/>
          <w:snapToGrid/>
          <w:kern w:val="0"/>
          <w:sz w:val="20"/>
        </w:rPr>
        <w:t>Collection Concerning Inmate Calling Services</w:t>
      </w:r>
      <w:r w:rsidRPr="004C0BEB">
        <w:rPr>
          <w:snapToGrid/>
          <w:kern w:val="0"/>
          <w:sz w:val="20"/>
        </w:rPr>
        <w:t xml:space="preserve">, WC Docket No. 12-375, Public Notice, 35 FCC </w:t>
      </w:r>
      <w:r w:rsidRPr="004C0BEB">
        <w:rPr>
          <w:snapToGrid/>
          <w:kern w:val="0"/>
          <w:sz w:val="20"/>
        </w:rPr>
        <w:t>Rcd</w:t>
      </w:r>
      <w:r w:rsidRPr="004C0BEB">
        <w:rPr>
          <w:snapToGrid/>
          <w:kern w:val="0"/>
          <w:sz w:val="20"/>
        </w:rPr>
        <w:t xml:space="preserve"> 1456 (WCB</w:t>
      </w:r>
      <w:r>
        <w:rPr>
          <w:snapToGrid/>
          <w:kern w:val="0"/>
          <w:sz w:val="20"/>
        </w:rPr>
        <w:t xml:space="preserve"> </w:t>
      </w:r>
      <w:r w:rsidRPr="004C0BEB">
        <w:rPr>
          <w:snapToGrid/>
          <w:kern w:val="0"/>
          <w:sz w:val="20"/>
        </w:rPr>
        <w:t>2020)</w:t>
      </w:r>
      <w:r>
        <w:rPr>
          <w:snapToGrid/>
          <w:kern w:val="0"/>
          <w:sz w:val="20"/>
        </w:rPr>
        <w:t xml:space="preserve"> (renewing the annual reporting requirement for three more years); </w:t>
      </w:r>
      <w:r>
        <w:rPr>
          <w:rFonts w:ascii="TimesNewRomanPS-ItalicMT" w:hAnsi="TimesNewRomanPS-ItalicMT" w:cs="TimesNewRomanPS-ItalicMT"/>
          <w:i/>
          <w:iCs/>
          <w:snapToGrid/>
          <w:color w:val="000000"/>
          <w:kern w:val="0"/>
          <w:sz w:val="20"/>
        </w:rPr>
        <w:t xml:space="preserve">Instructions for Completing the Inmate Calling Services Annual Reporting Form (FCC Form 2301(a)) </w:t>
      </w:r>
      <w:r>
        <w:rPr>
          <w:rFonts w:ascii="TimesNewRomanPSMT" w:hAnsi="TimesNewRomanPSMT" w:cs="TimesNewRomanPSMT"/>
          <w:snapToGrid/>
          <w:color w:val="000000"/>
          <w:kern w:val="0"/>
          <w:sz w:val="20"/>
        </w:rPr>
        <w:t xml:space="preserve">(Feb. 2020), </w:t>
      </w:r>
      <w:hyperlink r:id="rId2" w:history="1">
        <w:r w:rsidRPr="009C3FB5">
          <w:rPr>
            <w:rStyle w:val="Hyperlink"/>
            <w:rFonts w:ascii="TimesNewRomanPSMT" w:hAnsi="TimesNewRomanPSMT" w:cs="TimesNewRomanPSMT"/>
            <w:snapToGrid/>
            <w:kern w:val="0"/>
            <w:sz w:val="20"/>
          </w:rPr>
          <w:t>https://docs.fcc.gov/public/attachments/DOC-362551A2.docx</w:t>
        </w:r>
      </w:hyperlink>
      <w:r>
        <w:rPr>
          <w:rFonts w:ascii="TimesNewRomanPSMT" w:hAnsi="TimesNewRomanPSMT" w:cs="TimesNewRomanPSMT"/>
          <w:snapToGrid/>
          <w:color w:val="000000"/>
          <w:kern w:val="0"/>
          <w:sz w:val="20"/>
        </w:rPr>
        <w:t xml:space="preserve">. (including ADP and facility names); </w:t>
      </w:r>
      <w:r w:rsidRPr="004C0BEB">
        <w:rPr>
          <w:i/>
          <w:iCs/>
          <w:sz w:val="20"/>
        </w:rPr>
        <w:t>Rates for Interstate Inmate Calling Services</w:t>
      </w:r>
      <w:r w:rsidRPr="004C0BEB">
        <w:rPr>
          <w:sz w:val="20"/>
        </w:rPr>
        <w:t xml:space="preserve">, WC Docket No. 12-375, Order, 35 FCC </w:t>
      </w:r>
      <w:r w:rsidRPr="004C0BEB">
        <w:rPr>
          <w:sz w:val="20"/>
        </w:rPr>
        <w:t>Rcd</w:t>
      </w:r>
      <w:r w:rsidRPr="004C0BEB">
        <w:rPr>
          <w:sz w:val="20"/>
        </w:rPr>
        <w:t xml:space="preserve"> 9267, 9269, para. 6 (WCB 2020) (denying confidential treatment for facility names</w:t>
      </w:r>
      <w:r w:rsidR="0048740D">
        <w:rPr>
          <w:sz w:val="20"/>
        </w:rPr>
        <w:t>,</w:t>
      </w:r>
      <w:r w:rsidRPr="004C0BEB">
        <w:rPr>
          <w:sz w:val="20"/>
        </w:rPr>
        <w:t xml:space="preserve"> inmate calling services rates, the amounts of ancillary charges, and average daily population).</w:t>
      </w:r>
    </w:p>
  </w:footnote>
  <w:footnote w:id="36">
    <w:p w:rsidR="009E434D" w:rsidRPr="001812D1" w14:paraId="28287E21" w14:textId="0696D28E">
      <w:pPr>
        <w:pStyle w:val="FootnoteText"/>
      </w:pPr>
      <w:r w:rsidRPr="001812D1">
        <w:rPr>
          <w:rStyle w:val="FootnoteReference"/>
        </w:rPr>
        <w:footnoteRef/>
      </w:r>
      <w:r w:rsidRPr="001812D1">
        <w:t xml:space="preserve"> </w:t>
      </w:r>
      <w:r w:rsidRPr="001812D1">
        <w:rPr>
          <w:i/>
          <w:iCs/>
        </w:rPr>
        <w:t>See Wireline Competition Bureau Reminds Providers of Inmate Calling Services of the March 1, 2019 Deadline for Data Collection Responses</w:t>
      </w:r>
      <w:r w:rsidRPr="001812D1">
        <w:t xml:space="preserve">, Public Notice, 34 FCC </w:t>
      </w:r>
      <w:r w:rsidRPr="001812D1">
        <w:t>Rcd</w:t>
      </w:r>
      <w:r w:rsidRPr="001812D1">
        <w:t xml:space="preserve"> 515 (WCB 2019); </w:t>
      </w:r>
      <w:r w:rsidRPr="001812D1">
        <w:rPr>
          <w:i/>
          <w:iCs/>
        </w:rPr>
        <w:t>see also 2020 ICS Order and NPRM</w:t>
      </w:r>
      <w:r w:rsidR="00A83A08">
        <w:t xml:space="preserve">, 35 FCC </w:t>
      </w:r>
      <w:r w:rsidR="00A83A08">
        <w:t>Rcd</w:t>
      </w:r>
      <w:r w:rsidR="00A83A08">
        <w:t xml:space="preserve"> at 8518 &amp;</w:t>
      </w:r>
      <w:r w:rsidRPr="001812D1">
        <w:t xml:space="preserve"> n.226 and Appx. E (Analysis of Responses to the Second Mandatory Data Collection) at Table 1 (</w:t>
      </w:r>
      <w:r w:rsidRPr="00E93623">
        <w:t xml:space="preserve">Selected Statistics of Responding </w:t>
      </w:r>
      <w:r w:rsidR="00DB0EBC">
        <w:t>Providers</w:t>
      </w:r>
      <w:r w:rsidRPr="00E93623">
        <w:t>)</w:t>
      </w:r>
      <w:r w:rsidR="00DB0EBC">
        <w:t xml:space="preserve"> (including ADP and revenue) </w:t>
      </w:r>
      <w:r w:rsidRPr="00E93623">
        <w:t xml:space="preserve">and Table 6 (Inmate Calling Services Revenues and Costs by Provider and for Industry (in $ millions); </w:t>
      </w:r>
      <w:r w:rsidRPr="00E93623">
        <w:rPr>
          <w:i/>
          <w:iCs/>
        </w:rPr>
        <w:t>Wireline Competition Bureau and Office of Economics and Analytics Make Inmate Calling Services Database Available to Eligible Individuals Pursuant to Protective Order</w:t>
      </w:r>
      <w:r w:rsidRPr="00E93623">
        <w:t xml:space="preserve">, </w:t>
      </w:r>
      <w:r w:rsidR="00E254E6">
        <w:t xml:space="preserve">WC Docket No. 12-375, </w:t>
      </w:r>
      <w:r w:rsidRPr="00E93623">
        <w:t xml:space="preserve">Public Notice, </w:t>
      </w:r>
      <w:r w:rsidR="00E254E6">
        <w:t>DA 20-1128</w:t>
      </w:r>
      <w:r w:rsidR="00A83A08">
        <w:t>, 35</w:t>
      </w:r>
      <w:r w:rsidR="00E254E6">
        <w:t xml:space="preserve"> </w:t>
      </w:r>
      <w:r w:rsidRPr="000E2F74" w:rsidR="00A83A08">
        <w:rPr>
          <w:shd w:val="clear" w:color="auto" w:fill="FFFFFF"/>
        </w:rPr>
        <w:t xml:space="preserve">FCC </w:t>
      </w:r>
      <w:r w:rsidRPr="000E2F74" w:rsidR="00A83A08">
        <w:rPr>
          <w:shd w:val="clear" w:color="auto" w:fill="FFFFFF"/>
        </w:rPr>
        <w:t>Rcd</w:t>
      </w:r>
      <w:r w:rsidRPr="000E2F74" w:rsidR="00A83A08">
        <w:rPr>
          <w:shd w:val="clear" w:color="auto" w:fill="FFFFFF"/>
        </w:rPr>
        <w:t xml:space="preserve"> 10456</w:t>
      </w:r>
      <w:r w:rsidR="00A83A08">
        <w:rPr>
          <w:shd w:val="clear" w:color="auto" w:fill="FFFFFF"/>
        </w:rPr>
        <w:t xml:space="preserve"> </w:t>
      </w:r>
      <w:r w:rsidR="00A83A08">
        <w:t>(WCB/OEA Sept. 24, 2020</w:t>
      </w:r>
      <w:r w:rsidRPr="00E254E6" w:rsidR="00A83A08">
        <w:rPr>
          <w:sz w:val="22"/>
          <w:szCs w:val="22"/>
        </w:rPr>
        <w:t>)</w:t>
      </w:r>
      <w:r w:rsidR="00A83A08">
        <w:rPr>
          <w:shd w:val="clear" w:color="auto" w:fill="FFFFFF"/>
        </w:rPr>
        <w:t>.</w:t>
      </w:r>
    </w:p>
  </w:footnote>
  <w:footnote w:id="37">
    <w:p w:rsidR="009E434D" w14:paraId="462DD1D5" w14:textId="5A6CB2E2">
      <w:pPr>
        <w:pStyle w:val="FootnoteText"/>
      </w:pPr>
      <w:r>
        <w:rPr>
          <w:rStyle w:val="FootnoteReference"/>
        </w:rPr>
        <w:footnoteRef/>
      </w:r>
      <w:r>
        <w:t xml:space="preserve"> Legacy and GTL also assert that the</w:t>
      </w:r>
      <w:r w:rsidR="00E254E6">
        <w:t>ir proposed</w:t>
      </w:r>
      <w:r>
        <w:t xml:space="preserve"> transaction “will not provide [GTL] with any competitive advantage as the result of concentration of fiber assets and will not harm consumers or negatively impact the market for facilities-based service.”  GTL Application at 5.</w:t>
      </w:r>
    </w:p>
  </w:footnote>
  <w:footnote w:id="38">
    <w:p w:rsidR="009E434D" w14:paraId="399CAA85" w14:textId="0270BD5D">
      <w:pPr>
        <w:pStyle w:val="FootnoteText"/>
      </w:pPr>
      <w:r>
        <w:rPr>
          <w:rStyle w:val="FootnoteReference"/>
        </w:rPr>
        <w:footnoteRef/>
      </w:r>
      <w:r>
        <w:t xml:space="preserve"> GTL Application at 5.  </w:t>
      </w:r>
      <w:r>
        <w:rPr>
          <w:i/>
          <w:iCs/>
        </w:rPr>
        <w:t xml:space="preserve">See Domestic Section 214 Application Granted for the Transfer of Control of Inmate Calling Solutions, LLC d/b/a </w:t>
      </w:r>
      <w:r>
        <w:rPr>
          <w:i/>
          <w:iCs/>
        </w:rPr>
        <w:t>ICSolutions</w:t>
      </w:r>
      <w:r>
        <w:rPr>
          <w:i/>
          <w:iCs/>
        </w:rPr>
        <w:t xml:space="preserve"> to TKC Holdings, Inc.</w:t>
      </w:r>
      <w:r>
        <w:t xml:space="preserve">, WC Docket No. 16-188, Public Notice, 31 FCC </w:t>
      </w:r>
      <w:r>
        <w:t>Rcd</w:t>
      </w:r>
      <w:r>
        <w:t xml:space="preserve"> 8731, 8733 (WCB 2016) (recognizing “that there is a likelihood that a financially sound provider that has the requisite capital and management capability can provide service to benefit customers”).</w:t>
      </w:r>
    </w:p>
  </w:footnote>
  <w:footnote w:id="39">
    <w:p w:rsidR="009E434D" w:rsidRPr="00B24A8B" w:rsidP="00377F34" w14:paraId="2464C026" w14:textId="6982B0EB">
      <w:pPr>
        <w:pStyle w:val="FootnoteText"/>
      </w:pPr>
      <w:r w:rsidRPr="00FB6F37">
        <w:rPr>
          <w:rStyle w:val="FootnoteReference"/>
        </w:rPr>
        <w:footnoteRef/>
      </w:r>
      <w:r>
        <w:t xml:space="preserve"> GTL October 9 Supplement Letter at 2 (“Approval of the Transaction will ensure there is no disruption of service to Correctional Facility Customers . . . or end users of ICS as a result of Legacy’s exit from the market.”); NCIC October 9 Supplement Letter at 2.  </w:t>
      </w:r>
      <w:r>
        <w:rPr>
          <w:i/>
          <w:iCs/>
        </w:rPr>
        <w:t>See also Legacy Discontinuance Grant Public Notice</w:t>
      </w:r>
      <w:r w:rsidR="00A83A08">
        <w:t xml:space="preserve">, 35 FCC </w:t>
      </w:r>
      <w:r w:rsidR="00A83A08">
        <w:t>Rcd</w:t>
      </w:r>
      <w:r w:rsidR="00A83A08">
        <w:t xml:space="preserve"> at 2090</w:t>
      </w:r>
      <w:r w:rsidR="00E254E6">
        <w:t xml:space="preserve"> and Appx.</w:t>
      </w:r>
      <w:r>
        <w:t xml:space="preserve"> (authorizing Legacy to discontinue service as of April 13, 2020).</w:t>
      </w:r>
    </w:p>
  </w:footnote>
  <w:footnote w:id="40">
    <w:p w:rsidR="009E434D" w:rsidP="005E038C" w14:paraId="12FC165F" w14:textId="77777777">
      <w:pPr>
        <w:pStyle w:val="FootnoteText"/>
      </w:pPr>
      <w:r>
        <w:rPr>
          <w:rStyle w:val="FootnoteReference"/>
        </w:rPr>
        <w:footnoteRef/>
      </w:r>
      <w:r>
        <w:t xml:space="preserve"> </w:t>
      </w:r>
      <w:r w:rsidRPr="00550556">
        <w:rPr>
          <w:i/>
          <w:iCs/>
        </w:rPr>
        <w:t xml:space="preserve">2020 </w:t>
      </w:r>
      <w:r w:rsidRPr="00CB7B3B">
        <w:rPr>
          <w:i/>
          <w:iCs/>
        </w:rPr>
        <w:t>ICS Order and NPRM</w:t>
      </w:r>
      <w:r>
        <w:t xml:space="preserve">, 35 FCC </w:t>
      </w:r>
      <w:r>
        <w:t>Rcd</w:t>
      </w:r>
      <w:r>
        <w:t xml:space="preserve"> at 8486-87, para. 5</w:t>
      </w:r>
    </w:p>
  </w:footnote>
  <w:footnote w:id="41">
    <w:p w:rsidR="009E434D" w:rsidRPr="00706AF6" w:rsidP="005E038C" w14:paraId="6BF2E7FE" w14:textId="77777777">
      <w:pPr>
        <w:pStyle w:val="FootnoteText"/>
      </w:pPr>
      <w:r>
        <w:rPr>
          <w:rStyle w:val="FootnoteReference"/>
        </w:rPr>
        <w:footnoteRef/>
      </w:r>
      <w:r>
        <w:t xml:space="preserve"> </w:t>
      </w:r>
      <w:r>
        <w:rPr>
          <w:i/>
          <w:iCs/>
        </w:rPr>
        <w:t xml:space="preserve">See </w:t>
      </w:r>
      <w:r>
        <w:t>GTL Application at 5; NCIC Application at 4.</w:t>
      </w:r>
    </w:p>
  </w:footnote>
  <w:footnote w:id="42">
    <w:p w:rsidR="009E434D" w:rsidRPr="0089218B" w14:paraId="4363DEFA" w14:textId="1551E641">
      <w:pPr>
        <w:pStyle w:val="FootnoteText"/>
        <w:rPr>
          <w:i/>
          <w:iCs/>
        </w:rPr>
      </w:pPr>
      <w:r>
        <w:rPr>
          <w:rStyle w:val="FootnoteReference"/>
        </w:rPr>
        <w:footnoteRef/>
      </w:r>
      <w:r>
        <w:t xml:space="preserve"> </w:t>
      </w:r>
      <w:r>
        <w:rPr>
          <w:i/>
          <w:iCs/>
        </w:rPr>
        <w:t>See Joint Application of Securus Investment Holdings, LLC, Securus Technologies, Inc., T-</w:t>
      </w:r>
      <w:r>
        <w:rPr>
          <w:i/>
          <w:iCs/>
        </w:rPr>
        <w:t>Netix</w:t>
      </w:r>
      <w:r>
        <w:rPr>
          <w:i/>
          <w:iCs/>
        </w:rPr>
        <w:t>, Inc., T-</w:t>
      </w:r>
      <w:r>
        <w:rPr>
          <w:i/>
          <w:iCs/>
        </w:rPr>
        <w:t>Netix</w:t>
      </w:r>
      <w:r>
        <w:rPr>
          <w:i/>
          <w:iCs/>
        </w:rPr>
        <w:t xml:space="preserve"> Telecommunications Services, Inc., and SCRS Acquisition Corporation for Grant of Authority Pursuant to Section 214 of the Communications Act of 1934, As Amended, and Sections 63.04 and 63.24 of the Commission’s Rules to Transfer Indirect Ownership and Control of Licensees</w:t>
      </w:r>
      <w:r>
        <w:t xml:space="preserve">, WC Docket No. 17-126, Memorandum Opinion and Order, 32 FCC </w:t>
      </w:r>
      <w:r>
        <w:t>Rcd</w:t>
      </w:r>
      <w:r>
        <w:t xml:space="preserve"> 9564, 9576, para. 30 (2017) (noting the commitment to provide “services to the same extent and at the same rates and on the same terms and conditions as are currently in effect” as a net public benefit of an inmate calling services transaction) (quotation marks omitted).</w:t>
      </w:r>
    </w:p>
  </w:footnote>
  <w:footnote w:id="43">
    <w:p w:rsidR="009E434D" w:rsidP="00530EA9" w14:paraId="4423C676" w14:textId="2B816865">
      <w:pPr>
        <w:pStyle w:val="FootnoteText"/>
      </w:pPr>
      <w:r>
        <w:rPr>
          <w:rStyle w:val="FootnoteReference"/>
        </w:rPr>
        <w:footnoteRef/>
      </w:r>
      <w:r>
        <w:t xml:space="preserve"> Legacy will retain its international section 214 authorization, ITC-214-19961125-00596.  GTL will provide international service to its new customers pursuant to its existing international section 214 authorization, ITC-214- 19970128-00044.  </w:t>
      </w:r>
    </w:p>
  </w:footnote>
  <w:footnote w:id="44">
    <w:p w:rsidR="009E434D" w14:paraId="306B22BB" w14:textId="1E8EC821">
      <w:pPr>
        <w:pStyle w:val="FootnoteText"/>
      </w:pPr>
      <w:r>
        <w:rPr>
          <w:rStyle w:val="FootnoteReference"/>
        </w:rPr>
        <w:footnoteRef/>
      </w:r>
      <w:r>
        <w:t xml:space="preserve"> Legacy will retain its international section 214 authorization, ITC-214-19961125-00596.  NCIC will provide international service to its new customers pursuant to its existing international section 214 authorization, ITC-214-19970711-00394.</w:t>
      </w:r>
    </w:p>
  </w:footnote>
  <w:footnote w:id="45">
    <w:p w:rsidR="009E434D" w:rsidRPr="00487CA0" w:rsidP="00E25C7E" w14:paraId="1FD36C5A" w14:textId="77777777">
      <w:pPr>
        <w:pStyle w:val="FootnoteText"/>
        <w:rPr>
          <w:color w:val="000000"/>
        </w:rPr>
      </w:pPr>
      <w:r w:rsidRPr="00487CA0">
        <w:rPr>
          <w:rStyle w:val="FootnoteReference"/>
          <w:color w:val="000000"/>
          <w:sz w:val="20"/>
        </w:rPr>
        <w:footnoteRef/>
      </w:r>
      <w:r w:rsidRPr="00487CA0">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RPr="009838BC" w:rsidP="009838BC" w14:paraId="640A48ED" w14:textId="44AA0669">
    <w:pPr>
      <w:tabs>
        <w:tab w:val="center" w:pos="4680"/>
        <w:tab w:val="right" w:pos="9360"/>
      </w:tabs>
    </w:pPr>
    <w:r w:rsidRPr="009838BC">
      <w:rPr>
        <w:b/>
      </w:rPr>
      <w:tab/>
      <w:t>Federal Communications Commission</w:t>
    </w:r>
    <w:r w:rsidRPr="009838BC">
      <w:rPr>
        <w:b/>
      </w:rPr>
      <w:tab/>
    </w:r>
    <w:r w:rsidR="00B05D5D">
      <w:rPr>
        <w:b/>
      </w:rPr>
      <w:t>DA 20-1388</w:t>
    </w:r>
  </w:p>
  <w:p w:rsidR="009E434D" w:rsidRPr="009838BC" w:rsidP="009838BC" w14:paraId="799C860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E434D" w:rsidRPr="009838BC" w:rsidP="009838BC" w14:paraId="04CDF9B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rsidRPr="00A866AC" w:rsidP="009838BC" w14:paraId="3BA0D50D" w14:textId="0D1DFD88">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E434D" w:rsidRPr="00FA0E88" w:rsidP="009838BC" w14:paraId="6705A85D" w14:textId="77777777">
                <w:pPr>
                  <w:rPr>
                    <w:rFonts w:ascii="Arial" w:hAnsi="Arial"/>
                    <w:b/>
                  </w:rPr>
                </w:pPr>
                <w:r w:rsidRPr="00FA0E88">
                  <w:rPr>
                    <w:rFonts w:ascii="Arial" w:hAnsi="Arial"/>
                    <w:b/>
                  </w:rPr>
                  <w:t>Federal Communications Commission</w:t>
                </w:r>
              </w:p>
              <w:p w:rsidR="009E434D" w:rsidRPr="00FA0E88" w:rsidP="009838BC" w14:paraId="5F18D61E" w14:textId="7A1A72A1">
                <w:pPr>
                  <w:rPr>
                    <w:rFonts w:ascii="Arial" w:hAnsi="Arial"/>
                    <w:b/>
                  </w:rPr>
                </w:pPr>
                <w:r w:rsidRPr="00FA0E88">
                  <w:rPr>
                    <w:rFonts w:ascii="Arial" w:hAnsi="Arial"/>
                    <w:b/>
                  </w:rPr>
                  <w:t>45 L St., N.E.</w:t>
                </w:r>
              </w:p>
              <w:p w:rsidR="009E434D" w:rsidP="009838BC" w14:paraId="56DB3109" w14:textId="77777777">
                <w:pPr>
                  <w:rPr>
                    <w:rFonts w:ascii="Arial" w:hAnsi="Arial"/>
                    <w:sz w:val="24"/>
                  </w:rPr>
                </w:pPr>
                <w:r w:rsidRPr="00FA0E88">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E434D" w:rsidRPr="00357D50" w:rsidP="009838BC" w14:paraId="241A3A1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9597.6pt,56.7pt" to="1006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E434D" w:rsidP="009838BC" w14:paraId="22311FE5" w14:textId="77777777">
                <w:pPr>
                  <w:spacing w:before="40"/>
                  <w:jc w:val="right"/>
                  <w:rPr>
                    <w:rFonts w:ascii="Arial" w:hAnsi="Arial"/>
                    <w:b/>
                    <w:sz w:val="16"/>
                  </w:rPr>
                </w:pPr>
                <w:r>
                  <w:rPr>
                    <w:rFonts w:ascii="Arial" w:hAnsi="Arial"/>
                    <w:b/>
                    <w:sz w:val="16"/>
                  </w:rPr>
                  <w:t>News Media Information 202 / 418-0500</w:t>
                </w:r>
              </w:p>
              <w:p w:rsidR="009E434D" w:rsidP="009838BC" w14:paraId="51A14C76"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E434D" w:rsidP="009838BC" w14:paraId="33FF3484" w14:textId="77777777">
                <w:pPr>
                  <w:jc w:val="right"/>
                </w:pPr>
                <w:r>
                  <w:rPr>
                    <w:rFonts w:ascii="Arial" w:hAnsi="Arial"/>
                    <w:b/>
                    <w:sz w:val="16"/>
                  </w:rPr>
                  <w:t>TTY: 1-888-835-5322</w:t>
                </w:r>
              </w:p>
            </w:txbxContent>
          </v:textbox>
        </v:shape>
      </w:pict>
    </w:r>
  </w:p>
  <w:p w:rsidR="009E434D" w:rsidRPr="009838BC" w:rsidP="009838BC" w14:paraId="1D32C964"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1C22D07F" w14:textId="5A323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769DCD35" w14:textId="19FC2C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34D" w14:paraId="6977183C" w14:textId="1CB4A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7DB1696"/>
    <w:multiLevelType w:val="hybridMultilevel"/>
    <w:tmpl w:val="3C085CE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FA26316"/>
    <w:multiLevelType w:val="hybridMultilevel"/>
    <w:tmpl w:val="1D6E4CC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D5"/>
    <w:rsid w:val="000072CE"/>
    <w:rsid w:val="00010997"/>
    <w:rsid w:val="00013A8B"/>
    <w:rsid w:val="00021059"/>
    <w:rsid w:val="00021445"/>
    <w:rsid w:val="00022C42"/>
    <w:rsid w:val="00023361"/>
    <w:rsid w:val="00033037"/>
    <w:rsid w:val="00036039"/>
    <w:rsid w:val="00037F90"/>
    <w:rsid w:val="00061C2A"/>
    <w:rsid w:val="00076186"/>
    <w:rsid w:val="000875BF"/>
    <w:rsid w:val="00090ECA"/>
    <w:rsid w:val="000929C0"/>
    <w:rsid w:val="00096D8C"/>
    <w:rsid w:val="000A6D6A"/>
    <w:rsid w:val="000B3240"/>
    <w:rsid w:val="000B5EB5"/>
    <w:rsid w:val="000C0B65"/>
    <w:rsid w:val="000C46F9"/>
    <w:rsid w:val="000E2F74"/>
    <w:rsid w:val="000E3D42"/>
    <w:rsid w:val="000E5884"/>
    <w:rsid w:val="000E5F82"/>
    <w:rsid w:val="000F1215"/>
    <w:rsid w:val="00102695"/>
    <w:rsid w:val="00122BD5"/>
    <w:rsid w:val="0012499F"/>
    <w:rsid w:val="001256A0"/>
    <w:rsid w:val="00126645"/>
    <w:rsid w:val="00151A43"/>
    <w:rsid w:val="001704BC"/>
    <w:rsid w:val="00174DF7"/>
    <w:rsid w:val="00176EEE"/>
    <w:rsid w:val="001812D1"/>
    <w:rsid w:val="00192C5C"/>
    <w:rsid w:val="001979D9"/>
    <w:rsid w:val="001A49F9"/>
    <w:rsid w:val="001C6E1F"/>
    <w:rsid w:val="001D0C08"/>
    <w:rsid w:val="001D6BCF"/>
    <w:rsid w:val="001E01CA"/>
    <w:rsid w:val="001E5E95"/>
    <w:rsid w:val="001F470A"/>
    <w:rsid w:val="00201E3B"/>
    <w:rsid w:val="002060D9"/>
    <w:rsid w:val="0022604D"/>
    <w:rsid w:val="00226822"/>
    <w:rsid w:val="00235FC2"/>
    <w:rsid w:val="002435EC"/>
    <w:rsid w:val="00257F5D"/>
    <w:rsid w:val="00260594"/>
    <w:rsid w:val="00261CA1"/>
    <w:rsid w:val="0026411D"/>
    <w:rsid w:val="00266C33"/>
    <w:rsid w:val="00282726"/>
    <w:rsid w:val="00285017"/>
    <w:rsid w:val="002A2D2E"/>
    <w:rsid w:val="002B6389"/>
    <w:rsid w:val="002C7C32"/>
    <w:rsid w:val="002D4DBB"/>
    <w:rsid w:val="00314A03"/>
    <w:rsid w:val="003151C6"/>
    <w:rsid w:val="00335A2C"/>
    <w:rsid w:val="00341EE6"/>
    <w:rsid w:val="00343749"/>
    <w:rsid w:val="00347B5B"/>
    <w:rsid w:val="00357D50"/>
    <w:rsid w:val="003740ED"/>
    <w:rsid w:val="003745CB"/>
    <w:rsid w:val="00376338"/>
    <w:rsid w:val="00377F34"/>
    <w:rsid w:val="003878DF"/>
    <w:rsid w:val="003925DC"/>
    <w:rsid w:val="003B0550"/>
    <w:rsid w:val="003B694F"/>
    <w:rsid w:val="003E5459"/>
    <w:rsid w:val="003F171C"/>
    <w:rsid w:val="003F5E82"/>
    <w:rsid w:val="00410007"/>
    <w:rsid w:val="00412FC5"/>
    <w:rsid w:val="004210DB"/>
    <w:rsid w:val="00422276"/>
    <w:rsid w:val="004242F1"/>
    <w:rsid w:val="00445A00"/>
    <w:rsid w:val="00451B0F"/>
    <w:rsid w:val="0046125F"/>
    <w:rsid w:val="004643B2"/>
    <w:rsid w:val="00474150"/>
    <w:rsid w:val="00481690"/>
    <w:rsid w:val="00482193"/>
    <w:rsid w:val="00485C99"/>
    <w:rsid w:val="0048740D"/>
    <w:rsid w:val="00487524"/>
    <w:rsid w:val="00487CA0"/>
    <w:rsid w:val="00496106"/>
    <w:rsid w:val="004A2C21"/>
    <w:rsid w:val="004C0BEB"/>
    <w:rsid w:val="004C12D0"/>
    <w:rsid w:val="004C2EE3"/>
    <w:rsid w:val="004C355B"/>
    <w:rsid w:val="004C3CAE"/>
    <w:rsid w:val="004D646C"/>
    <w:rsid w:val="004E4A22"/>
    <w:rsid w:val="00500FBC"/>
    <w:rsid w:val="00505358"/>
    <w:rsid w:val="00511968"/>
    <w:rsid w:val="00515414"/>
    <w:rsid w:val="005225F8"/>
    <w:rsid w:val="00530EA9"/>
    <w:rsid w:val="00531889"/>
    <w:rsid w:val="00542E78"/>
    <w:rsid w:val="00550556"/>
    <w:rsid w:val="00553B80"/>
    <w:rsid w:val="0055614C"/>
    <w:rsid w:val="005940EB"/>
    <w:rsid w:val="005941C3"/>
    <w:rsid w:val="00595F49"/>
    <w:rsid w:val="005A7C26"/>
    <w:rsid w:val="005C6E4B"/>
    <w:rsid w:val="005E038C"/>
    <w:rsid w:val="005F496E"/>
    <w:rsid w:val="00602C1E"/>
    <w:rsid w:val="00607BA5"/>
    <w:rsid w:val="0061720B"/>
    <w:rsid w:val="00626EB6"/>
    <w:rsid w:val="006306F5"/>
    <w:rsid w:val="006353A3"/>
    <w:rsid w:val="00655D03"/>
    <w:rsid w:val="00683F84"/>
    <w:rsid w:val="00684F65"/>
    <w:rsid w:val="006A6A81"/>
    <w:rsid w:val="006C0CC3"/>
    <w:rsid w:val="006C3988"/>
    <w:rsid w:val="006C6FE3"/>
    <w:rsid w:val="006D565C"/>
    <w:rsid w:val="006E26AF"/>
    <w:rsid w:val="006F7393"/>
    <w:rsid w:val="0070224F"/>
    <w:rsid w:val="00706AF6"/>
    <w:rsid w:val="007115F7"/>
    <w:rsid w:val="00720B31"/>
    <w:rsid w:val="00723BC3"/>
    <w:rsid w:val="007255F5"/>
    <w:rsid w:val="00752E51"/>
    <w:rsid w:val="007533F6"/>
    <w:rsid w:val="00754EDF"/>
    <w:rsid w:val="007562E4"/>
    <w:rsid w:val="00763854"/>
    <w:rsid w:val="00764BCB"/>
    <w:rsid w:val="00771F3A"/>
    <w:rsid w:val="00785689"/>
    <w:rsid w:val="0079754B"/>
    <w:rsid w:val="007A1E6D"/>
    <w:rsid w:val="007A3CC9"/>
    <w:rsid w:val="007D3162"/>
    <w:rsid w:val="007E117C"/>
    <w:rsid w:val="007E7363"/>
    <w:rsid w:val="007F011E"/>
    <w:rsid w:val="007F759B"/>
    <w:rsid w:val="00816151"/>
    <w:rsid w:val="00822CE0"/>
    <w:rsid w:val="0082403E"/>
    <w:rsid w:val="00837C62"/>
    <w:rsid w:val="00841AB1"/>
    <w:rsid w:val="00850EB2"/>
    <w:rsid w:val="00867D72"/>
    <w:rsid w:val="0088440E"/>
    <w:rsid w:val="0089218B"/>
    <w:rsid w:val="008A6EE5"/>
    <w:rsid w:val="008A7431"/>
    <w:rsid w:val="008C208C"/>
    <w:rsid w:val="008C22FD"/>
    <w:rsid w:val="008C34C0"/>
    <w:rsid w:val="008C638D"/>
    <w:rsid w:val="008E6EE8"/>
    <w:rsid w:val="009006AB"/>
    <w:rsid w:val="00905534"/>
    <w:rsid w:val="0090771D"/>
    <w:rsid w:val="00910F12"/>
    <w:rsid w:val="00915573"/>
    <w:rsid w:val="00926503"/>
    <w:rsid w:val="00930ECF"/>
    <w:rsid w:val="009361F3"/>
    <w:rsid w:val="00943841"/>
    <w:rsid w:val="00947CEA"/>
    <w:rsid w:val="00952F1A"/>
    <w:rsid w:val="00961408"/>
    <w:rsid w:val="009838BC"/>
    <w:rsid w:val="009848C5"/>
    <w:rsid w:val="00986813"/>
    <w:rsid w:val="0099420D"/>
    <w:rsid w:val="0099664D"/>
    <w:rsid w:val="009B4344"/>
    <w:rsid w:val="009C0B81"/>
    <w:rsid w:val="009C18A6"/>
    <w:rsid w:val="009C3FB5"/>
    <w:rsid w:val="009E05D3"/>
    <w:rsid w:val="009E434D"/>
    <w:rsid w:val="00A111CC"/>
    <w:rsid w:val="00A17020"/>
    <w:rsid w:val="00A335C5"/>
    <w:rsid w:val="00A41501"/>
    <w:rsid w:val="00A45F4F"/>
    <w:rsid w:val="00A600A9"/>
    <w:rsid w:val="00A64341"/>
    <w:rsid w:val="00A83A08"/>
    <w:rsid w:val="00A851DD"/>
    <w:rsid w:val="00A866AC"/>
    <w:rsid w:val="00A94AB3"/>
    <w:rsid w:val="00AA4ED7"/>
    <w:rsid w:val="00AA55B7"/>
    <w:rsid w:val="00AA5B9E"/>
    <w:rsid w:val="00AB2407"/>
    <w:rsid w:val="00AB53DF"/>
    <w:rsid w:val="00AC0D8F"/>
    <w:rsid w:val="00AD45E4"/>
    <w:rsid w:val="00AF6F03"/>
    <w:rsid w:val="00B00012"/>
    <w:rsid w:val="00B02311"/>
    <w:rsid w:val="00B036DB"/>
    <w:rsid w:val="00B04BB3"/>
    <w:rsid w:val="00B05D5D"/>
    <w:rsid w:val="00B07E5C"/>
    <w:rsid w:val="00B20363"/>
    <w:rsid w:val="00B21148"/>
    <w:rsid w:val="00B24A8B"/>
    <w:rsid w:val="00B2650D"/>
    <w:rsid w:val="00B326E3"/>
    <w:rsid w:val="00B33A48"/>
    <w:rsid w:val="00B33C6D"/>
    <w:rsid w:val="00B56AFD"/>
    <w:rsid w:val="00B63AC3"/>
    <w:rsid w:val="00B73C0C"/>
    <w:rsid w:val="00B811F7"/>
    <w:rsid w:val="00B81B47"/>
    <w:rsid w:val="00BA5DC6"/>
    <w:rsid w:val="00BA6196"/>
    <w:rsid w:val="00BC6D8C"/>
    <w:rsid w:val="00BD603A"/>
    <w:rsid w:val="00BE5D4F"/>
    <w:rsid w:val="00BE6AAF"/>
    <w:rsid w:val="00BF5832"/>
    <w:rsid w:val="00C02A75"/>
    <w:rsid w:val="00C16AF2"/>
    <w:rsid w:val="00C34006"/>
    <w:rsid w:val="00C426B1"/>
    <w:rsid w:val="00C42986"/>
    <w:rsid w:val="00C50D2D"/>
    <w:rsid w:val="00C5259B"/>
    <w:rsid w:val="00C61809"/>
    <w:rsid w:val="00C7200D"/>
    <w:rsid w:val="00C76A03"/>
    <w:rsid w:val="00C826E6"/>
    <w:rsid w:val="00C82B6B"/>
    <w:rsid w:val="00C90D6A"/>
    <w:rsid w:val="00C91522"/>
    <w:rsid w:val="00CB03B9"/>
    <w:rsid w:val="00CB2FA6"/>
    <w:rsid w:val="00CB6CE7"/>
    <w:rsid w:val="00CB7B3B"/>
    <w:rsid w:val="00CC3F5C"/>
    <w:rsid w:val="00CC72B6"/>
    <w:rsid w:val="00CD0492"/>
    <w:rsid w:val="00CD417A"/>
    <w:rsid w:val="00CF1A3A"/>
    <w:rsid w:val="00D0218D"/>
    <w:rsid w:val="00D0679C"/>
    <w:rsid w:val="00D10B1F"/>
    <w:rsid w:val="00D11423"/>
    <w:rsid w:val="00D122D5"/>
    <w:rsid w:val="00D216CD"/>
    <w:rsid w:val="00D2323D"/>
    <w:rsid w:val="00D4043A"/>
    <w:rsid w:val="00D63797"/>
    <w:rsid w:val="00D81D47"/>
    <w:rsid w:val="00D86805"/>
    <w:rsid w:val="00D86CCA"/>
    <w:rsid w:val="00DA2529"/>
    <w:rsid w:val="00DB0EBC"/>
    <w:rsid w:val="00DB130A"/>
    <w:rsid w:val="00DB54CA"/>
    <w:rsid w:val="00DC10A1"/>
    <w:rsid w:val="00DC1EDD"/>
    <w:rsid w:val="00DC655F"/>
    <w:rsid w:val="00DD7EBD"/>
    <w:rsid w:val="00DF1B24"/>
    <w:rsid w:val="00DF4268"/>
    <w:rsid w:val="00DF62B6"/>
    <w:rsid w:val="00E07225"/>
    <w:rsid w:val="00E155B7"/>
    <w:rsid w:val="00E15A65"/>
    <w:rsid w:val="00E24029"/>
    <w:rsid w:val="00E254E6"/>
    <w:rsid w:val="00E25C7E"/>
    <w:rsid w:val="00E4338E"/>
    <w:rsid w:val="00E44AFB"/>
    <w:rsid w:val="00E5409F"/>
    <w:rsid w:val="00E56F6D"/>
    <w:rsid w:val="00E66874"/>
    <w:rsid w:val="00E85F2B"/>
    <w:rsid w:val="00E93623"/>
    <w:rsid w:val="00EA4190"/>
    <w:rsid w:val="00EC0185"/>
    <w:rsid w:val="00ED5DD3"/>
    <w:rsid w:val="00ED7832"/>
    <w:rsid w:val="00EE6C42"/>
    <w:rsid w:val="00EE7AE0"/>
    <w:rsid w:val="00F021FA"/>
    <w:rsid w:val="00F02C3B"/>
    <w:rsid w:val="00F12B68"/>
    <w:rsid w:val="00F17F28"/>
    <w:rsid w:val="00F47E3D"/>
    <w:rsid w:val="00F47F05"/>
    <w:rsid w:val="00F55288"/>
    <w:rsid w:val="00F57ACA"/>
    <w:rsid w:val="00F62E97"/>
    <w:rsid w:val="00F64209"/>
    <w:rsid w:val="00F64991"/>
    <w:rsid w:val="00F66D37"/>
    <w:rsid w:val="00F723FE"/>
    <w:rsid w:val="00F93BF5"/>
    <w:rsid w:val="00F945F8"/>
    <w:rsid w:val="00F96137"/>
    <w:rsid w:val="00F96F63"/>
    <w:rsid w:val="00FA0E88"/>
    <w:rsid w:val="00FB6F37"/>
    <w:rsid w:val="00FD1E42"/>
    <w:rsid w:val="00FE5322"/>
    <w:rsid w:val="00FF4D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2678C3-44A5-4C0C-A171-B394E4B2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F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54EDF"/>
    <w:rPr>
      <w:rFonts w:ascii="Segoe UI" w:hAnsi="Segoe UI" w:cs="Segoe UI"/>
      <w:sz w:val="18"/>
      <w:szCs w:val="18"/>
    </w:rPr>
  </w:style>
  <w:style w:type="character" w:customStyle="1" w:styleId="BalloonTextChar">
    <w:name w:val="Balloon Text Char"/>
    <w:link w:val="BalloonText"/>
    <w:uiPriority w:val="99"/>
    <w:semiHidden/>
    <w:rsid w:val="00754EDF"/>
    <w:rPr>
      <w:rFonts w:ascii="Segoe UI" w:hAnsi="Segoe UI" w:cs="Segoe UI"/>
      <w:snapToGrid w:val="0"/>
      <w:kern w:val="28"/>
      <w:sz w:val="18"/>
      <w:szCs w:val="18"/>
    </w:rPr>
  </w:style>
  <w:style w:type="character" w:styleId="CommentReference">
    <w:name w:val="annotation reference"/>
    <w:uiPriority w:val="99"/>
    <w:semiHidden/>
    <w:unhideWhenUsed/>
    <w:rsid w:val="00754EDF"/>
    <w:rPr>
      <w:sz w:val="16"/>
      <w:szCs w:val="16"/>
    </w:rPr>
  </w:style>
  <w:style w:type="paragraph" w:styleId="CommentText">
    <w:name w:val="annotation text"/>
    <w:basedOn w:val="Normal"/>
    <w:link w:val="CommentTextChar"/>
    <w:uiPriority w:val="99"/>
    <w:semiHidden/>
    <w:unhideWhenUsed/>
    <w:rsid w:val="00754EDF"/>
    <w:rPr>
      <w:sz w:val="20"/>
    </w:rPr>
  </w:style>
  <w:style w:type="character" w:customStyle="1" w:styleId="CommentTextChar">
    <w:name w:val="Comment Text Char"/>
    <w:link w:val="CommentText"/>
    <w:uiPriority w:val="99"/>
    <w:semiHidden/>
    <w:rsid w:val="00754EDF"/>
    <w:rPr>
      <w:snapToGrid w:val="0"/>
      <w:kern w:val="2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754EDF"/>
  </w:style>
  <w:style w:type="paragraph" w:styleId="CommentSubject">
    <w:name w:val="annotation subject"/>
    <w:basedOn w:val="CommentText"/>
    <w:next w:val="CommentText"/>
    <w:link w:val="CommentSubjectChar"/>
    <w:uiPriority w:val="99"/>
    <w:semiHidden/>
    <w:unhideWhenUsed/>
    <w:rsid w:val="00DC1EDD"/>
    <w:rPr>
      <w:b/>
      <w:bCs/>
    </w:rPr>
  </w:style>
  <w:style w:type="character" w:customStyle="1" w:styleId="CommentSubjectChar">
    <w:name w:val="Comment Subject Char"/>
    <w:link w:val="CommentSubject"/>
    <w:uiPriority w:val="99"/>
    <w:semiHidden/>
    <w:rsid w:val="00DC1EDD"/>
    <w:rPr>
      <w:b/>
      <w:bCs/>
      <w:snapToGrid w:val="0"/>
      <w:kern w:val="28"/>
    </w:rPr>
  </w:style>
  <w:style w:type="character" w:customStyle="1" w:styleId="ParaNumChar">
    <w:name w:val="ParaNum Char"/>
    <w:link w:val="ParaNum"/>
    <w:locked/>
    <w:rsid w:val="00192C5C"/>
    <w:rPr>
      <w:snapToGrid w:val="0"/>
      <w:kern w:val="28"/>
      <w:sz w:val="22"/>
    </w:rPr>
  </w:style>
  <w:style w:type="paragraph" w:styleId="ListParagraph">
    <w:name w:val="List Paragraph"/>
    <w:basedOn w:val="Normal"/>
    <w:uiPriority w:val="34"/>
    <w:qFormat/>
    <w:rsid w:val="004D646C"/>
    <w:pPr>
      <w:ind w:left="720"/>
    </w:pPr>
  </w:style>
  <w:style w:type="character" w:customStyle="1" w:styleId="UnresolvedMention">
    <w:name w:val="Unresolved Mention"/>
    <w:uiPriority w:val="99"/>
    <w:semiHidden/>
    <w:unhideWhenUsed/>
    <w:rsid w:val="00022C42"/>
    <w:rPr>
      <w:color w:val="605E5C"/>
      <w:shd w:val="clear" w:color="auto" w:fill="E1DFDD"/>
    </w:rPr>
  </w:style>
  <w:style w:type="character" w:styleId="FollowedHyperlink">
    <w:name w:val="FollowedHyperlink"/>
    <w:uiPriority w:val="99"/>
    <w:semiHidden/>
    <w:unhideWhenUsed/>
    <w:rsid w:val="00553B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cook-county.legistar.com/LegislationDetail.aspx?ID=3838415&amp;GUID=B28DFE68-E804-4F19-8FCE-DCDFCC9B729E&amp;Options=&amp;Search=" TargetMode="External" /><Relationship Id="rId2" Type="http://schemas.openxmlformats.org/officeDocument/2006/relationships/hyperlink" Target="https://docs.fcc.gov/public/attachments/DOC-362551A2.doc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lizdr\Desktop\Section%20214%20ICS\Legacy%20Section%20214%20Grant%20PN%20(11.17.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Legacy Section 214 Grant PN (11.17.20)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