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9A1184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42E66F7" w14:textId="77777777">
      <w:pPr>
        <w:pStyle w:val="StyleBoldCentered"/>
      </w:pPr>
      <w:r>
        <w:t>F</w:t>
      </w:r>
      <w:r>
        <w:rPr>
          <w:caps w:val="0"/>
        </w:rPr>
        <w:t>ederal Communications Commission</w:t>
      </w:r>
    </w:p>
    <w:p w:rsidR="004C2EE3" w:rsidP="00314380" w14:paraId="36A79344" w14:textId="51FC6DE2">
      <w:pPr>
        <w:pStyle w:val="StyleBoldCentered"/>
      </w:pPr>
      <w:r>
        <w:rPr>
          <w:caps w:val="0"/>
        </w:rPr>
        <w:t>Washington, D.C. 20554</w:t>
      </w:r>
    </w:p>
    <w:p w:rsidR="004C2EE3" w:rsidP="0070224F" w14:paraId="55C955F8" w14:textId="77777777"/>
    <w:tbl>
      <w:tblPr>
        <w:tblW w:w="0" w:type="auto"/>
        <w:tblLayout w:type="fixed"/>
        <w:tblLook w:val="0000"/>
      </w:tblPr>
      <w:tblGrid>
        <w:gridCol w:w="4698"/>
        <w:gridCol w:w="630"/>
        <w:gridCol w:w="4248"/>
      </w:tblGrid>
      <w:tr w14:paraId="7B7F32E6" w14:textId="77777777" w:rsidTr="00F0025E">
        <w:tblPrEx>
          <w:tblW w:w="0" w:type="auto"/>
          <w:tblLayout w:type="fixed"/>
          <w:tblLook w:val="0000"/>
        </w:tblPrEx>
        <w:trPr>
          <w:trHeight w:val="1980"/>
        </w:trPr>
        <w:tc>
          <w:tcPr>
            <w:tcW w:w="4698" w:type="dxa"/>
          </w:tcPr>
          <w:p w:rsidR="004C2EE3" w14:paraId="27F3E2C3" w14:textId="77777777">
            <w:pPr>
              <w:tabs>
                <w:tab w:val="center" w:pos="4680"/>
              </w:tabs>
              <w:suppressAutoHyphens/>
              <w:rPr>
                <w:spacing w:val="-2"/>
              </w:rPr>
            </w:pPr>
            <w:r>
              <w:rPr>
                <w:spacing w:val="-2"/>
              </w:rPr>
              <w:t>In the Matter of</w:t>
            </w:r>
          </w:p>
          <w:p w:rsidR="004C2EE3" w14:paraId="524F1A3F" w14:textId="77777777">
            <w:pPr>
              <w:tabs>
                <w:tab w:val="center" w:pos="4680"/>
              </w:tabs>
              <w:suppressAutoHyphens/>
              <w:rPr>
                <w:spacing w:val="-2"/>
              </w:rPr>
            </w:pPr>
          </w:p>
          <w:p w:rsidR="004C2EE3" w:rsidP="007115F7" w14:paraId="734405C4" w14:textId="77777777">
            <w:pPr>
              <w:tabs>
                <w:tab w:val="center" w:pos="4680"/>
              </w:tabs>
              <w:suppressAutoHyphens/>
              <w:rPr>
                <w:spacing w:val="-2"/>
              </w:rPr>
            </w:pPr>
            <w:r w:rsidRPr="00832431">
              <w:rPr>
                <w:spacing w:val="-2"/>
              </w:rPr>
              <w:t>Deerfield Media (Baltimore) Licensee, LLC</w:t>
            </w:r>
          </w:p>
          <w:p w:rsidR="00F7722B" w:rsidP="007115F7" w14:paraId="36327D6C" w14:textId="77777777">
            <w:pPr>
              <w:tabs>
                <w:tab w:val="center" w:pos="4680"/>
              </w:tabs>
              <w:suppressAutoHyphens/>
              <w:rPr>
                <w:spacing w:val="-2"/>
              </w:rPr>
            </w:pPr>
          </w:p>
          <w:p w:rsidR="00F7722B" w:rsidRPr="007115F7" w:rsidP="00710914" w14:paraId="3FAEC0B3" w14:textId="163CE0A1">
            <w:pPr>
              <w:tabs>
                <w:tab w:val="center" w:pos="4680"/>
              </w:tabs>
              <w:suppressAutoHyphens/>
              <w:rPr>
                <w:spacing w:val="-2"/>
              </w:rPr>
            </w:pPr>
            <w:r>
              <w:rPr>
                <w:spacing w:val="-2"/>
              </w:rPr>
              <w:t>Licensee of Station</w:t>
            </w:r>
            <w:bookmarkStart w:id="0" w:name="_Hlk53502649"/>
            <w:r w:rsidR="00710914">
              <w:rPr>
                <w:spacing w:val="-2"/>
              </w:rPr>
              <w:t xml:space="preserve"> </w:t>
            </w:r>
            <w:r>
              <w:rPr>
                <w:spacing w:val="-2"/>
              </w:rPr>
              <w:t>WUTB</w:t>
            </w:r>
            <w:r w:rsidR="00557639">
              <w:rPr>
                <w:spacing w:val="-2"/>
              </w:rPr>
              <w:t>(TV)</w:t>
            </w:r>
            <w:r>
              <w:rPr>
                <w:spacing w:val="-2"/>
              </w:rPr>
              <w:t xml:space="preserve">, </w:t>
            </w:r>
            <w:r w:rsidR="00803FE2">
              <w:rPr>
                <w:spacing w:val="-2"/>
              </w:rPr>
              <w:t>Baltimore</w:t>
            </w:r>
            <w:r>
              <w:rPr>
                <w:spacing w:val="-2"/>
              </w:rPr>
              <w:t>,</w:t>
            </w:r>
            <w:r w:rsidR="00803FE2">
              <w:rPr>
                <w:spacing w:val="-2"/>
              </w:rPr>
              <w:t xml:space="preserve"> Maryland</w:t>
            </w:r>
            <w:bookmarkEnd w:id="0"/>
            <w:r>
              <w:rPr>
                <w:spacing w:val="-2"/>
              </w:rPr>
              <w:t xml:space="preserve"> </w:t>
            </w:r>
          </w:p>
        </w:tc>
        <w:tc>
          <w:tcPr>
            <w:tcW w:w="630" w:type="dxa"/>
          </w:tcPr>
          <w:p w:rsidR="004C2EE3" w14:paraId="2E235664" w14:textId="77777777">
            <w:pPr>
              <w:tabs>
                <w:tab w:val="center" w:pos="4680"/>
              </w:tabs>
              <w:suppressAutoHyphens/>
              <w:rPr>
                <w:b/>
                <w:spacing w:val="-2"/>
              </w:rPr>
            </w:pPr>
            <w:r>
              <w:rPr>
                <w:b/>
                <w:spacing w:val="-2"/>
              </w:rPr>
              <w:t>)</w:t>
            </w:r>
          </w:p>
          <w:p w:rsidR="004C2EE3" w14:paraId="1CB5F91F" w14:textId="77777777">
            <w:pPr>
              <w:tabs>
                <w:tab w:val="center" w:pos="4680"/>
              </w:tabs>
              <w:suppressAutoHyphens/>
              <w:rPr>
                <w:b/>
                <w:spacing w:val="-2"/>
              </w:rPr>
            </w:pPr>
            <w:r>
              <w:rPr>
                <w:b/>
                <w:spacing w:val="-2"/>
              </w:rPr>
              <w:t>)</w:t>
            </w:r>
          </w:p>
          <w:p w:rsidR="004C2EE3" w14:paraId="0C22D5FC" w14:textId="77777777">
            <w:pPr>
              <w:tabs>
                <w:tab w:val="center" w:pos="4680"/>
              </w:tabs>
              <w:suppressAutoHyphens/>
              <w:rPr>
                <w:b/>
                <w:spacing w:val="-2"/>
              </w:rPr>
            </w:pPr>
            <w:r>
              <w:rPr>
                <w:b/>
                <w:spacing w:val="-2"/>
              </w:rPr>
              <w:t>)</w:t>
            </w:r>
          </w:p>
          <w:p w:rsidR="004C2EE3" w14:paraId="2F77CF1C" w14:textId="77777777">
            <w:pPr>
              <w:tabs>
                <w:tab w:val="center" w:pos="4680"/>
              </w:tabs>
              <w:suppressAutoHyphens/>
              <w:rPr>
                <w:b/>
                <w:spacing w:val="-2"/>
              </w:rPr>
            </w:pPr>
            <w:r>
              <w:rPr>
                <w:b/>
                <w:spacing w:val="-2"/>
              </w:rPr>
              <w:t>)</w:t>
            </w:r>
          </w:p>
          <w:p w:rsidR="004C2EE3" w14:paraId="22511F3E" w14:textId="77777777">
            <w:pPr>
              <w:tabs>
                <w:tab w:val="center" w:pos="4680"/>
              </w:tabs>
              <w:suppressAutoHyphens/>
              <w:rPr>
                <w:b/>
                <w:spacing w:val="-2"/>
              </w:rPr>
            </w:pPr>
            <w:r>
              <w:rPr>
                <w:b/>
                <w:spacing w:val="-2"/>
              </w:rPr>
              <w:t>)</w:t>
            </w:r>
          </w:p>
          <w:p w:rsidR="004C2EE3" w14:paraId="047E40B2" w14:textId="57ABDC78">
            <w:pPr>
              <w:tabs>
                <w:tab w:val="center" w:pos="4680"/>
              </w:tabs>
              <w:suppressAutoHyphens/>
              <w:rPr>
                <w:spacing w:val="-2"/>
              </w:rPr>
            </w:pPr>
            <w:r>
              <w:rPr>
                <w:b/>
                <w:spacing w:val="-2"/>
              </w:rPr>
              <w:t>)</w:t>
            </w:r>
          </w:p>
        </w:tc>
        <w:tc>
          <w:tcPr>
            <w:tcW w:w="4248" w:type="dxa"/>
          </w:tcPr>
          <w:p w:rsidR="004C2EE3" w14:paraId="7A84AE73" w14:textId="77777777">
            <w:pPr>
              <w:tabs>
                <w:tab w:val="center" w:pos="4680"/>
              </w:tabs>
              <w:suppressAutoHyphens/>
              <w:rPr>
                <w:spacing w:val="-2"/>
              </w:rPr>
            </w:pPr>
          </w:p>
          <w:p w:rsidR="004C2EE3" w14:paraId="4F255E0C" w14:textId="77777777">
            <w:pPr>
              <w:pStyle w:val="TOAHeading"/>
              <w:tabs>
                <w:tab w:val="center" w:pos="4680"/>
                <w:tab w:val="clear" w:pos="9360"/>
              </w:tabs>
              <w:rPr>
                <w:spacing w:val="-2"/>
              </w:rPr>
            </w:pPr>
          </w:p>
          <w:p w:rsidR="004C2EE3" w14:paraId="60EBBA5E" w14:textId="457A0607">
            <w:pPr>
              <w:tabs>
                <w:tab w:val="center" w:pos="4680"/>
              </w:tabs>
              <w:suppressAutoHyphens/>
              <w:rPr>
                <w:spacing w:val="-2"/>
              </w:rPr>
            </w:pPr>
            <w:r>
              <w:rPr>
                <w:spacing w:val="-2"/>
              </w:rPr>
              <w:t>Facility ID No.</w:t>
            </w:r>
            <w:r w:rsidR="003A26CB">
              <w:rPr>
                <w:spacing w:val="-2"/>
              </w:rPr>
              <w:t>:</w:t>
            </w:r>
            <w:r>
              <w:rPr>
                <w:spacing w:val="-2"/>
              </w:rPr>
              <w:t xml:space="preserve"> </w:t>
            </w:r>
            <w:r w:rsidR="001C001F">
              <w:rPr>
                <w:spacing w:val="-2"/>
              </w:rPr>
              <w:t xml:space="preserve"> </w:t>
            </w:r>
            <w:r w:rsidRPr="001C001F" w:rsidR="001C001F">
              <w:rPr>
                <w:spacing w:val="-2"/>
              </w:rPr>
              <w:t>60552</w:t>
            </w:r>
          </w:p>
          <w:p w:rsidR="00674A01" w14:paraId="6A1CB7D3" w14:textId="330F5FBF">
            <w:pPr>
              <w:tabs>
                <w:tab w:val="center" w:pos="4680"/>
              </w:tabs>
              <w:suppressAutoHyphens/>
              <w:rPr>
                <w:spacing w:val="-2"/>
              </w:rPr>
            </w:pPr>
            <w:r>
              <w:rPr>
                <w:spacing w:val="-2"/>
              </w:rPr>
              <w:t>NAL/Acct. No.</w:t>
            </w:r>
            <w:r w:rsidR="003A26CB">
              <w:rPr>
                <w:spacing w:val="-2"/>
              </w:rPr>
              <w:t xml:space="preserve">:  </w:t>
            </w:r>
            <w:r w:rsidRPr="001D78B2" w:rsidR="001D78B2">
              <w:rPr>
                <w:spacing w:val="-2"/>
              </w:rPr>
              <w:t>202041420001</w:t>
            </w:r>
          </w:p>
          <w:p w:rsidR="00674A01" w14:paraId="2C9D2337" w14:textId="77777777">
            <w:pPr>
              <w:tabs>
                <w:tab w:val="center" w:pos="4680"/>
              </w:tabs>
              <w:suppressAutoHyphens/>
              <w:rPr>
                <w:spacing w:val="-2"/>
              </w:rPr>
            </w:pPr>
            <w:r>
              <w:rPr>
                <w:spacing w:val="-2"/>
              </w:rPr>
              <w:t>FRN</w:t>
            </w:r>
            <w:r w:rsidR="00CE187D">
              <w:rPr>
                <w:spacing w:val="-2"/>
              </w:rPr>
              <w:t>:</w:t>
            </w:r>
            <w:r w:rsidR="003A26CB">
              <w:rPr>
                <w:spacing w:val="-2"/>
              </w:rPr>
              <w:t xml:space="preserve"> </w:t>
            </w:r>
            <w:r w:rsidR="00D41D2F">
              <w:rPr>
                <w:spacing w:val="-2"/>
              </w:rPr>
              <w:t xml:space="preserve"> </w:t>
            </w:r>
            <w:r w:rsidRPr="00D41D2F" w:rsidR="00D41D2F">
              <w:rPr>
                <w:spacing w:val="-2"/>
              </w:rPr>
              <w:t>0022739833</w:t>
            </w:r>
          </w:p>
          <w:p w:rsidR="00C66B93" w14:paraId="6795DE54" w14:textId="44D917C4">
            <w:pPr>
              <w:tabs>
                <w:tab w:val="center" w:pos="4680"/>
              </w:tabs>
              <w:suppressAutoHyphens/>
              <w:rPr>
                <w:spacing w:val="-2"/>
              </w:rPr>
            </w:pPr>
            <w:r>
              <w:rPr>
                <w:spacing w:val="-2"/>
              </w:rPr>
              <w:t xml:space="preserve">LMS File No. </w:t>
            </w:r>
            <w:r w:rsidRPr="00C66B93">
              <w:rPr>
                <w:spacing w:val="-2"/>
              </w:rPr>
              <w:t>0000115626</w:t>
            </w:r>
          </w:p>
        </w:tc>
      </w:tr>
    </w:tbl>
    <w:p w:rsidR="004C2EE3" w:rsidP="0070224F" w14:paraId="59D0A175" w14:textId="77777777"/>
    <w:p w:rsidR="004C2EE3" w:rsidP="00C71DA3" w14:paraId="22B70081" w14:textId="20064A97">
      <w:pPr>
        <w:tabs>
          <w:tab w:val="left" w:pos="-720"/>
        </w:tabs>
        <w:suppressAutoHyphens/>
        <w:spacing w:line="227" w:lineRule="auto"/>
        <w:jc w:val="center"/>
        <w:rPr>
          <w:rFonts w:ascii="Times New Roman Bold" w:hAnsi="Times New Roman Bold"/>
          <w:b/>
          <w:bCs/>
          <w:caps/>
          <w:szCs w:val="22"/>
        </w:rPr>
      </w:pPr>
      <w:r w:rsidRPr="00C71DA3">
        <w:rPr>
          <w:rFonts w:ascii="Times New Roman Bold" w:hAnsi="Times New Roman Bold"/>
          <w:b/>
          <w:bCs/>
          <w:caps/>
          <w:szCs w:val="22"/>
        </w:rPr>
        <w:t>NOTICE OF APPARENT LIABILITY FOR FORFEITURE</w:t>
      </w:r>
    </w:p>
    <w:p w:rsidR="00C71DA3" w14:paraId="2C684B93" w14:textId="77777777">
      <w:pPr>
        <w:tabs>
          <w:tab w:val="left" w:pos="-720"/>
        </w:tabs>
        <w:suppressAutoHyphens/>
        <w:spacing w:line="227" w:lineRule="auto"/>
        <w:rPr>
          <w:spacing w:val="-2"/>
        </w:rPr>
      </w:pPr>
    </w:p>
    <w:p w:rsidR="004C2EE3" w:rsidRPr="00514C8E" w:rsidP="00133F79" w14:paraId="619B1D78" w14:textId="6C74F93E">
      <w:pPr>
        <w:tabs>
          <w:tab w:val="left" w:pos="720"/>
          <w:tab w:val="right" w:pos="9360"/>
        </w:tabs>
        <w:suppressAutoHyphens/>
        <w:spacing w:line="227" w:lineRule="auto"/>
        <w:rPr>
          <w:spacing w:val="-2"/>
          <w:szCs w:val="22"/>
        </w:rPr>
      </w:pPr>
      <w:r w:rsidRPr="00514C8E">
        <w:rPr>
          <w:b/>
          <w:spacing w:val="-2"/>
          <w:szCs w:val="22"/>
        </w:rPr>
        <w:t xml:space="preserve">Adopted:  </w:t>
      </w:r>
      <w:r w:rsidR="00D22B4C">
        <w:rPr>
          <w:b/>
          <w:spacing w:val="-2"/>
          <w:szCs w:val="22"/>
        </w:rPr>
        <w:t>November 23, 2020</w:t>
      </w:r>
      <w:r w:rsidRPr="00514C8E">
        <w:rPr>
          <w:b/>
          <w:spacing w:val="-2"/>
          <w:szCs w:val="22"/>
        </w:rPr>
        <w:tab/>
      </w:r>
      <w:r w:rsidRPr="00514C8E" w:rsidR="00822CE0">
        <w:rPr>
          <w:b/>
          <w:spacing w:val="-2"/>
          <w:szCs w:val="22"/>
        </w:rPr>
        <w:t>Released</w:t>
      </w:r>
      <w:r w:rsidRPr="00514C8E">
        <w:rPr>
          <w:b/>
          <w:spacing w:val="-2"/>
          <w:szCs w:val="22"/>
        </w:rPr>
        <w:t>:</w:t>
      </w:r>
      <w:r w:rsidRPr="00514C8E" w:rsidR="00822CE0">
        <w:rPr>
          <w:b/>
          <w:spacing w:val="-2"/>
          <w:szCs w:val="22"/>
        </w:rPr>
        <w:t xml:space="preserve"> </w:t>
      </w:r>
      <w:r w:rsidRPr="00514C8E">
        <w:rPr>
          <w:b/>
          <w:spacing w:val="-2"/>
          <w:szCs w:val="22"/>
        </w:rPr>
        <w:t xml:space="preserve"> </w:t>
      </w:r>
      <w:r w:rsidR="00D22B4C">
        <w:rPr>
          <w:b/>
          <w:spacing w:val="-2"/>
          <w:szCs w:val="22"/>
        </w:rPr>
        <w:t>November 23, 2020</w:t>
      </w:r>
    </w:p>
    <w:p w:rsidR="00822CE0" w:rsidRPr="00514C8E" w14:paraId="16C65ECF" w14:textId="77777777">
      <w:pPr>
        <w:rPr>
          <w:szCs w:val="22"/>
        </w:rPr>
      </w:pPr>
    </w:p>
    <w:p w:rsidR="004C2EE3" w:rsidRPr="00514C8E" w14:paraId="532FF959" w14:textId="26F6081D">
      <w:pPr>
        <w:rPr>
          <w:spacing w:val="-2"/>
          <w:szCs w:val="22"/>
        </w:rPr>
      </w:pPr>
      <w:r w:rsidRPr="00514C8E">
        <w:rPr>
          <w:szCs w:val="22"/>
        </w:rPr>
        <w:t xml:space="preserve">By </w:t>
      </w:r>
      <w:r w:rsidRPr="00514C8E" w:rsidR="004E4A22">
        <w:rPr>
          <w:szCs w:val="22"/>
        </w:rPr>
        <w:t>the</w:t>
      </w:r>
      <w:r w:rsidRPr="00514C8E" w:rsidR="002A2D2E">
        <w:rPr>
          <w:szCs w:val="22"/>
        </w:rPr>
        <w:t xml:space="preserve"> </w:t>
      </w:r>
      <w:r w:rsidRPr="00514C8E" w:rsidR="003E623A">
        <w:rPr>
          <w:spacing w:val="-2"/>
          <w:szCs w:val="22"/>
        </w:rPr>
        <w:t>Chief, Video Division, Media Bureau</w:t>
      </w:r>
      <w:r w:rsidRPr="00514C8E">
        <w:rPr>
          <w:spacing w:val="-2"/>
          <w:szCs w:val="22"/>
        </w:rPr>
        <w:t>:</w:t>
      </w:r>
    </w:p>
    <w:p w:rsidR="00822CE0" w:rsidRPr="00514C8E" w14:paraId="727DB67A" w14:textId="77777777">
      <w:pPr>
        <w:rPr>
          <w:spacing w:val="-2"/>
          <w:szCs w:val="22"/>
        </w:rPr>
      </w:pPr>
    </w:p>
    <w:p w:rsidR="00412FC5" w:rsidRPr="00514C8E" w:rsidP="00C36B4C" w14:paraId="5BCE5CC8" w14:textId="5A84E13C">
      <w:pPr>
        <w:pStyle w:val="Heading1"/>
        <w:rPr>
          <w:rFonts w:ascii="Times New Roman" w:hAnsi="Times New Roman"/>
          <w:szCs w:val="22"/>
        </w:rPr>
      </w:pPr>
      <w:r w:rsidRPr="00514C8E">
        <w:rPr>
          <w:rFonts w:ascii="Times New Roman" w:hAnsi="Times New Roman"/>
          <w:szCs w:val="22"/>
        </w:rPr>
        <w:t>Introduction</w:t>
      </w:r>
    </w:p>
    <w:p w:rsidR="003E623A" w:rsidRPr="00514C8E" w:rsidP="00150BF5" w14:paraId="36C1ADD0" w14:textId="41DAC9AA">
      <w:pPr>
        <w:pStyle w:val="ParaNum"/>
        <w:numPr>
          <w:ilvl w:val="0"/>
          <w:numId w:val="10"/>
        </w:numPr>
        <w:tabs>
          <w:tab w:val="clear" w:pos="1080"/>
          <w:tab w:val="left" w:pos="1440"/>
        </w:tabs>
        <w:spacing w:after="220"/>
        <w:rPr>
          <w:snapToGrid/>
          <w:kern w:val="0"/>
          <w:szCs w:val="22"/>
        </w:rPr>
      </w:pPr>
      <w:r w:rsidRPr="00514C8E">
        <w:rPr>
          <w:szCs w:val="22"/>
        </w:rPr>
        <w:t xml:space="preserve">In this </w:t>
      </w:r>
      <w:r w:rsidRPr="00514C8E">
        <w:rPr>
          <w:i/>
          <w:szCs w:val="22"/>
        </w:rPr>
        <w:t xml:space="preserve">Notice of Apparent Liability for Forfeiture </w:t>
      </w:r>
      <w:r w:rsidRPr="00615530">
        <w:rPr>
          <w:iCs/>
          <w:szCs w:val="22"/>
        </w:rPr>
        <w:t>(</w:t>
      </w:r>
      <w:r w:rsidRPr="00514C8E">
        <w:rPr>
          <w:i/>
          <w:szCs w:val="22"/>
        </w:rPr>
        <w:t>NAL</w:t>
      </w:r>
      <w:r w:rsidRPr="00615530">
        <w:rPr>
          <w:iCs/>
          <w:szCs w:val="22"/>
        </w:rPr>
        <w:t>)</w:t>
      </w:r>
      <w:r w:rsidR="002D1621">
        <w:rPr>
          <w:iCs/>
          <w:szCs w:val="22"/>
        </w:rPr>
        <w:t>,</w:t>
      </w:r>
      <w:r w:rsidRPr="00514C8E">
        <w:rPr>
          <w:i/>
          <w:szCs w:val="22"/>
        </w:rPr>
        <w:t xml:space="preserve"> </w:t>
      </w:r>
      <w:r w:rsidRPr="00514C8E">
        <w:rPr>
          <w:szCs w:val="22"/>
        </w:rPr>
        <w:t xml:space="preserve">issued pursuant to </w:t>
      </w:r>
      <w:r w:rsidR="00037B8B">
        <w:rPr>
          <w:szCs w:val="22"/>
        </w:rPr>
        <w:t>s</w:t>
      </w:r>
      <w:r w:rsidRPr="00514C8E">
        <w:rPr>
          <w:szCs w:val="22"/>
        </w:rPr>
        <w:t xml:space="preserve">ection 503(b) of the Communications Act of 1934, as amended (Act), and </w:t>
      </w:r>
      <w:r w:rsidR="00037B8B">
        <w:rPr>
          <w:szCs w:val="22"/>
        </w:rPr>
        <w:t>s</w:t>
      </w:r>
      <w:r w:rsidRPr="00514C8E">
        <w:rPr>
          <w:szCs w:val="22"/>
        </w:rPr>
        <w:t>ection 1.80 of the Commission’s Rules (Rules),</w:t>
      </w:r>
      <w:r>
        <w:rPr>
          <w:rStyle w:val="FootnoteReference"/>
          <w:sz w:val="22"/>
          <w:szCs w:val="22"/>
        </w:rPr>
        <w:footnoteReference w:id="3"/>
      </w:r>
      <w:r w:rsidRPr="00514C8E">
        <w:rPr>
          <w:szCs w:val="22"/>
        </w:rPr>
        <w:t xml:space="preserve"> by the Chief, Video Division, Media Bureau</w:t>
      </w:r>
      <w:r w:rsidR="002D1621">
        <w:rPr>
          <w:szCs w:val="22"/>
        </w:rPr>
        <w:t>,</w:t>
      </w:r>
      <w:r w:rsidRPr="00514C8E">
        <w:rPr>
          <w:szCs w:val="22"/>
        </w:rPr>
        <w:t xml:space="preserve"> pursuant to authority delegated under </w:t>
      </w:r>
      <w:r w:rsidR="00037B8B">
        <w:rPr>
          <w:szCs w:val="22"/>
        </w:rPr>
        <w:t>s</w:t>
      </w:r>
      <w:r w:rsidRPr="00514C8E">
        <w:rPr>
          <w:szCs w:val="22"/>
        </w:rPr>
        <w:t>ection 0.283 of the Rules,</w:t>
      </w:r>
      <w:r>
        <w:rPr>
          <w:rStyle w:val="FootnoteReference"/>
          <w:sz w:val="22"/>
          <w:szCs w:val="22"/>
        </w:rPr>
        <w:footnoteReference w:id="4"/>
      </w:r>
      <w:r w:rsidRPr="00514C8E">
        <w:rPr>
          <w:szCs w:val="22"/>
        </w:rPr>
        <w:t xml:space="preserve"> we find that </w:t>
      </w:r>
      <w:r w:rsidRPr="00514C8E" w:rsidR="006F41FC">
        <w:rPr>
          <w:szCs w:val="22"/>
        </w:rPr>
        <w:t>Deerfield Media (Baltimore) Licensee, LLC</w:t>
      </w:r>
      <w:r w:rsidRPr="00514C8E">
        <w:rPr>
          <w:szCs w:val="22"/>
        </w:rPr>
        <w:t xml:space="preserve"> (Licensee), </w:t>
      </w:r>
      <w:r w:rsidR="00900EC8">
        <w:rPr>
          <w:szCs w:val="22"/>
        </w:rPr>
        <w:t xml:space="preserve">the </w:t>
      </w:r>
      <w:r w:rsidRPr="00514C8E">
        <w:rPr>
          <w:szCs w:val="22"/>
        </w:rPr>
        <w:t xml:space="preserve">licensee of Station </w:t>
      </w:r>
      <w:r w:rsidRPr="00514C8E" w:rsidR="006F41FC">
        <w:rPr>
          <w:szCs w:val="22"/>
        </w:rPr>
        <w:t>WUTB(TV), Baltimore, Maryland</w:t>
      </w:r>
      <w:r w:rsidRPr="00514C8E">
        <w:rPr>
          <w:szCs w:val="22"/>
        </w:rPr>
        <w:t xml:space="preserve"> (Station</w:t>
      </w:r>
      <w:r w:rsidR="00877331">
        <w:rPr>
          <w:szCs w:val="22"/>
        </w:rPr>
        <w:t xml:space="preserve"> or WUTB</w:t>
      </w:r>
      <w:r w:rsidRPr="00514C8E">
        <w:rPr>
          <w:szCs w:val="22"/>
        </w:rPr>
        <w:t xml:space="preserve">), willfully and repeatedly violated </w:t>
      </w:r>
      <w:r w:rsidR="00037B8B">
        <w:rPr>
          <w:szCs w:val="22"/>
        </w:rPr>
        <w:t>s</w:t>
      </w:r>
      <w:r w:rsidRPr="00514C8E">
        <w:rPr>
          <w:szCs w:val="22"/>
        </w:rPr>
        <w:t>ection 73.670 of the Rules, by failing to comply with the limits on commercial matter in children’s programming.</w:t>
      </w:r>
      <w:r>
        <w:rPr>
          <w:rStyle w:val="FootnoteReference"/>
          <w:sz w:val="22"/>
          <w:szCs w:val="22"/>
        </w:rPr>
        <w:footnoteReference w:id="5"/>
      </w:r>
      <w:r w:rsidRPr="00514C8E">
        <w:rPr>
          <w:szCs w:val="22"/>
        </w:rPr>
        <w:t xml:space="preserve">  Based upon our review of the facts and circumstances before us, we conclude that the Licensee is apparently liable for a monetary forfeiture in the amount of twenty thousand dollars ($2</w:t>
      </w:r>
      <w:r w:rsidRPr="00514C8E" w:rsidR="007439A6">
        <w:rPr>
          <w:szCs w:val="22"/>
        </w:rPr>
        <w:t>0</w:t>
      </w:r>
      <w:r w:rsidRPr="00514C8E">
        <w:rPr>
          <w:szCs w:val="22"/>
        </w:rPr>
        <w:t xml:space="preserve">,000). </w:t>
      </w:r>
    </w:p>
    <w:p w:rsidR="003E623A" w:rsidRPr="00514C8E" w:rsidP="003E623A" w14:paraId="364E2F24" w14:textId="63A18EC6">
      <w:pPr>
        <w:pStyle w:val="Heading1"/>
        <w:rPr>
          <w:rFonts w:ascii="Times New Roman" w:hAnsi="Times New Roman"/>
          <w:szCs w:val="22"/>
        </w:rPr>
      </w:pPr>
      <w:r w:rsidRPr="00514C8E">
        <w:rPr>
          <w:rFonts w:ascii="Times New Roman" w:hAnsi="Times New Roman"/>
          <w:szCs w:val="22"/>
        </w:rPr>
        <w:t>Background</w:t>
      </w:r>
    </w:p>
    <w:p w:rsidR="00150BF5" w:rsidRPr="00514C8E" w:rsidP="00150BF5" w14:paraId="085029FB" w14:textId="0711C21B">
      <w:pPr>
        <w:pStyle w:val="ParaNum"/>
        <w:numPr>
          <w:ilvl w:val="0"/>
          <w:numId w:val="10"/>
        </w:numPr>
        <w:tabs>
          <w:tab w:val="clear" w:pos="1080"/>
          <w:tab w:val="left" w:pos="1440"/>
        </w:tabs>
        <w:spacing w:after="220"/>
        <w:rPr>
          <w:snapToGrid/>
          <w:kern w:val="0"/>
          <w:szCs w:val="22"/>
        </w:rPr>
      </w:pPr>
      <w:r w:rsidRPr="00514C8E">
        <w:rPr>
          <w:szCs w:val="22"/>
        </w:rPr>
        <w:t>In the Children’s Television Act of 1990,</w:t>
      </w:r>
      <w:r>
        <w:rPr>
          <w:rStyle w:val="FootnoteReference"/>
          <w:sz w:val="22"/>
          <w:szCs w:val="22"/>
        </w:rPr>
        <w:footnoteReference w:id="6"/>
      </w:r>
      <w:r w:rsidRPr="00514C8E">
        <w:rPr>
          <w:szCs w:val="22"/>
        </w:rPr>
        <w:t xml:space="preserve"> Congress directed the Commission to adopt rules, </w:t>
      </w:r>
      <w:r w:rsidRPr="00514C8E">
        <w:rPr>
          <w:i/>
          <w:szCs w:val="22"/>
        </w:rPr>
        <w:t>inter alia</w:t>
      </w:r>
      <w:r w:rsidRPr="000E602C">
        <w:rPr>
          <w:iCs/>
          <w:szCs w:val="22"/>
        </w:rPr>
        <w:t>,</w:t>
      </w:r>
      <w:r w:rsidRPr="00514C8E">
        <w:rPr>
          <w:szCs w:val="22"/>
        </w:rPr>
        <w:t xml:space="preserve"> limiting the number of minutes of commercial matter that television stations may air during children’s programming, and to consider in its review of television license renewal applications the extent </w:t>
      </w:r>
      <w:r w:rsidR="00037B8B">
        <w:rPr>
          <w:szCs w:val="22"/>
        </w:rPr>
        <w:t>that</w:t>
      </w:r>
      <w:r w:rsidRPr="00514C8E">
        <w:rPr>
          <w:szCs w:val="22"/>
        </w:rPr>
        <w:t xml:space="preserve"> the licensee has complied with such commercial limits.  Pursuant to this statutory mandate, the Commission adopted </w:t>
      </w:r>
      <w:r w:rsidR="00037B8B">
        <w:rPr>
          <w:szCs w:val="22"/>
        </w:rPr>
        <w:t>s</w:t>
      </w:r>
      <w:r w:rsidRPr="00514C8E">
        <w:rPr>
          <w:szCs w:val="22"/>
        </w:rPr>
        <w:t xml:space="preserve">ection 73.670 of the Rules, which limits the amount of commercial matter </w:t>
      </w:r>
      <w:r w:rsidR="00037B8B">
        <w:rPr>
          <w:szCs w:val="22"/>
        </w:rPr>
        <w:t>that</w:t>
      </w:r>
      <w:r w:rsidRPr="00514C8E" w:rsidR="00037B8B">
        <w:rPr>
          <w:szCs w:val="22"/>
        </w:rPr>
        <w:t xml:space="preserve"> </w:t>
      </w:r>
      <w:r w:rsidRPr="00514C8E">
        <w:rPr>
          <w:szCs w:val="22"/>
        </w:rPr>
        <w:t xml:space="preserve">may be aired during children’s programming to 10.5 minutes per hour on weekends and 12 minutes per hour on weekdays.  </w:t>
      </w:r>
      <w:r w:rsidRPr="00900EC8" w:rsidR="00900EC8">
        <w:rPr>
          <w:szCs w:val="22"/>
        </w:rPr>
        <w:t>The Commission</w:t>
      </w:r>
      <w:r w:rsidR="00900EC8">
        <w:rPr>
          <w:szCs w:val="22"/>
        </w:rPr>
        <w:t xml:space="preserve"> has also</w:t>
      </w:r>
      <w:r w:rsidRPr="00900EC8" w:rsidR="00900EC8">
        <w:rPr>
          <w:szCs w:val="22"/>
        </w:rPr>
        <w:t xml:space="preserve"> stated that a program associated with a product, in which commercials for that product are aired, would be treated as a program-length commercial, </w:t>
      </w:r>
      <w:r w:rsidR="000275A5">
        <w:rPr>
          <w:szCs w:val="22"/>
        </w:rPr>
        <w:t>(</w:t>
      </w:r>
      <w:r w:rsidRPr="00900EC8" w:rsidR="00900EC8">
        <w:rPr>
          <w:szCs w:val="22"/>
        </w:rPr>
        <w:t>i.e., the entire program would be counted as commercial time</w:t>
      </w:r>
      <w:r w:rsidR="000275A5">
        <w:rPr>
          <w:szCs w:val="22"/>
        </w:rPr>
        <w:t>)</w:t>
      </w:r>
      <w:r w:rsidRPr="00900EC8" w:rsidR="00900EC8">
        <w:rPr>
          <w:szCs w:val="22"/>
        </w:rPr>
        <w:t>.</w:t>
      </w:r>
      <w:r>
        <w:rPr>
          <w:rStyle w:val="FootnoteReference"/>
          <w:szCs w:val="22"/>
        </w:rPr>
        <w:footnoteReference w:id="7"/>
      </w:r>
      <w:r w:rsidR="00900EC8">
        <w:rPr>
          <w:szCs w:val="22"/>
        </w:rPr>
        <w:t xml:space="preserve">  </w:t>
      </w:r>
      <w:r w:rsidRPr="00514C8E" w:rsidR="00D64EC2">
        <w:rPr>
          <w:szCs w:val="22"/>
        </w:rPr>
        <w:t xml:space="preserve">Congress was particularly concerned about program-length commercials because young children often have difficulty distinguishing between commercials and </w:t>
      </w:r>
      <w:r w:rsidRPr="00514C8E" w:rsidR="00D64EC2">
        <w:rPr>
          <w:szCs w:val="22"/>
        </w:rPr>
        <w:t>programs.</w:t>
      </w:r>
      <w:r>
        <w:rPr>
          <w:rStyle w:val="FootnoteReference"/>
          <w:sz w:val="22"/>
          <w:szCs w:val="22"/>
        </w:rPr>
        <w:footnoteReference w:id="8"/>
      </w:r>
      <w:r w:rsidRPr="00514C8E" w:rsidR="00D64EC2">
        <w:rPr>
          <w:szCs w:val="22"/>
        </w:rPr>
        <w:t xml:space="preserve">  Given this congressional concern, the Commission </w:t>
      </w:r>
      <w:r w:rsidR="00D64EC2">
        <w:rPr>
          <w:szCs w:val="22"/>
        </w:rPr>
        <w:t xml:space="preserve">has </w:t>
      </w:r>
      <w:r w:rsidRPr="00514C8E" w:rsidR="00D64EC2">
        <w:rPr>
          <w:szCs w:val="22"/>
        </w:rPr>
        <w:t>made it clear that program-length commercials, by their very nature, are extremely serious violations of the children’s television commercial limits, stating that the program-length commercial policy “directly addresses a fundamental regulatory concern, that children who have difficulty enough distinguishing program content from unrelated commercial matter, not be all the more confused by a show that interweaves program content and commercial matter.”</w:t>
      </w:r>
      <w:r>
        <w:rPr>
          <w:rStyle w:val="FootnoteReference"/>
          <w:sz w:val="22"/>
          <w:szCs w:val="22"/>
        </w:rPr>
        <w:footnoteReference w:id="9"/>
      </w:r>
    </w:p>
    <w:p w:rsidR="00B36AC8" w:rsidP="00411889" w14:paraId="2AB24763" w14:textId="416AB4DA">
      <w:pPr>
        <w:pStyle w:val="ParaNum"/>
        <w:numPr>
          <w:ilvl w:val="0"/>
          <w:numId w:val="10"/>
        </w:numPr>
        <w:tabs>
          <w:tab w:val="clear" w:pos="1080"/>
          <w:tab w:val="left" w:pos="1440"/>
        </w:tabs>
        <w:spacing w:after="220"/>
        <w:rPr>
          <w:szCs w:val="22"/>
        </w:rPr>
      </w:pPr>
      <w:r w:rsidRPr="00324351">
        <w:rPr>
          <w:szCs w:val="22"/>
        </w:rPr>
        <w:t xml:space="preserve">On </w:t>
      </w:r>
      <w:r w:rsidRPr="00324351" w:rsidR="003272FB">
        <w:rPr>
          <w:szCs w:val="22"/>
        </w:rPr>
        <w:t>June 1</w:t>
      </w:r>
      <w:r w:rsidRPr="00324351">
        <w:rPr>
          <w:szCs w:val="22"/>
        </w:rPr>
        <w:t>, 20</w:t>
      </w:r>
      <w:r w:rsidRPr="00324351" w:rsidR="003272FB">
        <w:rPr>
          <w:szCs w:val="22"/>
        </w:rPr>
        <w:t>20</w:t>
      </w:r>
      <w:r w:rsidRPr="00324351">
        <w:rPr>
          <w:szCs w:val="22"/>
        </w:rPr>
        <w:t xml:space="preserve">, the Licensee filed its license renewal application (FCC Form </w:t>
      </w:r>
      <w:r w:rsidRPr="00324351" w:rsidR="00C9539B">
        <w:rPr>
          <w:szCs w:val="22"/>
        </w:rPr>
        <w:t xml:space="preserve">2100, Schedule </w:t>
      </w:r>
      <w:r w:rsidRPr="00324351">
        <w:rPr>
          <w:szCs w:val="22"/>
        </w:rPr>
        <w:t xml:space="preserve">303-S) for </w:t>
      </w:r>
      <w:r w:rsidRPr="00324351" w:rsidR="00C9539B">
        <w:rPr>
          <w:szCs w:val="22"/>
        </w:rPr>
        <w:t>WUTB</w:t>
      </w:r>
      <w:r w:rsidRPr="00324351">
        <w:rPr>
          <w:szCs w:val="22"/>
        </w:rPr>
        <w:t xml:space="preserve"> (Application)</w:t>
      </w:r>
      <w:r w:rsidRPr="00324351" w:rsidR="00206961">
        <w:rPr>
          <w:szCs w:val="22"/>
        </w:rPr>
        <w:t>.</w:t>
      </w:r>
      <w:r>
        <w:rPr>
          <w:rStyle w:val="FootnoteReference"/>
          <w:szCs w:val="22"/>
        </w:rPr>
        <w:footnoteReference w:id="10"/>
      </w:r>
      <w:r w:rsidRPr="00324351">
        <w:rPr>
          <w:szCs w:val="22"/>
        </w:rPr>
        <w:t xml:space="preserve">  In response to </w:t>
      </w:r>
      <w:r w:rsidRPr="00324351" w:rsidR="00C9539B">
        <w:rPr>
          <w:szCs w:val="22"/>
        </w:rPr>
        <w:t xml:space="preserve">the question </w:t>
      </w:r>
      <w:r w:rsidR="009271A9">
        <w:rPr>
          <w:szCs w:val="22"/>
        </w:rPr>
        <w:t>in the Application entitled</w:t>
      </w:r>
      <w:r w:rsidRPr="00324351" w:rsidR="00C9539B">
        <w:rPr>
          <w:szCs w:val="22"/>
        </w:rPr>
        <w:t xml:space="preserve"> </w:t>
      </w:r>
      <w:r w:rsidRPr="009271A9" w:rsidR="00C9539B">
        <w:rPr>
          <w:i/>
          <w:iCs/>
          <w:szCs w:val="22"/>
        </w:rPr>
        <w:t>Children’s Programming Commercial Limitations</w:t>
      </w:r>
      <w:r w:rsidRPr="00324351">
        <w:rPr>
          <w:szCs w:val="22"/>
        </w:rPr>
        <w:t xml:space="preserve">, the Licensee </w:t>
      </w:r>
      <w:r w:rsidRPr="00324351" w:rsidR="00C9539B">
        <w:rPr>
          <w:szCs w:val="22"/>
        </w:rPr>
        <w:t>responded “No”, indicating</w:t>
      </w:r>
      <w:r w:rsidRPr="00324351">
        <w:rPr>
          <w:szCs w:val="22"/>
        </w:rPr>
        <w:t xml:space="preserve"> that, during the previous license term the Station </w:t>
      </w:r>
      <w:r w:rsidRPr="00324351" w:rsidR="001E1D8A">
        <w:rPr>
          <w:szCs w:val="22"/>
        </w:rPr>
        <w:t>failed to fully</w:t>
      </w:r>
      <w:r w:rsidRPr="00324351">
        <w:rPr>
          <w:szCs w:val="22"/>
        </w:rPr>
        <w:t xml:space="preserve"> comply with the</w:t>
      </w:r>
      <w:r w:rsidR="00877331">
        <w:rPr>
          <w:szCs w:val="22"/>
        </w:rPr>
        <w:t xml:space="preserve"> commercial</w:t>
      </w:r>
      <w:r w:rsidRPr="00324351">
        <w:rPr>
          <w:szCs w:val="22"/>
        </w:rPr>
        <w:t xml:space="preserve"> limits on children’s </w:t>
      </w:r>
      <w:r w:rsidR="00877331">
        <w:rPr>
          <w:szCs w:val="22"/>
        </w:rPr>
        <w:t xml:space="preserve">television </w:t>
      </w:r>
      <w:r w:rsidRPr="00324351">
        <w:rPr>
          <w:szCs w:val="22"/>
        </w:rPr>
        <w:t xml:space="preserve">programming specified in </w:t>
      </w:r>
      <w:r w:rsidRPr="00324351" w:rsidR="00037B8B">
        <w:rPr>
          <w:szCs w:val="22"/>
        </w:rPr>
        <w:t>s</w:t>
      </w:r>
      <w:r w:rsidRPr="00324351">
        <w:rPr>
          <w:szCs w:val="22"/>
        </w:rPr>
        <w:t>ection 73.670 of the Rules</w:t>
      </w:r>
      <w:r w:rsidRPr="00324351" w:rsidR="001E1D8A">
        <w:rPr>
          <w:szCs w:val="22"/>
        </w:rPr>
        <w:t>, and the Commission’s commercial limit policies related to host-selling and program-length commercials</w:t>
      </w:r>
      <w:r w:rsidRPr="00324351">
        <w:rPr>
          <w:szCs w:val="22"/>
        </w:rPr>
        <w:t>.</w:t>
      </w:r>
      <w:r>
        <w:rPr>
          <w:rStyle w:val="FootnoteReference"/>
          <w:szCs w:val="22"/>
        </w:rPr>
        <w:footnoteReference w:id="11"/>
      </w:r>
      <w:r w:rsidRPr="00324351">
        <w:rPr>
          <w:szCs w:val="22"/>
        </w:rPr>
        <w:t xml:space="preserve">  In </w:t>
      </w:r>
      <w:r w:rsidRPr="00324351" w:rsidR="00B65D4A">
        <w:rPr>
          <w:szCs w:val="22"/>
        </w:rPr>
        <w:t>an exhibit to the Application</w:t>
      </w:r>
      <w:r w:rsidRPr="00324351" w:rsidR="00267AEC">
        <w:rPr>
          <w:szCs w:val="22"/>
        </w:rPr>
        <w:t>,</w:t>
      </w:r>
      <w:r w:rsidRPr="00324351" w:rsidR="00B65D4A">
        <w:rPr>
          <w:szCs w:val="22"/>
        </w:rPr>
        <w:t xml:space="preserve"> t</w:t>
      </w:r>
      <w:r w:rsidRPr="00324351">
        <w:rPr>
          <w:szCs w:val="22"/>
        </w:rPr>
        <w:t xml:space="preserve">he Licensee </w:t>
      </w:r>
      <w:r w:rsidRPr="00324351" w:rsidR="00502044">
        <w:rPr>
          <w:szCs w:val="22"/>
        </w:rPr>
        <w:t>report</w:t>
      </w:r>
      <w:r w:rsidRPr="00324351">
        <w:rPr>
          <w:szCs w:val="22"/>
        </w:rPr>
        <w:t xml:space="preserve">ed </w:t>
      </w:r>
      <w:r w:rsidRPr="00324351" w:rsidR="009B2D42">
        <w:rPr>
          <w:szCs w:val="22"/>
        </w:rPr>
        <w:t xml:space="preserve">that </w:t>
      </w:r>
      <w:r w:rsidRPr="00324351" w:rsidR="005E7763">
        <w:rPr>
          <w:szCs w:val="22"/>
        </w:rPr>
        <w:t>on eleven occasions between November 10, 2018, and December 1</w:t>
      </w:r>
      <w:r w:rsidRPr="00324351" w:rsidR="00FA5BB0">
        <w:rPr>
          <w:szCs w:val="22"/>
        </w:rPr>
        <w:t>5</w:t>
      </w:r>
      <w:r w:rsidRPr="00324351" w:rsidR="005E7763">
        <w:rPr>
          <w:szCs w:val="22"/>
        </w:rPr>
        <w:t xml:space="preserve">, 2018, </w:t>
      </w:r>
      <w:r w:rsidRPr="00324351" w:rsidR="009B2D42">
        <w:rPr>
          <w:szCs w:val="22"/>
        </w:rPr>
        <w:t xml:space="preserve">the Station aired a commercial for the </w:t>
      </w:r>
      <w:r w:rsidRPr="00324351" w:rsidR="00DF32C1">
        <w:rPr>
          <w:szCs w:val="22"/>
        </w:rPr>
        <w:t>“</w:t>
      </w:r>
      <w:r w:rsidRPr="00324351" w:rsidR="00267AEC">
        <w:rPr>
          <w:szCs w:val="22"/>
        </w:rPr>
        <w:t>Hot Wheels Super Ultimate Garage</w:t>
      </w:r>
      <w:r w:rsidRPr="00324351" w:rsidR="00DF32C1">
        <w:rPr>
          <w:szCs w:val="22"/>
        </w:rPr>
        <w:t>”</w:t>
      </w:r>
      <w:r w:rsidRPr="00324351" w:rsidR="00F922B8">
        <w:rPr>
          <w:szCs w:val="22"/>
        </w:rPr>
        <w:t xml:space="preserve"> </w:t>
      </w:r>
      <w:r w:rsidRPr="00324351" w:rsidR="00502044">
        <w:rPr>
          <w:szCs w:val="22"/>
        </w:rPr>
        <w:t>play set</w:t>
      </w:r>
      <w:r w:rsidRPr="00324351" w:rsidR="008633B6">
        <w:rPr>
          <w:szCs w:val="22"/>
        </w:rPr>
        <w:t xml:space="preserve"> </w:t>
      </w:r>
      <w:r w:rsidRPr="00324351" w:rsidR="00267AEC">
        <w:rPr>
          <w:szCs w:val="22"/>
        </w:rPr>
        <w:t xml:space="preserve">during </w:t>
      </w:r>
      <w:r w:rsidRPr="00324351" w:rsidR="005E7763">
        <w:rPr>
          <w:szCs w:val="22"/>
        </w:rPr>
        <w:t xml:space="preserve">eight </w:t>
      </w:r>
      <w:r w:rsidRPr="00324351" w:rsidR="008633B6">
        <w:rPr>
          <w:szCs w:val="22"/>
        </w:rPr>
        <w:t>show</w:t>
      </w:r>
      <w:r w:rsidRPr="00324351" w:rsidR="005E7763">
        <w:rPr>
          <w:szCs w:val="22"/>
        </w:rPr>
        <w:t xml:space="preserve">ings of </w:t>
      </w:r>
      <w:r w:rsidRPr="00324351" w:rsidR="009B2D42">
        <w:rPr>
          <w:szCs w:val="22"/>
        </w:rPr>
        <w:t>the program “</w:t>
      </w:r>
      <w:r w:rsidRPr="00324351" w:rsidR="00267AEC">
        <w:rPr>
          <w:szCs w:val="22"/>
        </w:rPr>
        <w:t>Team Hot Wheels</w:t>
      </w:r>
      <w:r w:rsidRPr="00324351" w:rsidR="009B2D42">
        <w:rPr>
          <w:szCs w:val="22"/>
        </w:rPr>
        <w:t>”</w:t>
      </w:r>
      <w:r w:rsidRPr="00324351" w:rsidR="008633B6">
        <w:rPr>
          <w:szCs w:val="22"/>
        </w:rPr>
        <w:t xml:space="preserve"> (i.e. the commercial aired multiple times during certain episodes).</w:t>
      </w:r>
      <w:r w:rsidR="002939B6">
        <w:rPr>
          <w:szCs w:val="22"/>
        </w:rPr>
        <w:t xml:space="preserve">  </w:t>
      </w:r>
      <w:r w:rsidRPr="00324351" w:rsidR="002939B6">
        <w:rPr>
          <w:szCs w:val="22"/>
        </w:rPr>
        <w:t>Each impacted episode was 30-minutes in length.</w:t>
      </w:r>
      <w:r>
        <w:rPr>
          <w:rStyle w:val="FootnoteReference"/>
          <w:szCs w:val="22"/>
        </w:rPr>
        <w:footnoteReference w:id="12"/>
      </w:r>
      <w:r w:rsidRPr="00324351" w:rsidR="005E7763">
        <w:rPr>
          <w:szCs w:val="22"/>
        </w:rPr>
        <w:t xml:space="preserve">  </w:t>
      </w:r>
    </w:p>
    <w:p w:rsidR="003476B8" w:rsidP="00411889" w14:paraId="64823BE6" w14:textId="2D9E976D">
      <w:pPr>
        <w:pStyle w:val="ParaNum"/>
        <w:numPr>
          <w:ilvl w:val="0"/>
          <w:numId w:val="10"/>
        </w:numPr>
        <w:tabs>
          <w:tab w:val="clear" w:pos="1080"/>
          <w:tab w:val="left" w:pos="1440"/>
        </w:tabs>
        <w:spacing w:after="220"/>
        <w:rPr>
          <w:szCs w:val="22"/>
        </w:rPr>
      </w:pPr>
      <w:r w:rsidRPr="00B36AC8">
        <w:rPr>
          <w:szCs w:val="22"/>
        </w:rPr>
        <w:t>The Licensee state</w:t>
      </w:r>
      <w:r w:rsidR="00B77A39">
        <w:rPr>
          <w:szCs w:val="22"/>
        </w:rPr>
        <w:t>s</w:t>
      </w:r>
      <w:r w:rsidRPr="00B36AC8">
        <w:rPr>
          <w:szCs w:val="22"/>
        </w:rPr>
        <w:t xml:space="preserve"> that the commercial was “inadvertently” placed by the </w:t>
      </w:r>
      <w:r w:rsidRPr="00B36AC8">
        <w:rPr>
          <w:szCs w:val="22"/>
        </w:rPr>
        <w:t>KidsClick</w:t>
      </w:r>
      <w:r w:rsidRPr="00B36AC8">
        <w:rPr>
          <w:szCs w:val="22"/>
        </w:rPr>
        <w:t xml:space="preserve"> </w:t>
      </w:r>
      <w:r w:rsidR="00F71E8C">
        <w:rPr>
          <w:szCs w:val="22"/>
        </w:rPr>
        <w:t>N</w:t>
      </w:r>
      <w:r w:rsidRPr="00B36AC8" w:rsidR="00F71E8C">
        <w:rPr>
          <w:szCs w:val="22"/>
        </w:rPr>
        <w:t xml:space="preserve">etwork </w:t>
      </w:r>
      <w:r w:rsidRPr="00B36AC8">
        <w:rPr>
          <w:szCs w:val="22"/>
        </w:rPr>
        <w:t xml:space="preserve">from which the Licensee obtained the programming block, the </w:t>
      </w:r>
      <w:r w:rsidR="003E2DC8">
        <w:rPr>
          <w:szCs w:val="22"/>
        </w:rPr>
        <w:t>KidsClick</w:t>
      </w:r>
      <w:r w:rsidR="003E2DC8">
        <w:rPr>
          <w:szCs w:val="22"/>
        </w:rPr>
        <w:t xml:space="preserve"> </w:t>
      </w:r>
      <w:r w:rsidR="00C17DCB">
        <w:rPr>
          <w:szCs w:val="22"/>
        </w:rPr>
        <w:t>N</w:t>
      </w:r>
      <w:r w:rsidRPr="00B36AC8">
        <w:rPr>
          <w:szCs w:val="22"/>
        </w:rPr>
        <w:t xml:space="preserve">etwork “promptly pulled the commercial from the program after discovering the issue,” and that </w:t>
      </w:r>
      <w:r w:rsidR="003E2DC8">
        <w:rPr>
          <w:szCs w:val="22"/>
        </w:rPr>
        <w:t xml:space="preserve">the </w:t>
      </w:r>
      <w:r w:rsidR="007B5361">
        <w:rPr>
          <w:szCs w:val="22"/>
        </w:rPr>
        <w:t>Licensee</w:t>
      </w:r>
      <w:r w:rsidRPr="00B36AC8">
        <w:rPr>
          <w:szCs w:val="22"/>
        </w:rPr>
        <w:t xml:space="preserve"> has “reminded its staff that they are required to monitor programming broadcast by the station for compliance with the Commission’s commercial limitations.”</w:t>
      </w:r>
      <w:r>
        <w:rPr>
          <w:rStyle w:val="FootnoteReference"/>
          <w:szCs w:val="22"/>
        </w:rPr>
        <w:footnoteReference w:id="13"/>
      </w:r>
      <w:r w:rsidRPr="00B36AC8">
        <w:rPr>
          <w:szCs w:val="22"/>
        </w:rPr>
        <w:t xml:space="preserve">  </w:t>
      </w:r>
      <w:bookmarkStart w:id="1" w:name="_Hlk55923108"/>
      <w:r w:rsidRPr="00B36AC8">
        <w:rPr>
          <w:szCs w:val="22"/>
        </w:rPr>
        <w:t>While the Licensee acknowledge</w:t>
      </w:r>
      <w:r w:rsidR="00A16D72">
        <w:rPr>
          <w:szCs w:val="22"/>
        </w:rPr>
        <w:t>s</w:t>
      </w:r>
      <w:r w:rsidRPr="00B36AC8">
        <w:rPr>
          <w:szCs w:val="22"/>
        </w:rPr>
        <w:t xml:space="preserve"> that it may be held li</w:t>
      </w:r>
      <w:r w:rsidR="007B5361">
        <w:rPr>
          <w:szCs w:val="22"/>
        </w:rPr>
        <w:t>ab</w:t>
      </w:r>
      <w:r w:rsidRPr="00B36AC8">
        <w:rPr>
          <w:szCs w:val="22"/>
        </w:rPr>
        <w:t xml:space="preserve">le for commercial limit </w:t>
      </w:r>
      <w:r w:rsidR="00C138C4">
        <w:rPr>
          <w:szCs w:val="22"/>
        </w:rPr>
        <w:t>violation</w:t>
      </w:r>
      <w:r w:rsidRPr="00B36AC8">
        <w:rPr>
          <w:szCs w:val="22"/>
        </w:rPr>
        <w:t>s</w:t>
      </w:r>
      <w:r w:rsidR="00C138C4">
        <w:rPr>
          <w:szCs w:val="22"/>
        </w:rPr>
        <w:t xml:space="preserve"> caused by third-party programming sources</w:t>
      </w:r>
      <w:r w:rsidRPr="00B36AC8">
        <w:rPr>
          <w:szCs w:val="22"/>
        </w:rPr>
        <w:t>, it asserts that “this was an isolated incident and that it otherwise has a long history of compliance with the Commission’s rules.”</w:t>
      </w:r>
      <w:r>
        <w:rPr>
          <w:rStyle w:val="FootnoteReference"/>
          <w:szCs w:val="22"/>
        </w:rPr>
        <w:footnoteReference w:id="14"/>
      </w:r>
      <w:r w:rsidRPr="00B36AC8">
        <w:rPr>
          <w:szCs w:val="22"/>
        </w:rPr>
        <w:t xml:space="preserve">  The Licensee goes on to request </w:t>
      </w:r>
      <w:r w:rsidR="00E71A1A">
        <w:rPr>
          <w:szCs w:val="22"/>
        </w:rPr>
        <w:t>that</w:t>
      </w:r>
      <w:r w:rsidR="006C38AE">
        <w:rPr>
          <w:szCs w:val="22"/>
        </w:rPr>
        <w:t>,</w:t>
      </w:r>
      <w:r w:rsidR="00E71A1A">
        <w:rPr>
          <w:szCs w:val="22"/>
        </w:rPr>
        <w:t xml:space="preserve"> should</w:t>
      </w:r>
      <w:r w:rsidRPr="00B36AC8">
        <w:rPr>
          <w:szCs w:val="22"/>
        </w:rPr>
        <w:t xml:space="preserve"> the Commission find forfeiture is appropriate</w:t>
      </w:r>
      <w:r w:rsidR="006C38AE">
        <w:rPr>
          <w:szCs w:val="22"/>
        </w:rPr>
        <w:t>,</w:t>
      </w:r>
      <w:r w:rsidRPr="00B36AC8">
        <w:rPr>
          <w:szCs w:val="22"/>
        </w:rPr>
        <w:t xml:space="preserve"> </w:t>
      </w:r>
      <w:r w:rsidR="002B29BE">
        <w:rPr>
          <w:szCs w:val="22"/>
        </w:rPr>
        <w:t xml:space="preserve">no upward adjustment is necessary and </w:t>
      </w:r>
      <w:r w:rsidR="00EE69D3">
        <w:rPr>
          <w:szCs w:val="22"/>
        </w:rPr>
        <w:t>it</w:t>
      </w:r>
      <w:r w:rsidRPr="00B36AC8">
        <w:rPr>
          <w:szCs w:val="22"/>
        </w:rPr>
        <w:t xml:space="preserve"> be no higher than the base forfeiture</w:t>
      </w:r>
      <w:r w:rsidR="00EE69D3">
        <w:rPr>
          <w:szCs w:val="22"/>
        </w:rPr>
        <w:t xml:space="preserve"> amount</w:t>
      </w:r>
      <w:r w:rsidRPr="00B36AC8">
        <w:rPr>
          <w:szCs w:val="22"/>
        </w:rPr>
        <w:t xml:space="preserve"> for </w:t>
      </w:r>
      <w:r w:rsidRPr="00B36AC8" w:rsidR="00EE69D3">
        <w:rPr>
          <w:szCs w:val="22"/>
        </w:rPr>
        <w:t xml:space="preserve">commercial limit </w:t>
      </w:r>
      <w:r w:rsidR="00EE69D3">
        <w:rPr>
          <w:szCs w:val="22"/>
        </w:rPr>
        <w:t>violation</w:t>
      </w:r>
      <w:r w:rsidRPr="00B36AC8" w:rsidR="00EE69D3">
        <w:rPr>
          <w:szCs w:val="22"/>
        </w:rPr>
        <w:t>s</w:t>
      </w:r>
      <w:r w:rsidRPr="00B36AC8">
        <w:rPr>
          <w:szCs w:val="22"/>
        </w:rPr>
        <w:t xml:space="preserve"> established under the </w:t>
      </w:r>
      <w:r w:rsidR="00A43287">
        <w:rPr>
          <w:szCs w:val="22"/>
        </w:rPr>
        <w:t>R</w:t>
      </w:r>
      <w:r w:rsidRPr="00B36AC8">
        <w:rPr>
          <w:szCs w:val="22"/>
        </w:rPr>
        <w:t>ule</w:t>
      </w:r>
      <w:r>
        <w:rPr>
          <w:szCs w:val="22"/>
        </w:rPr>
        <w:t>s.</w:t>
      </w:r>
      <w:r>
        <w:rPr>
          <w:rStyle w:val="FootnoteReference"/>
          <w:szCs w:val="22"/>
        </w:rPr>
        <w:footnoteReference w:id="15"/>
      </w:r>
      <w:r>
        <w:rPr>
          <w:szCs w:val="22"/>
        </w:rPr>
        <w:t xml:space="preserve">  </w:t>
      </w:r>
      <w:bookmarkEnd w:id="1"/>
    </w:p>
    <w:p w:rsidR="00044E22" w:rsidRPr="00042A66" w:rsidP="003476B8" w14:paraId="47EF2F8D" w14:textId="45FD33CE">
      <w:pPr>
        <w:pStyle w:val="Heading1"/>
        <w:tabs>
          <w:tab w:val="left" w:pos="720"/>
        </w:tabs>
        <w:rPr>
          <w:rFonts w:ascii="Times New Roman" w:hAnsi="Times New Roman"/>
          <w:szCs w:val="22"/>
        </w:rPr>
      </w:pPr>
      <w:r w:rsidRPr="00042A66">
        <w:rPr>
          <w:rFonts w:ascii="Times New Roman" w:hAnsi="Times New Roman"/>
          <w:szCs w:val="22"/>
        </w:rPr>
        <w:t>D</w:t>
      </w:r>
      <w:r w:rsidRPr="00042A66" w:rsidR="00150BF5">
        <w:rPr>
          <w:rFonts w:ascii="Times New Roman" w:hAnsi="Times New Roman"/>
          <w:szCs w:val="22"/>
        </w:rPr>
        <w:t>iscussion</w:t>
      </w:r>
    </w:p>
    <w:p w:rsidR="00F019D8" w:rsidRPr="00F019D8" w:rsidP="00565EEC" w14:paraId="4E51BE32" w14:textId="31909374">
      <w:pPr>
        <w:pStyle w:val="ParaNum"/>
        <w:numPr>
          <w:ilvl w:val="0"/>
          <w:numId w:val="10"/>
        </w:numPr>
        <w:tabs>
          <w:tab w:val="clear" w:pos="1080"/>
          <w:tab w:val="left" w:pos="1440"/>
        </w:tabs>
        <w:spacing w:after="220"/>
        <w:rPr>
          <w:b/>
          <w:szCs w:val="22"/>
        </w:rPr>
      </w:pPr>
      <w:r>
        <w:rPr>
          <w:szCs w:val="22"/>
        </w:rPr>
        <w:t>W</w:t>
      </w:r>
      <w:r w:rsidRPr="00764827" w:rsidR="00764827">
        <w:rPr>
          <w:szCs w:val="22"/>
        </w:rPr>
        <w:t>e find that the Licensee is apparently liable for a forfeiture in the amount of $20,000</w:t>
      </w:r>
      <w:r w:rsidR="00653F69">
        <w:rPr>
          <w:szCs w:val="22"/>
        </w:rPr>
        <w:t xml:space="preserve"> </w:t>
      </w:r>
      <w:r w:rsidR="00695346">
        <w:rPr>
          <w:szCs w:val="22"/>
        </w:rPr>
        <w:t>due to</w:t>
      </w:r>
      <w:r w:rsidRPr="00514C8E" w:rsidR="004138D3">
        <w:rPr>
          <w:szCs w:val="22"/>
        </w:rPr>
        <w:t xml:space="preserve"> WUTB’s record during the last license term of exceeding the Commission’s commercial limits on eight occasions,</w:t>
      </w:r>
      <w:r>
        <w:rPr>
          <w:rStyle w:val="FootnoteReference"/>
          <w:sz w:val="22"/>
          <w:szCs w:val="22"/>
        </w:rPr>
        <w:footnoteReference w:id="16"/>
      </w:r>
      <w:r w:rsidRPr="00514C8E" w:rsidR="004138D3">
        <w:rPr>
          <w:szCs w:val="22"/>
        </w:rPr>
        <w:t xml:space="preserve"> all of which </w:t>
      </w:r>
      <w:r w:rsidR="000128B5">
        <w:rPr>
          <w:szCs w:val="22"/>
        </w:rPr>
        <w:t xml:space="preserve">resulted </w:t>
      </w:r>
      <w:r w:rsidR="0072610C">
        <w:rPr>
          <w:szCs w:val="22"/>
        </w:rPr>
        <w:t>from</w:t>
      </w:r>
      <w:r w:rsidR="000128B5">
        <w:rPr>
          <w:szCs w:val="22"/>
        </w:rPr>
        <w:t xml:space="preserve"> the airing of </w:t>
      </w:r>
      <w:r w:rsidRPr="00514C8E" w:rsidR="004138D3">
        <w:rPr>
          <w:szCs w:val="22"/>
        </w:rPr>
        <w:t xml:space="preserve">program-length commercials, </w:t>
      </w:r>
      <w:r w:rsidR="00EC0950">
        <w:rPr>
          <w:szCs w:val="22"/>
        </w:rPr>
        <w:t xml:space="preserve">which </w:t>
      </w:r>
      <w:r w:rsidRPr="00514C8E" w:rsidR="004138D3">
        <w:rPr>
          <w:szCs w:val="22"/>
        </w:rPr>
        <w:t xml:space="preserve">constitutes </w:t>
      </w:r>
      <w:r w:rsidRPr="00514C8E" w:rsidR="004138D3">
        <w:rPr>
          <w:szCs w:val="22"/>
        </w:rPr>
        <w:t xml:space="preserve">an apparent willful and repeated violation of </w:t>
      </w:r>
      <w:r w:rsidR="004138D3">
        <w:rPr>
          <w:szCs w:val="22"/>
        </w:rPr>
        <w:t>s</w:t>
      </w:r>
      <w:r w:rsidRPr="00514C8E" w:rsidR="004138D3">
        <w:rPr>
          <w:szCs w:val="22"/>
        </w:rPr>
        <w:t>ection 73.670 of the Rules.  Airing a commercial for a Hot Wheels-themed toy during a Hot Wheels-themed show fits squarely within Commission precedent regarding what constitutes a program-length commercial.</w:t>
      </w:r>
      <w:r>
        <w:rPr>
          <w:rStyle w:val="FootnoteReference"/>
          <w:szCs w:val="22"/>
        </w:rPr>
        <w:footnoteReference w:id="17"/>
      </w:r>
      <w:r w:rsidR="004138D3">
        <w:rPr>
          <w:b/>
          <w:szCs w:val="22"/>
        </w:rPr>
        <w:t xml:space="preserve">  </w:t>
      </w:r>
      <w:r w:rsidR="004138D3">
        <w:rPr>
          <w:szCs w:val="22"/>
        </w:rPr>
        <w:t>W</w:t>
      </w:r>
      <w:r w:rsidRPr="00C6598D" w:rsidR="004138D3">
        <w:rPr>
          <w:szCs w:val="22"/>
        </w:rPr>
        <w:t>e believe that, in the context of the cognitive abilities of young children, airing a commercial for a “Hot Wheels Super Ultimate Garage” play set during the “Team Hot Wheels” program presents the clear</w:t>
      </w:r>
      <w:r w:rsidR="004138D3">
        <w:rPr>
          <w:szCs w:val="22"/>
        </w:rPr>
        <w:t xml:space="preserve"> risk</w:t>
      </w:r>
      <w:r w:rsidRPr="00C6598D" w:rsidR="004138D3">
        <w:rPr>
          <w:szCs w:val="22"/>
        </w:rPr>
        <w:t xml:space="preserve"> for confusion between “program content” and “commercial matter” that </w:t>
      </w:r>
      <w:r w:rsidR="004138D3">
        <w:rPr>
          <w:szCs w:val="22"/>
        </w:rPr>
        <w:t>this regulation was designed</w:t>
      </w:r>
      <w:r w:rsidRPr="00C6598D" w:rsidR="004138D3">
        <w:rPr>
          <w:szCs w:val="22"/>
        </w:rPr>
        <w:t xml:space="preserve"> to avoid.</w:t>
      </w:r>
      <w:r>
        <w:rPr>
          <w:rStyle w:val="FootnoteReference"/>
          <w:sz w:val="22"/>
          <w:szCs w:val="22"/>
        </w:rPr>
        <w:footnoteReference w:id="18"/>
      </w:r>
    </w:p>
    <w:p w:rsidR="00150BF5" w:rsidRPr="00514C8E" w:rsidP="00565EEC" w14:paraId="4149E3A5" w14:textId="03F90E7D">
      <w:pPr>
        <w:pStyle w:val="ParaNum"/>
        <w:numPr>
          <w:ilvl w:val="0"/>
          <w:numId w:val="10"/>
        </w:numPr>
        <w:tabs>
          <w:tab w:val="clear" w:pos="1080"/>
          <w:tab w:val="left" w:pos="1440"/>
        </w:tabs>
        <w:spacing w:after="220"/>
        <w:rPr>
          <w:b/>
          <w:szCs w:val="22"/>
        </w:rPr>
      </w:pPr>
      <w:r>
        <w:rPr>
          <w:szCs w:val="22"/>
        </w:rPr>
        <w:t>We find that t</w:t>
      </w:r>
      <w:r w:rsidRPr="00514C8E" w:rsidR="00076984">
        <w:rPr>
          <w:szCs w:val="22"/>
        </w:rPr>
        <w:t xml:space="preserve">he </w:t>
      </w:r>
      <w:r w:rsidRPr="00514C8E" w:rsidR="0047166A">
        <w:rPr>
          <w:szCs w:val="22"/>
        </w:rPr>
        <w:t>eight</w:t>
      </w:r>
      <w:r w:rsidRPr="00514C8E" w:rsidR="00076984">
        <w:rPr>
          <w:szCs w:val="22"/>
        </w:rPr>
        <w:t xml:space="preserve"> instances </w:t>
      </w:r>
      <w:r w:rsidR="00FD75D1">
        <w:rPr>
          <w:szCs w:val="22"/>
        </w:rPr>
        <w:t>that</w:t>
      </w:r>
      <w:r w:rsidRPr="00514C8E" w:rsidR="00076984">
        <w:rPr>
          <w:szCs w:val="22"/>
        </w:rPr>
        <w:t xml:space="preserve"> the Station exceeded the children’s television commercial limits represent </w:t>
      </w:r>
      <w:r w:rsidRPr="00514C8E" w:rsidR="0047166A">
        <w:rPr>
          <w:szCs w:val="22"/>
        </w:rPr>
        <w:t>a</w:t>
      </w:r>
      <w:r w:rsidRPr="00514C8E" w:rsidR="00076984">
        <w:rPr>
          <w:szCs w:val="22"/>
        </w:rPr>
        <w:t xml:space="preserve"> </w:t>
      </w:r>
      <w:r w:rsidR="00514C8E">
        <w:rPr>
          <w:szCs w:val="22"/>
        </w:rPr>
        <w:t>substantial</w:t>
      </w:r>
      <w:r w:rsidRPr="00514C8E" w:rsidR="00076984">
        <w:rPr>
          <w:szCs w:val="22"/>
        </w:rPr>
        <w:t xml:space="preserve"> number of violations.  Overages of this number and nature mean that children have been subjected to commercial matter greatly in excess of the limits contemplated by Congress when it enacted the Children’s Television Act of 1990.</w:t>
      </w:r>
      <w:r>
        <w:rPr>
          <w:rStyle w:val="FootnoteReference"/>
          <w:sz w:val="22"/>
          <w:szCs w:val="22"/>
        </w:rPr>
        <w:footnoteReference w:id="19"/>
      </w:r>
      <w:r w:rsidRPr="00514C8E" w:rsidR="00076984">
        <w:rPr>
          <w:szCs w:val="22"/>
        </w:rPr>
        <w:t xml:space="preserve">  </w:t>
      </w:r>
      <w:r w:rsidR="00427DFF">
        <w:rPr>
          <w:szCs w:val="22"/>
        </w:rPr>
        <w:t>Indeed, while recent program-length commercial cases often involve only brief, fleeting images of program-related content in a commercial with content otherwise unrelated to the program, the commercial in this case centers around a product directly related to the children’s program being aired and was not an isolated occurrence as alleged by the Licensee.</w:t>
      </w:r>
      <w:r>
        <w:rPr>
          <w:rStyle w:val="FootnoteReference"/>
          <w:szCs w:val="22"/>
        </w:rPr>
        <w:footnoteReference w:id="20"/>
      </w:r>
      <w:r w:rsidR="00427DFF">
        <w:rPr>
          <w:szCs w:val="22"/>
        </w:rPr>
        <w:t xml:space="preserve">  </w:t>
      </w:r>
      <w:r>
        <w:rPr>
          <w:szCs w:val="22"/>
        </w:rPr>
        <w:t>Further, a</w:t>
      </w:r>
      <w:r w:rsidRPr="00514C8E" w:rsidR="00076984">
        <w:rPr>
          <w:szCs w:val="22"/>
        </w:rPr>
        <w:t xml:space="preserve">lthough the Licensee indicated that these overages </w:t>
      </w:r>
      <w:r w:rsidRPr="00514C8E" w:rsidR="0047166A">
        <w:rPr>
          <w:szCs w:val="22"/>
        </w:rPr>
        <w:t>were inadvertent</w:t>
      </w:r>
      <w:r w:rsidRPr="00514C8E" w:rsidR="00076984">
        <w:rPr>
          <w:szCs w:val="22"/>
        </w:rPr>
        <w:t xml:space="preserve">, this does not mitigate or excuse the violations.  </w:t>
      </w:r>
      <w:r w:rsidRPr="00514C8E" w:rsidR="00A477BF">
        <w:rPr>
          <w:szCs w:val="22"/>
        </w:rPr>
        <w:t>T</w:t>
      </w:r>
      <w:r w:rsidRPr="00514C8E" w:rsidR="00076984">
        <w:rPr>
          <w:szCs w:val="22"/>
        </w:rPr>
        <w:t>he Commission has repeatedly rejected inadvertence as a basis for excusing violations of the children’s television commercial limits.</w:t>
      </w:r>
      <w:r>
        <w:rPr>
          <w:rStyle w:val="FootnoteReference"/>
          <w:sz w:val="22"/>
          <w:szCs w:val="22"/>
        </w:rPr>
        <w:footnoteReference w:id="21"/>
      </w:r>
      <w:r w:rsidRPr="00514C8E" w:rsidR="00076984">
        <w:rPr>
          <w:szCs w:val="22"/>
        </w:rPr>
        <w:t xml:space="preserve">  </w:t>
      </w:r>
      <w:r w:rsidRPr="00514C8E" w:rsidR="007C0987">
        <w:rPr>
          <w:szCs w:val="22"/>
        </w:rPr>
        <w:t xml:space="preserve">Similarly, the fact that the </w:t>
      </w:r>
      <w:r w:rsidRPr="00514C8E" w:rsidR="000954D5">
        <w:rPr>
          <w:szCs w:val="22"/>
        </w:rPr>
        <w:t>Station’s television network supplied the commercial does not absolve</w:t>
      </w:r>
      <w:r w:rsidR="00427DFF">
        <w:rPr>
          <w:szCs w:val="22"/>
        </w:rPr>
        <w:t xml:space="preserve"> the</w:t>
      </w:r>
      <w:r w:rsidRPr="00514C8E" w:rsidR="000954D5">
        <w:rPr>
          <w:szCs w:val="22"/>
        </w:rPr>
        <w:t xml:space="preserve"> Licensee of responsibility for the violations.  </w:t>
      </w:r>
      <w:r w:rsidRPr="00514C8E" w:rsidR="00A477BF">
        <w:rPr>
          <w:szCs w:val="22"/>
        </w:rPr>
        <w:t>T</w:t>
      </w:r>
      <w:r w:rsidRPr="00514C8E" w:rsidR="000954D5">
        <w:rPr>
          <w:szCs w:val="22"/>
        </w:rPr>
        <w:t>he Commission has consistently held that a licensee</w:t>
      </w:r>
      <w:r w:rsidR="00A85736">
        <w:rPr>
          <w:szCs w:val="22"/>
        </w:rPr>
        <w:t>’</w:t>
      </w:r>
      <w:r w:rsidRPr="00514C8E" w:rsidR="000954D5">
        <w:rPr>
          <w:szCs w:val="22"/>
        </w:rPr>
        <w:t>s reliance on a program</w:t>
      </w:r>
      <w:r w:rsidRPr="00514C8E" w:rsidR="00A477BF">
        <w:rPr>
          <w:szCs w:val="22"/>
        </w:rPr>
        <w:t>’</w:t>
      </w:r>
      <w:r w:rsidRPr="00514C8E" w:rsidR="000954D5">
        <w:rPr>
          <w:szCs w:val="22"/>
        </w:rPr>
        <w:t>s source or producer for compliance with our children</w:t>
      </w:r>
      <w:r w:rsidR="0039413D">
        <w:rPr>
          <w:szCs w:val="22"/>
        </w:rPr>
        <w:t>’</w:t>
      </w:r>
      <w:r w:rsidRPr="00514C8E" w:rsidR="000954D5">
        <w:rPr>
          <w:szCs w:val="22"/>
        </w:rPr>
        <w:t xml:space="preserve">s television rules and policies will not excuse or mitigate violations </w:t>
      </w:r>
      <w:r w:rsidR="0069188A">
        <w:rPr>
          <w:szCs w:val="22"/>
        </w:rPr>
        <w:t>that</w:t>
      </w:r>
      <w:r w:rsidRPr="00514C8E" w:rsidR="0069188A">
        <w:rPr>
          <w:szCs w:val="22"/>
        </w:rPr>
        <w:t xml:space="preserve"> </w:t>
      </w:r>
      <w:r w:rsidRPr="00514C8E" w:rsidR="000954D5">
        <w:rPr>
          <w:szCs w:val="22"/>
        </w:rPr>
        <w:t>do occur.</w:t>
      </w:r>
      <w:r>
        <w:rPr>
          <w:rStyle w:val="FootnoteReference"/>
          <w:sz w:val="22"/>
          <w:szCs w:val="22"/>
        </w:rPr>
        <w:footnoteReference w:id="22"/>
      </w:r>
      <w:r w:rsidR="00525C7D">
        <w:rPr>
          <w:szCs w:val="22"/>
        </w:rPr>
        <w:t xml:space="preserve">  </w:t>
      </w:r>
      <w:r w:rsidR="00427DFF">
        <w:rPr>
          <w:szCs w:val="22"/>
        </w:rPr>
        <w:t>T</w:t>
      </w:r>
      <w:r w:rsidRPr="005D3690" w:rsidR="005D3690">
        <w:rPr>
          <w:szCs w:val="22"/>
        </w:rPr>
        <w:t xml:space="preserve">he </w:t>
      </w:r>
      <w:r w:rsidR="005D3690">
        <w:rPr>
          <w:szCs w:val="22"/>
        </w:rPr>
        <w:t>fact that</w:t>
      </w:r>
      <w:r w:rsidR="00C25F1B">
        <w:rPr>
          <w:szCs w:val="22"/>
        </w:rPr>
        <w:t xml:space="preserve"> the</w:t>
      </w:r>
      <w:r w:rsidR="005D3690">
        <w:rPr>
          <w:szCs w:val="22"/>
        </w:rPr>
        <w:t xml:space="preserve"> </w:t>
      </w:r>
      <w:r w:rsidRPr="005D3690" w:rsidR="005D3690">
        <w:rPr>
          <w:szCs w:val="22"/>
        </w:rPr>
        <w:t xml:space="preserve">Licensee </w:t>
      </w:r>
      <w:r w:rsidR="005D3690">
        <w:rPr>
          <w:szCs w:val="22"/>
        </w:rPr>
        <w:t>has taken steps</w:t>
      </w:r>
      <w:r w:rsidRPr="005D3690" w:rsidR="005D3690">
        <w:rPr>
          <w:szCs w:val="22"/>
        </w:rPr>
        <w:t xml:space="preserve"> to prevent subsequent violations </w:t>
      </w:r>
      <w:r w:rsidR="000010B4">
        <w:rPr>
          <w:szCs w:val="22"/>
        </w:rPr>
        <w:t xml:space="preserve">by reminding its staff of the importance </w:t>
      </w:r>
      <w:r w:rsidR="003B7EF8">
        <w:rPr>
          <w:szCs w:val="22"/>
        </w:rPr>
        <w:t xml:space="preserve">monitoring </w:t>
      </w:r>
      <w:r w:rsidR="008F1D90">
        <w:rPr>
          <w:szCs w:val="22"/>
        </w:rPr>
        <w:t>its programming</w:t>
      </w:r>
      <w:r w:rsidR="00CA0FD0">
        <w:rPr>
          <w:szCs w:val="22"/>
        </w:rPr>
        <w:t xml:space="preserve"> for compliance </w:t>
      </w:r>
      <w:r w:rsidR="00620635">
        <w:rPr>
          <w:szCs w:val="22"/>
        </w:rPr>
        <w:t xml:space="preserve">with </w:t>
      </w:r>
      <w:r w:rsidRPr="00620635" w:rsidR="00620635">
        <w:rPr>
          <w:szCs w:val="22"/>
        </w:rPr>
        <w:t>the Commission’s children’s television</w:t>
      </w:r>
      <w:r w:rsidR="00BD1A33">
        <w:rPr>
          <w:szCs w:val="22"/>
        </w:rPr>
        <w:t xml:space="preserve"> programming</w:t>
      </w:r>
      <w:r w:rsidRPr="00620635" w:rsidR="00620635">
        <w:rPr>
          <w:szCs w:val="22"/>
        </w:rPr>
        <w:t xml:space="preserve"> rules</w:t>
      </w:r>
      <w:r w:rsidR="008F1D90">
        <w:rPr>
          <w:szCs w:val="22"/>
        </w:rPr>
        <w:t xml:space="preserve"> </w:t>
      </w:r>
      <w:r w:rsidRPr="005D3690" w:rsidR="005D3690">
        <w:rPr>
          <w:szCs w:val="22"/>
        </w:rPr>
        <w:t xml:space="preserve">does not relieve the Licensee of liability for violations </w:t>
      </w:r>
      <w:r w:rsidR="00EE1E34">
        <w:rPr>
          <w:szCs w:val="22"/>
        </w:rPr>
        <w:t>that</w:t>
      </w:r>
      <w:r w:rsidRPr="005D3690" w:rsidR="005D3690">
        <w:rPr>
          <w:szCs w:val="22"/>
        </w:rPr>
        <w:t xml:space="preserve"> have</w:t>
      </w:r>
      <w:r w:rsidR="00EE1E34">
        <w:rPr>
          <w:szCs w:val="22"/>
        </w:rPr>
        <w:t xml:space="preserve"> already</w:t>
      </w:r>
      <w:r w:rsidRPr="005D3690" w:rsidR="005D3690">
        <w:rPr>
          <w:szCs w:val="22"/>
        </w:rPr>
        <w:t xml:space="preserve"> occurred</w:t>
      </w:r>
      <w:r w:rsidR="005D3690">
        <w:rPr>
          <w:szCs w:val="22"/>
        </w:rPr>
        <w:t>.</w:t>
      </w:r>
      <w:r>
        <w:rPr>
          <w:rStyle w:val="FootnoteReference"/>
          <w:szCs w:val="22"/>
        </w:rPr>
        <w:footnoteReference w:id="23"/>
      </w:r>
    </w:p>
    <w:p w:rsidR="00150BF5" w:rsidRPr="00514C8E" w:rsidP="00150BF5" w14:paraId="4AAF06CF" w14:textId="524AC08B">
      <w:pPr>
        <w:pStyle w:val="ParaNum"/>
        <w:numPr>
          <w:ilvl w:val="0"/>
          <w:numId w:val="10"/>
        </w:numPr>
        <w:tabs>
          <w:tab w:val="clear" w:pos="1080"/>
          <w:tab w:val="left" w:pos="1440"/>
        </w:tabs>
        <w:spacing w:after="220"/>
        <w:rPr>
          <w:szCs w:val="22"/>
        </w:rPr>
      </w:pPr>
      <w:r w:rsidRPr="00514C8E">
        <w:rPr>
          <w:szCs w:val="22"/>
        </w:rPr>
        <w:t xml:space="preserve">This </w:t>
      </w:r>
      <w:r w:rsidRPr="00514C8E">
        <w:rPr>
          <w:i/>
          <w:szCs w:val="22"/>
        </w:rPr>
        <w:t>NAL</w:t>
      </w:r>
      <w:r w:rsidRPr="00514C8E">
        <w:rPr>
          <w:szCs w:val="22"/>
        </w:rPr>
        <w:t xml:space="preserve"> is issued pursuant to </w:t>
      </w:r>
      <w:r w:rsidR="00037B8B">
        <w:rPr>
          <w:szCs w:val="22"/>
        </w:rPr>
        <w:t>s</w:t>
      </w:r>
      <w:r w:rsidRPr="00514C8E">
        <w:rPr>
          <w:szCs w:val="22"/>
        </w:rPr>
        <w:t>ection 503(b)(1)(B) of the Act.</w:t>
      </w:r>
      <w:r w:rsidR="00037B8B">
        <w:rPr>
          <w:szCs w:val="22"/>
        </w:rPr>
        <w:t xml:space="preserve"> </w:t>
      </w:r>
      <w:r w:rsidRPr="00514C8E">
        <w:rPr>
          <w:szCs w:val="22"/>
        </w:rPr>
        <w:t xml:space="preserve"> Under that provision, </w:t>
      </w:r>
      <w:r w:rsidRPr="00514C8E" w:rsidR="00AF1FE3">
        <w:rPr>
          <w:szCs w:val="22"/>
        </w:rPr>
        <w:t>a</w:t>
      </w:r>
      <w:r w:rsidRPr="00514C8E">
        <w:rPr>
          <w:szCs w:val="22"/>
        </w:rPr>
        <w:t xml:space="preserve">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sz w:val="22"/>
          <w:szCs w:val="22"/>
        </w:rPr>
        <w:footnoteReference w:id="24"/>
      </w:r>
      <w:r w:rsidRPr="00514C8E">
        <w:rPr>
          <w:szCs w:val="22"/>
        </w:rPr>
        <w:t xml:space="preserve">  Section 312(f)(1) of the Act defines willful as “the conscious and deliberate commission or omission of [any] act, irrespective of any intent to violate” the law.</w:t>
      </w:r>
      <w:r>
        <w:rPr>
          <w:rStyle w:val="FootnoteReference"/>
          <w:sz w:val="22"/>
          <w:szCs w:val="22"/>
        </w:rPr>
        <w:footnoteReference w:id="25"/>
      </w:r>
      <w:r w:rsidRPr="00514C8E">
        <w:rPr>
          <w:szCs w:val="22"/>
        </w:rPr>
        <w:t xml:space="preserve">  The </w:t>
      </w:r>
      <w:r w:rsidRPr="00514C8E">
        <w:rPr>
          <w:szCs w:val="22"/>
        </w:rPr>
        <w:t xml:space="preserve">legislative history to </w:t>
      </w:r>
      <w:r w:rsidR="000D38BB">
        <w:rPr>
          <w:szCs w:val="22"/>
        </w:rPr>
        <w:t>s</w:t>
      </w:r>
      <w:r w:rsidRPr="00514C8E">
        <w:rPr>
          <w:szCs w:val="22"/>
        </w:rPr>
        <w:t xml:space="preserve">ection 312(f)(1) of the Act clarifies that this definition of willful applies to both </w:t>
      </w:r>
      <w:r w:rsidR="000D38BB">
        <w:rPr>
          <w:szCs w:val="22"/>
        </w:rPr>
        <w:t>s</w:t>
      </w:r>
      <w:r w:rsidRPr="00514C8E">
        <w:rPr>
          <w:szCs w:val="22"/>
        </w:rPr>
        <w:t>ections 312 and 503(b) of the Act,</w:t>
      </w:r>
      <w:r>
        <w:rPr>
          <w:rStyle w:val="FootnoteReference"/>
          <w:sz w:val="22"/>
          <w:szCs w:val="22"/>
        </w:rPr>
        <w:footnoteReference w:id="26"/>
      </w:r>
      <w:r w:rsidRPr="00514C8E">
        <w:rPr>
          <w:szCs w:val="22"/>
        </w:rPr>
        <w:t xml:space="preserve"> and the Commission has so interpreted the term in the </w:t>
      </w:r>
      <w:r w:rsidR="000D38BB">
        <w:rPr>
          <w:szCs w:val="22"/>
        </w:rPr>
        <w:t>s</w:t>
      </w:r>
      <w:r w:rsidRPr="00514C8E">
        <w:rPr>
          <w:szCs w:val="22"/>
        </w:rPr>
        <w:t>ection 503(b) context.</w:t>
      </w:r>
      <w:r>
        <w:rPr>
          <w:rStyle w:val="FootnoteReference"/>
          <w:sz w:val="22"/>
          <w:szCs w:val="22"/>
        </w:rPr>
        <w:footnoteReference w:id="27"/>
      </w:r>
      <w:r w:rsidRPr="00514C8E">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28"/>
      </w:r>
    </w:p>
    <w:p w:rsidR="00150BF5" w:rsidRPr="00514C8E" w:rsidP="000128B5" w14:paraId="201016C3" w14:textId="79BD0F0D">
      <w:pPr>
        <w:pStyle w:val="ParaNum"/>
        <w:widowControl/>
        <w:numPr>
          <w:ilvl w:val="0"/>
          <w:numId w:val="10"/>
        </w:numPr>
        <w:tabs>
          <w:tab w:val="clear" w:pos="1080"/>
          <w:tab w:val="left" w:pos="1440"/>
        </w:tabs>
        <w:spacing w:after="220"/>
        <w:rPr>
          <w:szCs w:val="22"/>
        </w:rPr>
      </w:pPr>
      <w:r w:rsidRPr="00514C8E">
        <w:rPr>
          <w:szCs w:val="22"/>
        </w:rPr>
        <w:t>The</w:t>
      </w:r>
      <w:r w:rsidRPr="00514C8E">
        <w:rPr>
          <w:i/>
          <w:szCs w:val="22"/>
        </w:rPr>
        <w:t xml:space="preserve"> </w:t>
      </w:r>
      <w:r w:rsidRPr="00514C8E">
        <w:rPr>
          <w:szCs w:val="22"/>
        </w:rPr>
        <w:t>Commission’s</w:t>
      </w:r>
      <w:r w:rsidRPr="00514C8E">
        <w:rPr>
          <w:i/>
          <w:szCs w:val="22"/>
        </w:rPr>
        <w:t xml:space="preserve"> Forfeiture Policy Statement</w:t>
      </w:r>
      <w:r w:rsidRPr="00514C8E">
        <w:rPr>
          <w:szCs w:val="22"/>
        </w:rPr>
        <w:t xml:space="preserve"> and </w:t>
      </w:r>
      <w:r w:rsidR="000D38BB">
        <w:rPr>
          <w:szCs w:val="22"/>
        </w:rPr>
        <w:t>s</w:t>
      </w:r>
      <w:r w:rsidRPr="00514C8E">
        <w:rPr>
          <w:szCs w:val="22"/>
        </w:rPr>
        <w:t>ection 1.80(b) of the Rules establish a base forfeiture amount of $8,000 for violation</w:t>
      </w:r>
      <w:r w:rsidR="00FD2446">
        <w:rPr>
          <w:szCs w:val="22"/>
        </w:rPr>
        <w:t>s</w:t>
      </w:r>
      <w:r w:rsidRPr="00514C8E">
        <w:rPr>
          <w:szCs w:val="22"/>
        </w:rPr>
        <w:t xml:space="preserve"> of </w:t>
      </w:r>
      <w:r w:rsidR="00F70BC0">
        <w:rPr>
          <w:szCs w:val="22"/>
        </w:rPr>
        <w:t>s</w:t>
      </w:r>
      <w:r w:rsidRPr="00514C8E">
        <w:rPr>
          <w:szCs w:val="22"/>
        </w:rPr>
        <w:t>ection 73.670.</w:t>
      </w:r>
      <w:r>
        <w:rPr>
          <w:rStyle w:val="FootnoteReference"/>
          <w:sz w:val="22"/>
          <w:szCs w:val="22"/>
        </w:rPr>
        <w:footnoteReference w:id="29"/>
      </w:r>
      <w:r w:rsidRPr="00514C8E">
        <w:rPr>
          <w:szCs w:val="22"/>
        </w:rPr>
        <w:t xml:space="preserve">  In determining the appropriate forfeiture amount, we may adjust the base amount upward or downward by considering the factors enumerated in </w:t>
      </w:r>
      <w:r w:rsidR="00F70BC0">
        <w:rPr>
          <w:szCs w:val="22"/>
        </w:rPr>
        <w:t>s</w:t>
      </w:r>
      <w:r w:rsidRPr="00514C8E">
        <w:rPr>
          <w:szCs w:val="22"/>
        </w:rPr>
        <w:t>ection 503(b)(2)(</w:t>
      </w:r>
      <w:r w:rsidRPr="00514C8E" w:rsidR="009828C6">
        <w:rPr>
          <w:szCs w:val="22"/>
        </w:rPr>
        <w:t>E</w:t>
      </w:r>
      <w:r w:rsidRPr="00514C8E">
        <w:rPr>
          <w:szCs w:val="22"/>
        </w:rP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30"/>
      </w:r>
    </w:p>
    <w:p w:rsidR="000E7F48" w:rsidRPr="003A0977" w:rsidP="007C5552" w14:paraId="7979E041" w14:textId="679A4F15">
      <w:pPr>
        <w:pStyle w:val="ParaNum"/>
        <w:numPr>
          <w:ilvl w:val="0"/>
          <w:numId w:val="10"/>
        </w:numPr>
        <w:tabs>
          <w:tab w:val="clear" w:pos="1080"/>
          <w:tab w:val="left" w:pos="1440"/>
        </w:tabs>
        <w:spacing w:after="220"/>
        <w:rPr>
          <w:b/>
          <w:szCs w:val="22"/>
        </w:rPr>
      </w:pPr>
      <w:r w:rsidRPr="0044573C">
        <w:rPr>
          <w:szCs w:val="22"/>
        </w:rPr>
        <w:t xml:space="preserve">In this case, an upward adjustment </w:t>
      </w:r>
      <w:r w:rsidRPr="0044573C">
        <w:rPr>
          <w:szCs w:val="22"/>
        </w:rPr>
        <w:t xml:space="preserve">to $20,000 </w:t>
      </w:r>
      <w:r w:rsidRPr="0044573C">
        <w:rPr>
          <w:szCs w:val="22"/>
        </w:rPr>
        <w:t xml:space="preserve">is justified </w:t>
      </w:r>
      <w:r w:rsidRPr="0044573C" w:rsidR="00174361">
        <w:rPr>
          <w:szCs w:val="22"/>
        </w:rPr>
        <w:t>considering</w:t>
      </w:r>
      <w:r w:rsidRPr="0044573C">
        <w:rPr>
          <w:szCs w:val="22"/>
        </w:rPr>
        <w:t xml:space="preserve"> the number</w:t>
      </w:r>
      <w:r w:rsidRPr="003A0977" w:rsidR="00101984">
        <w:rPr>
          <w:szCs w:val="22"/>
        </w:rPr>
        <w:t>,</w:t>
      </w:r>
      <w:r w:rsidRPr="003A0977">
        <w:rPr>
          <w:szCs w:val="22"/>
        </w:rPr>
        <w:t xml:space="preserve"> nature</w:t>
      </w:r>
      <w:r w:rsidRPr="006200D9" w:rsidR="00101984">
        <w:rPr>
          <w:szCs w:val="22"/>
        </w:rPr>
        <w:t>, and circumstances</w:t>
      </w:r>
      <w:r w:rsidRPr="007C5552">
        <w:rPr>
          <w:szCs w:val="22"/>
        </w:rPr>
        <w:t xml:space="preserve"> of the commercial </w:t>
      </w:r>
      <w:r w:rsidR="00427DFF">
        <w:rPr>
          <w:szCs w:val="22"/>
        </w:rPr>
        <w:t xml:space="preserve">limit </w:t>
      </w:r>
      <w:r w:rsidRPr="007C5552">
        <w:rPr>
          <w:szCs w:val="22"/>
        </w:rPr>
        <w:t xml:space="preserve">overages.  </w:t>
      </w:r>
      <w:r w:rsidRPr="0044573C" w:rsidR="004F5BF4">
        <w:rPr>
          <w:szCs w:val="22"/>
        </w:rPr>
        <w:t xml:space="preserve">While we do not believe that the Licensee has acted in bad faith or that </w:t>
      </w:r>
      <w:r w:rsidRPr="0044573C" w:rsidR="00E531C9">
        <w:rPr>
          <w:szCs w:val="22"/>
        </w:rPr>
        <w:t>it</w:t>
      </w:r>
      <w:r w:rsidRPr="0044573C" w:rsidR="002F0034">
        <w:rPr>
          <w:szCs w:val="22"/>
        </w:rPr>
        <w:t xml:space="preserve"> deliberate</w:t>
      </w:r>
      <w:r w:rsidRPr="003A0977" w:rsidR="00E531C9">
        <w:rPr>
          <w:szCs w:val="22"/>
        </w:rPr>
        <w:t>ly</w:t>
      </w:r>
      <w:r w:rsidRPr="003A0977" w:rsidR="002F0034">
        <w:rPr>
          <w:szCs w:val="22"/>
        </w:rPr>
        <w:t xml:space="preserve"> disregard</w:t>
      </w:r>
      <w:r w:rsidRPr="007C5552" w:rsidR="00E531C9">
        <w:rPr>
          <w:szCs w:val="22"/>
        </w:rPr>
        <w:t>ed</w:t>
      </w:r>
      <w:r w:rsidRPr="007C5552" w:rsidR="002F0034">
        <w:rPr>
          <w:szCs w:val="22"/>
        </w:rPr>
        <w:t xml:space="preserve"> the Commission’s </w:t>
      </w:r>
      <w:r w:rsidR="00427DFF">
        <w:rPr>
          <w:szCs w:val="22"/>
        </w:rPr>
        <w:t>r</w:t>
      </w:r>
      <w:r w:rsidRPr="007C5552" w:rsidR="002F0034">
        <w:rPr>
          <w:szCs w:val="22"/>
        </w:rPr>
        <w:t>ules, w</w:t>
      </w:r>
      <w:r w:rsidRPr="007C5552" w:rsidR="00617B1A">
        <w:rPr>
          <w:szCs w:val="22"/>
        </w:rPr>
        <w:t xml:space="preserve">e are not persuaded by </w:t>
      </w:r>
      <w:r w:rsidRPr="007C5552" w:rsidR="00A128AF">
        <w:rPr>
          <w:szCs w:val="22"/>
        </w:rPr>
        <w:t xml:space="preserve">the </w:t>
      </w:r>
      <w:r w:rsidRPr="00646E16" w:rsidR="00617B1A">
        <w:rPr>
          <w:szCs w:val="22"/>
        </w:rPr>
        <w:t xml:space="preserve">Licensee’s argument that </w:t>
      </w:r>
      <w:r w:rsidRPr="00646E16" w:rsidR="00306347">
        <w:rPr>
          <w:szCs w:val="22"/>
        </w:rPr>
        <w:t>no upward adjustment is warranted.</w:t>
      </w:r>
      <w:r>
        <w:rPr>
          <w:rStyle w:val="FootnoteReference"/>
          <w:szCs w:val="22"/>
        </w:rPr>
        <w:footnoteReference w:id="31"/>
      </w:r>
      <w:r w:rsidRPr="0044573C" w:rsidR="00306347">
        <w:rPr>
          <w:szCs w:val="22"/>
        </w:rPr>
        <w:t xml:space="preserve">  </w:t>
      </w:r>
      <w:r w:rsidRPr="0044573C" w:rsidR="00C27E69">
        <w:rPr>
          <w:szCs w:val="22"/>
        </w:rPr>
        <w:t xml:space="preserve">In support of its argument, </w:t>
      </w:r>
      <w:r w:rsidRPr="0044573C" w:rsidR="00FF5B17">
        <w:rPr>
          <w:szCs w:val="22"/>
        </w:rPr>
        <w:t xml:space="preserve">the </w:t>
      </w:r>
      <w:r w:rsidRPr="003A0977" w:rsidR="00F0740C">
        <w:rPr>
          <w:szCs w:val="22"/>
        </w:rPr>
        <w:t>Licensee cite</w:t>
      </w:r>
      <w:r w:rsidRPr="003A0977" w:rsidR="003F71E6">
        <w:rPr>
          <w:szCs w:val="22"/>
        </w:rPr>
        <w:t>d</w:t>
      </w:r>
      <w:r w:rsidRPr="006200D9" w:rsidR="00F0740C">
        <w:rPr>
          <w:szCs w:val="22"/>
        </w:rPr>
        <w:t xml:space="preserve"> a number of cases</w:t>
      </w:r>
      <w:r w:rsidRPr="006200D9" w:rsidR="00EF0CB7">
        <w:rPr>
          <w:szCs w:val="22"/>
        </w:rPr>
        <w:t xml:space="preserve"> </w:t>
      </w:r>
      <w:r w:rsidRPr="00BD1A33" w:rsidR="00F0740C">
        <w:rPr>
          <w:szCs w:val="22"/>
        </w:rPr>
        <w:t xml:space="preserve">involving commercial limits violations </w:t>
      </w:r>
      <w:r w:rsidR="007D2942">
        <w:rPr>
          <w:szCs w:val="22"/>
        </w:rPr>
        <w:t>where the Commission issued</w:t>
      </w:r>
      <w:r w:rsidRPr="007C5552" w:rsidR="00F0740C">
        <w:rPr>
          <w:szCs w:val="22"/>
        </w:rPr>
        <w:t xml:space="preserve"> the base </w:t>
      </w:r>
      <w:r w:rsidRPr="007C5552" w:rsidR="00324BD0">
        <w:rPr>
          <w:szCs w:val="22"/>
        </w:rPr>
        <w:t xml:space="preserve">forfeiture </w:t>
      </w:r>
      <w:r w:rsidRPr="007C5552" w:rsidR="00F0740C">
        <w:rPr>
          <w:szCs w:val="22"/>
        </w:rPr>
        <w:t>amount of $8,000.</w:t>
      </w:r>
      <w:r>
        <w:rPr>
          <w:rStyle w:val="FootnoteReference"/>
          <w:szCs w:val="22"/>
        </w:rPr>
        <w:footnoteReference w:id="32"/>
      </w:r>
      <w:r w:rsidRPr="0044573C" w:rsidR="00324BD0">
        <w:rPr>
          <w:szCs w:val="22"/>
        </w:rPr>
        <w:t xml:space="preserve">  Th</w:t>
      </w:r>
      <w:r w:rsidRPr="0044573C" w:rsidR="00FF5B17">
        <w:rPr>
          <w:szCs w:val="22"/>
        </w:rPr>
        <w:t xml:space="preserve">ese cases </w:t>
      </w:r>
      <w:r w:rsidRPr="0044573C" w:rsidR="00A82D4A">
        <w:rPr>
          <w:szCs w:val="22"/>
        </w:rPr>
        <w:t xml:space="preserve">are not </w:t>
      </w:r>
      <w:r w:rsidRPr="0044573C" w:rsidR="00B21B71">
        <w:rPr>
          <w:szCs w:val="22"/>
        </w:rPr>
        <w:t xml:space="preserve">analogous </w:t>
      </w:r>
      <w:r w:rsidRPr="003A0977" w:rsidR="00153DCF">
        <w:rPr>
          <w:szCs w:val="22"/>
        </w:rPr>
        <w:t>here</w:t>
      </w:r>
      <w:r w:rsidRPr="003A0977" w:rsidR="00B21B71">
        <w:rPr>
          <w:szCs w:val="22"/>
        </w:rPr>
        <w:t xml:space="preserve"> because they </w:t>
      </w:r>
      <w:r w:rsidRPr="003A0977" w:rsidR="00707967">
        <w:rPr>
          <w:szCs w:val="22"/>
        </w:rPr>
        <w:t xml:space="preserve">involve </w:t>
      </w:r>
      <w:r w:rsidRPr="006200D9" w:rsidR="00284549">
        <w:rPr>
          <w:szCs w:val="22"/>
        </w:rPr>
        <w:t>only conventional commercial overages,</w:t>
      </w:r>
      <w:r w:rsidRPr="00BD1A33" w:rsidR="00284549">
        <w:rPr>
          <w:szCs w:val="22"/>
        </w:rPr>
        <w:t xml:space="preserve"> or a</w:t>
      </w:r>
      <w:r w:rsidRPr="007C5552" w:rsidR="00E021A9">
        <w:rPr>
          <w:szCs w:val="22"/>
        </w:rPr>
        <w:t xml:space="preserve"> combination of far fewer </w:t>
      </w:r>
      <w:r w:rsidRPr="007C5552" w:rsidR="0043098D">
        <w:rPr>
          <w:szCs w:val="22"/>
        </w:rPr>
        <w:t>program-length commercials</w:t>
      </w:r>
      <w:r w:rsidR="006A4C8B">
        <w:rPr>
          <w:szCs w:val="22"/>
        </w:rPr>
        <w:t>, along with</w:t>
      </w:r>
      <w:r w:rsidRPr="007C5552" w:rsidR="00E12F6F">
        <w:rPr>
          <w:szCs w:val="22"/>
        </w:rPr>
        <w:t xml:space="preserve"> </w:t>
      </w:r>
      <w:r w:rsidRPr="007C5552" w:rsidR="00284549">
        <w:rPr>
          <w:szCs w:val="22"/>
        </w:rPr>
        <w:t xml:space="preserve">conventional commercial </w:t>
      </w:r>
      <w:r w:rsidR="00427DFF">
        <w:rPr>
          <w:szCs w:val="22"/>
        </w:rPr>
        <w:t xml:space="preserve">limit </w:t>
      </w:r>
      <w:r w:rsidRPr="007C5552" w:rsidR="00284549">
        <w:rPr>
          <w:szCs w:val="22"/>
        </w:rPr>
        <w:t>overages.</w:t>
      </w:r>
      <w:r>
        <w:rPr>
          <w:rStyle w:val="FootnoteReference"/>
          <w:szCs w:val="22"/>
        </w:rPr>
        <w:footnoteReference w:id="33"/>
      </w:r>
      <w:r w:rsidRPr="0044573C" w:rsidR="00983616">
        <w:rPr>
          <w:szCs w:val="22"/>
        </w:rPr>
        <w:t xml:space="preserve">  </w:t>
      </w:r>
      <w:r w:rsidRPr="003A0977" w:rsidR="00A30584">
        <w:rPr>
          <w:szCs w:val="22"/>
        </w:rPr>
        <w:t>Becaus</w:t>
      </w:r>
      <w:r w:rsidRPr="003A0977" w:rsidR="000B08BA">
        <w:rPr>
          <w:szCs w:val="22"/>
        </w:rPr>
        <w:t xml:space="preserve">e </w:t>
      </w:r>
      <w:r w:rsidRPr="006200D9" w:rsidR="00A642B8">
        <w:rPr>
          <w:szCs w:val="22"/>
        </w:rPr>
        <w:t xml:space="preserve">of the Commission’s strong policy of treating </w:t>
      </w:r>
      <w:r w:rsidRPr="006200D9" w:rsidR="00920A45">
        <w:rPr>
          <w:szCs w:val="22"/>
        </w:rPr>
        <w:t>program-length commercials as extremely serious violations of the children</w:t>
      </w:r>
      <w:r w:rsidRPr="007C5552" w:rsidR="000D2150">
        <w:rPr>
          <w:szCs w:val="22"/>
        </w:rPr>
        <w:t>’</w:t>
      </w:r>
      <w:r w:rsidRPr="007C5552" w:rsidR="00920A45">
        <w:rPr>
          <w:szCs w:val="22"/>
        </w:rPr>
        <w:t>s television commercial limitations, the Commission has routinely assessed higher forfeitures for program-length commercials than for a significantly greater number of conventional overages.</w:t>
      </w:r>
      <w:r>
        <w:rPr>
          <w:rStyle w:val="FootnoteReference"/>
          <w:szCs w:val="22"/>
        </w:rPr>
        <w:footnoteReference w:id="34"/>
      </w:r>
      <w:r w:rsidRPr="0044573C" w:rsidR="00997BBF">
        <w:rPr>
          <w:szCs w:val="22"/>
        </w:rPr>
        <w:t xml:space="preserve">  In</w:t>
      </w:r>
      <w:r w:rsidRPr="0044573C" w:rsidR="002A0A5D">
        <w:rPr>
          <w:szCs w:val="22"/>
        </w:rPr>
        <w:t xml:space="preserve"> addition, we </w:t>
      </w:r>
      <w:r w:rsidRPr="0044573C" w:rsidR="00B15C10">
        <w:rPr>
          <w:szCs w:val="22"/>
        </w:rPr>
        <w:t>reject the Licensee</w:t>
      </w:r>
      <w:r w:rsidRPr="003A0977" w:rsidR="00B15C10">
        <w:rPr>
          <w:szCs w:val="22"/>
        </w:rPr>
        <w:t xml:space="preserve">’s argument that this is merely </w:t>
      </w:r>
      <w:r w:rsidRPr="003A0977" w:rsidR="00512432">
        <w:rPr>
          <w:szCs w:val="22"/>
        </w:rPr>
        <w:t xml:space="preserve">an </w:t>
      </w:r>
      <w:r w:rsidRPr="006200D9" w:rsidR="00512432">
        <w:rPr>
          <w:szCs w:val="22"/>
        </w:rPr>
        <w:t>“is</w:t>
      </w:r>
      <w:r w:rsidRPr="007C5552" w:rsidR="00F40C97">
        <w:rPr>
          <w:szCs w:val="22"/>
        </w:rPr>
        <w:t>olated incident”</w:t>
      </w:r>
      <w:r w:rsidRPr="007C5552" w:rsidR="00DF18FF">
        <w:rPr>
          <w:szCs w:val="22"/>
        </w:rPr>
        <w:t xml:space="preserve"> and the Commission has “</w:t>
      </w:r>
      <w:r w:rsidRPr="00646E16" w:rsidR="00DF18FF">
        <w:rPr>
          <w:szCs w:val="22"/>
        </w:rPr>
        <w:t xml:space="preserve">typically” only </w:t>
      </w:r>
      <w:r w:rsidRPr="00646E16" w:rsidR="002A3CED">
        <w:rPr>
          <w:szCs w:val="22"/>
        </w:rPr>
        <w:t xml:space="preserve">made an </w:t>
      </w:r>
      <w:r w:rsidRPr="00646E16" w:rsidR="002A3CED">
        <w:rPr>
          <w:szCs w:val="22"/>
        </w:rPr>
        <w:t xml:space="preserve">upward adjustment when the </w:t>
      </w:r>
      <w:r w:rsidRPr="00646E16" w:rsidR="00CD3C18">
        <w:rPr>
          <w:szCs w:val="22"/>
        </w:rPr>
        <w:t>“</w:t>
      </w:r>
      <w:r w:rsidRPr="005B1DF0" w:rsidR="002A3CED">
        <w:rPr>
          <w:szCs w:val="22"/>
        </w:rPr>
        <w:t>number or extent of violations has been more willful and/or repeated than was the case here.</w:t>
      </w:r>
      <w:r w:rsidRPr="005B1DF0" w:rsidR="00CD3C18">
        <w:rPr>
          <w:szCs w:val="22"/>
        </w:rPr>
        <w:t>”</w:t>
      </w:r>
      <w:r>
        <w:rPr>
          <w:rStyle w:val="FootnoteReference"/>
          <w:szCs w:val="22"/>
        </w:rPr>
        <w:footnoteReference w:id="35"/>
      </w:r>
      <w:r w:rsidRPr="0044573C" w:rsidR="00A05B64">
        <w:rPr>
          <w:szCs w:val="22"/>
        </w:rPr>
        <w:t xml:space="preserve">  </w:t>
      </w:r>
      <w:r w:rsidRPr="0044573C" w:rsidR="00EB20AD">
        <w:rPr>
          <w:szCs w:val="22"/>
        </w:rPr>
        <w:t xml:space="preserve">In fact, </w:t>
      </w:r>
      <w:r w:rsidRPr="003A0977" w:rsidR="00D20B44">
        <w:rPr>
          <w:szCs w:val="22"/>
        </w:rPr>
        <w:t xml:space="preserve">on numerous </w:t>
      </w:r>
      <w:r w:rsidRPr="007C5552" w:rsidR="00D20B44">
        <w:rPr>
          <w:szCs w:val="22"/>
        </w:rPr>
        <w:t xml:space="preserve">occasions </w:t>
      </w:r>
      <w:r w:rsidRPr="007C5552" w:rsidR="00EB20AD">
        <w:rPr>
          <w:szCs w:val="22"/>
        </w:rPr>
        <w:t xml:space="preserve">the Commission has </w:t>
      </w:r>
      <w:r w:rsidRPr="00646E16" w:rsidR="00EB20AD">
        <w:rPr>
          <w:szCs w:val="22"/>
        </w:rPr>
        <w:t>made a</w:t>
      </w:r>
      <w:r w:rsidR="00D17FDB">
        <w:rPr>
          <w:szCs w:val="22"/>
        </w:rPr>
        <w:t xml:space="preserve"> substantial</w:t>
      </w:r>
      <w:r w:rsidRPr="00646E16" w:rsidR="00EB20AD">
        <w:rPr>
          <w:szCs w:val="22"/>
        </w:rPr>
        <w:t xml:space="preserve"> upward </w:t>
      </w:r>
      <w:r w:rsidRPr="00646E16" w:rsidR="00D20B44">
        <w:rPr>
          <w:szCs w:val="22"/>
        </w:rPr>
        <w:t>adjustment in program-length commercial cases that involved fewer violations than this case.</w:t>
      </w:r>
      <w:r>
        <w:rPr>
          <w:rStyle w:val="FootnoteReference"/>
          <w:sz w:val="22"/>
          <w:szCs w:val="22"/>
        </w:rPr>
        <w:footnoteReference w:id="36"/>
      </w:r>
      <w:r w:rsidRPr="0044573C" w:rsidR="00D20B44">
        <w:rPr>
          <w:szCs w:val="22"/>
        </w:rPr>
        <w:t xml:space="preserve">  </w:t>
      </w:r>
      <w:r w:rsidR="00695200">
        <w:rPr>
          <w:szCs w:val="22"/>
        </w:rPr>
        <w:t>We find that the upward adjustment made here is consistent with this past precedent.</w:t>
      </w:r>
      <w:r w:rsidR="00615530">
        <w:rPr>
          <w:szCs w:val="22"/>
        </w:rPr>
        <w:t xml:space="preserve">  </w:t>
      </w:r>
      <w:r w:rsidRPr="0044573C">
        <w:rPr>
          <w:szCs w:val="22"/>
        </w:rPr>
        <w:t>Accordingly, we find that the Licensee is apparently liable for a forfeiture in the amount of $20,000 for its willful and repeated violation of section 73.670.</w:t>
      </w:r>
      <w:r w:rsidRPr="003A0977">
        <w:rPr>
          <w:szCs w:val="22"/>
        </w:rPr>
        <w:t xml:space="preserve">  </w:t>
      </w:r>
    </w:p>
    <w:p w:rsidR="00150BF5" w:rsidRPr="00514C8E" w:rsidP="00150BF5" w14:paraId="3AA0F147" w14:textId="4E5D1E11">
      <w:pPr>
        <w:pStyle w:val="Heading1"/>
        <w:tabs>
          <w:tab w:val="left" w:pos="720"/>
        </w:tabs>
        <w:rPr>
          <w:rFonts w:ascii="Times New Roman" w:hAnsi="Times New Roman"/>
          <w:szCs w:val="22"/>
        </w:rPr>
      </w:pPr>
      <w:r w:rsidRPr="00514C8E">
        <w:rPr>
          <w:rFonts w:ascii="Times New Roman" w:hAnsi="Times New Roman"/>
          <w:szCs w:val="22"/>
        </w:rPr>
        <w:t xml:space="preserve">Ordering </w:t>
      </w:r>
      <w:r w:rsidR="008D4FD2">
        <w:rPr>
          <w:rFonts w:ascii="Times New Roman" w:hAnsi="Times New Roman"/>
          <w:szCs w:val="22"/>
        </w:rPr>
        <w:t>C</w:t>
      </w:r>
      <w:r w:rsidRPr="00514C8E">
        <w:rPr>
          <w:rFonts w:ascii="Times New Roman" w:hAnsi="Times New Roman"/>
          <w:szCs w:val="22"/>
        </w:rPr>
        <w:t>lauses</w:t>
      </w:r>
    </w:p>
    <w:p w:rsidR="00150BF5" w:rsidRPr="00514C8E" w:rsidP="00150BF5" w14:paraId="7459B876" w14:textId="1F2B591E">
      <w:pPr>
        <w:pStyle w:val="ParaNum"/>
        <w:numPr>
          <w:ilvl w:val="0"/>
          <w:numId w:val="10"/>
        </w:numPr>
        <w:tabs>
          <w:tab w:val="clear" w:pos="1080"/>
          <w:tab w:val="left" w:pos="1440"/>
        </w:tabs>
        <w:spacing w:after="220"/>
        <w:rPr>
          <w:snapToGrid/>
          <w:kern w:val="0"/>
          <w:szCs w:val="22"/>
        </w:rPr>
      </w:pPr>
      <w:r w:rsidRPr="00514C8E">
        <w:rPr>
          <w:szCs w:val="22"/>
        </w:rPr>
        <w:t xml:space="preserve">Accordingly, </w:t>
      </w:r>
      <w:r w:rsidRPr="00514C8E">
        <w:rPr>
          <w:b/>
          <w:bCs/>
          <w:szCs w:val="22"/>
        </w:rPr>
        <w:t>IT IS ORDERED</w:t>
      </w:r>
      <w:r w:rsidRPr="00514C8E">
        <w:rPr>
          <w:szCs w:val="22"/>
        </w:rPr>
        <w:t xml:space="preserve">, pursuant to </w:t>
      </w:r>
      <w:r w:rsidR="000D38BB">
        <w:rPr>
          <w:szCs w:val="22"/>
        </w:rPr>
        <w:t>s</w:t>
      </w:r>
      <w:r w:rsidRPr="00514C8E">
        <w:rPr>
          <w:szCs w:val="22"/>
        </w:rPr>
        <w:t xml:space="preserve">ection 503(b) of the Communications Act of 1934, as amended, and </w:t>
      </w:r>
      <w:r w:rsidR="00427B40">
        <w:rPr>
          <w:szCs w:val="22"/>
        </w:rPr>
        <w:t>s</w:t>
      </w:r>
      <w:r w:rsidRPr="00514C8E">
        <w:rPr>
          <w:szCs w:val="22"/>
        </w:rPr>
        <w:t xml:space="preserve">ection 1.80 of the Commission’s </w:t>
      </w:r>
      <w:r w:rsidR="00E8710F">
        <w:rPr>
          <w:szCs w:val="22"/>
        </w:rPr>
        <w:t>r</w:t>
      </w:r>
      <w:r w:rsidRPr="00514C8E">
        <w:rPr>
          <w:szCs w:val="22"/>
        </w:rPr>
        <w:t xml:space="preserve">ules, that </w:t>
      </w:r>
      <w:r w:rsidRPr="00514C8E" w:rsidR="006F41FC">
        <w:rPr>
          <w:szCs w:val="22"/>
        </w:rPr>
        <w:t>Deerfield Media (Baltimore) Licensee, LLC</w:t>
      </w:r>
      <w:r w:rsidRPr="00514C8E">
        <w:rPr>
          <w:szCs w:val="22"/>
        </w:rPr>
        <w:t xml:space="preserve"> is hereby </w:t>
      </w:r>
      <w:r w:rsidRPr="00D1041E">
        <w:rPr>
          <w:b/>
          <w:bCs/>
          <w:szCs w:val="22"/>
        </w:rPr>
        <w:t>NOTIFIED</w:t>
      </w:r>
      <w:r w:rsidRPr="00514C8E">
        <w:rPr>
          <w:szCs w:val="22"/>
        </w:rPr>
        <w:t xml:space="preserve"> of its </w:t>
      </w:r>
      <w:r w:rsidRPr="00D1041E">
        <w:rPr>
          <w:b/>
          <w:bCs/>
          <w:szCs w:val="22"/>
        </w:rPr>
        <w:t>APPARENT LIABILITY FOR FORFEITURE</w:t>
      </w:r>
      <w:r w:rsidRPr="00514C8E">
        <w:rPr>
          <w:szCs w:val="22"/>
        </w:rPr>
        <w:t xml:space="preserve"> in the amount of </w:t>
      </w:r>
      <w:r w:rsidRPr="00514C8E" w:rsidR="00AF1FE3">
        <w:rPr>
          <w:szCs w:val="22"/>
        </w:rPr>
        <w:t>twenty</w:t>
      </w:r>
      <w:r w:rsidRPr="00514C8E">
        <w:rPr>
          <w:szCs w:val="22"/>
        </w:rPr>
        <w:t xml:space="preserve"> thousand dollars ($</w:t>
      </w:r>
      <w:r w:rsidRPr="00514C8E" w:rsidR="00AF1FE3">
        <w:rPr>
          <w:szCs w:val="22"/>
        </w:rPr>
        <w:t>2</w:t>
      </w:r>
      <w:r w:rsidRPr="00514C8E" w:rsidR="007439A6">
        <w:rPr>
          <w:szCs w:val="22"/>
        </w:rPr>
        <w:t>0</w:t>
      </w:r>
      <w:r w:rsidRPr="00514C8E" w:rsidR="00AF1FE3">
        <w:rPr>
          <w:szCs w:val="22"/>
        </w:rPr>
        <w:t>,000</w:t>
      </w:r>
      <w:r w:rsidRPr="00514C8E">
        <w:rPr>
          <w:szCs w:val="22"/>
        </w:rPr>
        <w:t xml:space="preserve">) for its apparent willful and repeated violation of </w:t>
      </w:r>
      <w:r w:rsidR="00761213">
        <w:rPr>
          <w:szCs w:val="22"/>
        </w:rPr>
        <w:t>s</w:t>
      </w:r>
      <w:r w:rsidRPr="00514C8E">
        <w:rPr>
          <w:szCs w:val="22"/>
        </w:rPr>
        <w:t xml:space="preserve">ection 73.670 of the Commission’s </w:t>
      </w:r>
      <w:r w:rsidR="00877331">
        <w:rPr>
          <w:szCs w:val="22"/>
        </w:rPr>
        <w:t>r</w:t>
      </w:r>
      <w:r w:rsidRPr="00514C8E">
        <w:rPr>
          <w:szCs w:val="22"/>
        </w:rPr>
        <w:t xml:space="preserve">ules. </w:t>
      </w:r>
    </w:p>
    <w:p w:rsidR="00150BF5" w:rsidRPr="00514C8E" w:rsidP="00150BF5" w14:paraId="3106789C" w14:textId="1470D994">
      <w:pPr>
        <w:pStyle w:val="ParaNum"/>
        <w:numPr>
          <w:ilvl w:val="0"/>
          <w:numId w:val="10"/>
        </w:numPr>
        <w:tabs>
          <w:tab w:val="clear" w:pos="1080"/>
          <w:tab w:val="left" w:pos="1440"/>
        </w:tabs>
        <w:spacing w:after="220"/>
        <w:rPr>
          <w:szCs w:val="22"/>
        </w:rPr>
      </w:pPr>
      <w:r w:rsidRPr="00514C8E">
        <w:rPr>
          <w:b/>
          <w:bCs/>
          <w:szCs w:val="22"/>
        </w:rPr>
        <w:t>IT IS FURTHER ORDERED</w:t>
      </w:r>
      <w:r w:rsidRPr="00514C8E">
        <w:rPr>
          <w:szCs w:val="22"/>
        </w:rPr>
        <w:t xml:space="preserve">, pursuant to </w:t>
      </w:r>
      <w:r w:rsidR="000D38BB">
        <w:rPr>
          <w:szCs w:val="22"/>
        </w:rPr>
        <w:t>s</w:t>
      </w:r>
      <w:r w:rsidRPr="00514C8E">
        <w:rPr>
          <w:szCs w:val="22"/>
        </w:rPr>
        <w:t xml:space="preserve">ection 1.80 of the Commission’s </w:t>
      </w:r>
      <w:r w:rsidR="009475DD">
        <w:rPr>
          <w:szCs w:val="22"/>
        </w:rPr>
        <w:t>r</w:t>
      </w:r>
      <w:r w:rsidRPr="00514C8E">
        <w:rPr>
          <w:szCs w:val="22"/>
        </w:rPr>
        <w:t xml:space="preserve">ules, that, within thirty (30) days of the release date of this </w:t>
      </w:r>
      <w:r w:rsidRPr="00514C8E">
        <w:rPr>
          <w:i/>
          <w:szCs w:val="22"/>
        </w:rPr>
        <w:t>NAL,</w:t>
      </w:r>
      <w:r w:rsidRPr="00514C8E">
        <w:rPr>
          <w:szCs w:val="22"/>
        </w:rPr>
        <w:t xml:space="preserve"> </w:t>
      </w:r>
      <w:r w:rsidRPr="00514C8E" w:rsidR="006F41FC">
        <w:rPr>
          <w:szCs w:val="22"/>
        </w:rPr>
        <w:t>Deerfield Media (Baltimore) Licensee, LLC</w:t>
      </w:r>
      <w:r w:rsidRPr="00514C8E">
        <w:rPr>
          <w:szCs w:val="22"/>
        </w:rPr>
        <w:t xml:space="preserve"> </w:t>
      </w:r>
      <w:r w:rsidRPr="00D1041E">
        <w:rPr>
          <w:b/>
          <w:bCs/>
          <w:szCs w:val="22"/>
        </w:rPr>
        <w:t>SHALL PAY</w:t>
      </w:r>
      <w:r w:rsidRPr="00514C8E">
        <w:rPr>
          <w:szCs w:val="22"/>
        </w:rPr>
        <w:t xml:space="preserve"> the full amount of the proposed forfeiture or </w:t>
      </w:r>
      <w:r w:rsidRPr="00D1041E">
        <w:rPr>
          <w:b/>
          <w:bCs/>
          <w:szCs w:val="22"/>
        </w:rPr>
        <w:t>SHALL FILE</w:t>
      </w:r>
      <w:r w:rsidRPr="00514C8E">
        <w:rPr>
          <w:szCs w:val="22"/>
        </w:rPr>
        <w:t xml:space="preserve"> a written statement seeking reduction or cancellation of the proposed forfeiture.  </w:t>
      </w:r>
    </w:p>
    <w:p w:rsidR="00AF1FE3" w:rsidRPr="00BE3744" w:rsidP="00BE3744" w14:paraId="340D9B85" w14:textId="5CFC9EE6">
      <w:pPr>
        <w:pStyle w:val="ParaNum"/>
        <w:numPr>
          <w:ilvl w:val="0"/>
          <w:numId w:val="10"/>
        </w:numPr>
        <w:tabs>
          <w:tab w:val="clear" w:pos="1080"/>
          <w:tab w:val="left" w:pos="1440"/>
        </w:tabs>
        <w:spacing w:after="220"/>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37"/>
      </w:r>
      <w:r w:rsidRPr="00514C8E">
        <w:rPr>
          <w:szCs w:val="22"/>
        </w:rPr>
        <w:t xml:space="preserve"> or by wire transfer.  The Commission no longer accepts forfeiture payments by check or money </w:t>
      </w:r>
      <w:r w:rsidRPr="00514C8E">
        <w:rPr>
          <w:szCs w:val="22"/>
        </w:rPr>
        <w:t>order.  Below are instructions that payors should follow based on the form of payment selected:</w:t>
      </w:r>
      <w:r>
        <w:rPr>
          <w:rStyle w:val="FootnoteReference"/>
          <w:sz w:val="22"/>
          <w:szCs w:val="22"/>
        </w:rPr>
        <w:footnoteReference w:id="38"/>
      </w:r>
      <w:r w:rsidRPr="00514C8E">
        <w:rPr>
          <w:szCs w:val="22"/>
        </w:rPr>
        <w:t xml:space="preserve"> </w:t>
      </w:r>
    </w:p>
    <w:p w:rsidR="00AF1FE3" w:rsidRPr="00514C8E" w:rsidP="00AF1FE3" w14:paraId="09141F8D" w14:textId="77777777">
      <w:pPr>
        <w:numPr>
          <w:ilvl w:val="0"/>
          <w:numId w:val="18"/>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AF1FE3" w:rsidRPr="00514C8E" w:rsidP="00AF1FE3" w14:paraId="640B1CB7" w14:textId="04142FD6">
      <w:pPr>
        <w:widowControl/>
        <w:numPr>
          <w:ilvl w:val="0"/>
          <w:numId w:val="18"/>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AF1FE3" w:rsidRPr="00BE3744" w:rsidP="00BE3744" w14:paraId="1D040618" w14:textId="703FCDC8">
      <w:pPr>
        <w:widowControl/>
        <w:numPr>
          <w:ilvl w:val="0"/>
          <w:numId w:val="18"/>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668EC" w:rsidP="006668EC" w14:paraId="5732D01D" w14:textId="61E830CB">
      <w:pPr>
        <w:pStyle w:val="ParaNum"/>
        <w:numPr>
          <w:ilvl w:val="0"/>
          <w:numId w:val="10"/>
        </w:numPr>
        <w:tabs>
          <w:tab w:val="clear" w:pos="1080"/>
          <w:tab w:val="left" w:pos="1440"/>
        </w:tabs>
        <w:spacing w:after="220"/>
        <w:rPr>
          <w:szCs w:val="22"/>
        </w:rPr>
      </w:pPr>
      <w:r w:rsidRPr="00514C8E">
        <w:rPr>
          <w:szCs w:val="22"/>
        </w:rPr>
        <w:t xml:space="preserve">The </w:t>
      </w:r>
      <w:r w:rsidR="00525F98">
        <w:rPr>
          <w:szCs w:val="22"/>
        </w:rPr>
        <w:t xml:space="preserve">written </w:t>
      </w:r>
      <w:r w:rsidRPr="00514C8E">
        <w:rPr>
          <w:szCs w:val="22"/>
        </w:rPr>
        <w:t>response</w:t>
      </w:r>
      <w:r w:rsidR="00525F98">
        <w:rPr>
          <w:szCs w:val="22"/>
        </w:rPr>
        <w:t xml:space="preserve"> seeking reduction or cancellation of the proposed forfeiture</w:t>
      </w:r>
      <w:r w:rsidRPr="00514C8E">
        <w:rPr>
          <w:szCs w:val="22"/>
        </w:rPr>
        <w:t xml:space="preserve">, if any, must </w:t>
      </w:r>
      <w:r w:rsidRPr="00525F98" w:rsidR="00525F98">
        <w:rPr>
          <w:szCs w:val="22"/>
        </w:rPr>
        <w:t>include a detailed factual statement supported by appropriate documentation and affidavits pursuant to sections 1.16 and 1.80(f)(3) of the Commission’s rules</w:t>
      </w:r>
      <w:r w:rsidR="00525F98">
        <w:rPr>
          <w:szCs w:val="22"/>
        </w:rPr>
        <w:t>.</w:t>
      </w:r>
      <w:r>
        <w:rPr>
          <w:rStyle w:val="FootnoteReference"/>
          <w:szCs w:val="22"/>
        </w:rPr>
        <w:footnoteReference w:id="40"/>
      </w:r>
      <w:r w:rsidR="00525F98">
        <w:rPr>
          <w:szCs w:val="22"/>
        </w:rPr>
        <w:t xml:space="preserve">  The written response must </w:t>
      </w:r>
      <w:r w:rsidRPr="00514C8E">
        <w:rPr>
          <w:szCs w:val="22"/>
        </w:rPr>
        <w:t xml:space="preserve">be </w:t>
      </w:r>
      <w:r w:rsidR="00FC2EE0">
        <w:rPr>
          <w:szCs w:val="22"/>
        </w:rPr>
        <w:t>filed with the</w:t>
      </w:r>
      <w:r w:rsidRPr="00514C8E">
        <w:rPr>
          <w:szCs w:val="22"/>
        </w:rPr>
        <w:t xml:space="preserve"> Office of the Secretary, Federal Communications Commission, </w:t>
      </w:r>
      <w:r w:rsidR="00D1041E">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w:t>
      </w:r>
      <w:r w:rsidRPr="00514C8E" w:rsidR="00AF1FE3">
        <w:rPr>
          <w:szCs w:val="22"/>
        </w:rPr>
        <w:t xml:space="preserve">  A courtesy copy </w:t>
      </w:r>
      <w:r w:rsidR="00525F98">
        <w:rPr>
          <w:szCs w:val="22"/>
        </w:rPr>
        <w:t xml:space="preserve">should also be </w:t>
      </w:r>
      <w:r w:rsidRPr="00514C8E" w:rsidR="00AF1FE3">
        <w:rPr>
          <w:szCs w:val="22"/>
        </w:rPr>
        <w:t xml:space="preserve">emailed to </w:t>
      </w:r>
      <w:hyperlink r:id="rId8" w:history="1">
        <w:r w:rsidRPr="00514C8E" w:rsidR="00AF1FE3">
          <w:rPr>
            <w:rStyle w:val="Hyperlink"/>
            <w:szCs w:val="22"/>
          </w:rPr>
          <w:t>Andrew.Kennedy@fcc.gov</w:t>
        </w:r>
      </w:hyperlink>
      <w:r w:rsidRPr="00514C8E" w:rsidR="00AF1FE3">
        <w:rPr>
          <w:szCs w:val="22"/>
        </w:rPr>
        <w:t xml:space="preserve"> </w:t>
      </w:r>
      <w:r w:rsidR="00525F98">
        <w:rPr>
          <w:szCs w:val="22"/>
        </w:rPr>
        <w:t>to</w:t>
      </w:r>
      <w:r w:rsidRPr="00514C8E" w:rsidR="00525F98">
        <w:rPr>
          <w:szCs w:val="22"/>
        </w:rPr>
        <w:t xml:space="preserve"> </w:t>
      </w:r>
      <w:r w:rsidRPr="00514C8E" w:rsidR="00AF1FE3">
        <w:rPr>
          <w:szCs w:val="22"/>
        </w:rPr>
        <w:t>assist in processing the response.</w:t>
      </w:r>
    </w:p>
    <w:p w:rsidR="00FB1AC6" w:rsidRPr="00FB1AC6" w:rsidP="00FB1AC6" w14:paraId="36853FCE" w14:textId="77777777">
      <w:pPr>
        <w:widowControl/>
        <w:numPr>
          <w:ilvl w:val="0"/>
          <w:numId w:val="18"/>
        </w:numPr>
        <w:spacing w:after="120"/>
        <w:rPr>
          <w:szCs w:val="22"/>
        </w:rPr>
      </w:pPr>
      <w:r w:rsidRPr="00FB1AC6">
        <w:rPr>
          <w:szCs w:val="22"/>
        </w:rPr>
        <w:t>Filings</w:t>
      </w:r>
      <w:r w:rsidRPr="000C4D69">
        <w:t xml:space="preserve"> can be sent by commercial overnight courier, or by first-class or overnight U.S. Postal Service mail. </w:t>
      </w:r>
      <w:r w:rsidR="00186FF7">
        <w:t xml:space="preserve"> </w:t>
      </w:r>
      <w:r w:rsidRPr="000C4D69">
        <w:t>All filings must be addressed to the Commission’s Secretary, Office of the Secretary, Federal Communications Commission.</w:t>
      </w:r>
      <w:r>
        <w:rPr>
          <w:rStyle w:val="FootnoteReference"/>
        </w:rPr>
        <w:footnoteReference w:id="41"/>
      </w:r>
    </w:p>
    <w:p w:rsidR="00FB1AC6" w:rsidRPr="00FB1AC6" w:rsidP="00FB1AC6" w14:paraId="5C4C8975" w14:textId="77777777">
      <w:pPr>
        <w:widowControl/>
        <w:numPr>
          <w:ilvl w:val="1"/>
          <w:numId w:val="18"/>
        </w:numPr>
        <w:spacing w:after="120"/>
        <w:rPr>
          <w:szCs w:val="22"/>
        </w:rPr>
      </w:pPr>
      <w:r w:rsidRPr="000C4D69">
        <w:t xml:space="preserve">Commercial overnight mail (other than U.S. Postal Service Express Mail and Priority Mail) must be sent to 9050 Junction Drive, Annapolis Junction, MD 20701. </w:t>
      </w:r>
    </w:p>
    <w:p w:rsidR="006668EC" w:rsidRPr="00FB1AC6" w:rsidP="00FB1AC6" w14:paraId="1BC52CCB" w14:textId="295FF963">
      <w:pPr>
        <w:widowControl/>
        <w:numPr>
          <w:ilvl w:val="1"/>
          <w:numId w:val="18"/>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rsidR="004B6915">
        <w:t>,</w:t>
      </w:r>
      <w:r w:rsidRPr="000C4D69">
        <w:t xml:space="preserve"> DC 20554</w:t>
      </w:r>
      <w:r w:rsidR="00176AE0">
        <w:t>.</w:t>
      </w:r>
    </w:p>
    <w:p w:rsidR="00150BF5" w:rsidRPr="00514C8E" w:rsidP="00150BF5" w14:paraId="70AE4B99" w14:textId="02471E18">
      <w:pPr>
        <w:pStyle w:val="ParaNum"/>
        <w:numPr>
          <w:ilvl w:val="0"/>
          <w:numId w:val="10"/>
        </w:numPr>
        <w:tabs>
          <w:tab w:val="clear" w:pos="1080"/>
          <w:tab w:val="left" w:pos="1440"/>
        </w:tabs>
        <w:spacing w:after="220"/>
        <w:rPr>
          <w:szCs w:val="22"/>
        </w:rPr>
      </w:pPr>
      <w:r w:rsidRPr="00514C8E">
        <w:rPr>
          <w:szCs w:val="22"/>
        </w:rPr>
        <w:t xml:space="preserve">The Commission will not consider reducing or canceling a forfeiture in response to a claim of inability to pay unless the respondent submits: </w:t>
      </w:r>
      <w:r w:rsidR="00063135">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00615530">
        <w:rPr>
          <w:szCs w:val="22"/>
        </w:rPr>
        <w:t xml:space="preserve">  </w:t>
      </w:r>
      <w:r w:rsidRPr="00615530" w:rsid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sidR="0046167D">
        <w:rPr>
          <w:szCs w:val="22"/>
        </w:rPr>
        <w:t>.</w:t>
      </w:r>
      <w:r>
        <w:rPr>
          <w:rStyle w:val="FootnoteReference"/>
          <w:szCs w:val="22"/>
        </w:rPr>
        <w:footnoteReference w:id="42"/>
      </w:r>
      <w:r w:rsidRPr="00514C8E" w:rsidR="00AF1FE3">
        <w:rPr>
          <w:szCs w:val="22"/>
        </w:rPr>
        <w:t xml:space="preserve"> </w:t>
      </w:r>
      <w:r w:rsidRPr="00514C8E">
        <w:rPr>
          <w:szCs w:val="22"/>
        </w:rPr>
        <w:t xml:space="preserve"> </w:t>
      </w:r>
    </w:p>
    <w:p w:rsidR="00951769" w:rsidRPr="00514C8E" w:rsidP="00951769" w14:paraId="364F15CC" w14:textId="318CFE70">
      <w:pPr>
        <w:pStyle w:val="ParaNum"/>
        <w:numPr>
          <w:ilvl w:val="0"/>
          <w:numId w:val="10"/>
        </w:numPr>
        <w:tabs>
          <w:tab w:val="clear" w:pos="1080"/>
          <w:tab w:val="left" w:pos="1440"/>
        </w:tabs>
        <w:spacing w:after="220"/>
        <w:rPr>
          <w:szCs w:val="22"/>
        </w:rPr>
      </w:pPr>
      <w:r w:rsidRPr="00514C8E">
        <w:rPr>
          <w:szCs w:val="22"/>
        </w:rPr>
        <w:t xml:space="preserve">Requests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sidR="00D1041E">
        <w:rPr>
          <w:szCs w:val="22"/>
        </w:rPr>
        <w:t>45 L</w:t>
      </w:r>
      <w:r w:rsidRPr="00514C8E">
        <w:rPr>
          <w:szCs w:val="22"/>
        </w:rPr>
        <w:t xml:space="preserve"> Street, </w:t>
      </w:r>
      <w:r w:rsidR="00D1041E">
        <w:rPr>
          <w:szCs w:val="22"/>
        </w:rPr>
        <w:t>N.E.</w:t>
      </w:r>
      <w:r w:rsidRPr="00514C8E">
        <w:rPr>
          <w:szCs w:val="22"/>
        </w:rPr>
        <w:t>, Washington, DC 20554.</w:t>
      </w:r>
      <w:r>
        <w:rPr>
          <w:szCs w:val="22"/>
          <w:vertAlign w:val="superscript"/>
        </w:rPr>
        <w:footnoteReference w:id="43"/>
      </w:r>
      <w:r w:rsidRPr="00514C8E">
        <w:rPr>
          <w:szCs w:val="22"/>
        </w:rPr>
        <w:t xml:space="preserve">  Questions regarding payment procedures should be directed to the Financial Operations Group Help Desk by phone, 1-877-480-3201</w:t>
      </w:r>
      <w:r w:rsidR="00525F98">
        <w:rPr>
          <w:szCs w:val="22"/>
        </w:rPr>
        <w:t xml:space="preserve"> (option #6)</w:t>
      </w:r>
      <w:r w:rsidRPr="00514C8E">
        <w:rPr>
          <w:szCs w:val="22"/>
        </w:rPr>
        <w:t>, or by e-mail</w:t>
      </w:r>
      <w:r w:rsidR="00525F98">
        <w:rPr>
          <w:szCs w:val="22"/>
        </w:rPr>
        <w:t xml:space="preserve"> at </w:t>
      </w:r>
      <w:r w:rsidRPr="00514C8E">
        <w:rPr>
          <w:szCs w:val="22"/>
        </w:rPr>
        <w:t xml:space="preserve"> </w:t>
      </w:r>
      <w:hyperlink r:id="rId9" w:history="1">
        <w:r w:rsidRPr="00514C8E" w:rsidR="006F41FC">
          <w:rPr>
            <w:rStyle w:val="Hyperlink"/>
            <w:szCs w:val="22"/>
          </w:rPr>
          <w:t>ARINQUIRIES@fcc.gov</w:t>
        </w:r>
      </w:hyperlink>
      <w:r w:rsidRPr="00514C8E">
        <w:rPr>
          <w:szCs w:val="22"/>
        </w:rPr>
        <w:t>.</w:t>
      </w:r>
    </w:p>
    <w:p w:rsidR="00141150" w:rsidRPr="00141150" w:rsidP="00141150" w14:paraId="48709279" w14:textId="2EE71E58">
      <w:pPr>
        <w:pStyle w:val="ParaNum"/>
        <w:keepNext/>
        <w:keepLines/>
        <w:numPr>
          <w:ilvl w:val="0"/>
          <w:numId w:val="10"/>
        </w:numPr>
        <w:tabs>
          <w:tab w:val="clear" w:pos="1080"/>
          <w:tab w:val="left" w:pos="1440"/>
        </w:tabs>
        <w:spacing w:after="220"/>
        <w:rPr>
          <w:szCs w:val="22"/>
        </w:rPr>
      </w:pPr>
      <w:r w:rsidRPr="00514C8E">
        <w:rPr>
          <w:b/>
          <w:bCs/>
          <w:szCs w:val="22"/>
        </w:rPr>
        <w:t>IT IS FURTHER ORDERED</w:t>
      </w:r>
      <w:r w:rsidRPr="00514C8E">
        <w:rPr>
          <w:szCs w:val="22"/>
        </w:rPr>
        <w:t xml:space="preserve"> that copies of this </w:t>
      </w:r>
      <w:r w:rsidRPr="00514C8E">
        <w:rPr>
          <w:i/>
          <w:szCs w:val="22"/>
        </w:rPr>
        <w:t>NAL</w:t>
      </w:r>
      <w:r w:rsidRPr="00514C8E">
        <w:rPr>
          <w:szCs w:val="22"/>
        </w:rPr>
        <w:t xml:space="preserve"> shall be sent, by First Class and Certified Mail, Return Receipt Requested, to </w:t>
      </w:r>
      <w:r w:rsidRPr="00514C8E" w:rsidR="006F41FC">
        <w:rPr>
          <w:szCs w:val="22"/>
        </w:rPr>
        <w:t>Deerfield Media (Baltimore) Licensee, LLC</w:t>
      </w:r>
      <w:r w:rsidRPr="00514C8E">
        <w:rPr>
          <w:szCs w:val="22"/>
        </w:rPr>
        <w:t xml:space="preserve">, c/o Pillsbury Winthrop Shaw Pitman LLP, </w:t>
      </w:r>
      <w:r w:rsidRPr="00514C8E" w:rsidR="006F41FC">
        <w:rPr>
          <w:szCs w:val="22"/>
        </w:rPr>
        <w:t>1200 Seventeenth Street, N</w:t>
      </w:r>
      <w:r w:rsidR="00220C8A">
        <w:rPr>
          <w:szCs w:val="22"/>
        </w:rPr>
        <w:t>.</w:t>
      </w:r>
      <w:r w:rsidRPr="00514C8E" w:rsidR="006F41FC">
        <w:rPr>
          <w:szCs w:val="22"/>
        </w:rPr>
        <w:t>W</w:t>
      </w:r>
      <w:r w:rsidR="00220C8A">
        <w:rPr>
          <w:szCs w:val="22"/>
        </w:rPr>
        <w:t>.</w:t>
      </w:r>
      <w:r w:rsidRPr="00514C8E" w:rsidR="006F41FC">
        <w:rPr>
          <w:szCs w:val="22"/>
        </w:rPr>
        <w:t>, Washington, DC 20036</w:t>
      </w:r>
      <w:r w:rsidRPr="00514C8E">
        <w:rPr>
          <w:szCs w:val="22"/>
        </w:rPr>
        <w:t>, and to its counsel,</w:t>
      </w:r>
      <w:r w:rsidRPr="00514C8E">
        <w:rPr>
          <w:b/>
          <w:szCs w:val="22"/>
        </w:rPr>
        <w:t xml:space="preserve"> </w:t>
      </w:r>
      <w:r w:rsidRPr="00514C8E" w:rsidR="006F41FC">
        <w:rPr>
          <w:szCs w:val="22"/>
        </w:rPr>
        <w:t>Scott R. Flick</w:t>
      </w:r>
      <w:r w:rsidRPr="00514C8E">
        <w:rPr>
          <w:szCs w:val="22"/>
        </w:rPr>
        <w:t xml:space="preserve">, Esquire, Pillsbury Winthrop Shaw Pittman, LLP, </w:t>
      </w:r>
      <w:r w:rsidRPr="00514C8E" w:rsidR="006F41FC">
        <w:rPr>
          <w:szCs w:val="22"/>
        </w:rPr>
        <w:t>1200 Seventeenth Street, N</w:t>
      </w:r>
      <w:r w:rsidR="00220C8A">
        <w:rPr>
          <w:szCs w:val="22"/>
        </w:rPr>
        <w:t>.</w:t>
      </w:r>
      <w:r w:rsidRPr="00514C8E" w:rsidR="006F41FC">
        <w:rPr>
          <w:szCs w:val="22"/>
        </w:rPr>
        <w:t>W</w:t>
      </w:r>
      <w:r w:rsidR="00220C8A">
        <w:rPr>
          <w:szCs w:val="22"/>
        </w:rPr>
        <w:t>.</w:t>
      </w:r>
      <w:r w:rsidRPr="00514C8E" w:rsidR="006F41FC">
        <w:rPr>
          <w:szCs w:val="22"/>
        </w:rPr>
        <w:t>, Washington, DC 20036</w:t>
      </w:r>
      <w:r w:rsidRPr="00514C8E">
        <w:rPr>
          <w:szCs w:val="22"/>
        </w:rPr>
        <w:t>.</w:t>
      </w:r>
    </w:p>
    <w:p w:rsidR="00141150" w:rsidP="00276E5D" w14:paraId="0BC8F5E3" w14:textId="77777777">
      <w:r>
        <w:tab/>
      </w:r>
      <w:r>
        <w:tab/>
      </w:r>
      <w:r>
        <w:tab/>
      </w:r>
      <w:r>
        <w:tab/>
      </w:r>
      <w:r>
        <w:tab/>
      </w:r>
      <w:r>
        <w:tab/>
        <w:t>FEDERAL COMMUNICATIONS COMMISSION</w:t>
      </w:r>
    </w:p>
    <w:p w:rsidR="00141150" w:rsidP="00276E5D" w14:paraId="378DCA7A" w14:textId="77777777"/>
    <w:p w:rsidR="00141150" w:rsidP="00276E5D" w14:paraId="559D68F6" w14:textId="77777777"/>
    <w:p w:rsidR="00141150" w:rsidP="00276E5D" w14:paraId="12D07984" w14:textId="0E4AB567">
      <w:r>
        <w:tab/>
      </w:r>
      <w:r>
        <w:tab/>
      </w:r>
      <w:r>
        <w:tab/>
      </w:r>
      <w:r>
        <w:tab/>
      </w:r>
      <w:r>
        <w:tab/>
      </w:r>
      <w:r>
        <w:tab/>
      </w:r>
      <w:bookmarkStart w:id="4" w:name="_GoBack"/>
      <w:bookmarkEnd w:id="4"/>
    </w:p>
    <w:p w:rsidR="00141150" w:rsidP="00276E5D" w14:paraId="62D26FC1" w14:textId="77777777"/>
    <w:p w:rsidR="00141150" w:rsidP="00276E5D" w14:paraId="3E161ECC" w14:textId="4B4699AB">
      <w:r>
        <w:tab/>
      </w:r>
      <w:r>
        <w:tab/>
      </w:r>
      <w:r>
        <w:tab/>
      </w:r>
      <w:r>
        <w:tab/>
      </w:r>
      <w:r>
        <w:tab/>
      </w:r>
      <w:r>
        <w:tab/>
        <w:t xml:space="preserve">Barbara A. Kreisman </w:t>
      </w:r>
    </w:p>
    <w:p w:rsidR="00AA63F4" w:rsidP="00AA63F4" w14:paraId="040B2C01" w14:textId="77777777">
      <w:r>
        <w:tab/>
      </w:r>
      <w:r>
        <w:tab/>
      </w:r>
      <w:r>
        <w:tab/>
      </w:r>
      <w:r>
        <w:tab/>
      </w:r>
      <w:r>
        <w:tab/>
      </w:r>
      <w:r>
        <w:tab/>
        <w:t>Chief, Video Division</w:t>
      </w:r>
    </w:p>
    <w:p w:rsidR="003E623A" w:rsidRPr="00AA63F4" w:rsidP="00AA63F4" w14:paraId="092E6271" w14:textId="7AFAD6B1">
      <w:pPr>
        <w:ind w:left="3600" w:firstLine="720"/>
      </w:pPr>
      <w:r>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DD7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D12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83489" w14:paraId="4E94FE2F" w14:textId="2C581B3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45209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65B1" w14:paraId="076E0F87" w14:textId="77777777">
      <w:r>
        <w:separator/>
      </w:r>
    </w:p>
  </w:footnote>
  <w:footnote w:type="continuationSeparator" w:id="1">
    <w:p w:rsidR="008465B1" w:rsidP="00C721AC" w14:paraId="22F04595" w14:textId="77777777">
      <w:pPr>
        <w:spacing w:before="120"/>
        <w:rPr>
          <w:sz w:val="20"/>
        </w:rPr>
      </w:pPr>
      <w:r>
        <w:rPr>
          <w:sz w:val="20"/>
        </w:rPr>
        <w:t xml:space="preserve">(Continued from previous page)  </w:t>
      </w:r>
      <w:r>
        <w:rPr>
          <w:sz w:val="20"/>
        </w:rPr>
        <w:separator/>
      </w:r>
    </w:p>
  </w:footnote>
  <w:footnote w:type="continuationNotice" w:id="2">
    <w:p w:rsidR="008465B1" w:rsidP="00C721AC" w14:paraId="79A0BFE5" w14:textId="77777777">
      <w:pPr>
        <w:jc w:val="right"/>
        <w:rPr>
          <w:sz w:val="20"/>
        </w:rPr>
      </w:pPr>
      <w:r>
        <w:rPr>
          <w:sz w:val="20"/>
        </w:rPr>
        <w:t>(continued….)</w:t>
      </w:r>
    </w:p>
  </w:footnote>
  <w:footnote w:id="3">
    <w:p w:rsidR="00150BF5" w:rsidRPr="00514C8E" w:rsidP="00150BF5" w14:paraId="7A95ACE8" w14:textId="4B9126B6">
      <w:pPr>
        <w:pStyle w:val="FootnoteText"/>
      </w:pPr>
      <w:r w:rsidRPr="00514C8E">
        <w:rPr>
          <w:rStyle w:val="FootnoteReference"/>
        </w:rPr>
        <w:footnoteRef/>
      </w:r>
      <w:r w:rsidRPr="00514C8E">
        <w:t xml:space="preserve"> 47 U.S.C. § 503(b); 47 </w:t>
      </w:r>
      <w:r w:rsidR="00353EB6">
        <w:t>CFR</w:t>
      </w:r>
      <w:r w:rsidRPr="00514C8E">
        <w:t xml:space="preserve"> § 1.80.</w:t>
      </w:r>
    </w:p>
  </w:footnote>
  <w:footnote w:id="4">
    <w:p w:rsidR="00150BF5" w:rsidRPr="00514C8E" w:rsidP="00150BF5" w14:paraId="5B173F49" w14:textId="481582A3">
      <w:pPr>
        <w:pStyle w:val="FootnoteText"/>
      </w:pPr>
      <w:r w:rsidRPr="00514C8E">
        <w:rPr>
          <w:rStyle w:val="FootnoteReference"/>
        </w:rPr>
        <w:footnoteRef/>
      </w:r>
      <w:r w:rsidRPr="00514C8E">
        <w:t xml:space="preserve"> </w:t>
      </w:r>
      <w:r w:rsidRPr="00514C8E">
        <w:rPr>
          <w:i/>
          <w:iCs/>
        </w:rPr>
        <w:t xml:space="preserve">See </w:t>
      </w:r>
      <w:r w:rsidRPr="00514C8E">
        <w:t xml:space="preserve">47 </w:t>
      </w:r>
      <w:r w:rsidR="00353EB6">
        <w:t>CFR</w:t>
      </w:r>
      <w:r w:rsidRPr="00514C8E">
        <w:t xml:space="preserve"> § 0.283.</w:t>
      </w:r>
    </w:p>
  </w:footnote>
  <w:footnote w:id="5">
    <w:p w:rsidR="00150BF5" w:rsidRPr="00514C8E" w:rsidP="00150BF5" w14:paraId="25E3A8DD" w14:textId="79317A0C">
      <w:pPr>
        <w:pStyle w:val="FootnoteText"/>
      </w:pPr>
      <w:r w:rsidRPr="00514C8E">
        <w:rPr>
          <w:rStyle w:val="FootnoteReference"/>
        </w:rPr>
        <w:footnoteRef/>
      </w:r>
      <w:r w:rsidRPr="00514C8E">
        <w:t xml:space="preserve"> </w:t>
      </w:r>
      <w:r w:rsidRPr="00514C8E">
        <w:rPr>
          <w:i/>
        </w:rPr>
        <w:t xml:space="preserve">See </w:t>
      </w:r>
      <w:r w:rsidRPr="00514C8E">
        <w:t xml:space="preserve">47 </w:t>
      </w:r>
      <w:r w:rsidR="00353EB6">
        <w:t>CFR</w:t>
      </w:r>
      <w:r w:rsidRPr="00514C8E">
        <w:t xml:space="preserve"> § 73.670.</w:t>
      </w:r>
    </w:p>
  </w:footnote>
  <w:footnote w:id="6">
    <w:p w:rsidR="006160A5" w:rsidRPr="00514C8E" w14:paraId="660BAF05" w14:textId="33D706D1">
      <w:pPr>
        <w:pStyle w:val="FootnoteText"/>
      </w:pPr>
      <w:r w:rsidRPr="00514C8E">
        <w:rPr>
          <w:rStyle w:val="FootnoteReference"/>
        </w:rPr>
        <w:footnoteRef/>
      </w:r>
      <w:r w:rsidRPr="00514C8E">
        <w:t xml:space="preserve"> Pub. L. No. 101-437, 104 Stat. 996-1000, </w:t>
      </w:r>
      <w:r w:rsidRPr="00514C8E">
        <w:rPr>
          <w:i/>
        </w:rPr>
        <w:t>codified at</w:t>
      </w:r>
      <w:r w:rsidRPr="00514C8E">
        <w:t xml:space="preserve"> 47 U.S.C. §§ 303a, 303b</w:t>
      </w:r>
      <w:r w:rsidR="0084669F">
        <w:t>,</w:t>
      </w:r>
      <w:r w:rsidRPr="00514C8E">
        <w:t xml:space="preserve"> and 394.</w:t>
      </w:r>
      <w:r w:rsidR="00D9684E">
        <w:t xml:space="preserve"> </w:t>
      </w:r>
    </w:p>
  </w:footnote>
  <w:footnote w:id="7">
    <w:p w:rsidR="00900EC8" w14:paraId="1A8D67B2" w14:textId="7D22CE1D">
      <w:pPr>
        <w:pStyle w:val="FootnoteText"/>
      </w:pPr>
      <w:r>
        <w:rPr>
          <w:rStyle w:val="FootnoteReference"/>
        </w:rPr>
        <w:footnoteRef/>
      </w:r>
      <w:r>
        <w:t xml:space="preserve"> </w:t>
      </w:r>
      <w:r w:rsidRPr="00900EC8">
        <w:rPr>
          <w:i/>
          <w:iCs/>
        </w:rPr>
        <w:t>Policies and Rules Concerning Children’s Television Programming</w:t>
      </w:r>
      <w:r w:rsidR="00141150">
        <w:rPr>
          <w:i/>
          <w:iCs/>
        </w:rPr>
        <w:t>, et al</w:t>
      </w:r>
      <w:r w:rsidR="004365A0">
        <w:rPr>
          <w:i/>
          <w:iCs/>
        </w:rPr>
        <w:t>.</w:t>
      </w:r>
      <w:r w:rsidRPr="00900EC8">
        <w:t xml:space="preserve">, </w:t>
      </w:r>
      <w:r w:rsidR="00141150">
        <w:t xml:space="preserve">MM Docket Nos. 90-570 and 83-670, </w:t>
      </w:r>
      <w:r w:rsidRPr="00900EC8">
        <w:t xml:space="preserve">Report and Order, 6 FCC </w:t>
      </w:r>
      <w:r w:rsidRPr="00900EC8">
        <w:t>Rcd</w:t>
      </w:r>
      <w:r w:rsidRPr="00900EC8">
        <w:t xml:space="preserve"> 2111, 2118</w:t>
      </w:r>
      <w:r w:rsidR="00141150">
        <w:t>, para</w:t>
      </w:r>
      <w:r w:rsidR="001C2B72">
        <w:t>s</w:t>
      </w:r>
      <w:r w:rsidR="00141150">
        <w:t xml:space="preserve">. </w:t>
      </w:r>
      <w:r w:rsidR="001C2B72">
        <w:t xml:space="preserve">44-46 </w:t>
      </w:r>
      <w:r>
        <w:t>(199</w:t>
      </w:r>
      <w:r w:rsidR="00141150">
        <w:t>1</w:t>
      </w:r>
      <w:r>
        <w:t>) (</w:t>
      </w:r>
      <w:r w:rsidRPr="00900EC8">
        <w:rPr>
          <w:i/>
          <w:iCs/>
        </w:rPr>
        <w:t>199</w:t>
      </w:r>
      <w:r w:rsidR="00141150">
        <w:rPr>
          <w:i/>
          <w:iCs/>
        </w:rPr>
        <w:t>1</w:t>
      </w:r>
      <w:r w:rsidRPr="00900EC8">
        <w:rPr>
          <w:i/>
          <w:iCs/>
        </w:rPr>
        <w:t xml:space="preserve"> Children’</w:t>
      </w:r>
      <w:r w:rsidRPr="009271A9">
        <w:rPr>
          <w:i/>
          <w:iCs/>
        </w:rPr>
        <w:t>s TV R&amp;O</w:t>
      </w:r>
      <w:r>
        <w:t>)</w:t>
      </w:r>
      <w:r w:rsidR="00827E3B">
        <w:t>,</w:t>
      </w:r>
      <w:r>
        <w:t xml:space="preserve"> </w:t>
      </w:r>
      <w:r w:rsidRPr="00900EC8">
        <w:rPr>
          <w:i/>
          <w:iCs/>
        </w:rPr>
        <w:t>recon. granted in part</w:t>
      </w:r>
      <w:r w:rsidRPr="00900EC8">
        <w:t xml:space="preserve">, 6 FCC </w:t>
      </w:r>
      <w:r w:rsidRPr="00900EC8">
        <w:t>Rcd</w:t>
      </w:r>
      <w:r w:rsidRPr="00900EC8">
        <w:t xml:space="preserve"> 5093, 5098</w:t>
      </w:r>
      <w:r w:rsidR="001C2B72">
        <w:t xml:space="preserve">, </w:t>
      </w:r>
      <w:r w:rsidR="00CD70A5">
        <w:t>paras</w:t>
      </w:r>
      <w:r w:rsidR="00EC7D5C">
        <w:t>.</w:t>
      </w:r>
      <w:r w:rsidR="00CD70A5">
        <w:t xml:space="preserve"> </w:t>
      </w:r>
      <w:r w:rsidR="00013E04">
        <w:t>28-34</w:t>
      </w:r>
      <w:r w:rsidRPr="00900EC8">
        <w:t xml:space="preserve"> (1991).</w:t>
      </w:r>
    </w:p>
  </w:footnote>
  <w:footnote w:id="8">
    <w:p w:rsidR="00D64EC2" w:rsidRPr="00514C8E" w:rsidP="00D64EC2" w14:paraId="0478CD3F" w14:textId="77777777">
      <w:pPr>
        <w:pStyle w:val="FootnoteText"/>
      </w:pPr>
      <w:r w:rsidRPr="00514C8E">
        <w:rPr>
          <w:rStyle w:val="FootnoteReference"/>
        </w:rPr>
        <w:footnoteRef/>
      </w:r>
      <w:r w:rsidRPr="00514C8E">
        <w:t xml:space="preserve"> </w:t>
      </w:r>
      <w:r>
        <w:rPr>
          <w:i/>
          <w:iCs/>
        </w:rPr>
        <w:t xml:space="preserve">See </w:t>
      </w:r>
      <w:r w:rsidRPr="00514C8E">
        <w:t xml:space="preserve">S. Rep. No. </w:t>
      </w:r>
      <w:r>
        <w:t>101-</w:t>
      </w:r>
      <w:r w:rsidRPr="00514C8E">
        <w:t xml:space="preserve">227, </w:t>
      </w:r>
      <w:r>
        <w:t>at</w:t>
      </w:r>
      <w:r w:rsidRPr="00514C8E">
        <w:t xml:space="preserve"> 24 (1989).</w:t>
      </w:r>
    </w:p>
  </w:footnote>
  <w:footnote w:id="9">
    <w:p w:rsidR="00D64EC2" w:rsidRPr="00514C8E" w:rsidP="00D64EC2" w14:paraId="29669E57" w14:textId="178BCDD1">
      <w:pPr>
        <w:pStyle w:val="FootnoteText"/>
      </w:pPr>
      <w:r w:rsidRPr="00514C8E">
        <w:rPr>
          <w:rStyle w:val="FootnoteReference"/>
        </w:rPr>
        <w:footnoteRef/>
      </w:r>
      <w:r w:rsidRPr="00514C8E">
        <w:t xml:space="preserve"> </w:t>
      </w:r>
      <w:r w:rsidRPr="000128B5" w:rsidR="00900EC8">
        <w:rPr>
          <w:i/>
          <w:iCs/>
        </w:rPr>
        <w:t>199</w:t>
      </w:r>
      <w:r w:rsidR="00141150">
        <w:rPr>
          <w:i/>
          <w:iCs/>
        </w:rPr>
        <w:t xml:space="preserve">1 </w:t>
      </w:r>
      <w:r w:rsidRPr="00900EC8" w:rsidR="00900EC8">
        <w:rPr>
          <w:i/>
          <w:iCs/>
        </w:rPr>
        <w:t>Children’s</w:t>
      </w:r>
      <w:r w:rsidR="00900EC8">
        <w:rPr>
          <w:i/>
          <w:iCs/>
        </w:rPr>
        <w:t xml:space="preserve"> TV R&amp;O</w:t>
      </w:r>
      <w:r w:rsidRPr="00514C8E" w:rsidR="004B3427">
        <w:t xml:space="preserve">, </w:t>
      </w:r>
      <w:r w:rsidR="00141150">
        <w:t xml:space="preserve">6 FCC </w:t>
      </w:r>
      <w:r w:rsidR="00141150">
        <w:t>Rcd</w:t>
      </w:r>
      <w:r w:rsidR="00141150">
        <w:t xml:space="preserve"> at </w:t>
      </w:r>
      <w:r w:rsidRPr="00514C8E" w:rsidR="004B3427">
        <w:t>2118</w:t>
      </w:r>
      <w:r w:rsidR="00141150">
        <w:t>, para.</w:t>
      </w:r>
      <w:r w:rsidR="001C2B72">
        <w:t xml:space="preserve"> 44</w:t>
      </w:r>
      <w:r w:rsidR="009271A9">
        <w:t xml:space="preserve">.  </w:t>
      </w:r>
      <w:r w:rsidRPr="000128B5" w:rsidR="009271A9">
        <w:rPr>
          <w:i/>
          <w:iCs/>
        </w:rPr>
        <w:t>See</w:t>
      </w:r>
      <w:r w:rsidR="00F031F3">
        <w:rPr>
          <w:i/>
          <w:iCs/>
        </w:rPr>
        <w:t>,</w:t>
      </w:r>
      <w:r w:rsidRPr="000128B5" w:rsidR="009271A9">
        <w:rPr>
          <w:i/>
          <w:iCs/>
        </w:rPr>
        <w:t xml:space="preserve"> e.g.</w:t>
      </w:r>
      <w:r w:rsidRPr="00F031F3" w:rsidR="009271A9">
        <w:t>,</w:t>
      </w:r>
      <w:r w:rsidR="00F031F3">
        <w:rPr>
          <w:i/>
          <w:iCs/>
        </w:rPr>
        <w:t xml:space="preserve"> </w:t>
      </w:r>
      <w:r w:rsidRPr="00514C8E" w:rsidR="009271A9">
        <w:rPr>
          <w:i/>
        </w:rPr>
        <w:t>KSKN Television Inc.</w:t>
      </w:r>
      <w:r w:rsidR="000275A5">
        <w:rPr>
          <w:i/>
        </w:rPr>
        <w:t>,</w:t>
      </w:r>
      <w:r w:rsidR="000275A5">
        <w:rPr>
          <w:iCs/>
        </w:rPr>
        <w:t xml:space="preserve"> </w:t>
      </w:r>
      <w:r w:rsidRPr="00F031F3" w:rsidR="000275A5">
        <w:rPr>
          <w:i/>
        </w:rPr>
        <w:t>(</w:t>
      </w:r>
      <w:r w:rsidR="009271A9">
        <w:rPr>
          <w:i/>
        </w:rPr>
        <w:t>KSKN(TV</w:t>
      </w:r>
      <w:r w:rsidR="000275A5">
        <w:rPr>
          <w:i/>
        </w:rPr>
        <w:t>)</w:t>
      </w:r>
      <w:r w:rsidR="009271A9">
        <w:rPr>
          <w:i/>
        </w:rPr>
        <w:t xml:space="preserve">), Spokane, Washington, </w:t>
      </w:r>
      <w:r w:rsidRPr="00514C8E" w:rsidR="009271A9">
        <w:rPr>
          <w:iCs/>
        </w:rPr>
        <w:t xml:space="preserve">Notice of Apparent Liability for Forfeiture, 25 FCC </w:t>
      </w:r>
      <w:r w:rsidRPr="00514C8E" w:rsidR="009271A9">
        <w:rPr>
          <w:iCs/>
        </w:rPr>
        <w:t>Rcd</w:t>
      </w:r>
      <w:r w:rsidRPr="00514C8E" w:rsidR="009271A9">
        <w:rPr>
          <w:iCs/>
        </w:rPr>
        <w:t xml:space="preserve"> 615</w:t>
      </w:r>
      <w:r w:rsidR="009271A9">
        <w:rPr>
          <w:iCs/>
        </w:rPr>
        <w:t>0</w:t>
      </w:r>
      <w:r w:rsidRPr="00514C8E" w:rsidR="009271A9">
        <w:rPr>
          <w:iCs/>
        </w:rPr>
        <w:t>,</w:t>
      </w:r>
      <w:r w:rsidR="009271A9">
        <w:rPr>
          <w:iCs/>
        </w:rPr>
        <w:t xml:space="preserve"> 6152,</w:t>
      </w:r>
      <w:r w:rsidRPr="00514C8E" w:rsidR="009271A9">
        <w:rPr>
          <w:iCs/>
        </w:rPr>
        <w:t xml:space="preserve"> para. 7 (2010) </w:t>
      </w:r>
      <w:r w:rsidR="009271A9">
        <w:rPr>
          <w:iCs/>
        </w:rPr>
        <w:t>(</w:t>
      </w:r>
      <w:r w:rsidRPr="00B13262" w:rsidR="009271A9">
        <w:rPr>
          <w:i/>
        </w:rPr>
        <w:t>KSKN NAL</w:t>
      </w:r>
      <w:r w:rsidR="009271A9">
        <w:rPr>
          <w:iCs/>
        </w:rPr>
        <w:t>) (</w:t>
      </w:r>
      <w:r w:rsidRPr="00E06DCC" w:rsidR="00E06DCC">
        <w:rPr>
          <w:iCs/>
        </w:rPr>
        <w:t xml:space="preserve">finding that a commercial containing </w:t>
      </w:r>
      <w:r w:rsidR="00BB06C3">
        <w:rPr>
          <w:iCs/>
        </w:rPr>
        <w:t>a</w:t>
      </w:r>
      <w:r w:rsidR="00773370">
        <w:rPr>
          <w:iCs/>
        </w:rPr>
        <w:t xml:space="preserve"> brief</w:t>
      </w:r>
      <w:r w:rsidR="00BB06C3">
        <w:rPr>
          <w:iCs/>
        </w:rPr>
        <w:t xml:space="preserve"> reference to</w:t>
      </w:r>
      <w:r w:rsidRPr="00E06DCC" w:rsidR="00E06DCC">
        <w:rPr>
          <w:iCs/>
        </w:rPr>
        <w:t xml:space="preserve"> </w:t>
      </w:r>
      <w:r w:rsidR="00BB06C3">
        <w:rPr>
          <w:iCs/>
        </w:rPr>
        <w:t>“</w:t>
      </w:r>
      <w:r w:rsidRPr="00E06DCC" w:rsidR="00E06DCC">
        <w:rPr>
          <w:iCs/>
        </w:rPr>
        <w:t>Yu-Gi-Oh!</w:t>
      </w:r>
      <w:r w:rsidR="00BB06C3">
        <w:rPr>
          <w:iCs/>
        </w:rPr>
        <w:t>”</w:t>
      </w:r>
      <w:r w:rsidRPr="00E06DCC" w:rsidR="00E06DCC">
        <w:rPr>
          <w:iCs/>
        </w:rPr>
        <w:t xml:space="preserve"> trading cards </w:t>
      </w:r>
      <w:r w:rsidR="00773370">
        <w:rPr>
          <w:iCs/>
        </w:rPr>
        <w:t>airing</w:t>
      </w:r>
      <w:r w:rsidRPr="00E06DCC" w:rsidR="00E06DCC">
        <w:rPr>
          <w:iCs/>
        </w:rPr>
        <w:t xml:space="preserve"> during the “Yu-Gi-Oh!” program, caused the entire program to be considered a program-length commercial</w:t>
      </w:r>
      <w:r w:rsidR="009271A9">
        <w:rPr>
          <w:iCs/>
        </w:rPr>
        <w:t>).</w:t>
      </w:r>
    </w:p>
  </w:footnote>
  <w:footnote w:id="10">
    <w:p w:rsidR="005433BB" w14:paraId="5E568A25" w14:textId="0BCD3F8E">
      <w:pPr>
        <w:pStyle w:val="FootnoteText"/>
      </w:pPr>
      <w:r>
        <w:rPr>
          <w:rStyle w:val="FootnoteReference"/>
        </w:rPr>
        <w:footnoteRef/>
      </w:r>
      <w:r>
        <w:t xml:space="preserve"> </w:t>
      </w:r>
      <w:r w:rsidR="008E3524">
        <w:t xml:space="preserve">WUTB </w:t>
      </w:r>
      <w:r w:rsidR="00F36BD7">
        <w:t>Application for</w:t>
      </w:r>
      <w:r w:rsidR="001E59C5">
        <w:t xml:space="preserve"> Renewal of License, </w:t>
      </w:r>
      <w:r w:rsidRPr="00514C8E">
        <w:rPr>
          <w:szCs w:val="22"/>
        </w:rPr>
        <w:t>File No. 0000115626</w:t>
      </w:r>
      <w:r w:rsidR="00B36AC8">
        <w:rPr>
          <w:szCs w:val="22"/>
        </w:rPr>
        <w:t xml:space="preserve">, </w:t>
      </w:r>
      <w:r w:rsidR="00F86ED3">
        <w:rPr>
          <w:szCs w:val="22"/>
        </w:rPr>
        <w:t xml:space="preserve">as amended </w:t>
      </w:r>
      <w:r w:rsidR="00B63496">
        <w:rPr>
          <w:szCs w:val="22"/>
        </w:rPr>
        <w:t>(</w:t>
      </w:r>
      <w:r w:rsidR="00DB0E89">
        <w:rPr>
          <w:szCs w:val="22"/>
        </w:rPr>
        <w:t>filed</w:t>
      </w:r>
      <w:r w:rsidR="00B63496">
        <w:rPr>
          <w:szCs w:val="22"/>
        </w:rPr>
        <w:t xml:space="preserve"> </w:t>
      </w:r>
      <w:r w:rsidR="00835AB0">
        <w:rPr>
          <w:szCs w:val="22"/>
        </w:rPr>
        <w:t>November 4</w:t>
      </w:r>
      <w:r w:rsidR="00B63496">
        <w:rPr>
          <w:szCs w:val="22"/>
        </w:rPr>
        <w:t>, 20</w:t>
      </w:r>
      <w:r w:rsidR="00541761">
        <w:rPr>
          <w:szCs w:val="22"/>
        </w:rPr>
        <w:t>20</w:t>
      </w:r>
      <w:r w:rsidR="00B71F3C">
        <w:rPr>
          <w:szCs w:val="22"/>
        </w:rPr>
        <w:t>)</w:t>
      </w:r>
      <w:r w:rsidR="00C6598D">
        <w:rPr>
          <w:szCs w:val="22"/>
        </w:rPr>
        <w:t>.</w:t>
      </w:r>
    </w:p>
  </w:footnote>
  <w:footnote w:id="11">
    <w:p w:rsidR="0074349E" w:rsidRPr="007406DB" w14:paraId="74F1758C" w14:textId="4DF3D30A">
      <w:pPr>
        <w:pStyle w:val="FootnoteText"/>
        <w:rPr>
          <w:i/>
          <w:iCs/>
        </w:rPr>
      </w:pPr>
      <w:r>
        <w:rPr>
          <w:rStyle w:val="FootnoteReference"/>
        </w:rPr>
        <w:footnoteRef/>
      </w:r>
      <w:r>
        <w:t xml:space="preserve"> </w:t>
      </w:r>
      <w:r>
        <w:rPr>
          <w:i/>
          <w:iCs/>
        </w:rPr>
        <w:t>See id.</w:t>
      </w:r>
    </w:p>
  </w:footnote>
  <w:footnote w:id="12">
    <w:p w:rsidR="00E31841" w:rsidP="000741E7" w14:paraId="76EA8DCD" w14:textId="29C8D1B9">
      <w:pPr>
        <w:pStyle w:val="FootnoteText"/>
      </w:pPr>
      <w:r>
        <w:rPr>
          <w:rStyle w:val="FootnoteReference"/>
        </w:rPr>
        <w:footnoteRef/>
      </w:r>
      <w:r>
        <w:t xml:space="preserve"> </w:t>
      </w:r>
      <w:r w:rsidR="00F86ED3">
        <w:rPr>
          <w:i/>
          <w:iCs/>
        </w:rPr>
        <w:t>Id.</w:t>
      </w:r>
      <w:r w:rsidR="007852F0">
        <w:t xml:space="preserve"> at</w:t>
      </w:r>
      <w:r>
        <w:t xml:space="preserve"> </w:t>
      </w:r>
      <w:r w:rsidR="007852F0">
        <w:t>“</w:t>
      </w:r>
      <w:r w:rsidRPr="00844521" w:rsidR="00844521">
        <w:t>Amendment to WUTB Commercial Limits Exhibit</w:t>
      </w:r>
      <w:r>
        <w:t>,</w:t>
      </w:r>
      <w:r w:rsidR="007852F0">
        <w:t>”</w:t>
      </w:r>
      <w:r>
        <w:t xml:space="preserve"> </w:t>
      </w:r>
      <w:r>
        <w:rPr>
          <w:szCs w:val="22"/>
        </w:rPr>
        <w:t xml:space="preserve">1 </w:t>
      </w:r>
      <w:r w:rsidR="000E20FA">
        <w:rPr>
          <w:szCs w:val="22"/>
        </w:rPr>
        <w:t>(</w:t>
      </w:r>
      <w:r w:rsidR="00FB1D87">
        <w:rPr>
          <w:szCs w:val="22"/>
        </w:rPr>
        <w:t>WUTB Renewal Exhibit</w:t>
      </w:r>
      <w:r w:rsidR="000E20FA">
        <w:rPr>
          <w:szCs w:val="22"/>
        </w:rPr>
        <w:t>)</w:t>
      </w:r>
      <w:r w:rsidR="006200D9">
        <w:rPr>
          <w:szCs w:val="22"/>
        </w:rPr>
        <w:t>.</w:t>
      </w:r>
    </w:p>
  </w:footnote>
  <w:footnote w:id="13">
    <w:p w:rsidR="003476B8" w:rsidRPr="00BB0E69" w:rsidP="003476B8" w14:paraId="6FB7A340" w14:textId="77777777">
      <w:pPr>
        <w:pStyle w:val="FootnoteText"/>
        <w:rPr>
          <w:i/>
          <w:iCs/>
        </w:rPr>
      </w:pPr>
      <w:r>
        <w:rPr>
          <w:rStyle w:val="FootnoteReference"/>
        </w:rPr>
        <w:footnoteRef/>
      </w:r>
      <w:r>
        <w:t xml:space="preserve"> </w:t>
      </w:r>
      <w:r>
        <w:rPr>
          <w:i/>
          <w:iCs/>
        </w:rPr>
        <w:t>Id.</w:t>
      </w:r>
    </w:p>
  </w:footnote>
  <w:footnote w:id="14">
    <w:p w:rsidR="003476B8" w:rsidP="003476B8" w14:paraId="72FEB0A1" w14:textId="77777777">
      <w:pPr>
        <w:pStyle w:val="FootnoteText"/>
      </w:pPr>
      <w:r>
        <w:rPr>
          <w:rStyle w:val="FootnoteReference"/>
        </w:rPr>
        <w:footnoteRef/>
      </w:r>
      <w:r>
        <w:t xml:space="preserve"> </w:t>
      </w:r>
      <w:r w:rsidRPr="000128B5">
        <w:rPr>
          <w:i/>
          <w:iCs/>
        </w:rPr>
        <w:t>Id</w:t>
      </w:r>
      <w:r>
        <w:t xml:space="preserve">. </w:t>
      </w:r>
    </w:p>
  </w:footnote>
  <w:footnote w:id="15">
    <w:p w:rsidR="003476B8" w:rsidP="003476B8" w14:paraId="2FCAFD5C" w14:textId="52928B88">
      <w:pPr>
        <w:pStyle w:val="FootnoteText"/>
      </w:pPr>
      <w:r>
        <w:rPr>
          <w:rStyle w:val="FootnoteReference"/>
        </w:rPr>
        <w:footnoteRef/>
      </w:r>
      <w:r>
        <w:t xml:space="preserve"> </w:t>
      </w:r>
      <w:r w:rsidRPr="000128B5">
        <w:rPr>
          <w:i/>
          <w:iCs/>
        </w:rPr>
        <w:t>Id.</w:t>
      </w:r>
      <w:r>
        <w:t xml:space="preserve"> at 1-2.  Section 1.80 of the </w:t>
      </w:r>
      <w:r w:rsidR="000700EF">
        <w:t>R</w:t>
      </w:r>
      <w:r>
        <w:t xml:space="preserve">ules establishes a base forfeiture amount of $8,000 for a violation of the Commission’s </w:t>
      </w:r>
      <w:r w:rsidR="00E6058A">
        <w:t xml:space="preserve">children’s television </w:t>
      </w:r>
      <w:r>
        <w:t xml:space="preserve">commercial </w:t>
      </w:r>
      <w:r w:rsidR="002A1A92">
        <w:t>requirement</w:t>
      </w:r>
      <w:r>
        <w:t>s.  47 CFR § 1.80(b), note to paragraph (b)(</w:t>
      </w:r>
      <w:r w:rsidR="00A909D9">
        <w:t>9</w:t>
      </w:r>
      <w:r>
        <w:t>), Section I.</w:t>
      </w:r>
    </w:p>
  </w:footnote>
  <w:footnote w:id="16">
    <w:p w:rsidR="004138D3" w:rsidRPr="00514C8E" w:rsidP="004138D3" w14:paraId="73E8D78D" w14:textId="77777777">
      <w:pPr>
        <w:pStyle w:val="FootnoteText"/>
      </w:pPr>
      <w:r w:rsidRPr="00514C8E">
        <w:rPr>
          <w:rStyle w:val="FootnoteReference"/>
        </w:rPr>
        <w:footnoteRef/>
      </w:r>
      <w:r w:rsidRPr="00514C8E">
        <w:t xml:space="preserve"> Although the commercial aired eleven separate times, </w:t>
      </w:r>
      <w:r>
        <w:t xml:space="preserve">the Licensee is only liable for </w:t>
      </w:r>
      <w:r w:rsidRPr="00514C8E">
        <w:t>eight program-length commercials because eight episodes of “Team Hot Wheels”</w:t>
      </w:r>
      <w:r>
        <w:t xml:space="preserve"> were impacted.  In instances where a single airing of a program episode is impacted by multiple advertisements for a product related to the program, licensees are liable for only one program-length commercial.  </w:t>
      </w:r>
      <w:r>
        <w:rPr>
          <w:i/>
          <w:iCs/>
        </w:rPr>
        <w:t xml:space="preserve">See </w:t>
      </w:r>
      <w:r w:rsidRPr="00985C74">
        <w:rPr>
          <w:i/>
          <w:iCs/>
        </w:rPr>
        <w:t>Spokane Television, Inc.</w:t>
      </w:r>
      <w:r>
        <w:rPr>
          <w:i/>
          <w:iCs/>
        </w:rPr>
        <w:t xml:space="preserve"> (KXLY(TV))</w:t>
      </w:r>
      <w:r>
        <w:t xml:space="preserve">, </w:t>
      </w:r>
      <w:r w:rsidRPr="00985C74">
        <w:t>Memorandum Opinion and Order and Forfeiture Order</w:t>
      </w:r>
      <w:r>
        <w:t xml:space="preserve">, 15 FCC </w:t>
      </w:r>
      <w:r>
        <w:t>Rcd</w:t>
      </w:r>
      <w:r>
        <w:t xml:space="preserve"> 9188, 9189-90, paras. 3, 6 (MB 2000). </w:t>
      </w:r>
    </w:p>
  </w:footnote>
  <w:footnote w:id="17">
    <w:p w:rsidR="004138D3" w:rsidRPr="004E6126" w:rsidP="004138D3" w14:paraId="46A2396E" w14:textId="41A55262">
      <w:pPr>
        <w:pStyle w:val="FootnoteText"/>
      </w:pPr>
      <w:r>
        <w:rPr>
          <w:rStyle w:val="FootnoteReference"/>
        </w:rPr>
        <w:footnoteRef/>
      </w:r>
      <w:r>
        <w:t xml:space="preserve"> </w:t>
      </w:r>
      <w:r>
        <w:rPr>
          <w:i/>
          <w:iCs/>
        </w:rPr>
        <w:t>See</w:t>
      </w:r>
      <w:r w:rsidR="00834F8B">
        <w:rPr>
          <w:i/>
          <w:iCs/>
        </w:rPr>
        <w:t>, e.g.</w:t>
      </w:r>
      <w:r w:rsidR="00834F8B">
        <w:t>,</w:t>
      </w:r>
      <w:r>
        <w:rPr>
          <w:i/>
          <w:iCs/>
        </w:rPr>
        <w:t xml:space="preserve"> </w:t>
      </w:r>
      <w:r w:rsidRPr="00B13262" w:rsidR="00087A13">
        <w:rPr>
          <w:i/>
        </w:rPr>
        <w:t>KSKN NAL</w:t>
      </w:r>
      <w:r w:rsidRPr="00497FBE" w:rsidR="00087A13">
        <w:rPr>
          <w:iCs/>
        </w:rPr>
        <w:t>,</w:t>
      </w:r>
      <w:r w:rsidRPr="00514C8E" w:rsidR="00087A13">
        <w:rPr>
          <w:i/>
        </w:rPr>
        <w:t xml:space="preserve"> </w:t>
      </w:r>
      <w:r w:rsidRPr="00514C8E" w:rsidR="00087A13">
        <w:rPr>
          <w:iCs/>
        </w:rPr>
        <w:t xml:space="preserve">25 FCC </w:t>
      </w:r>
      <w:r w:rsidRPr="00514C8E" w:rsidR="00087A13">
        <w:rPr>
          <w:iCs/>
        </w:rPr>
        <w:t>Rcd</w:t>
      </w:r>
      <w:r w:rsidRPr="00514C8E" w:rsidR="00087A13">
        <w:rPr>
          <w:iCs/>
        </w:rPr>
        <w:t xml:space="preserve"> </w:t>
      </w:r>
      <w:r w:rsidR="00087A13">
        <w:rPr>
          <w:iCs/>
        </w:rPr>
        <w:t>at</w:t>
      </w:r>
      <w:r w:rsidRPr="00514C8E" w:rsidR="00087A13">
        <w:rPr>
          <w:iCs/>
        </w:rPr>
        <w:t xml:space="preserve"> 6153, para. </w:t>
      </w:r>
      <w:r w:rsidR="00792061">
        <w:rPr>
          <w:iCs/>
        </w:rPr>
        <w:t>7</w:t>
      </w:r>
      <w:r>
        <w:rPr>
          <w:iCs/>
        </w:rPr>
        <w:t>.</w:t>
      </w:r>
    </w:p>
  </w:footnote>
  <w:footnote w:id="18">
    <w:p w:rsidR="004138D3" w:rsidRPr="006C190F" w:rsidP="004138D3" w14:paraId="5881F884" w14:textId="37994391">
      <w:pPr>
        <w:pStyle w:val="FootnoteText"/>
      </w:pPr>
      <w:r w:rsidRPr="00514C8E">
        <w:rPr>
          <w:rStyle w:val="FootnoteReference"/>
        </w:rPr>
        <w:footnoteRef/>
      </w:r>
      <w:r w:rsidRPr="00514C8E">
        <w:t xml:space="preserve"> </w:t>
      </w:r>
      <w:r w:rsidRPr="00514C8E">
        <w:rPr>
          <w:i/>
          <w:iCs/>
        </w:rPr>
        <w:t xml:space="preserve">See </w:t>
      </w:r>
      <w:r w:rsidRPr="00E9399C" w:rsidR="00E9399C">
        <w:rPr>
          <w:i/>
          <w:iCs/>
        </w:rPr>
        <w:t>1991 Children’s TV R&amp;O</w:t>
      </w:r>
      <w:r w:rsidRPr="006C190F">
        <w:t xml:space="preserve">, 6 FCC </w:t>
      </w:r>
      <w:r w:rsidRPr="006C190F">
        <w:t>Rcd</w:t>
      </w:r>
      <w:r w:rsidRPr="006C190F">
        <w:t xml:space="preserve"> at 2118.</w:t>
      </w:r>
    </w:p>
  </w:footnote>
  <w:footnote w:id="19">
    <w:p w:rsidR="00076984" w:rsidRPr="00514C8E" w:rsidP="00076984" w14:paraId="363F26A2" w14:textId="40554C12">
      <w:pPr>
        <w:pStyle w:val="FootnoteText"/>
      </w:pPr>
      <w:r w:rsidRPr="00514C8E">
        <w:rPr>
          <w:rStyle w:val="FootnoteReference"/>
        </w:rPr>
        <w:footnoteRef/>
      </w:r>
      <w:r w:rsidRPr="00514C8E">
        <w:t xml:space="preserve"> </w:t>
      </w:r>
      <w:r w:rsidR="00515736">
        <w:rPr>
          <w:i/>
          <w:iCs/>
        </w:rPr>
        <w:t xml:space="preserve">See </w:t>
      </w:r>
      <w:r w:rsidR="00D420E6">
        <w:rPr>
          <w:i/>
        </w:rPr>
        <w:t>id.</w:t>
      </w:r>
      <w:r w:rsidRPr="00514C8E">
        <w:t xml:space="preserve"> at 2117-18.</w:t>
      </w:r>
    </w:p>
  </w:footnote>
  <w:footnote w:id="20">
    <w:p w:rsidR="00427DFF" w14:paraId="340E8C30" w14:textId="73F700B4">
      <w:pPr>
        <w:pStyle w:val="FootnoteText"/>
      </w:pPr>
      <w:r>
        <w:rPr>
          <w:rStyle w:val="FootnoteReference"/>
        </w:rPr>
        <w:footnoteRef/>
      </w:r>
      <w:r>
        <w:t xml:space="preserve"> </w:t>
      </w:r>
      <w:r>
        <w:rPr>
          <w:i/>
          <w:iCs/>
        </w:rPr>
        <w:t xml:space="preserve">See </w:t>
      </w:r>
      <w:r w:rsidRPr="00B13262">
        <w:rPr>
          <w:i/>
        </w:rPr>
        <w:t>KSKN NAL</w:t>
      </w:r>
      <w:r w:rsidRPr="00497FBE">
        <w:rPr>
          <w:iCs/>
        </w:rPr>
        <w:t>,</w:t>
      </w:r>
      <w:r w:rsidRPr="00514C8E">
        <w:rPr>
          <w:i/>
        </w:rPr>
        <w:t xml:space="preserve"> </w:t>
      </w:r>
      <w:r w:rsidRPr="00514C8E">
        <w:rPr>
          <w:iCs/>
        </w:rPr>
        <w:t xml:space="preserve">25 FCC </w:t>
      </w:r>
      <w:r w:rsidRPr="00514C8E">
        <w:rPr>
          <w:iCs/>
        </w:rPr>
        <w:t>Rcd</w:t>
      </w:r>
      <w:r w:rsidRPr="00514C8E">
        <w:rPr>
          <w:iCs/>
        </w:rPr>
        <w:t xml:space="preserve"> </w:t>
      </w:r>
      <w:r>
        <w:rPr>
          <w:iCs/>
        </w:rPr>
        <w:t>at</w:t>
      </w:r>
      <w:r w:rsidRPr="00514C8E">
        <w:rPr>
          <w:iCs/>
        </w:rPr>
        <w:t xml:space="preserve"> 6153, para. </w:t>
      </w:r>
      <w:r>
        <w:rPr>
          <w:iCs/>
        </w:rPr>
        <w:t>7</w:t>
      </w:r>
      <w:r>
        <w:t xml:space="preserve"> </w:t>
      </w:r>
      <w:r w:rsidRPr="00514C8E">
        <w:rPr>
          <w:iCs/>
        </w:rPr>
        <w:t xml:space="preserve">(finding that a commercial containing </w:t>
      </w:r>
      <w:r w:rsidRPr="00634290">
        <w:rPr>
          <w:iCs/>
        </w:rPr>
        <w:t>“very brief pictorial and aural reference to Yu-Gi-Oh! trading cards</w:t>
      </w:r>
      <w:r w:rsidRPr="00514C8E">
        <w:rPr>
          <w:iCs/>
        </w:rPr>
        <w:t>” that aired during the “Yu-Gi-Oh!” program, caused the entire program to be considered a program-length commercial)</w:t>
      </w:r>
      <w:r>
        <w:rPr>
          <w:iCs/>
        </w:rPr>
        <w:t>.</w:t>
      </w:r>
    </w:p>
  </w:footnote>
  <w:footnote w:id="21">
    <w:p w:rsidR="00076984" w:rsidRPr="00514C8E" w:rsidP="00076984" w14:paraId="2FB9ECBE" w14:textId="6AA088BC">
      <w:pPr>
        <w:pStyle w:val="FootnoteText"/>
      </w:pPr>
      <w:r w:rsidRPr="00514C8E">
        <w:rPr>
          <w:rStyle w:val="FootnoteReference"/>
        </w:rPr>
        <w:footnoteRef/>
      </w:r>
      <w:r w:rsidRPr="00514C8E">
        <w:t xml:space="preserve"> </w:t>
      </w:r>
      <w:r w:rsidRPr="00514C8E">
        <w:rPr>
          <w:i/>
        </w:rPr>
        <w:t>See, e.g.</w:t>
      </w:r>
      <w:r w:rsidRPr="00514C8E">
        <w:rPr>
          <w:iCs/>
        </w:rPr>
        <w:t>,</w:t>
      </w:r>
      <w:r w:rsidRPr="00514C8E" w:rsidR="001974A6">
        <w:rPr>
          <w:i/>
        </w:rPr>
        <w:t xml:space="preserve"> </w:t>
      </w:r>
      <w:r w:rsidR="00427DFF">
        <w:rPr>
          <w:i/>
        </w:rPr>
        <w:t>id.</w:t>
      </w:r>
      <w:r w:rsidRPr="00514C8E" w:rsidR="007C0987">
        <w:rPr>
          <w:iCs/>
        </w:rPr>
        <w:t xml:space="preserve"> </w:t>
      </w:r>
      <w:r w:rsidR="00B13262">
        <w:rPr>
          <w:iCs/>
        </w:rPr>
        <w:t>at</w:t>
      </w:r>
      <w:r w:rsidRPr="00514C8E" w:rsidR="007C0987">
        <w:rPr>
          <w:iCs/>
        </w:rPr>
        <w:t xml:space="preserve"> 6153, para. 9; </w:t>
      </w:r>
      <w:bookmarkStart w:id="2" w:name="_Hlk53518913"/>
      <w:r w:rsidRPr="00514C8E" w:rsidR="001974A6">
        <w:rPr>
          <w:i/>
        </w:rPr>
        <w:t>WCIU-TV Limited Partnership (WCIU(TV))</w:t>
      </w:r>
      <w:r w:rsidRPr="00514C8E" w:rsidR="001974A6">
        <w:rPr>
          <w:iCs/>
        </w:rPr>
        <w:t xml:space="preserve">, Notice of Apparent Liability for Forfeiture, 23 FCC </w:t>
      </w:r>
      <w:r w:rsidRPr="00514C8E" w:rsidR="001974A6">
        <w:rPr>
          <w:iCs/>
        </w:rPr>
        <w:t>Rcd</w:t>
      </w:r>
      <w:r w:rsidRPr="00514C8E" w:rsidR="001974A6">
        <w:rPr>
          <w:iCs/>
        </w:rPr>
        <w:t xml:space="preserve"> 4506</w:t>
      </w:r>
      <w:r w:rsidRPr="00514C8E" w:rsidR="00D34407">
        <w:rPr>
          <w:iCs/>
        </w:rPr>
        <w:t>, 4508, para. 7</w:t>
      </w:r>
      <w:r w:rsidRPr="00514C8E" w:rsidR="001974A6">
        <w:rPr>
          <w:iCs/>
        </w:rPr>
        <w:t xml:space="preserve"> (MB 2008)</w:t>
      </w:r>
      <w:bookmarkEnd w:id="2"/>
      <w:r w:rsidR="00591129">
        <w:rPr>
          <w:iCs/>
        </w:rPr>
        <w:t xml:space="preserve"> (</w:t>
      </w:r>
      <w:r w:rsidR="00591129">
        <w:rPr>
          <w:i/>
        </w:rPr>
        <w:t>WCIU NAL</w:t>
      </w:r>
      <w:r w:rsidR="00591129">
        <w:rPr>
          <w:iCs/>
        </w:rPr>
        <w:t>)</w:t>
      </w:r>
      <w:r w:rsidRPr="00514C8E" w:rsidR="001974A6">
        <w:rPr>
          <w:iCs/>
        </w:rPr>
        <w:t>;</w:t>
      </w:r>
      <w:r w:rsidRPr="00514C8E">
        <w:rPr>
          <w:i/>
        </w:rPr>
        <w:t xml:space="preserve"> </w:t>
      </w:r>
      <w:r w:rsidRPr="00514C8E" w:rsidR="007C0987">
        <w:rPr>
          <w:i/>
        </w:rPr>
        <w:t>Le</w:t>
      </w:r>
      <w:r w:rsidR="00A657AA">
        <w:rPr>
          <w:i/>
        </w:rPr>
        <w:t xml:space="preserve"> </w:t>
      </w:r>
      <w:r w:rsidRPr="00514C8E" w:rsidR="007C0987">
        <w:rPr>
          <w:i/>
        </w:rPr>
        <w:t>Sea Broadcasting Corp. (WHKE(TV))</w:t>
      </w:r>
      <w:r w:rsidRPr="00514C8E" w:rsidR="007C0987">
        <w:rPr>
          <w:iCs/>
        </w:rPr>
        <w:t>,</w:t>
      </w:r>
      <w:r w:rsidRPr="00514C8E" w:rsidR="007C0987">
        <w:rPr>
          <w:i/>
        </w:rPr>
        <w:t xml:space="preserve"> </w:t>
      </w:r>
      <w:r w:rsidRPr="00514C8E" w:rsidR="007C0987">
        <w:rPr>
          <w:iCs/>
        </w:rPr>
        <w:t>Letter,</w:t>
      </w:r>
      <w:r w:rsidRPr="00514C8E" w:rsidR="007C0987">
        <w:rPr>
          <w:i/>
        </w:rPr>
        <w:t xml:space="preserve"> </w:t>
      </w:r>
      <w:r w:rsidRPr="00514C8E" w:rsidR="007C0987">
        <w:rPr>
          <w:iCs/>
        </w:rPr>
        <w:t xml:space="preserve">10 FCC </w:t>
      </w:r>
      <w:r w:rsidRPr="00514C8E" w:rsidR="007C0987">
        <w:rPr>
          <w:iCs/>
        </w:rPr>
        <w:t>Rcd</w:t>
      </w:r>
      <w:r w:rsidRPr="00514C8E" w:rsidR="007C0987">
        <w:rPr>
          <w:iCs/>
        </w:rPr>
        <w:t xml:space="preserve"> 4977, 4978 (MB 1995)</w:t>
      </w:r>
      <w:r w:rsidRPr="00514C8E">
        <w:rPr>
          <w:iCs/>
        </w:rPr>
        <w:t>.</w:t>
      </w:r>
    </w:p>
  </w:footnote>
  <w:footnote w:id="22">
    <w:p w:rsidR="000954D5" w:rsidRPr="00514C8E" w14:paraId="6A3D1766" w14:textId="107D884E">
      <w:pPr>
        <w:pStyle w:val="FootnoteText"/>
      </w:pPr>
      <w:r w:rsidRPr="00514C8E">
        <w:rPr>
          <w:rStyle w:val="FootnoteReference"/>
        </w:rPr>
        <w:footnoteRef/>
      </w:r>
      <w:r w:rsidRPr="00514C8E">
        <w:t xml:space="preserve"> </w:t>
      </w:r>
      <w:r w:rsidRPr="00514C8E" w:rsidR="00D125A1">
        <w:rPr>
          <w:i/>
          <w:iCs/>
        </w:rPr>
        <w:t>See, e.g.</w:t>
      </w:r>
      <w:r w:rsidRPr="00514C8E" w:rsidR="00D125A1">
        <w:t>,</w:t>
      </w:r>
      <w:r w:rsidRPr="00514C8E" w:rsidR="00D125A1">
        <w:rPr>
          <w:i/>
          <w:iCs/>
        </w:rPr>
        <w:t xml:space="preserve"> </w:t>
      </w:r>
      <w:r w:rsidR="00591129">
        <w:rPr>
          <w:i/>
        </w:rPr>
        <w:t>WCIU NAL</w:t>
      </w:r>
      <w:r w:rsidRPr="00514C8E">
        <w:rPr>
          <w:iCs/>
        </w:rPr>
        <w:t xml:space="preserve">, 23 FCC </w:t>
      </w:r>
      <w:r w:rsidRPr="00514C8E">
        <w:rPr>
          <w:iCs/>
        </w:rPr>
        <w:t>Rcd</w:t>
      </w:r>
      <w:r w:rsidRPr="00514C8E">
        <w:rPr>
          <w:iCs/>
        </w:rPr>
        <w:t xml:space="preserve"> </w:t>
      </w:r>
      <w:r w:rsidR="00591129">
        <w:rPr>
          <w:iCs/>
        </w:rPr>
        <w:t>at</w:t>
      </w:r>
      <w:r w:rsidRPr="00514C8E">
        <w:rPr>
          <w:iCs/>
        </w:rPr>
        <w:t xml:space="preserve"> 4508, para. 7; </w:t>
      </w:r>
      <w:r w:rsidRPr="00514C8E" w:rsidR="00D125A1">
        <w:rPr>
          <w:i/>
        </w:rPr>
        <w:t>WLFL Licensee, LLC (WLFL(TV))</w:t>
      </w:r>
      <w:r w:rsidRPr="00514C8E" w:rsidR="00D125A1">
        <w:rPr>
          <w:iCs/>
        </w:rPr>
        <w:t xml:space="preserve">, </w:t>
      </w:r>
      <w:r w:rsidR="00380691">
        <w:rPr>
          <w:iCs/>
        </w:rPr>
        <w:t xml:space="preserve">Notice of Apparent Liability for Forfeiture, </w:t>
      </w:r>
      <w:r w:rsidRPr="00514C8E" w:rsidR="00D125A1">
        <w:rPr>
          <w:iCs/>
        </w:rPr>
        <w:t xml:space="preserve">23 FCC </w:t>
      </w:r>
      <w:r w:rsidRPr="00514C8E" w:rsidR="00D125A1">
        <w:rPr>
          <w:iCs/>
        </w:rPr>
        <w:t>Rcd</w:t>
      </w:r>
      <w:r w:rsidRPr="00514C8E" w:rsidR="00D125A1">
        <w:rPr>
          <w:iCs/>
        </w:rPr>
        <w:t xml:space="preserve"> 8182, 8185, para. 10</w:t>
      </w:r>
      <w:r w:rsidR="000B17A6">
        <w:rPr>
          <w:iCs/>
        </w:rPr>
        <w:t xml:space="preserve"> </w:t>
      </w:r>
      <w:r w:rsidRPr="00514C8E" w:rsidR="000B17A6">
        <w:rPr>
          <w:iCs/>
        </w:rPr>
        <w:t>(MB 2008)</w:t>
      </w:r>
      <w:r w:rsidR="00591129">
        <w:rPr>
          <w:iCs/>
        </w:rPr>
        <w:t>;</w:t>
      </w:r>
      <w:r w:rsidRPr="00514C8E" w:rsidR="00D125A1">
        <w:rPr>
          <w:iCs/>
        </w:rPr>
        <w:t xml:space="preserve"> </w:t>
      </w:r>
      <w:r w:rsidRPr="00514C8E">
        <w:rPr>
          <w:i/>
        </w:rPr>
        <w:t>Max Television of Syracuse, L.P. (WSYT(TV))</w:t>
      </w:r>
      <w:r w:rsidRPr="00514C8E">
        <w:rPr>
          <w:iCs/>
        </w:rPr>
        <w:t xml:space="preserve">, </w:t>
      </w:r>
      <w:r w:rsidRPr="00514C8E" w:rsidR="00D125A1">
        <w:rPr>
          <w:iCs/>
        </w:rPr>
        <w:t xml:space="preserve">Letter, </w:t>
      </w:r>
      <w:r w:rsidRPr="00514C8E">
        <w:rPr>
          <w:iCs/>
        </w:rPr>
        <w:t xml:space="preserve">10 FCC </w:t>
      </w:r>
      <w:r w:rsidRPr="00514C8E">
        <w:rPr>
          <w:iCs/>
        </w:rPr>
        <w:t>Rcd</w:t>
      </w:r>
      <w:r w:rsidRPr="00514C8E">
        <w:rPr>
          <w:iCs/>
        </w:rPr>
        <w:t xml:space="preserve"> 8905</w:t>
      </w:r>
      <w:r w:rsidRPr="00514C8E" w:rsidR="00D125A1">
        <w:rPr>
          <w:iCs/>
        </w:rPr>
        <w:t>, 8906</w:t>
      </w:r>
      <w:r w:rsidRPr="00514C8E">
        <w:rPr>
          <w:iCs/>
        </w:rPr>
        <w:t xml:space="preserve"> (MB 1995)</w:t>
      </w:r>
      <w:r w:rsidRPr="00514C8E" w:rsidR="00D125A1">
        <w:rPr>
          <w:iCs/>
        </w:rPr>
        <w:t>.</w:t>
      </w:r>
    </w:p>
  </w:footnote>
  <w:footnote w:id="23">
    <w:p w:rsidR="0020677B" w:rsidRPr="0020677B" w14:paraId="12BBC301" w14:textId="353CC337">
      <w:pPr>
        <w:pStyle w:val="FootnoteText"/>
      </w:pPr>
      <w:r>
        <w:rPr>
          <w:rStyle w:val="FootnoteReference"/>
        </w:rPr>
        <w:footnoteRef/>
      </w:r>
      <w:r>
        <w:t xml:space="preserve"> </w:t>
      </w:r>
      <w:r>
        <w:rPr>
          <w:i/>
          <w:iCs/>
        </w:rPr>
        <w:t>See</w:t>
      </w:r>
      <w:r w:rsidR="00BD396D">
        <w:rPr>
          <w:i/>
          <w:iCs/>
        </w:rPr>
        <w:t>, e.g.</w:t>
      </w:r>
      <w:r w:rsidR="00BD396D">
        <w:t>,</w:t>
      </w:r>
      <w:r>
        <w:rPr>
          <w:i/>
          <w:iCs/>
        </w:rPr>
        <w:t xml:space="preserve"> KSKN NAL</w:t>
      </w:r>
      <w:r>
        <w:t xml:space="preserve">, </w:t>
      </w:r>
      <w:r w:rsidRPr="00514C8E" w:rsidR="00F37220">
        <w:rPr>
          <w:iCs/>
        </w:rPr>
        <w:t xml:space="preserve">25 FCC </w:t>
      </w:r>
      <w:r w:rsidRPr="00514C8E" w:rsidR="00F37220">
        <w:rPr>
          <w:iCs/>
        </w:rPr>
        <w:t>Rcd</w:t>
      </w:r>
      <w:r w:rsidRPr="00514C8E" w:rsidR="00F37220">
        <w:rPr>
          <w:iCs/>
        </w:rPr>
        <w:t xml:space="preserve"> </w:t>
      </w:r>
      <w:r w:rsidR="00F37220">
        <w:rPr>
          <w:iCs/>
        </w:rPr>
        <w:t>at</w:t>
      </w:r>
      <w:r w:rsidRPr="00514C8E" w:rsidR="00F37220">
        <w:rPr>
          <w:iCs/>
        </w:rPr>
        <w:t xml:space="preserve"> 6153, para. 9</w:t>
      </w:r>
      <w:r w:rsidR="00F37220">
        <w:rPr>
          <w:iCs/>
        </w:rPr>
        <w:t>.</w:t>
      </w:r>
    </w:p>
  </w:footnote>
  <w:footnote w:id="24">
    <w:p w:rsidR="00150BF5" w:rsidRPr="00514C8E" w:rsidP="00150BF5" w14:paraId="6060FAE3" w14:textId="37EA1630">
      <w:pPr>
        <w:pStyle w:val="FootnoteText"/>
      </w:pPr>
      <w:r w:rsidRPr="00514C8E">
        <w:rPr>
          <w:rStyle w:val="FootnoteReference"/>
        </w:rPr>
        <w:footnoteRef/>
      </w:r>
      <w:r w:rsidRPr="00514C8E">
        <w:t xml:space="preserve"> </w:t>
      </w:r>
      <w:r w:rsidR="00EA243F">
        <w:rPr>
          <w:i/>
          <w:iCs/>
        </w:rPr>
        <w:t xml:space="preserve">See </w:t>
      </w:r>
      <w:r w:rsidRPr="00514C8E">
        <w:t xml:space="preserve">47 U.S.C. § 503(b)(1)(B); </w:t>
      </w:r>
      <w:r w:rsidRPr="00EA7F49">
        <w:rPr>
          <w:i/>
          <w:iCs/>
        </w:rPr>
        <w:t>s</w:t>
      </w:r>
      <w:r w:rsidRPr="00514C8E">
        <w:rPr>
          <w:i/>
          <w:iCs/>
        </w:rPr>
        <w:t>ee also</w:t>
      </w:r>
      <w:r w:rsidRPr="00514C8E">
        <w:t xml:space="preserve"> 47 </w:t>
      </w:r>
      <w:r w:rsidR="00353EB6">
        <w:t>CFR</w:t>
      </w:r>
      <w:r w:rsidRPr="00514C8E">
        <w:t xml:space="preserve"> § 1.80(a)</w:t>
      </w:r>
      <w:r w:rsidR="00DC4B9E">
        <w:t>(2)</w:t>
      </w:r>
      <w:r w:rsidRPr="00514C8E">
        <w:t>.</w:t>
      </w:r>
      <w:r w:rsidRPr="00514C8E" w:rsidR="00973E45">
        <w:t xml:space="preserve"> </w:t>
      </w:r>
    </w:p>
  </w:footnote>
  <w:footnote w:id="25">
    <w:p w:rsidR="00150BF5" w:rsidRPr="00514C8E" w:rsidP="00150BF5" w14:paraId="0385B8ED" w14:textId="77777777">
      <w:pPr>
        <w:pStyle w:val="FootnoteText"/>
      </w:pPr>
      <w:r w:rsidRPr="00514C8E">
        <w:rPr>
          <w:rStyle w:val="FootnoteReference"/>
        </w:rPr>
        <w:footnoteRef/>
      </w:r>
      <w:r w:rsidRPr="00514C8E">
        <w:t xml:space="preserve"> 47 U.S.C. § 312(f)(1).</w:t>
      </w:r>
    </w:p>
  </w:footnote>
  <w:footnote w:id="26">
    <w:p w:rsidR="00150BF5" w:rsidRPr="00514C8E" w:rsidP="00150BF5" w14:paraId="3C140323" w14:textId="1E53B75A">
      <w:pPr>
        <w:pStyle w:val="FootnoteText"/>
      </w:pPr>
      <w:r w:rsidRPr="00514C8E">
        <w:rPr>
          <w:rStyle w:val="FootnoteReference"/>
        </w:rPr>
        <w:footnoteRef/>
      </w:r>
      <w:r w:rsidRPr="00514C8E">
        <w:rPr>
          <w:i/>
        </w:rPr>
        <w:t xml:space="preserve"> See</w:t>
      </w:r>
      <w:r w:rsidRPr="00514C8E">
        <w:t xml:space="preserve"> H.R. Rep. No. 97-765, </w:t>
      </w:r>
      <w:r w:rsidR="00A657AA">
        <w:t>at</w:t>
      </w:r>
      <w:r w:rsidRPr="00514C8E">
        <w:t xml:space="preserve"> 51 (1982)</w:t>
      </w:r>
      <w:r w:rsidR="00A657AA">
        <w:t xml:space="preserve"> (Conf. Rep.)</w:t>
      </w:r>
      <w:r w:rsidRPr="00514C8E">
        <w:t>.</w:t>
      </w:r>
    </w:p>
  </w:footnote>
  <w:footnote w:id="27">
    <w:p w:rsidR="00150BF5" w:rsidRPr="00514C8E" w:rsidP="00150BF5" w14:paraId="66C9218A" w14:textId="0576F1FC">
      <w:pPr>
        <w:pStyle w:val="FootnoteText"/>
      </w:pPr>
      <w:r w:rsidRPr="00514C8E">
        <w:rPr>
          <w:rStyle w:val="FootnoteReference"/>
        </w:rPr>
        <w:footnoteRef/>
      </w:r>
      <w:r w:rsidRPr="00DC3B73">
        <w:rPr>
          <w:i/>
          <w:iCs/>
        </w:rPr>
        <w:t xml:space="preserve"> See</w:t>
      </w:r>
      <w:r w:rsidRPr="00DC3B73" w:rsidR="00DC4B9E">
        <w:rPr>
          <w:i/>
          <w:iCs/>
        </w:rPr>
        <w:t>, e.g.</w:t>
      </w:r>
      <w:r w:rsidRPr="00DC3B73" w:rsidR="00DC4B9E">
        <w:t>,</w:t>
      </w:r>
      <w:r w:rsidRPr="00DC3B73">
        <w:rPr>
          <w:i/>
          <w:iCs/>
        </w:rPr>
        <w:t xml:space="preserve"> Southern California Broadcasting Co.</w:t>
      </w:r>
      <w:r w:rsidRPr="00DC3B73">
        <w:t xml:space="preserve">, Memorandum Opinion and Order, 6 FCC </w:t>
      </w:r>
      <w:r w:rsidRPr="00DC3B73">
        <w:t>Rcd</w:t>
      </w:r>
      <w:r w:rsidRPr="00DC3B73">
        <w:t xml:space="preserve"> 4387, 4388</w:t>
      </w:r>
      <w:r w:rsidRPr="00DC3B73" w:rsidR="0097098C">
        <w:t>, para. 5</w:t>
      </w:r>
      <w:r w:rsidRPr="00DC3B73">
        <w:t xml:space="preserve"> (1991)</w:t>
      </w:r>
      <w:r w:rsidRPr="00DC3B73" w:rsidR="00B82FED">
        <w:t xml:space="preserve">, </w:t>
      </w:r>
      <w:r w:rsidRPr="00DC3B73" w:rsidR="00B82FED">
        <w:rPr>
          <w:i/>
        </w:rPr>
        <w:t>recon. denied</w:t>
      </w:r>
      <w:r w:rsidRPr="00DC3B73" w:rsidR="00B82FED">
        <w:t xml:space="preserve">, 7 FCC </w:t>
      </w:r>
      <w:r w:rsidRPr="00DC3B73" w:rsidR="00B82FED">
        <w:t>Rcd</w:t>
      </w:r>
      <w:r w:rsidRPr="00DC3B73" w:rsidR="00B82FED">
        <w:t xml:space="preserve"> 3454 (1992).</w:t>
      </w:r>
    </w:p>
  </w:footnote>
  <w:footnote w:id="28">
    <w:p w:rsidR="00150BF5" w:rsidRPr="00514C8E" w:rsidP="00150BF5" w14:paraId="4D18A471" w14:textId="77777777">
      <w:pPr>
        <w:pStyle w:val="FootnoteText"/>
      </w:pPr>
      <w:r w:rsidRPr="00514C8E">
        <w:rPr>
          <w:rStyle w:val="FootnoteReference"/>
        </w:rPr>
        <w:footnoteRef/>
      </w:r>
      <w:r w:rsidRPr="00514C8E">
        <w:t xml:space="preserve"> 47 U.S.C. § 312(f)(2). </w:t>
      </w:r>
    </w:p>
  </w:footnote>
  <w:footnote w:id="29">
    <w:p w:rsidR="00150BF5" w:rsidRPr="00514C8E" w:rsidP="00150BF5" w14:paraId="0EAA9570" w14:textId="086744A3">
      <w:pPr>
        <w:pStyle w:val="FootnoteText"/>
      </w:pPr>
      <w:r w:rsidRPr="00514C8E">
        <w:rPr>
          <w:rStyle w:val="FootnoteReference"/>
        </w:rPr>
        <w:footnoteRef/>
      </w:r>
      <w:r w:rsidRPr="00514C8E">
        <w:t xml:space="preserve"> </w:t>
      </w:r>
      <w:r w:rsidRPr="00514C8E">
        <w:rPr>
          <w:i/>
        </w:rPr>
        <w:t>See Forfeiture Policy Statement and Amendment of Section 1.80 of the Rules to Incorporate the Forfeiture Guidelines</w:t>
      </w:r>
      <w:r w:rsidRPr="00514C8E">
        <w:t xml:space="preserve">, Report and Order, 12 FCC </w:t>
      </w:r>
      <w:r w:rsidRPr="00514C8E">
        <w:t>Rcd</w:t>
      </w:r>
      <w:r w:rsidRPr="00514C8E">
        <w:t xml:space="preserve"> 17087, 17113 (1997) </w:t>
      </w:r>
      <w:r w:rsidRPr="00514C8E">
        <w:rPr>
          <w:i/>
        </w:rPr>
        <w:t>(Forfeiture Policy Statement),</w:t>
      </w:r>
      <w:r w:rsidRPr="00514C8E">
        <w:t xml:space="preserve"> </w:t>
      </w:r>
      <w:r w:rsidRPr="00514C8E">
        <w:rPr>
          <w:i/>
        </w:rPr>
        <w:t>recon. denied</w:t>
      </w:r>
      <w:r w:rsidRPr="00514C8E">
        <w:t xml:space="preserve">, 15 FCC </w:t>
      </w:r>
      <w:r w:rsidRPr="00514C8E">
        <w:t>Rcd</w:t>
      </w:r>
      <w:r w:rsidRPr="00514C8E">
        <w:t xml:space="preserve"> 303 (1999); 47 </w:t>
      </w:r>
      <w:r w:rsidR="00353EB6">
        <w:t>CFR</w:t>
      </w:r>
      <w:r w:rsidRPr="00514C8E">
        <w:t xml:space="preserve"> § 1.80(b), note to paragraph (b)(</w:t>
      </w:r>
      <w:r w:rsidRPr="00514C8E" w:rsidR="002A2AF1">
        <w:t>9</w:t>
      </w:r>
      <w:r w:rsidRPr="00514C8E">
        <w:t>), Section I.</w:t>
      </w:r>
    </w:p>
  </w:footnote>
  <w:footnote w:id="30">
    <w:p w:rsidR="00150BF5" w:rsidRPr="00514C8E" w:rsidP="00150BF5" w14:paraId="4133A089" w14:textId="6DEB62EC">
      <w:pPr>
        <w:pStyle w:val="FootnoteText"/>
      </w:pPr>
      <w:r w:rsidRPr="00514C8E">
        <w:rPr>
          <w:rStyle w:val="FootnoteReference"/>
        </w:rPr>
        <w:footnoteRef/>
      </w:r>
      <w:r w:rsidRPr="00514C8E">
        <w:t xml:space="preserve"> </w:t>
      </w:r>
      <w:bookmarkStart w:id="3" w:name="_Hlk55928585"/>
      <w:r w:rsidRPr="00514C8E">
        <w:t>47 U.S.C. § 503(b)(2)(</w:t>
      </w:r>
      <w:r w:rsidRPr="00514C8E" w:rsidR="009828C6">
        <w:t>E</w:t>
      </w:r>
      <w:r w:rsidRPr="00514C8E">
        <w:t>)</w:t>
      </w:r>
      <w:bookmarkEnd w:id="3"/>
      <w:r w:rsidR="00C55F39">
        <w:t xml:space="preserve">. </w:t>
      </w:r>
      <w:r w:rsidRPr="00514C8E">
        <w:t xml:space="preserve"> </w:t>
      </w:r>
      <w:r w:rsidR="00C55F39">
        <w:rPr>
          <w:i/>
        </w:rPr>
        <w:t>S</w:t>
      </w:r>
      <w:r w:rsidRPr="00514C8E">
        <w:rPr>
          <w:i/>
        </w:rPr>
        <w:t xml:space="preserve">ee also Forfeiture Policy Statement, </w:t>
      </w:r>
      <w:r w:rsidRPr="00514C8E">
        <w:t xml:space="preserve">12 FCC </w:t>
      </w:r>
      <w:r w:rsidRPr="00514C8E">
        <w:t>Rcd</w:t>
      </w:r>
      <w:r w:rsidRPr="00514C8E">
        <w:t xml:space="preserve"> at 17100-01; 47 </w:t>
      </w:r>
      <w:r w:rsidR="00353EB6">
        <w:t>CFR</w:t>
      </w:r>
      <w:r w:rsidRPr="00514C8E">
        <w:t xml:space="preserve"> § 1.80(b)(</w:t>
      </w:r>
      <w:r w:rsidRPr="00514C8E" w:rsidR="00F211B8">
        <w:t>9</w:t>
      </w:r>
      <w:r w:rsidRPr="00514C8E">
        <w:t xml:space="preserve">); 47 </w:t>
      </w:r>
      <w:r w:rsidR="00353EB6">
        <w:t>CFR</w:t>
      </w:r>
      <w:r w:rsidRPr="00514C8E">
        <w:t xml:space="preserve"> § 1.80(b), note to paragraph (b)(</w:t>
      </w:r>
      <w:r w:rsidRPr="00514C8E" w:rsidR="00F211B8">
        <w:t>9</w:t>
      </w:r>
      <w:r w:rsidRPr="00514C8E">
        <w:t>), Section I</w:t>
      </w:r>
      <w:r w:rsidRPr="00514C8E" w:rsidR="00D372B3">
        <w:t>I</w:t>
      </w:r>
      <w:r w:rsidRPr="00514C8E">
        <w:t>.</w:t>
      </w:r>
    </w:p>
  </w:footnote>
  <w:footnote w:id="31">
    <w:p w:rsidR="00B12D80" w14:paraId="209B500C" w14:textId="49C3609F">
      <w:pPr>
        <w:pStyle w:val="FootnoteText"/>
      </w:pPr>
      <w:r>
        <w:rPr>
          <w:rStyle w:val="FootnoteReference"/>
        </w:rPr>
        <w:footnoteRef/>
      </w:r>
      <w:r>
        <w:t xml:space="preserve"> </w:t>
      </w:r>
      <w:r>
        <w:rPr>
          <w:i/>
          <w:iCs/>
        </w:rPr>
        <w:t xml:space="preserve">See </w:t>
      </w:r>
      <w:r w:rsidR="006E3087">
        <w:rPr>
          <w:szCs w:val="22"/>
        </w:rPr>
        <w:t xml:space="preserve">WUTB Renewal </w:t>
      </w:r>
      <w:r w:rsidR="00FB1D87">
        <w:rPr>
          <w:szCs w:val="22"/>
        </w:rPr>
        <w:t>Exhibit</w:t>
      </w:r>
      <w:r w:rsidR="006E3087">
        <w:rPr>
          <w:szCs w:val="22"/>
        </w:rPr>
        <w:t xml:space="preserve"> </w:t>
      </w:r>
      <w:r>
        <w:rPr>
          <w:szCs w:val="22"/>
        </w:rPr>
        <w:t>at 1-2</w:t>
      </w:r>
      <w:r w:rsidR="00466775">
        <w:rPr>
          <w:szCs w:val="22"/>
        </w:rPr>
        <w:t>.</w:t>
      </w:r>
    </w:p>
  </w:footnote>
  <w:footnote w:id="32">
    <w:p w:rsidR="00F0740C" w:rsidRPr="00181FF6" w:rsidP="00F0740C" w14:paraId="5F916175" w14:textId="6DDA4692">
      <w:pPr>
        <w:pStyle w:val="FootnoteText"/>
      </w:pPr>
      <w:r>
        <w:rPr>
          <w:rStyle w:val="FootnoteReference"/>
        </w:rPr>
        <w:footnoteRef/>
      </w:r>
      <w:r>
        <w:t xml:space="preserve"> </w:t>
      </w:r>
      <w:r w:rsidR="004C2741">
        <w:rPr>
          <w:i/>
          <w:iCs/>
        </w:rPr>
        <w:t>See i</w:t>
      </w:r>
      <w:r>
        <w:rPr>
          <w:i/>
          <w:iCs/>
        </w:rPr>
        <w:t xml:space="preserve">d. </w:t>
      </w:r>
      <w:r>
        <w:t xml:space="preserve">(citing </w:t>
      </w:r>
      <w:r w:rsidRPr="005874B0">
        <w:rPr>
          <w:i/>
          <w:iCs/>
        </w:rPr>
        <w:t>San Antonio (KRRT-TV) Licensee, Inc.</w:t>
      </w:r>
      <w:r w:rsidR="009E77C8">
        <w:rPr>
          <w:i/>
          <w:iCs/>
        </w:rPr>
        <w:t xml:space="preserve"> (KMYS(TV))</w:t>
      </w:r>
      <w:r>
        <w:t xml:space="preserve">, Forfeiture Order, 25 FCC </w:t>
      </w:r>
      <w:r>
        <w:t>Rcd</w:t>
      </w:r>
      <w:r>
        <w:t xml:space="preserve"> 3747</w:t>
      </w:r>
      <w:r w:rsidR="005D17D0">
        <w:t>, 3750</w:t>
      </w:r>
      <w:r>
        <w:t xml:space="preserve"> (MB 2010) ($8,000 fine for two </w:t>
      </w:r>
      <w:r w:rsidR="003B47EB">
        <w:t xml:space="preserve">conventional </w:t>
      </w:r>
      <w:r>
        <w:t xml:space="preserve">commercial overages and two program-length commercials); </w:t>
      </w:r>
      <w:r w:rsidRPr="006813E8">
        <w:rPr>
          <w:i/>
          <w:iCs/>
        </w:rPr>
        <w:t>WVTV Licensee, Inc.</w:t>
      </w:r>
      <w:r w:rsidR="00701C49">
        <w:rPr>
          <w:i/>
          <w:iCs/>
        </w:rPr>
        <w:t xml:space="preserve"> (</w:t>
      </w:r>
      <w:r w:rsidRPr="00701C49" w:rsidR="00701C49">
        <w:rPr>
          <w:i/>
          <w:iCs/>
        </w:rPr>
        <w:t>WVTV(TV)</w:t>
      </w:r>
      <w:r w:rsidR="00701C49">
        <w:rPr>
          <w:i/>
          <w:iCs/>
        </w:rPr>
        <w:t>)</w:t>
      </w:r>
      <w:r>
        <w:t xml:space="preserve">, </w:t>
      </w:r>
      <w:r w:rsidR="000C2B89">
        <w:t xml:space="preserve">Forfeiture Order, </w:t>
      </w:r>
      <w:r>
        <w:t xml:space="preserve">25 FCC </w:t>
      </w:r>
      <w:r>
        <w:t>Rcd</w:t>
      </w:r>
      <w:r>
        <w:t xml:space="preserve"> 3741</w:t>
      </w:r>
      <w:r w:rsidR="00AE66EF">
        <w:t>, 3744-45</w:t>
      </w:r>
      <w:r>
        <w:t xml:space="preserve"> (MB 2010) ($8,000 fine for </w:t>
      </w:r>
      <w:r w:rsidR="002D6211">
        <w:t xml:space="preserve">one </w:t>
      </w:r>
      <w:r w:rsidR="003B47EB">
        <w:t xml:space="preserve">conventional </w:t>
      </w:r>
      <w:r>
        <w:t>commercial</w:t>
      </w:r>
      <w:r w:rsidR="002D6211">
        <w:t xml:space="preserve"> </w:t>
      </w:r>
      <w:r>
        <w:t xml:space="preserve">overage, </w:t>
      </w:r>
      <w:r w:rsidR="00A621CC">
        <w:t xml:space="preserve">one instance of </w:t>
      </w:r>
      <w:r>
        <w:t xml:space="preserve">host-selling, and </w:t>
      </w:r>
      <w:r w:rsidR="00D759C0">
        <w:t xml:space="preserve">two </w:t>
      </w:r>
      <w:r>
        <w:t>program-length commercial</w:t>
      </w:r>
      <w:r w:rsidR="00D759C0">
        <w:t>s</w:t>
      </w:r>
      <w:r>
        <w:t xml:space="preserve">); </w:t>
      </w:r>
      <w:r w:rsidRPr="006813E8">
        <w:rPr>
          <w:i/>
          <w:iCs/>
        </w:rPr>
        <w:t>WLOS Licensee, LLC</w:t>
      </w:r>
      <w:r w:rsidR="00D1350D">
        <w:rPr>
          <w:i/>
          <w:iCs/>
        </w:rPr>
        <w:t xml:space="preserve"> (</w:t>
      </w:r>
      <w:r w:rsidRPr="00D1350D" w:rsidR="00D1350D">
        <w:rPr>
          <w:i/>
          <w:iCs/>
        </w:rPr>
        <w:t>WLOS(TV)</w:t>
      </w:r>
      <w:r w:rsidR="00D1350D">
        <w:rPr>
          <w:i/>
          <w:iCs/>
        </w:rPr>
        <w:t>)</w:t>
      </w:r>
      <w:r>
        <w:t xml:space="preserve">, Notice of Apparent Liability for Forfeiture, 25 FCC </w:t>
      </w:r>
      <w:r>
        <w:t>Rcd</w:t>
      </w:r>
      <w:r>
        <w:t xml:space="preserve"> 4598</w:t>
      </w:r>
      <w:r w:rsidR="002B20B2">
        <w:t>, 4600</w:t>
      </w:r>
      <w:r>
        <w:t xml:space="preserve"> (MB 2010) ($8,000 fine for 23 </w:t>
      </w:r>
      <w:r w:rsidR="002B6A33">
        <w:t xml:space="preserve">conventional </w:t>
      </w:r>
      <w:r>
        <w:t xml:space="preserve">commercial overages); </w:t>
      </w:r>
      <w:r w:rsidRPr="006813E8">
        <w:rPr>
          <w:i/>
          <w:iCs/>
        </w:rPr>
        <w:t>KLGT Licensee, LLC</w:t>
      </w:r>
      <w:r w:rsidR="00646492">
        <w:t xml:space="preserve"> </w:t>
      </w:r>
      <w:r w:rsidR="00646492">
        <w:rPr>
          <w:i/>
          <w:iCs/>
        </w:rPr>
        <w:t>(</w:t>
      </w:r>
      <w:r w:rsidRPr="00646492" w:rsidR="00646492">
        <w:rPr>
          <w:i/>
          <w:iCs/>
        </w:rPr>
        <w:t>WUCW(TV)</w:t>
      </w:r>
      <w:r w:rsidR="00646492">
        <w:rPr>
          <w:i/>
          <w:iCs/>
        </w:rPr>
        <w:t>)</w:t>
      </w:r>
      <w:r>
        <w:t xml:space="preserve">, Notice of Apparent Liability for Forfeiture, 24 FCC </w:t>
      </w:r>
      <w:r>
        <w:t>Rcd</w:t>
      </w:r>
      <w:r>
        <w:t xml:space="preserve"> 949</w:t>
      </w:r>
      <w:r w:rsidR="00336758">
        <w:t xml:space="preserve">, </w:t>
      </w:r>
      <w:r w:rsidR="008371BA">
        <w:t>953</w:t>
      </w:r>
      <w:r>
        <w:t xml:space="preserve"> (MB 2009) ($8,000 fine for </w:t>
      </w:r>
      <w:r w:rsidR="00DA07EB">
        <w:t xml:space="preserve">five </w:t>
      </w:r>
      <w:r w:rsidR="002B6A33">
        <w:t xml:space="preserve">conventional </w:t>
      </w:r>
      <w:r>
        <w:t xml:space="preserve">commercial overages, </w:t>
      </w:r>
      <w:r w:rsidR="00807321">
        <w:t>two</w:t>
      </w:r>
      <w:r>
        <w:t xml:space="preserve"> program-length commercials, and one host-selling violation)</w:t>
      </w:r>
      <w:r w:rsidR="00847D0B">
        <w:t>)</w:t>
      </w:r>
      <w:r>
        <w:t>.</w:t>
      </w:r>
    </w:p>
  </w:footnote>
  <w:footnote w:id="33">
    <w:p w:rsidR="0057670E" w:rsidRPr="0057670E" w14:paraId="43FB523B" w14:textId="53DC1F9D">
      <w:pPr>
        <w:pStyle w:val="FootnoteText"/>
      </w:pPr>
      <w:r>
        <w:rPr>
          <w:rStyle w:val="FootnoteReference"/>
        </w:rPr>
        <w:footnoteRef/>
      </w:r>
      <w:r>
        <w:t xml:space="preserve"> </w:t>
      </w:r>
      <w:r>
        <w:rPr>
          <w:i/>
          <w:iCs/>
        </w:rPr>
        <w:t>See id.</w:t>
      </w:r>
    </w:p>
  </w:footnote>
  <w:footnote w:id="34">
    <w:p w:rsidR="004D6358" w:rsidRPr="00146E34" w14:paraId="29A63590" w14:textId="78356983">
      <w:pPr>
        <w:pStyle w:val="FootnoteText"/>
      </w:pPr>
      <w:r>
        <w:rPr>
          <w:rStyle w:val="FootnoteReference"/>
        </w:rPr>
        <w:footnoteRef/>
      </w:r>
      <w:r>
        <w:t xml:space="preserve"> </w:t>
      </w:r>
      <w:r>
        <w:rPr>
          <w:i/>
          <w:iCs/>
        </w:rPr>
        <w:t>See</w:t>
      </w:r>
      <w:r w:rsidR="00522518">
        <w:rPr>
          <w:i/>
          <w:iCs/>
        </w:rPr>
        <w:t>, e.g.</w:t>
      </w:r>
      <w:r w:rsidR="00522518">
        <w:t xml:space="preserve">, </w:t>
      </w:r>
      <w:r w:rsidR="00146E34">
        <w:rPr>
          <w:i/>
          <w:iCs/>
        </w:rPr>
        <w:t>Ramar</w:t>
      </w:r>
      <w:r w:rsidR="00146E34">
        <w:rPr>
          <w:i/>
          <w:iCs/>
        </w:rPr>
        <w:t xml:space="preserve"> Communications, Inc. (KJTV(TV))</w:t>
      </w:r>
      <w:r w:rsidR="00146E34">
        <w:t xml:space="preserve">, </w:t>
      </w:r>
      <w:r w:rsidRPr="0037303B" w:rsidR="0037303B">
        <w:t>Memorandum Opinion and Order</w:t>
      </w:r>
      <w:r w:rsidR="0037303B">
        <w:t xml:space="preserve">, 12 FCC </w:t>
      </w:r>
      <w:r w:rsidR="0037303B">
        <w:t>Rcd</w:t>
      </w:r>
      <w:r w:rsidR="0037303B">
        <w:t xml:space="preserve"> </w:t>
      </w:r>
      <w:r w:rsidR="00E62AF1">
        <w:t xml:space="preserve">20490, </w:t>
      </w:r>
      <w:r w:rsidR="00FB2A71">
        <w:t>20493,</w:t>
      </w:r>
      <w:r w:rsidR="00F47BEB">
        <w:t xml:space="preserve"> 20497</w:t>
      </w:r>
      <w:r w:rsidR="00FB2A71">
        <w:t xml:space="preserve"> para</w:t>
      </w:r>
      <w:r w:rsidR="00F47BEB">
        <w:t>s</w:t>
      </w:r>
      <w:r w:rsidR="00FB2A71">
        <w:t>. 9</w:t>
      </w:r>
      <w:r w:rsidR="00F47BEB">
        <w:t>, 22</w:t>
      </w:r>
      <w:r w:rsidR="0074724F">
        <w:t xml:space="preserve"> (MB 1997)</w:t>
      </w:r>
      <w:r w:rsidR="00E26C94">
        <w:t xml:space="preserve"> (comparing</w:t>
      </w:r>
      <w:r w:rsidR="00FB10D3">
        <w:t xml:space="preserve">, </w:t>
      </w:r>
      <w:r w:rsidR="00FB10D3">
        <w:rPr>
          <w:i/>
          <w:iCs/>
        </w:rPr>
        <w:t>inter alia</w:t>
      </w:r>
      <w:r w:rsidR="00FB10D3">
        <w:t xml:space="preserve">, </w:t>
      </w:r>
      <w:r w:rsidRPr="006813E8" w:rsidR="008D0F91">
        <w:rPr>
          <w:i/>
          <w:iCs/>
        </w:rPr>
        <w:t>Mt. Mansfield Television, Inc. (WCAX</w:t>
      </w:r>
      <w:r w:rsidR="008D0F91">
        <w:rPr>
          <w:i/>
          <w:iCs/>
        </w:rPr>
        <w:t>(</w:t>
      </w:r>
      <w:r w:rsidRPr="006813E8" w:rsidR="008D0F91">
        <w:rPr>
          <w:i/>
          <w:iCs/>
        </w:rPr>
        <w:t>TV)</w:t>
      </w:r>
      <w:r w:rsidR="008D0F91">
        <w:rPr>
          <w:i/>
          <w:iCs/>
        </w:rPr>
        <w:t>)</w:t>
      </w:r>
      <w:r w:rsidRPr="008D0F91" w:rsidR="008D0F91">
        <w:t xml:space="preserve">, 10 FCC </w:t>
      </w:r>
      <w:r w:rsidRPr="008D0F91" w:rsidR="008D0F91">
        <w:t>Rcd</w:t>
      </w:r>
      <w:r w:rsidRPr="008D0F91" w:rsidR="008D0F91">
        <w:t xml:space="preserve"> 8797</w:t>
      </w:r>
      <w:r w:rsidR="000A5B7D">
        <w:t>, 8797-98</w:t>
      </w:r>
      <w:r w:rsidRPr="008D0F91" w:rsidR="008D0F91">
        <w:t xml:space="preserve"> (</w:t>
      </w:r>
      <w:r w:rsidR="003A1B0E">
        <w:t xml:space="preserve">MB </w:t>
      </w:r>
      <w:r w:rsidRPr="008D0F91" w:rsidR="008D0F91">
        <w:t>1995)</w:t>
      </w:r>
      <w:r w:rsidR="00027FA8">
        <w:t xml:space="preserve"> (</w:t>
      </w:r>
      <w:r w:rsidR="004813D7">
        <w:t>$10,000 forfeiture for 30 conventional</w:t>
      </w:r>
      <w:r w:rsidR="00695200">
        <w:t xml:space="preserve"> commercial limit</w:t>
      </w:r>
      <w:r w:rsidR="004813D7">
        <w:t xml:space="preserve"> overages)</w:t>
      </w:r>
      <w:r w:rsidR="00027FA8">
        <w:t xml:space="preserve">, </w:t>
      </w:r>
      <w:r w:rsidRPr="006813E8" w:rsidR="00027FA8">
        <w:t>with</w:t>
      </w:r>
      <w:r w:rsidR="00027FA8">
        <w:rPr>
          <w:i/>
          <w:iCs/>
        </w:rPr>
        <w:t xml:space="preserve"> </w:t>
      </w:r>
      <w:r w:rsidRPr="006813E8" w:rsidR="007D6F87">
        <w:rPr>
          <w:i/>
          <w:iCs/>
        </w:rPr>
        <w:t>Gannett Massachusetts Broadcasting, Inc. (WLVI</w:t>
      </w:r>
      <w:r w:rsidR="007D6F87">
        <w:rPr>
          <w:i/>
          <w:iCs/>
        </w:rPr>
        <w:t>(</w:t>
      </w:r>
      <w:r w:rsidRPr="006813E8" w:rsidR="007D6F87">
        <w:rPr>
          <w:i/>
          <w:iCs/>
        </w:rPr>
        <w:t>TV)</w:t>
      </w:r>
      <w:r w:rsidR="007D6F87">
        <w:rPr>
          <w:i/>
          <w:iCs/>
        </w:rPr>
        <w:t>)</w:t>
      </w:r>
      <w:r w:rsidRPr="007D6F87" w:rsidR="007D6F87">
        <w:t xml:space="preserve">, 9 FCC </w:t>
      </w:r>
      <w:r w:rsidRPr="007D6F87" w:rsidR="007D6F87">
        <w:t>Rcd</w:t>
      </w:r>
      <w:r w:rsidRPr="007D6F87" w:rsidR="007D6F87">
        <w:t xml:space="preserve"> 1555 (</w:t>
      </w:r>
      <w:r w:rsidR="00AB1B09">
        <w:t xml:space="preserve">MB </w:t>
      </w:r>
      <w:r w:rsidRPr="007D6F87" w:rsidR="007D6F87">
        <w:t>1994)</w:t>
      </w:r>
      <w:r w:rsidR="007D6F87">
        <w:t xml:space="preserve"> ($10,000 </w:t>
      </w:r>
      <w:r w:rsidR="000F2446">
        <w:t xml:space="preserve">forfeiture </w:t>
      </w:r>
      <w:r w:rsidR="007D6F87">
        <w:t xml:space="preserve">for </w:t>
      </w:r>
      <w:r w:rsidR="00E071D6">
        <w:t>three conventional</w:t>
      </w:r>
      <w:r w:rsidR="00695200">
        <w:t xml:space="preserve"> commercial limit</w:t>
      </w:r>
      <w:r w:rsidR="00E071D6">
        <w:t xml:space="preserve"> overages and four program-length commercials)</w:t>
      </w:r>
      <w:r w:rsidR="00C626B5">
        <w:t>)</w:t>
      </w:r>
      <w:r w:rsidR="0074724F">
        <w:t>.</w:t>
      </w:r>
    </w:p>
  </w:footnote>
  <w:footnote w:id="35">
    <w:p w:rsidR="00A05B64" w:rsidRPr="00847E85" w:rsidP="00A05B64" w14:paraId="0A27A15D" w14:textId="3B027C81">
      <w:pPr>
        <w:pStyle w:val="FootnoteText"/>
      </w:pPr>
      <w:r>
        <w:rPr>
          <w:rStyle w:val="FootnoteReference"/>
        </w:rPr>
        <w:footnoteRef/>
      </w:r>
      <w:r>
        <w:t xml:space="preserve"> </w:t>
      </w:r>
      <w:r w:rsidR="00E562CB">
        <w:rPr>
          <w:i/>
          <w:iCs/>
        </w:rPr>
        <w:t xml:space="preserve">See </w:t>
      </w:r>
      <w:r w:rsidR="00FB1D87">
        <w:rPr>
          <w:szCs w:val="22"/>
        </w:rPr>
        <w:t>WUTB Renewal Exhibit</w:t>
      </w:r>
      <w:r w:rsidR="00C57111">
        <w:rPr>
          <w:szCs w:val="22"/>
        </w:rPr>
        <w:t xml:space="preserve"> at 2</w:t>
      </w:r>
      <w:r>
        <w:rPr>
          <w:i/>
          <w:iCs/>
        </w:rPr>
        <w:t xml:space="preserve"> </w:t>
      </w:r>
      <w:r>
        <w:t xml:space="preserve">(citing </w:t>
      </w:r>
      <w:r w:rsidRPr="00B13262">
        <w:rPr>
          <w:i/>
        </w:rPr>
        <w:t>KSKN NAL</w:t>
      </w:r>
      <w:r w:rsidRPr="006813E8">
        <w:rPr>
          <w:iCs/>
        </w:rPr>
        <w:t>,</w:t>
      </w:r>
      <w:r w:rsidRPr="00514C8E">
        <w:rPr>
          <w:i/>
        </w:rPr>
        <w:t xml:space="preserve"> </w:t>
      </w:r>
      <w:r w:rsidRPr="00514C8E">
        <w:rPr>
          <w:iCs/>
        </w:rPr>
        <w:t xml:space="preserve">25 FCC </w:t>
      </w:r>
      <w:r w:rsidRPr="00514C8E">
        <w:rPr>
          <w:iCs/>
        </w:rPr>
        <w:t>Rcd</w:t>
      </w:r>
      <w:r w:rsidRPr="00514C8E">
        <w:rPr>
          <w:iCs/>
        </w:rPr>
        <w:t xml:space="preserve"> </w:t>
      </w:r>
      <w:r>
        <w:rPr>
          <w:iCs/>
        </w:rPr>
        <w:t>at</w:t>
      </w:r>
      <w:r w:rsidRPr="00514C8E">
        <w:rPr>
          <w:iCs/>
        </w:rPr>
        <w:t xml:space="preserve"> 6153</w:t>
      </w:r>
      <w:r>
        <w:t xml:space="preserve"> ($70,000 fine for 86 program</w:t>
      </w:r>
      <w:r w:rsidR="000D6478">
        <w:t>-</w:t>
      </w:r>
      <w:r>
        <w:t xml:space="preserve">length commercials, one host-selling violation, and failure to publicize the location of the station’s Children’s Television Programming Reports); </w:t>
      </w:r>
      <w:r w:rsidRPr="005874B0">
        <w:rPr>
          <w:i/>
          <w:iCs/>
        </w:rPr>
        <w:t xml:space="preserve">UTV of San Francisco, Inc. Licensee </w:t>
      </w:r>
      <w:r w:rsidR="00016764">
        <w:rPr>
          <w:i/>
          <w:iCs/>
        </w:rPr>
        <w:t>(</w:t>
      </w:r>
      <w:r w:rsidRPr="005874B0">
        <w:rPr>
          <w:i/>
          <w:iCs/>
        </w:rPr>
        <w:t>KBHK</w:t>
      </w:r>
      <w:r w:rsidR="00016764">
        <w:rPr>
          <w:i/>
          <w:iCs/>
        </w:rPr>
        <w:t>(</w:t>
      </w:r>
      <w:r w:rsidRPr="005874B0">
        <w:rPr>
          <w:i/>
          <w:iCs/>
        </w:rPr>
        <w:t>TV</w:t>
      </w:r>
      <w:r w:rsidR="00016764">
        <w:rPr>
          <w:i/>
          <w:iCs/>
        </w:rPr>
        <w:t>))</w:t>
      </w:r>
      <w:r>
        <w:t xml:space="preserve">, </w:t>
      </w:r>
      <w:r w:rsidR="007C58F2">
        <w:t xml:space="preserve">Letter, </w:t>
      </w:r>
      <w:r>
        <w:t xml:space="preserve">10 FCC </w:t>
      </w:r>
      <w:r>
        <w:t>Rcd</w:t>
      </w:r>
      <w:r>
        <w:t xml:space="preserve"> 10986</w:t>
      </w:r>
      <w:r w:rsidR="00E826CC">
        <w:t>, 10988</w:t>
      </w:r>
      <w:r>
        <w:t xml:space="preserve"> (1995) </w:t>
      </w:r>
      <w:r w:rsidR="00DD4FB1">
        <w:t>(</w:t>
      </w:r>
      <w:r w:rsidR="00DC21FD">
        <w:rPr>
          <w:i/>
          <w:iCs/>
        </w:rPr>
        <w:t>KBHK Letter</w:t>
      </w:r>
      <w:r w:rsidR="00DD4FB1">
        <w:t xml:space="preserve">) </w:t>
      </w:r>
      <w:r>
        <w:t xml:space="preserve">($40,000 fine for 218 </w:t>
      </w:r>
      <w:r w:rsidR="00807321">
        <w:t xml:space="preserve">commercial </w:t>
      </w:r>
      <w:r>
        <w:t xml:space="preserve">overages, including </w:t>
      </w:r>
      <w:r w:rsidR="00807321">
        <w:t>two</w:t>
      </w:r>
      <w:r>
        <w:t xml:space="preserve"> program-length commercials); </w:t>
      </w:r>
      <w:r w:rsidRPr="005874B0">
        <w:rPr>
          <w:i/>
          <w:iCs/>
        </w:rPr>
        <w:t>Winston Broadcasting Network, Inc.</w:t>
      </w:r>
      <w:r w:rsidR="00862200">
        <w:rPr>
          <w:i/>
          <w:iCs/>
        </w:rPr>
        <w:t xml:space="preserve"> (</w:t>
      </w:r>
      <w:r w:rsidRPr="00862200" w:rsidR="00862200">
        <w:rPr>
          <w:i/>
          <w:iCs/>
        </w:rPr>
        <w:t>WBNX</w:t>
      </w:r>
      <w:r w:rsidR="00862200">
        <w:rPr>
          <w:i/>
          <w:iCs/>
        </w:rPr>
        <w:t>(</w:t>
      </w:r>
      <w:r w:rsidRPr="00862200" w:rsidR="00862200">
        <w:rPr>
          <w:i/>
          <w:iCs/>
        </w:rPr>
        <w:t>TV</w:t>
      </w:r>
      <w:r w:rsidR="00862200">
        <w:rPr>
          <w:i/>
          <w:iCs/>
        </w:rPr>
        <w:t>))</w:t>
      </w:r>
      <w:r>
        <w:t xml:space="preserve">, Notice of Apparent Liability for Forfeiture, 23 FCC </w:t>
      </w:r>
      <w:r>
        <w:t>Rcd</w:t>
      </w:r>
      <w:r>
        <w:t xml:space="preserve"> 14606</w:t>
      </w:r>
      <w:r w:rsidR="008E0691">
        <w:t xml:space="preserve">, </w:t>
      </w:r>
      <w:r w:rsidR="007E71D4">
        <w:t>14607-09</w:t>
      </w:r>
      <w:r w:rsidR="00DC054D">
        <w:t xml:space="preserve">, paras. 4-5, </w:t>
      </w:r>
      <w:r w:rsidR="00610FA2">
        <w:t>11</w:t>
      </w:r>
      <w:r>
        <w:t xml:space="preserve"> (</w:t>
      </w:r>
      <w:r w:rsidR="00903811">
        <w:t xml:space="preserve">MB </w:t>
      </w:r>
      <w:r>
        <w:t>2008)</w:t>
      </w:r>
      <w:r w:rsidR="001B670E">
        <w:t xml:space="preserve"> (</w:t>
      </w:r>
      <w:r w:rsidR="00DC21FD">
        <w:rPr>
          <w:i/>
          <w:iCs/>
        </w:rPr>
        <w:t>WBNX NAL</w:t>
      </w:r>
      <w:r w:rsidR="001B670E">
        <w:t>)</w:t>
      </w:r>
      <w:r>
        <w:t xml:space="preserve"> ($</w:t>
      </w:r>
      <w:r w:rsidR="00A026E3">
        <w:t>20</w:t>
      </w:r>
      <w:r w:rsidR="00C67D73">
        <w:t>,000</w:t>
      </w:r>
      <w:r>
        <w:t xml:space="preserve"> fine for </w:t>
      </w:r>
      <w:r w:rsidR="00807321">
        <w:t>one</w:t>
      </w:r>
      <w:r>
        <w:t xml:space="preserve"> </w:t>
      </w:r>
      <w:r w:rsidR="00CE6215">
        <w:t xml:space="preserve">conventional </w:t>
      </w:r>
      <w:r>
        <w:t xml:space="preserve">commercial overage, 11 program-length commercials, and </w:t>
      </w:r>
      <w:r w:rsidR="00807321">
        <w:t>five</w:t>
      </w:r>
      <w:r>
        <w:t xml:space="preserve"> host-selling violations</w:t>
      </w:r>
      <w:r w:rsidR="0061303E">
        <w:t>)</w:t>
      </w:r>
      <w:r w:rsidR="00A026E3">
        <w:t xml:space="preserve">, </w:t>
      </w:r>
      <w:r w:rsidR="00A026E3">
        <w:rPr>
          <w:i/>
          <w:iCs/>
        </w:rPr>
        <w:t>modified</w:t>
      </w:r>
      <w:r w:rsidR="00A026E3">
        <w:t xml:space="preserve">, </w:t>
      </w:r>
      <w:r w:rsidRPr="00B92F9A" w:rsidR="00B92F9A">
        <w:t xml:space="preserve">25 FCC </w:t>
      </w:r>
      <w:r w:rsidRPr="00B92F9A" w:rsidR="00B92F9A">
        <w:t>Rcd</w:t>
      </w:r>
      <w:r w:rsidRPr="00B92F9A" w:rsidR="00B92F9A">
        <w:t xml:space="preserve"> 4571</w:t>
      </w:r>
      <w:r w:rsidR="00304DAA">
        <w:t xml:space="preserve">, </w:t>
      </w:r>
      <w:r w:rsidR="00155ACC">
        <w:t>4573</w:t>
      </w:r>
      <w:r w:rsidR="00304DAA">
        <w:t>, para. 11 (MB 20</w:t>
      </w:r>
      <w:r w:rsidR="00B81929">
        <w:t>10</w:t>
      </w:r>
      <w:r w:rsidR="00304DAA">
        <w:t>)</w:t>
      </w:r>
      <w:r w:rsidR="002B5A50">
        <w:t xml:space="preserve"> (</w:t>
      </w:r>
      <w:r w:rsidR="00BE1167">
        <w:t>reducing fine to $16,000 due to the licensee’s history of compliance with the Rules))</w:t>
      </w:r>
      <w:r w:rsidR="00B81929">
        <w:t>.</w:t>
      </w:r>
      <w:r w:rsidR="00304DAA">
        <w:t xml:space="preserve"> </w:t>
      </w:r>
      <w:r w:rsidR="0061303E">
        <w:rPr>
          <w:i/>
          <w:iCs/>
        </w:rPr>
        <w:t xml:space="preserve"> </w:t>
      </w:r>
      <w:r w:rsidR="00387CB1">
        <w:t xml:space="preserve">We </w:t>
      </w:r>
      <w:r w:rsidR="006054B2">
        <w:t>do not believe</w:t>
      </w:r>
      <w:r w:rsidR="00387CB1">
        <w:t xml:space="preserve"> these cases are directly relevant </w:t>
      </w:r>
      <w:r w:rsidR="0030486D">
        <w:t>to this matter</w:t>
      </w:r>
      <w:r w:rsidR="00387CB1">
        <w:t xml:space="preserve">.  </w:t>
      </w:r>
      <w:r w:rsidR="008B6AAB">
        <w:t>The first t</w:t>
      </w:r>
      <w:r w:rsidR="00916F44">
        <w:t>wo cases cited</w:t>
      </w:r>
      <w:r w:rsidR="00C64E6B">
        <w:t xml:space="preserve">, the </w:t>
      </w:r>
      <w:r w:rsidR="00C64E6B">
        <w:rPr>
          <w:i/>
          <w:iCs/>
        </w:rPr>
        <w:t>KSKN NAL</w:t>
      </w:r>
      <w:r w:rsidR="00C64E6B">
        <w:t xml:space="preserve"> and the </w:t>
      </w:r>
      <w:r w:rsidR="00C64E6B">
        <w:rPr>
          <w:i/>
          <w:iCs/>
        </w:rPr>
        <w:t xml:space="preserve">KBHK </w:t>
      </w:r>
      <w:r w:rsidR="00FA23B7">
        <w:rPr>
          <w:i/>
          <w:iCs/>
        </w:rPr>
        <w:t>Letter</w:t>
      </w:r>
      <w:r w:rsidR="00FA23B7">
        <w:t>,</w:t>
      </w:r>
      <w:r w:rsidR="00916F44">
        <w:t xml:space="preserve"> </w:t>
      </w:r>
      <w:r w:rsidR="007A58B5">
        <w:t xml:space="preserve">do not make for a good comparison because they </w:t>
      </w:r>
      <w:r w:rsidR="00916F44">
        <w:t>involve</w:t>
      </w:r>
      <w:r w:rsidR="008B6AAB">
        <w:t xml:space="preserve"> many more violations and</w:t>
      </w:r>
      <w:r w:rsidR="00916F44">
        <w:t xml:space="preserve"> much higher fines than this case</w:t>
      </w:r>
      <w:r w:rsidR="007625AF">
        <w:t>.</w:t>
      </w:r>
      <w:r w:rsidR="001B670E">
        <w:t xml:space="preserve">  The third case, </w:t>
      </w:r>
      <w:r w:rsidR="00C64E6B">
        <w:t xml:space="preserve">the </w:t>
      </w:r>
      <w:r w:rsidR="001B670E">
        <w:rPr>
          <w:i/>
          <w:iCs/>
        </w:rPr>
        <w:t>W</w:t>
      </w:r>
      <w:r w:rsidR="00C64E6B">
        <w:rPr>
          <w:i/>
          <w:iCs/>
        </w:rPr>
        <w:t>BNX NAL</w:t>
      </w:r>
      <w:r w:rsidR="001B670E">
        <w:t xml:space="preserve">, </w:t>
      </w:r>
      <w:r w:rsidR="00FA23B7">
        <w:t xml:space="preserve">is not directly relevant because </w:t>
      </w:r>
      <w:r w:rsidR="000B1257">
        <w:t>all but one of</w:t>
      </w:r>
      <w:r w:rsidR="00581802">
        <w:t xml:space="preserve"> the program-length commercials involved a “fleeting” moment of program-related content in the commercial.</w:t>
      </w:r>
      <w:r w:rsidR="00BD7120">
        <w:t xml:space="preserve">  </w:t>
      </w:r>
      <w:r w:rsidR="00BD7120">
        <w:rPr>
          <w:i/>
          <w:iCs/>
        </w:rPr>
        <w:t>See WBNX NAL</w:t>
      </w:r>
      <w:r w:rsidR="002F5017">
        <w:t xml:space="preserve">, </w:t>
      </w:r>
      <w:r w:rsidRPr="00CA06C3" w:rsidR="00CA06C3">
        <w:t xml:space="preserve">23 FCC </w:t>
      </w:r>
      <w:r w:rsidRPr="00CA06C3" w:rsidR="00CA06C3">
        <w:t>Rcd</w:t>
      </w:r>
      <w:r w:rsidR="00CA06C3">
        <w:t xml:space="preserve"> at </w:t>
      </w:r>
      <w:r w:rsidR="00FF02F5">
        <w:t>14607</w:t>
      </w:r>
      <w:r w:rsidR="009A4E28">
        <w:t xml:space="preserve">, para. </w:t>
      </w:r>
      <w:r w:rsidR="004F58EE">
        <w:t>4</w:t>
      </w:r>
      <w:r w:rsidR="009A4E28">
        <w:t xml:space="preserve"> </w:t>
      </w:r>
      <w:r w:rsidR="003B75C7">
        <w:t xml:space="preserve">(noting that </w:t>
      </w:r>
      <w:r w:rsidR="00D76E55">
        <w:t>ten of the program-length commercial violations involved</w:t>
      </w:r>
      <w:r w:rsidR="00E73B95">
        <w:t xml:space="preserve"> an instance where</w:t>
      </w:r>
      <w:r w:rsidR="00D76E55">
        <w:t xml:space="preserve"> </w:t>
      </w:r>
      <w:r w:rsidR="00E73B95">
        <w:t>“</w:t>
      </w:r>
      <w:r w:rsidRPr="00E73B95" w:rsidR="00E73B95">
        <w:t xml:space="preserve">only half of the letter </w:t>
      </w:r>
      <w:r w:rsidR="00FA2CFE">
        <w:t>‘</w:t>
      </w:r>
      <w:r w:rsidRPr="00E73B95" w:rsidR="00E73B95">
        <w:t>M</w:t>
      </w:r>
      <w:r w:rsidR="00FA2CFE">
        <w:t>’</w:t>
      </w:r>
      <w:r w:rsidRPr="00E73B95" w:rsidR="00E73B95">
        <w:t xml:space="preserve"> and the letters </w:t>
      </w:r>
      <w:r w:rsidR="00FA2CFE">
        <w:t>‘</w:t>
      </w:r>
      <w:r w:rsidRPr="00E73B95" w:rsidR="00E73B95">
        <w:t>ON</w:t>
      </w:r>
      <w:r w:rsidR="00FA2CFE">
        <w:t>’</w:t>
      </w:r>
      <w:r w:rsidRPr="00E73B95" w:rsidR="00E73B95">
        <w:t xml:space="preserve"> of </w:t>
      </w:r>
      <w:r w:rsidR="00FA2CFE">
        <w:t>‘</w:t>
      </w:r>
      <w:r w:rsidRPr="00E73B95" w:rsidR="000A0B47">
        <w:t>Pokémon</w:t>
      </w:r>
      <w:r w:rsidR="00FA2CFE">
        <w:t>’</w:t>
      </w:r>
      <w:r w:rsidRPr="00E73B95" w:rsidR="00E73B95">
        <w:t xml:space="preserve"> were visible</w:t>
      </w:r>
      <w:r w:rsidR="00FA2CFE">
        <w:t xml:space="preserve"> . . . </w:t>
      </w:r>
      <w:r w:rsidRPr="00D22C5C" w:rsidR="00D22C5C">
        <w:t xml:space="preserve">for </w:t>
      </w:r>
      <w:r w:rsidR="00D22C5C">
        <w:t>‘</w:t>
      </w:r>
      <w:r w:rsidRPr="00D22C5C" w:rsidR="00D22C5C">
        <w:t>slightly</w:t>
      </w:r>
      <w:r w:rsidR="00D22C5C">
        <w:t>’</w:t>
      </w:r>
      <w:r w:rsidRPr="00D22C5C" w:rsidR="00D22C5C">
        <w:t xml:space="preserve"> more than one second</w:t>
      </w:r>
      <w:r w:rsidR="00D22C5C">
        <w:t xml:space="preserve">” </w:t>
      </w:r>
      <w:r w:rsidR="007901C4">
        <w:t xml:space="preserve">in a Nintendo Gameboy commercial during a </w:t>
      </w:r>
      <w:r w:rsidR="000A0B47">
        <w:t>Pokémon</w:t>
      </w:r>
      <w:r w:rsidR="007901C4">
        <w:t xml:space="preserve"> program</w:t>
      </w:r>
      <w:r w:rsidR="00266D18">
        <w:t>).</w:t>
      </w:r>
      <w:r w:rsidR="00F73450">
        <w:t xml:space="preserve">  In contrast, </w:t>
      </w:r>
      <w:r w:rsidR="005D2D53">
        <w:t>th</w:t>
      </w:r>
      <w:r w:rsidR="00DC6190">
        <w:t>is case is factually distinct</w:t>
      </w:r>
      <w:r w:rsidR="00B52B5E">
        <w:t xml:space="preserve"> because the</w:t>
      </w:r>
      <w:r w:rsidR="005D2D53">
        <w:t xml:space="preserve"> </w:t>
      </w:r>
      <w:r w:rsidRPr="008B6FC0" w:rsidR="005D2D53">
        <w:t xml:space="preserve">entire </w:t>
      </w:r>
      <w:r w:rsidR="005D2D53">
        <w:t xml:space="preserve">commercial </w:t>
      </w:r>
      <w:r w:rsidRPr="005D2D53" w:rsidR="005D2D53">
        <w:t xml:space="preserve">centers around a product directly related to the children’s program being aired </w:t>
      </w:r>
      <w:r w:rsidR="0074136A">
        <w:t>and should have been easier for station personnel to spot and prevent from airing.</w:t>
      </w:r>
      <w:r w:rsidR="009F395D">
        <w:t xml:space="preserve">  </w:t>
      </w:r>
      <w:r w:rsidR="00D956AB">
        <w:t xml:space="preserve">Furthermore, </w:t>
      </w:r>
      <w:r w:rsidR="00842391">
        <w:t xml:space="preserve">to </w:t>
      </w:r>
      <w:r w:rsidR="00D956AB">
        <w:t xml:space="preserve">the extent the Licensee cited the </w:t>
      </w:r>
      <w:r w:rsidR="00D956AB">
        <w:rPr>
          <w:i/>
          <w:iCs/>
        </w:rPr>
        <w:t xml:space="preserve">WBNX NAL </w:t>
      </w:r>
      <w:r w:rsidR="00D956AB">
        <w:t xml:space="preserve">to support its contention that </w:t>
      </w:r>
      <w:r w:rsidR="00990911">
        <w:t xml:space="preserve">it should only be fined the base forfeiture amount due to </w:t>
      </w:r>
      <w:r w:rsidR="00886BF5">
        <w:t>its “history of compliance</w:t>
      </w:r>
      <w:r w:rsidR="00CA3C92">
        <w:t>,</w:t>
      </w:r>
      <w:r w:rsidR="00886BF5">
        <w:t>”</w:t>
      </w:r>
      <w:r w:rsidR="0059535C">
        <w:t xml:space="preserve"> </w:t>
      </w:r>
      <w:r w:rsidR="00990911">
        <w:t xml:space="preserve">we note that </w:t>
      </w:r>
      <w:r w:rsidR="006E1C50">
        <w:t xml:space="preserve">the licensee in the </w:t>
      </w:r>
      <w:r w:rsidR="006E1C50">
        <w:rPr>
          <w:i/>
          <w:iCs/>
        </w:rPr>
        <w:t xml:space="preserve">WBNX NAL </w:t>
      </w:r>
      <w:r w:rsidR="006E1C50">
        <w:t>was ultimately fined double the base forfeiture amount.</w:t>
      </w:r>
      <w:r w:rsidR="00B14A55">
        <w:t xml:space="preserve">  In addition, </w:t>
      </w:r>
      <w:r w:rsidR="00375C5D">
        <w:t>a licensee’s</w:t>
      </w:r>
      <w:r w:rsidR="00941558">
        <w:t xml:space="preserve"> history of prior offenses is but one factor</w:t>
      </w:r>
      <w:r w:rsidR="00FB6C3F">
        <w:t xml:space="preserve"> among many that</w:t>
      </w:r>
      <w:r w:rsidR="00941558">
        <w:t xml:space="preserve"> </w:t>
      </w:r>
      <w:r w:rsidR="00D926A2">
        <w:t xml:space="preserve">we consider when </w:t>
      </w:r>
      <w:r w:rsidR="008F2F69">
        <w:t>determining a forfeiture amount</w:t>
      </w:r>
      <w:r w:rsidR="00FB6C3F">
        <w:t xml:space="preserve">.  </w:t>
      </w:r>
      <w:r w:rsidR="00FB6C3F">
        <w:rPr>
          <w:i/>
          <w:iCs/>
        </w:rPr>
        <w:t xml:space="preserve">See </w:t>
      </w:r>
      <w:r w:rsidRPr="00D926A2" w:rsidR="00D926A2">
        <w:t>47 U.S.C. § 503(b)(2)(E)</w:t>
      </w:r>
      <w:r w:rsidR="008F2F69">
        <w:t>.</w:t>
      </w:r>
      <w:r w:rsidR="00FB6C3F">
        <w:t xml:space="preserve">  W</w:t>
      </w:r>
      <w:r w:rsidR="00FF69A6">
        <w:t>hen</w:t>
      </w:r>
      <w:r w:rsidR="009A73E0">
        <w:t xml:space="preserve"> </w:t>
      </w:r>
      <w:r w:rsidR="00762F80">
        <w:t>considering</w:t>
      </w:r>
      <w:r w:rsidR="00FF69A6">
        <w:t xml:space="preserve"> the specific facts and circumstances of this case, </w:t>
      </w:r>
      <w:r w:rsidR="00860474">
        <w:t xml:space="preserve">and </w:t>
      </w:r>
      <w:r w:rsidR="00FF69A6">
        <w:t>in light of</w:t>
      </w:r>
      <w:r w:rsidR="009A73E0">
        <w:t xml:space="preserve"> the totality of past precedent </w:t>
      </w:r>
      <w:r w:rsidR="009741F1">
        <w:t>and</w:t>
      </w:r>
      <w:r w:rsidR="00056CF4">
        <w:t xml:space="preserve"> all</w:t>
      </w:r>
      <w:r w:rsidR="009741F1">
        <w:t xml:space="preserve"> </w:t>
      </w:r>
      <w:r w:rsidR="00762F80">
        <w:t>the relevant factors</w:t>
      </w:r>
      <w:r w:rsidR="009A73E0">
        <w:t xml:space="preserve"> listed</w:t>
      </w:r>
      <w:r w:rsidR="00762F80">
        <w:t xml:space="preserve"> under section 503</w:t>
      </w:r>
      <w:r w:rsidR="009741F1">
        <w:t>, we believe a</w:t>
      </w:r>
      <w:r w:rsidR="00322891">
        <w:t xml:space="preserve"> </w:t>
      </w:r>
      <w:r w:rsidR="00D7464C">
        <w:t>$20,000 forfeiture is appropriate.</w:t>
      </w:r>
    </w:p>
  </w:footnote>
  <w:footnote w:id="36">
    <w:p w:rsidR="00997243" w:rsidRPr="006A3F85" w:rsidP="00997243" w14:paraId="16047534" w14:textId="2FEB0ED9">
      <w:pPr>
        <w:pStyle w:val="FootnoteText"/>
      </w:pPr>
      <w:r w:rsidRPr="00514C8E">
        <w:rPr>
          <w:rStyle w:val="FootnoteReference"/>
        </w:rPr>
        <w:footnoteRef/>
      </w:r>
      <w:r w:rsidRPr="00514C8E">
        <w:t xml:space="preserve"> </w:t>
      </w:r>
      <w:r>
        <w:rPr>
          <w:i/>
          <w:iCs/>
        </w:rPr>
        <w:t>See, e.g.</w:t>
      </w:r>
      <w:r>
        <w:t xml:space="preserve">, </w:t>
      </w:r>
      <w:r>
        <w:rPr>
          <w:i/>
          <w:iCs/>
        </w:rPr>
        <w:t>Mercury Broadcasting Company, Inc. (KMTW(TV))</w:t>
      </w:r>
      <w:r>
        <w:t xml:space="preserve">, Forfeiture Order, </w:t>
      </w:r>
      <w:r w:rsidRPr="006A3F85">
        <w:t xml:space="preserve">25 FCC </w:t>
      </w:r>
      <w:r w:rsidRPr="006A3F85">
        <w:t>Rcd</w:t>
      </w:r>
      <w:r w:rsidRPr="006A3F85">
        <w:t xml:space="preserve"> 4564</w:t>
      </w:r>
      <w:r>
        <w:t xml:space="preserve">, 4565-66, paras. 6-9 (MB 2010) ($16,000 </w:t>
      </w:r>
      <w:r w:rsidR="00463AA8">
        <w:t xml:space="preserve">forfeiture </w:t>
      </w:r>
      <w:r w:rsidR="00F9378A">
        <w:t>for six</w:t>
      </w:r>
      <w:r w:rsidRPr="006A3F85">
        <w:t xml:space="preserve"> program-length commercials </w:t>
      </w:r>
      <w:r>
        <w:t xml:space="preserve">over the course of approximately one month); </w:t>
      </w:r>
      <w:r w:rsidRPr="00A95EFC">
        <w:rPr>
          <w:i/>
          <w:iCs/>
        </w:rPr>
        <w:t>WTWB of the Triad, LLC (WTWB(TV))</w:t>
      </w:r>
      <w:r>
        <w:t xml:space="preserve">, Notice of Apparent Liability for Forfeiture, 21 FCC </w:t>
      </w:r>
      <w:r>
        <w:t>Rcd</w:t>
      </w:r>
      <w:r>
        <w:t xml:space="preserve"> 1652, 1654, para. 7 (MB 2006) ($17,500 </w:t>
      </w:r>
      <w:r w:rsidR="0058561A">
        <w:t xml:space="preserve">forfeiture </w:t>
      </w:r>
      <w:r>
        <w:t xml:space="preserve">for </w:t>
      </w:r>
      <w:r w:rsidRPr="006A3F85">
        <w:t>s</w:t>
      </w:r>
      <w:r>
        <w:t>even</w:t>
      </w:r>
      <w:r w:rsidRPr="006A3F85">
        <w:t xml:space="preserve"> program-length commercials</w:t>
      </w:r>
      <w:r>
        <w:t>).</w:t>
      </w:r>
    </w:p>
  </w:footnote>
  <w:footnote w:id="37">
    <w:p w:rsidR="00AF1FE3" w:rsidRPr="00514C8E" w:rsidP="00AF1FE3" w14:paraId="17E40A8F"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38">
    <w:p w:rsidR="00AF1FE3" w:rsidRPr="00514C8E" w:rsidP="00AF1FE3" w14:paraId="2275DC74" w14:textId="08627B92">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rsidR="00A41F3D">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9">
    <w:p w:rsidR="00AF1FE3" w:rsidRPr="00514C8E" w:rsidP="00AF1FE3" w14:paraId="1E971314"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40">
    <w:p w:rsidR="00525F98" w14:paraId="37A59848" w14:textId="107D02C3">
      <w:pPr>
        <w:pStyle w:val="FootnoteText"/>
      </w:pPr>
      <w:r>
        <w:rPr>
          <w:rStyle w:val="FootnoteReference"/>
        </w:rPr>
        <w:footnoteRef/>
      </w:r>
      <w:r>
        <w:t xml:space="preserve"> 47 CFR §§ 1.16 and 1.80(f)(3).</w:t>
      </w:r>
    </w:p>
  </w:footnote>
  <w:footnote w:id="41">
    <w:p w:rsidR="00525F98" w14:paraId="6E78C060" w14:textId="6C20B647">
      <w:pPr>
        <w:pStyle w:val="FootnoteText"/>
      </w:pPr>
      <w:r>
        <w:rPr>
          <w:rStyle w:val="FootnoteReference"/>
        </w:rPr>
        <w:footnoteRef/>
      </w:r>
      <w:r>
        <w:t xml:space="preserve"> </w:t>
      </w:r>
      <w:r w:rsidRPr="00525F98">
        <w:t xml:space="preserve">Effective March 19, 2020, and until further notice, the Commission no longer accepts any hand or messenger delivered filings. </w:t>
      </w:r>
      <w:r w:rsidR="00AA4829">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sidR="0007179A">
        <w:rPr>
          <w:i/>
          <w:iCs/>
        </w:rPr>
        <w:t>Filing</w:t>
      </w:r>
      <w:r w:rsidRPr="00815718">
        <w:t>, Public Notice,</w:t>
      </w:r>
      <w:r>
        <w:t xml:space="preserve"> 35 FCC </w:t>
      </w:r>
      <w:r>
        <w:t>Rcd</w:t>
      </w:r>
      <w:r>
        <w:t xml:space="preserve"> 2788 (2020).</w:t>
      </w:r>
    </w:p>
  </w:footnote>
  <w:footnote w:id="42">
    <w:p w:rsidR="00525F98" w14:paraId="7DCCDC94" w14:textId="7EFAAE41">
      <w:pPr>
        <w:pStyle w:val="FootnoteText"/>
      </w:pPr>
      <w:r>
        <w:rPr>
          <w:rStyle w:val="FootnoteReference"/>
        </w:rPr>
        <w:footnoteRef/>
      </w:r>
      <w:r>
        <w:t xml:space="preserve"> </w:t>
      </w:r>
      <w:r w:rsidRPr="00525F98">
        <w:rPr>
          <w:i/>
          <w:iCs/>
        </w:rPr>
        <w:t>See</w:t>
      </w:r>
      <w:r w:rsidR="007A1F00">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rsidR="00F77099">
        <w:t>.</w:t>
      </w:r>
    </w:p>
  </w:footnote>
  <w:footnote w:id="43">
    <w:p w:rsidR="00951769" w:rsidRPr="004B33E9" w:rsidP="00951769" w14:paraId="1EED06E1"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EBA276" w14:textId="06293651">
    <w:pPr>
      <w:pStyle w:val="Header"/>
      <w:rPr>
        <w:b w:val="0"/>
      </w:rPr>
    </w:pPr>
    <w:r>
      <w:tab/>
      <w:t>Federal Communications Commission</w:t>
    </w:r>
    <w:r>
      <w:tab/>
    </w:r>
    <w:r w:rsidR="00904226">
      <w:t>DA 20-1390</w:t>
    </w:r>
  </w:p>
  <w:p w:rsidR="00D25FB5" w14:paraId="1CC4783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44864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8F3B80" w14:textId="53EF32B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04226">
      <w:rPr>
        <w:spacing w:val="-2"/>
      </w:rPr>
      <w:t>DA 20-1390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662BC4"/>
    <w:multiLevelType w:val="hybridMultilevel"/>
    <w:tmpl w:val="8A8E06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4"/>
  </w:num>
  <w:num w:numId="4">
    <w:abstractNumId w:val="7"/>
  </w:num>
  <w:num w:numId="5">
    <w:abstractNumId w:val="2"/>
  </w:num>
  <w:num w:numId="6">
    <w:abstractNumId w:val="0"/>
  </w:num>
  <w:num w:numId="7">
    <w:abstractNumId w:val="6"/>
  </w:num>
  <w:num w:numId="8">
    <w:abstractNumId w:val="9"/>
  </w:num>
  <w:num w:numId="9">
    <w:abstractNumId w:val="9"/>
  </w:num>
  <w:num w:numId="10">
    <w:abstractNumId w:val="6"/>
    <w:lvlOverride w:ilvl="0">
      <w:startOverride w:val="1"/>
    </w:lvlOverride>
  </w:num>
  <w:num w:numId="11">
    <w:abstractNumId w:val="4"/>
  </w:num>
  <w:num w:numId="12">
    <w:abstractNumId w:val="9"/>
  </w:num>
  <w:num w:numId="13">
    <w:abstractNumId w:val="6"/>
    <w:lvlOverride w:ilvl="0">
      <w:startOverride w:val="1"/>
    </w:lvlOverride>
  </w:num>
  <w:num w:numId="14">
    <w:abstractNumId w:val="9"/>
  </w:num>
  <w:num w:numId="15">
    <w:abstractNumId w:val="4"/>
  </w:num>
  <w:num w:numId="16">
    <w:abstractNumId w:val="9"/>
  </w:num>
  <w:num w:numId="17">
    <w:abstractNumId w:val="9"/>
    <w:lvlOverride w:ilvl="0">
      <w:startOverride w:val="1"/>
    </w:lvlOverride>
  </w:num>
  <w:num w:numId="18">
    <w:abstractNumId w:val="3"/>
  </w:num>
  <w:num w:numId="19">
    <w:abstractNumId w:val="9"/>
  </w:num>
  <w:num w:numId="20">
    <w:abstractNumId w:val="9"/>
  </w:num>
  <w:num w:numId="21">
    <w:abstractNumId w:val="9"/>
  </w:num>
  <w:num w:numId="22">
    <w:abstractNumId w:val="4"/>
  </w:num>
  <w:num w:numId="23">
    <w:abstractNumId w:val="4"/>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5"/>
  </w:num>
  <w:num w:numId="36">
    <w:abstractNumId w:val="8"/>
  </w:num>
  <w:num w:numId="37">
    <w:abstractNumId w:val="9"/>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AF"/>
    <w:rsid w:val="000010B4"/>
    <w:rsid w:val="00005D97"/>
    <w:rsid w:val="00006425"/>
    <w:rsid w:val="000128B5"/>
    <w:rsid w:val="00013E04"/>
    <w:rsid w:val="00014B30"/>
    <w:rsid w:val="00016764"/>
    <w:rsid w:val="00023FB9"/>
    <w:rsid w:val="000270D0"/>
    <w:rsid w:val="000275A5"/>
    <w:rsid w:val="00027FA8"/>
    <w:rsid w:val="00030CA8"/>
    <w:rsid w:val="00030DE0"/>
    <w:rsid w:val="00032889"/>
    <w:rsid w:val="00032B7B"/>
    <w:rsid w:val="000334BA"/>
    <w:rsid w:val="00034695"/>
    <w:rsid w:val="000347F0"/>
    <w:rsid w:val="000353AD"/>
    <w:rsid w:val="00035B8F"/>
    <w:rsid w:val="00036039"/>
    <w:rsid w:val="00037250"/>
    <w:rsid w:val="00037B8B"/>
    <w:rsid w:val="00037F90"/>
    <w:rsid w:val="00042A66"/>
    <w:rsid w:val="0004454C"/>
    <w:rsid w:val="00044E22"/>
    <w:rsid w:val="000463B9"/>
    <w:rsid w:val="000504FD"/>
    <w:rsid w:val="00054F58"/>
    <w:rsid w:val="00056CF4"/>
    <w:rsid w:val="00056D59"/>
    <w:rsid w:val="00060022"/>
    <w:rsid w:val="00061513"/>
    <w:rsid w:val="00061E27"/>
    <w:rsid w:val="00063135"/>
    <w:rsid w:val="00064289"/>
    <w:rsid w:val="000661CB"/>
    <w:rsid w:val="00066B31"/>
    <w:rsid w:val="00067C53"/>
    <w:rsid w:val="000700EF"/>
    <w:rsid w:val="0007179A"/>
    <w:rsid w:val="00073679"/>
    <w:rsid w:val="000741E7"/>
    <w:rsid w:val="000767EA"/>
    <w:rsid w:val="00076984"/>
    <w:rsid w:val="00082578"/>
    <w:rsid w:val="0008543A"/>
    <w:rsid w:val="000875BF"/>
    <w:rsid w:val="00087A13"/>
    <w:rsid w:val="000954D5"/>
    <w:rsid w:val="00096D8C"/>
    <w:rsid w:val="000A0B47"/>
    <w:rsid w:val="000A5B7D"/>
    <w:rsid w:val="000A67E5"/>
    <w:rsid w:val="000B0415"/>
    <w:rsid w:val="000B08BA"/>
    <w:rsid w:val="000B1257"/>
    <w:rsid w:val="000B17A6"/>
    <w:rsid w:val="000B325B"/>
    <w:rsid w:val="000B3B1E"/>
    <w:rsid w:val="000B609E"/>
    <w:rsid w:val="000B65FA"/>
    <w:rsid w:val="000C0B65"/>
    <w:rsid w:val="000C1840"/>
    <w:rsid w:val="000C2B89"/>
    <w:rsid w:val="000C3591"/>
    <w:rsid w:val="000C4D69"/>
    <w:rsid w:val="000D1C21"/>
    <w:rsid w:val="000D2150"/>
    <w:rsid w:val="000D38BB"/>
    <w:rsid w:val="000D6270"/>
    <w:rsid w:val="000D6478"/>
    <w:rsid w:val="000D73DD"/>
    <w:rsid w:val="000E05FE"/>
    <w:rsid w:val="000E20FA"/>
    <w:rsid w:val="000E3D42"/>
    <w:rsid w:val="000E4B2F"/>
    <w:rsid w:val="000E59B7"/>
    <w:rsid w:val="000E602C"/>
    <w:rsid w:val="000E76A9"/>
    <w:rsid w:val="000E7F48"/>
    <w:rsid w:val="000F2446"/>
    <w:rsid w:val="00101984"/>
    <w:rsid w:val="00102798"/>
    <w:rsid w:val="00102EC3"/>
    <w:rsid w:val="00102F85"/>
    <w:rsid w:val="001143E9"/>
    <w:rsid w:val="00117495"/>
    <w:rsid w:val="00122BD5"/>
    <w:rsid w:val="00123E36"/>
    <w:rsid w:val="001302FC"/>
    <w:rsid w:val="00130882"/>
    <w:rsid w:val="00130B13"/>
    <w:rsid w:val="00131B4A"/>
    <w:rsid w:val="00133C33"/>
    <w:rsid w:val="00133F79"/>
    <w:rsid w:val="001410C8"/>
    <w:rsid w:val="00141150"/>
    <w:rsid w:val="00142D50"/>
    <w:rsid w:val="00146E34"/>
    <w:rsid w:val="00147ACC"/>
    <w:rsid w:val="00150BF5"/>
    <w:rsid w:val="00153DCF"/>
    <w:rsid w:val="00155ACC"/>
    <w:rsid w:val="00161119"/>
    <w:rsid w:val="001668D8"/>
    <w:rsid w:val="00167200"/>
    <w:rsid w:val="001731C9"/>
    <w:rsid w:val="00174361"/>
    <w:rsid w:val="00174AD5"/>
    <w:rsid w:val="00176979"/>
    <w:rsid w:val="00176AE0"/>
    <w:rsid w:val="0018058E"/>
    <w:rsid w:val="00181FF6"/>
    <w:rsid w:val="00183489"/>
    <w:rsid w:val="001850AF"/>
    <w:rsid w:val="00186FF7"/>
    <w:rsid w:val="00192949"/>
    <w:rsid w:val="00193D5B"/>
    <w:rsid w:val="0019464E"/>
    <w:rsid w:val="00194A66"/>
    <w:rsid w:val="001974A6"/>
    <w:rsid w:val="001B0A73"/>
    <w:rsid w:val="001B125A"/>
    <w:rsid w:val="001B126B"/>
    <w:rsid w:val="001B1FED"/>
    <w:rsid w:val="001B5B14"/>
    <w:rsid w:val="001B670E"/>
    <w:rsid w:val="001C001F"/>
    <w:rsid w:val="001C15C9"/>
    <w:rsid w:val="001C2B72"/>
    <w:rsid w:val="001C345C"/>
    <w:rsid w:val="001C3C8C"/>
    <w:rsid w:val="001C794A"/>
    <w:rsid w:val="001D6BCF"/>
    <w:rsid w:val="001D7028"/>
    <w:rsid w:val="001D78B2"/>
    <w:rsid w:val="001E01CA"/>
    <w:rsid w:val="001E138A"/>
    <w:rsid w:val="001E19E9"/>
    <w:rsid w:val="001E1D8A"/>
    <w:rsid w:val="001E468B"/>
    <w:rsid w:val="001E4F9F"/>
    <w:rsid w:val="001E59C5"/>
    <w:rsid w:val="001E6496"/>
    <w:rsid w:val="001E7FFC"/>
    <w:rsid w:val="001F0B96"/>
    <w:rsid w:val="001F0CB3"/>
    <w:rsid w:val="001F1E68"/>
    <w:rsid w:val="00203F11"/>
    <w:rsid w:val="0020677B"/>
    <w:rsid w:val="00206961"/>
    <w:rsid w:val="00207C27"/>
    <w:rsid w:val="002105FA"/>
    <w:rsid w:val="00211A22"/>
    <w:rsid w:val="00220C8A"/>
    <w:rsid w:val="00230E1F"/>
    <w:rsid w:val="00233D71"/>
    <w:rsid w:val="00235696"/>
    <w:rsid w:val="00236C89"/>
    <w:rsid w:val="00245AF4"/>
    <w:rsid w:val="00246F78"/>
    <w:rsid w:val="0025167B"/>
    <w:rsid w:val="0025526B"/>
    <w:rsid w:val="002607AB"/>
    <w:rsid w:val="002644F7"/>
    <w:rsid w:val="00265396"/>
    <w:rsid w:val="00266D18"/>
    <w:rsid w:val="00267AEC"/>
    <w:rsid w:val="00271693"/>
    <w:rsid w:val="00271C40"/>
    <w:rsid w:val="00275CF5"/>
    <w:rsid w:val="00276E5D"/>
    <w:rsid w:val="00281D72"/>
    <w:rsid w:val="0028301F"/>
    <w:rsid w:val="0028397C"/>
    <w:rsid w:val="00284549"/>
    <w:rsid w:val="0028457D"/>
    <w:rsid w:val="00285017"/>
    <w:rsid w:val="00285A1A"/>
    <w:rsid w:val="0029171A"/>
    <w:rsid w:val="00292447"/>
    <w:rsid w:val="002939B6"/>
    <w:rsid w:val="002A0A5D"/>
    <w:rsid w:val="002A1249"/>
    <w:rsid w:val="002A1A92"/>
    <w:rsid w:val="002A1DB4"/>
    <w:rsid w:val="002A2716"/>
    <w:rsid w:val="002A2850"/>
    <w:rsid w:val="002A2AF1"/>
    <w:rsid w:val="002A2D2E"/>
    <w:rsid w:val="002A3CED"/>
    <w:rsid w:val="002A5D1D"/>
    <w:rsid w:val="002A5DC4"/>
    <w:rsid w:val="002B20B2"/>
    <w:rsid w:val="002B29BE"/>
    <w:rsid w:val="002B5A50"/>
    <w:rsid w:val="002B6A33"/>
    <w:rsid w:val="002B6E4E"/>
    <w:rsid w:val="002C00E8"/>
    <w:rsid w:val="002C0DD4"/>
    <w:rsid w:val="002C0E1E"/>
    <w:rsid w:val="002C14F5"/>
    <w:rsid w:val="002C3B41"/>
    <w:rsid w:val="002C6547"/>
    <w:rsid w:val="002C74D1"/>
    <w:rsid w:val="002D1621"/>
    <w:rsid w:val="002D2D37"/>
    <w:rsid w:val="002D5C21"/>
    <w:rsid w:val="002D6211"/>
    <w:rsid w:val="002D6898"/>
    <w:rsid w:val="002D73CD"/>
    <w:rsid w:val="002F0034"/>
    <w:rsid w:val="002F5017"/>
    <w:rsid w:val="00302584"/>
    <w:rsid w:val="00303271"/>
    <w:rsid w:val="0030365E"/>
    <w:rsid w:val="00303D3E"/>
    <w:rsid w:val="0030486D"/>
    <w:rsid w:val="00304DAA"/>
    <w:rsid w:val="0030602C"/>
    <w:rsid w:val="00306347"/>
    <w:rsid w:val="00314380"/>
    <w:rsid w:val="0031718B"/>
    <w:rsid w:val="00321742"/>
    <w:rsid w:val="00322891"/>
    <w:rsid w:val="00324351"/>
    <w:rsid w:val="00324BD0"/>
    <w:rsid w:val="00326653"/>
    <w:rsid w:val="003272FB"/>
    <w:rsid w:val="00331AF8"/>
    <w:rsid w:val="00336758"/>
    <w:rsid w:val="00343749"/>
    <w:rsid w:val="003476B8"/>
    <w:rsid w:val="00351031"/>
    <w:rsid w:val="0035230C"/>
    <w:rsid w:val="00353EB6"/>
    <w:rsid w:val="00364B09"/>
    <w:rsid w:val="00365C87"/>
    <w:rsid w:val="00365F02"/>
    <w:rsid w:val="003660ED"/>
    <w:rsid w:val="00366CAD"/>
    <w:rsid w:val="0037303B"/>
    <w:rsid w:val="00375C5D"/>
    <w:rsid w:val="00380691"/>
    <w:rsid w:val="003825C6"/>
    <w:rsid w:val="00382D86"/>
    <w:rsid w:val="00385778"/>
    <w:rsid w:val="003866C8"/>
    <w:rsid w:val="00387CB1"/>
    <w:rsid w:val="00387CFE"/>
    <w:rsid w:val="00387E6F"/>
    <w:rsid w:val="00390584"/>
    <w:rsid w:val="00390F0A"/>
    <w:rsid w:val="0039413D"/>
    <w:rsid w:val="003A052B"/>
    <w:rsid w:val="003A0977"/>
    <w:rsid w:val="003A1918"/>
    <w:rsid w:val="003A1B0E"/>
    <w:rsid w:val="003A26CB"/>
    <w:rsid w:val="003A3107"/>
    <w:rsid w:val="003A79A6"/>
    <w:rsid w:val="003B0550"/>
    <w:rsid w:val="003B325E"/>
    <w:rsid w:val="003B47EB"/>
    <w:rsid w:val="003B63BB"/>
    <w:rsid w:val="003B694F"/>
    <w:rsid w:val="003B75C7"/>
    <w:rsid w:val="003B7EF8"/>
    <w:rsid w:val="003C28FC"/>
    <w:rsid w:val="003C2CE5"/>
    <w:rsid w:val="003C448C"/>
    <w:rsid w:val="003D50CB"/>
    <w:rsid w:val="003D62DD"/>
    <w:rsid w:val="003E2DC8"/>
    <w:rsid w:val="003E3F4B"/>
    <w:rsid w:val="003E623A"/>
    <w:rsid w:val="003F171C"/>
    <w:rsid w:val="003F39FE"/>
    <w:rsid w:val="003F71E6"/>
    <w:rsid w:val="0040104F"/>
    <w:rsid w:val="00405C94"/>
    <w:rsid w:val="0040606D"/>
    <w:rsid w:val="004069AC"/>
    <w:rsid w:val="00411889"/>
    <w:rsid w:val="00412B2C"/>
    <w:rsid w:val="00412FC5"/>
    <w:rsid w:val="004135FB"/>
    <w:rsid w:val="004138D3"/>
    <w:rsid w:val="00416C1D"/>
    <w:rsid w:val="00416C1F"/>
    <w:rsid w:val="00416EA6"/>
    <w:rsid w:val="00421140"/>
    <w:rsid w:val="00422276"/>
    <w:rsid w:val="00423129"/>
    <w:rsid w:val="00424008"/>
    <w:rsid w:val="004242F1"/>
    <w:rsid w:val="00425E14"/>
    <w:rsid w:val="00427B40"/>
    <w:rsid w:val="00427DFF"/>
    <w:rsid w:val="0043098D"/>
    <w:rsid w:val="004328EE"/>
    <w:rsid w:val="00436016"/>
    <w:rsid w:val="004365A0"/>
    <w:rsid w:val="00437FAA"/>
    <w:rsid w:val="0044192D"/>
    <w:rsid w:val="0044573C"/>
    <w:rsid w:val="00445A00"/>
    <w:rsid w:val="00451B0F"/>
    <w:rsid w:val="00451BC0"/>
    <w:rsid w:val="00460358"/>
    <w:rsid w:val="0046167D"/>
    <w:rsid w:val="00463AA8"/>
    <w:rsid w:val="00466775"/>
    <w:rsid w:val="0047166A"/>
    <w:rsid w:val="004756D4"/>
    <w:rsid w:val="00475D7E"/>
    <w:rsid w:val="004811E3"/>
    <w:rsid w:val="004813D7"/>
    <w:rsid w:val="0048269C"/>
    <w:rsid w:val="0048314F"/>
    <w:rsid w:val="004859B7"/>
    <w:rsid w:val="00485C29"/>
    <w:rsid w:val="00486D98"/>
    <w:rsid w:val="00491720"/>
    <w:rsid w:val="00497BE8"/>
    <w:rsid w:val="00497FBE"/>
    <w:rsid w:val="004A5C4D"/>
    <w:rsid w:val="004B33E9"/>
    <w:rsid w:val="004B3427"/>
    <w:rsid w:val="004B398B"/>
    <w:rsid w:val="004B55F1"/>
    <w:rsid w:val="004B5CB1"/>
    <w:rsid w:val="004B6915"/>
    <w:rsid w:val="004C18CB"/>
    <w:rsid w:val="004C2741"/>
    <w:rsid w:val="004C2EE3"/>
    <w:rsid w:val="004C44C7"/>
    <w:rsid w:val="004C57BA"/>
    <w:rsid w:val="004D2142"/>
    <w:rsid w:val="004D6358"/>
    <w:rsid w:val="004E13CB"/>
    <w:rsid w:val="004E2151"/>
    <w:rsid w:val="004E2E66"/>
    <w:rsid w:val="004E4A22"/>
    <w:rsid w:val="004E4B50"/>
    <w:rsid w:val="004E6126"/>
    <w:rsid w:val="004E63B8"/>
    <w:rsid w:val="004E6C92"/>
    <w:rsid w:val="004F2356"/>
    <w:rsid w:val="004F2A3F"/>
    <w:rsid w:val="004F58EE"/>
    <w:rsid w:val="004F5B1A"/>
    <w:rsid w:val="004F5BF4"/>
    <w:rsid w:val="00502044"/>
    <w:rsid w:val="00511968"/>
    <w:rsid w:val="00512432"/>
    <w:rsid w:val="005147D0"/>
    <w:rsid w:val="00514C8E"/>
    <w:rsid w:val="0051547F"/>
    <w:rsid w:val="00515736"/>
    <w:rsid w:val="00515985"/>
    <w:rsid w:val="00522518"/>
    <w:rsid w:val="00525C7D"/>
    <w:rsid w:val="00525F98"/>
    <w:rsid w:val="00540EB8"/>
    <w:rsid w:val="00541761"/>
    <w:rsid w:val="0054229A"/>
    <w:rsid w:val="005433BB"/>
    <w:rsid w:val="00552494"/>
    <w:rsid w:val="00555A39"/>
    <w:rsid w:val="0055614C"/>
    <w:rsid w:val="00557639"/>
    <w:rsid w:val="00560678"/>
    <w:rsid w:val="00563573"/>
    <w:rsid w:val="00565EEC"/>
    <w:rsid w:val="00566D06"/>
    <w:rsid w:val="00567116"/>
    <w:rsid w:val="00570F3E"/>
    <w:rsid w:val="0057670E"/>
    <w:rsid w:val="00577397"/>
    <w:rsid w:val="00581802"/>
    <w:rsid w:val="0058561A"/>
    <w:rsid w:val="0058572C"/>
    <w:rsid w:val="005874B0"/>
    <w:rsid w:val="00590231"/>
    <w:rsid w:val="00590CCC"/>
    <w:rsid w:val="00591129"/>
    <w:rsid w:val="0059535C"/>
    <w:rsid w:val="00596BB8"/>
    <w:rsid w:val="005A3107"/>
    <w:rsid w:val="005A5933"/>
    <w:rsid w:val="005B1DF0"/>
    <w:rsid w:val="005B4FF0"/>
    <w:rsid w:val="005C1F26"/>
    <w:rsid w:val="005C3D58"/>
    <w:rsid w:val="005D13F8"/>
    <w:rsid w:val="005D15D8"/>
    <w:rsid w:val="005D17D0"/>
    <w:rsid w:val="005D198F"/>
    <w:rsid w:val="005D2D53"/>
    <w:rsid w:val="005D3690"/>
    <w:rsid w:val="005D536A"/>
    <w:rsid w:val="005E14C2"/>
    <w:rsid w:val="005E40E4"/>
    <w:rsid w:val="005E6091"/>
    <w:rsid w:val="005E60A4"/>
    <w:rsid w:val="005E7763"/>
    <w:rsid w:val="005F68BF"/>
    <w:rsid w:val="00602307"/>
    <w:rsid w:val="00602B63"/>
    <w:rsid w:val="00603B3D"/>
    <w:rsid w:val="006054B2"/>
    <w:rsid w:val="006065EE"/>
    <w:rsid w:val="00606D48"/>
    <w:rsid w:val="00607BA5"/>
    <w:rsid w:val="00610EE8"/>
    <w:rsid w:val="00610FA2"/>
    <w:rsid w:val="0061180A"/>
    <w:rsid w:val="0061303E"/>
    <w:rsid w:val="00615530"/>
    <w:rsid w:val="00615A8D"/>
    <w:rsid w:val="006160A5"/>
    <w:rsid w:val="00617B1A"/>
    <w:rsid w:val="006200D9"/>
    <w:rsid w:val="00620635"/>
    <w:rsid w:val="0062508A"/>
    <w:rsid w:val="00625774"/>
    <w:rsid w:val="00626EB6"/>
    <w:rsid w:val="00632723"/>
    <w:rsid w:val="006341B8"/>
    <w:rsid w:val="00634290"/>
    <w:rsid w:val="00634FF3"/>
    <w:rsid w:val="0063504C"/>
    <w:rsid w:val="00636388"/>
    <w:rsid w:val="0063780B"/>
    <w:rsid w:val="00646492"/>
    <w:rsid w:val="00646E16"/>
    <w:rsid w:val="00653F69"/>
    <w:rsid w:val="00655D03"/>
    <w:rsid w:val="00660858"/>
    <w:rsid w:val="006668EC"/>
    <w:rsid w:val="006704E3"/>
    <w:rsid w:val="00672C89"/>
    <w:rsid w:val="006731AC"/>
    <w:rsid w:val="00673371"/>
    <w:rsid w:val="00674A01"/>
    <w:rsid w:val="006776A5"/>
    <w:rsid w:val="006813E8"/>
    <w:rsid w:val="00682E1D"/>
    <w:rsid w:val="00683388"/>
    <w:rsid w:val="00683F84"/>
    <w:rsid w:val="00684ED3"/>
    <w:rsid w:val="0069077A"/>
    <w:rsid w:val="0069188A"/>
    <w:rsid w:val="00695200"/>
    <w:rsid w:val="00695346"/>
    <w:rsid w:val="006A3661"/>
    <w:rsid w:val="006A3F85"/>
    <w:rsid w:val="006A4C8B"/>
    <w:rsid w:val="006A6A81"/>
    <w:rsid w:val="006A72A3"/>
    <w:rsid w:val="006B15E9"/>
    <w:rsid w:val="006B352F"/>
    <w:rsid w:val="006B45C1"/>
    <w:rsid w:val="006B4D0F"/>
    <w:rsid w:val="006B6AB9"/>
    <w:rsid w:val="006B722C"/>
    <w:rsid w:val="006C190F"/>
    <w:rsid w:val="006C38AE"/>
    <w:rsid w:val="006C4336"/>
    <w:rsid w:val="006D25C8"/>
    <w:rsid w:val="006E1C50"/>
    <w:rsid w:val="006E26F4"/>
    <w:rsid w:val="006E3087"/>
    <w:rsid w:val="006E5349"/>
    <w:rsid w:val="006F1FE3"/>
    <w:rsid w:val="006F41FC"/>
    <w:rsid w:val="006F7393"/>
    <w:rsid w:val="006F75D4"/>
    <w:rsid w:val="00701C49"/>
    <w:rsid w:val="0070224F"/>
    <w:rsid w:val="007033CD"/>
    <w:rsid w:val="0070464C"/>
    <w:rsid w:val="00707967"/>
    <w:rsid w:val="00710275"/>
    <w:rsid w:val="00710914"/>
    <w:rsid w:val="007115F7"/>
    <w:rsid w:val="00711BFF"/>
    <w:rsid w:val="007200AE"/>
    <w:rsid w:val="00724B8C"/>
    <w:rsid w:val="0072610C"/>
    <w:rsid w:val="00726412"/>
    <w:rsid w:val="0072788C"/>
    <w:rsid w:val="00733E46"/>
    <w:rsid w:val="00735EE0"/>
    <w:rsid w:val="007406DB"/>
    <w:rsid w:val="0074136A"/>
    <w:rsid w:val="0074349E"/>
    <w:rsid w:val="007439A6"/>
    <w:rsid w:val="00743A45"/>
    <w:rsid w:val="00744EB5"/>
    <w:rsid w:val="00744EE3"/>
    <w:rsid w:val="0074724F"/>
    <w:rsid w:val="00751B1A"/>
    <w:rsid w:val="00757421"/>
    <w:rsid w:val="00757AEE"/>
    <w:rsid w:val="00761213"/>
    <w:rsid w:val="007625AF"/>
    <w:rsid w:val="00762F80"/>
    <w:rsid w:val="00764827"/>
    <w:rsid w:val="00766839"/>
    <w:rsid w:val="00766DB1"/>
    <w:rsid w:val="00773370"/>
    <w:rsid w:val="007739D2"/>
    <w:rsid w:val="00775A32"/>
    <w:rsid w:val="0078145E"/>
    <w:rsid w:val="00784778"/>
    <w:rsid w:val="007848DA"/>
    <w:rsid w:val="007852F0"/>
    <w:rsid w:val="00785689"/>
    <w:rsid w:val="007901C4"/>
    <w:rsid w:val="00792061"/>
    <w:rsid w:val="00792B94"/>
    <w:rsid w:val="00797164"/>
    <w:rsid w:val="0079754B"/>
    <w:rsid w:val="007A042C"/>
    <w:rsid w:val="007A1E6D"/>
    <w:rsid w:val="007A1F00"/>
    <w:rsid w:val="007A58B5"/>
    <w:rsid w:val="007B018D"/>
    <w:rsid w:val="007B0EB2"/>
    <w:rsid w:val="007B5361"/>
    <w:rsid w:val="007C088D"/>
    <w:rsid w:val="007C0987"/>
    <w:rsid w:val="007C32D6"/>
    <w:rsid w:val="007C5552"/>
    <w:rsid w:val="007C5615"/>
    <w:rsid w:val="007C58F2"/>
    <w:rsid w:val="007D0A7E"/>
    <w:rsid w:val="007D1D02"/>
    <w:rsid w:val="007D2942"/>
    <w:rsid w:val="007D5A6A"/>
    <w:rsid w:val="007D6F87"/>
    <w:rsid w:val="007E3818"/>
    <w:rsid w:val="007E3FB7"/>
    <w:rsid w:val="007E5DED"/>
    <w:rsid w:val="007E6570"/>
    <w:rsid w:val="007E6E99"/>
    <w:rsid w:val="007E71D4"/>
    <w:rsid w:val="007E7E93"/>
    <w:rsid w:val="007F385B"/>
    <w:rsid w:val="007F48EE"/>
    <w:rsid w:val="007F532C"/>
    <w:rsid w:val="007F7EA7"/>
    <w:rsid w:val="00803FE2"/>
    <w:rsid w:val="0080469D"/>
    <w:rsid w:val="00805D79"/>
    <w:rsid w:val="00807321"/>
    <w:rsid w:val="00807C6C"/>
    <w:rsid w:val="00810B6F"/>
    <w:rsid w:val="008141F4"/>
    <w:rsid w:val="00815718"/>
    <w:rsid w:val="00816750"/>
    <w:rsid w:val="00822CE0"/>
    <w:rsid w:val="00826E50"/>
    <w:rsid w:val="00827E3B"/>
    <w:rsid w:val="00832431"/>
    <w:rsid w:val="00834005"/>
    <w:rsid w:val="00834F8B"/>
    <w:rsid w:val="00835AB0"/>
    <w:rsid w:val="008371BA"/>
    <w:rsid w:val="00841AB1"/>
    <w:rsid w:val="00842391"/>
    <w:rsid w:val="00844521"/>
    <w:rsid w:val="00844854"/>
    <w:rsid w:val="008465B1"/>
    <w:rsid w:val="0084669F"/>
    <w:rsid w:val="00847D0B"/>
    <w:rsid w:val="00847E85"/>
    <w:rsid w:val="00851369"/>
    <w:rsid w:val="00860474"/>
    <w:rsid w:val="00860E51"/>
    <w:rsid w:val="00862200"/>
    <w:rsid w:val="008633B6"/>
    <w:rsid w:val="00872514"/>
    <w:rsid w:val="00877331"/>
    <w:rsid w:val="008800BA"/>
    <w:rsid w:val="00885181"/>
    <w:rsid w:val="00886BF5"/>
    <w:rsid w:val="00891797"/>
    <w:rsid w:val="008934F8"/>
    <w:rsid w:val="00897634"/>
    <w:rsid w:val="008A7FDE"/>
    <w:rsid w:val="008B3AD3"/>
    <w:rsid w:val="008B6AAB"/>
    <w:rsid w:val="008B6FC0"/>
    <w:rsid w:val="008C0DFE"/>
    <w:rsid w:val="008C68F1"/>
    <w:rsid w:val="008D0972"/>
    <w:rsid w:val="008D0F91"/>
    <w:rsid w:val="008D3A41"/>
    <w:rsid w:val="008D3FB8"/>
    <w:rsid w:val="008D4FD2"/>
    <w:rsid w:val="008E03A9"/>
    <w:rsid w:val="008E0691"/>
    <w:rsid w:val="008E3524"/>
    <w:rsid w:val="008E4C27"/>
    <w:rsid w:val="008E7E2B"/>
    <w:rsid w:val="008F1D90"/>
    <w:rsid w:val="008F2F5A"/>
    <w:rsid w:val="008F2F69"/>
    <w:rsid w:val="008F709E"/>
    <w:rsid w:val="00900EC8"/>
    <w:rsid w:val="00903811"/>
    <w:rsid w:val="00904226"/>
    <w:rsid w:val="00916F44"/>
    <w:rsid w:val="00920A45"/>
    <w:rsid w:val="00921803"/>
    <w:rsid w:val="00926503"/>
    <w:rsid w:val="00926A64"/>
    <w:rsid w:val="009271A9"/>
    <w:rsid w:val="0092764C"/>
    <w:rsid w:val="009308A4"/>
    <w:rsid w:val="009333D7"/>
    <w:rsid w:val="009341DB"/>
    <w:rsid w:val="00941558"/>
    <w:rsid w:val="009475DD"/>
    <w:rsid w:val="00951769"/>
    <w:rsid w:val="00952117"/>
    <w:rsid w:val="00952CEE"/>
    <w:rsid w:val="00957F0F"/>
    <w:rsid w:val="00962F91"/>
    <w:rsid w:val="009630C7"/>
    <w:rsid w:val="00964B8F"/>
    <w:rsid w:val="00964BAA"/>
    <w:rsid w:val="0097098C"/>
    <w:rsid w:val="00971302"/>
    <w:rsid w:val="009726D8"/>
    <w:rsid w:val="00973E45"/>
    <w:rsid w:val="009741F1"/>
    <w:rsid w:val="00974313"/>
    <w:rsid w:val="009828C6"/>
    <w:rsid w:val="00983616"/>
    <w:rsid w:val="00985C74"/>
    <w:rsid w:val="00990911"/>
    <w:rsid w:val="00995ED2"/>
    <w:rsid w:val="009963AF"/>
    <w:rsid w:val="00997243"/>
    <w:rsid w:val="00997BBF"/>
    <w:rsid w:val="009A06BF"/>
    <w:rsid w:val="009A3579"/>
    <w:rsid w:val="009A3EC6"/>
    <w:rsid w:val="009A3FE6"/>
    <w:rsid w:val="009A4E28"/>
    <w:rsid w:val="009A70D8"/>
    <w:rsid w:val="009A73E0"/>
    <w:rsid w:val="009B2D42"/>
    <w:rsid w:val="009B377F"/>
    <w:rsid w:val="009B526C"/>
    <w:rsid w:val="009B6439"/>
    <w:rsid w:val="009B68FA"/>
    <w:rsid w:val="009C1A0E"/>
    <w:rsid w:val="009C6738"/>
    <w:rsid w:val="009C6E79"/>
    <w:rsid w:val="009D0F6E"/>
    <w:rsid w:val="009D20CB"/>
    <w:rsid w:val="009D7308"/>
    <w:rsid w:val="009E464C"/>
    <w:rsid w:val="009E6F8A"/>
    <w:rsid w:val="009E75E8"/>
    <w:rsid w:val="009E77C8"/>
    <w:rsid w:val="009F0549"/>
    <w:rsid w:val="009F395D"/>
    <w:rsid w:val="009F3DC5"/>
    <w:rsid w:val="009F57A5"/>
    <w:rsid w:val="009F76DB"/>
    <w:rsid w:val="00A026E3"/>
    <w:rsid w:val="00A05B12"/>
    <w:rsid w:val="00A05B64"/>
    <w:rsid w:val="00A06762"/>
    <w:rsid w:val="00A11CB9"/>
    <w:rsid w:val="00A128AF"/>
    <w:rsid w:val="00A159F4"/>
    <w:rsid w:val="00A16D72"/>
    <w:rsid w:val="00A259D4"/>
    <w:rsid w:val="00A27227"/>
    <w:rsid w:val="00A27E6B"/>
    <w:rsid w:val="00A30584"/>
    <w:rsid w:val="00A32A16"/>
    <w:rsid w:val="00A32C3B"/>
    <w:rsid w:val="00A35AE2"/>
    <w:rsid w:val="00A36092"/>
    <w:rsid w:val="00A4093E"/>
    <w:rsid w:val="00A41D46"/>
    <w:rsid w:val="00A41F3D"/>
    <w:rsid w:val="00A43287"/>
    <w:rsid w:val="00A45C08"/>
    <w:rsid w:val="00A45F4F"/>
    <w:rsid w:val="00A473C3"/>
    <w:rsid w:val="00A477BF"/>
    <w:rsid w:val="00A50AB5"/>
    <w:rsid w:val="00A600A9"/>
    <w:rsid w:val="00A621CC"/>
    <w:rsid w:val="00A642B8"/>
    <w:rsid w:val="00A657AA"/>
    <w:rsid w:val="00A669D5"/>
    <w:rsid w:val="00A748E7"/>
    <w:rsid w:val="00A76DA5"/>
    <w:rsid w:val="00A8057F"/>
    <w:rsid w:val="00A82733"/>
    <w:rsid w:val="00A82D4A"/>
    <w:rsid w:val="00A853EB"/>
    <w:rsid w:val="00A85736"/>
    <w:rsid w:val="00A909D9"/>
    <w:rsid w:val="00A95EFC"/>
    <w:rsid w:val="00A970E2"/>
    <w:rsid w:val="00AA0950"/>
    <w:rsid w:val="00AA0EAF"/>
    <w:rsid w:val="00AA3132"/>
    <w:rsid w:val="00AA3214"/>
    <w:rsid w:val="00AA4829"/>
    <w:rsid w:val="00AA4F71"/>
    <w:rsid w:val="00AA55B7"/>
    <w:rsid w:val="00AA5B9E"/>
    <w:rsid w:val="00AA63F4"/>
    <w:rsid w:val="00AB1B09"/>
    <w:rsid w:val="00AB2407"/>
    <w:rsid w:val="00AB4095"/>
    <w:rsid w:val="00AB5286"/>
    <w:rsid w:val="00AB53DF"/>
    <w:rsid w:val="00AB62C2"/>
    <w:rsid w:val="00AC22E8"/>
    <w:rsid w:val="00AC3B45"/>
    <w:rsid w:val="00AD2C89"/>
    <w:rsid w:val="00AD699D"/>
    <w:rsid w:val="00AE06A3"/>
    <w:rsid w:val="00AE172C"/>
    <w:rsid w:val="00AE2F79"/>
    <w:rsid w:val="00AE3F58"/>
    <w:rsid w:val="00AE66EF"/>
    <w:rsid w:val="00AF1FE3"/>
    <w:rsid w:val="00AF5D1C"/>
    <w:rsid w:val="00B0046E"/>
    <w:rsid w:val="00B011D1"/>
    <w:rsid w:val="00B02307"/>
    <w:rsid w:val="00B07E5C"/>
    <w:rsid w:val="00B12D80"/>
    <w:rsid w:val="00B13262"/>
    <w:rsid w:val="00B13CEE"/>
    <w:rsid w:val="00B14A55"/>
    <w:rsid w:val="00B15C10"/>
    <w:rsid w:val="00B16BB1"/>
    <w:rsid w:val="00B2000F"/>
    <w:rsid w:val="00B21B71"/>
    <w:rsid w:val="00B23B23"/>
    <w:rsid w:val="00B24334"/>
    <w:rsid w:val="00B31BDF"/>
    <w:rsid w:val="00B31D3D"/>
    <w:rsid w:val="00B36AC8"/>
    <w:rsid w:val="00B40AA6"/>
    <w:rsid w:val="00B47B98"/>
    <w:rsid w:val="00B51E6C"/>
    <w:rsid w:val="00B5297A"/>
    <w:rsid w:val="00B52B5E"/>
    <w:rsid w:val="00B63496"/>
    <w:rsid w:val="00B64992"/>
    <w:rsid w:val="00B65D4A"/>
    <w:rsid w:val="00B709C6"/>
    <w:rsid w:val="00B71F3C"/>
    <w:rsid w:val="00B77A39"/>
    <w:rsid w:val="00B811F7"/>
    <w:rsid w:val="00B81929"/>
    <w:rsid w:val="00B81B59"/>
    <w:rsid w:val="00B82FED"/>
    <w:rsid w:val="00B849F1"/>
    <w:rsid w:val="00B90B84"/>
    <w:rsid w:val="00B92F9A"/>
    <w:rsid w:val="00B953FB"/>
    <w:rsid w:val="00B9610A"/>
    <w:rsid w:val="00B97556"/>
    <w:rsid w:val="00BA5DC6"/>
    <w:rsid w:val="00BA6196"/>
    <w:rsid w:val="00BA79E9"/>
    <w:rsid w:val="00BB06C3"/>
    <w:rsid w:val="00BB0E69"/>
    <w:rsid w:val="00BB4BB1"/>
    <w:rsid w:val="00BC040C"/>
    <w:rsid w:val="00BC1A03"/>
    <w:rsid w:val="00BC1EF6"/>
    <w:rsid w:val="00BC592D"/>
    <w:rsid w:val="00BC6D8C"/>
    <w:rsid w:val="00BC6F7A"/>
    <w:rsid w:val="00BD1A33"/>
    <w:rsid w:val="00BD1CEE"/>
    <w:rsid w:val="00BD396D"/>
    <w:rsid w:val="00BD588F"/>
    <w:rsid w:val="00BD7120"/>
    <w:rsid w:val="00BD7E67"/>
    <w:rsid w:val="00BE01CA"/>
    <w:rsid w:val="00BE1167"/>
    <w:rsid w:val="00BE3744"/>
    <w:rsid w:val="00BE6C64"/>
    <w:rsid w:val="00BF4AC2"/>
    <w:rsid w:val="00C03DB5"/>
    <w:rsid w:val="00C0782F"/>
    <w:rsid w:val="00C105C8"/>
    <w:rsid w:val="00C10E49"/>
    <w:rsid w:val="00C1138C"/>
    <w:rsid w:val="00C12EF4"/>
    <w:rsid w:val="00C138C4"/>
    <w:rsid w:val="00C13A8D"/>
    <w:rsid w:val="00C147C4"/>
    <w:rsid w:val="00C154D3"/>
    <w:rsid w:val="00C16207"/>
    <w:rsid w:val="00C17DCB"/>
    <w:rsid w:val="00C259F6"/>
    <w:rsid w:val="00C25F1B"/>
    <w:rsid w:val="00C26208"/>
    <w:rsid w:val="00C27E69"/>
    <w:rsid w:val="00C34006"/>
    <w:rsid w:val="00C34A52"/>
    <w:rsid w:val="00C36B4C"/>
    <w:rsid w:val="00C40725"/>
    <w:rsid w:val="00C40797"/>
    <w:rsid w:val="00C40CBB"/>
    <w:rsid w:val="00C426B1"/>
    <w:rsid w:val="00C55F39"/>
    <w:rsid w:val="00C57111"/>
    <w:rsid w:val="00C626B5"/>
    <w:rsid w:val="00C64E6B"/>
    <w:rsid w:val="00C6598D"/>
    <w:rsid w:val="00C66160"/>
    <w:rsid w:val="00C66B93"/>
    <w:rsid w:val="00C67D73"/>
    <w:rsid w:val="00C71DA3"/>
    <w:rsid w:val="00C721AC"/>
    <w:rsid w:val="00C81137"/>
    <w:rsid w:val="00C81C51"/>
    <w:rsid w:val="00C8441E"/>
    <w:rsid w:val="00C90D6A"/>
    <w:rsid w:val="00C94BFB"/>
    <w:rsid w:val="00C9539B"/>
    <w:rsid w:val="00C95C52"/>
    <w:rsid w:val="00CA06C3"/>
    <w:rsid w:val="00CA0FA7"/>
    <w:rsid w:val="00CA0FD0"/>
    <w:rsid w:val="00CA247E"/>
    <w:rsid w:val="00CA3C92"/>
    <w:rsid w:val="00CA4EA4"/>
    <w:rsid w:val="00CA6D21"/>
    <w:rsid w:val="00CB6707"/>
    <w:rsid w:val="00CC07B2"/>
    <w:rsid w:val="00CC4C88"/>
    <w:rsid w:val="00CC575E"/>
    <w:rsid w:val="00CC6884"/>
    <w:rsid w:val="00CC72B6"/>
    <w:rsid w:val="00CD3C18"/>
    <w:rsid w:val="00CD4DBE"/>
    <w:rsid w:val="00CD70A5"/>
    <w:rsid w:val="00CE187D"/>
    <w:rsid w:val="00CE1D33"/>
    <w:rsid w:val="00CE6215"/>
    <w:rsid w:val="00CF33A0"/>
    <w:rsid w:val="00D00E7E"/>
    <w:rsid w:val="00D01551"/>
    <w:rsid w:val="00D0158C"/>
    <w:rsid w:val="00D0218D"/>
    <w:rsid w:val="00D032C7"/>
    <w:rsid w:val="00D042E1"/>
    <w:rsid w:val="00D1041E"/>
    <w:rsid w:val="00D1245E"/>
    <w:rsid w:val="00D125A1"/>
    <w:rsid w:val="00D1350D"/>
    <w:rsid w:val="00D136BD"/>
    <w:rsid w:val="00D16A81"/>
    <w:rsid w:val="00D17FDB"/>
    <w:rsid w:val="00D2065C"/>
    <w:rsid w:val="00D20B44"/>
    <w:rsid w:val="00D22323"/>
    <w:rsid w:val="00D22B4C"/>
    <w:rsid w:val="00D22C5C"/>
    <w:rsid w:val="00D24E12"/>
    <w:rsid w:val="00D25FB5"/>
    <w:rsid w:val="00D34407"/>
    <w:rsid w:val="00D352E9"/>
    <w:rsid w:val="00D368EC"/>
    <w:rsid w:val="00D372B3"/>
    <w:rsid w:val="00D41D2F"/>
    <w:rsid w:val="00D41DD1"/>
    <w:rsid w:val="00D420E6"/>
    <w:rsid w:val="00D44223"/>
    <w:rsid w:val="00D50306"/>
    <w:rsid w:val="00D520B4"/>
    <w:rsid w:val="00D609E6"/>
    <w:rsid w:val="00D61E77"/>
    <w:rsid w:val="00D6315E"/>
    <w:rsid w:val="00D64EC2"/>
    <w:rsid w:val="00D66985"/>
    <w:rsid w:val="00D706F8"/>
    <w:rsid w:val="00D7464C"/>
    <w:rsid w:val="00D759C0"/>
    <w:rsid w:val="00D7600E"/>
    <w:rsid w:val="00D76E55"/>
    <w:rsid w:val="00D76EA3"/>
    <w:rsid w:val="00D8077E"/>
    <w:rsid w:val="00D81854"/>
    <w:rsid w:val="00D81A88"/>
    <w:rsid w:val="00D81EE1"/>
    <w:rsid w:val="00D83D54"/>
    <w:rsid w:val="00D926A2"/>
    <w:rsid w:val="00D956AB"/>
    <w:rsid w:val="00D960C7"/>
    <w:rsid w:val="00D9684E"/>
    <w:rsid w:val="00D96B57"/>
    <w:rsid w:val="00DA01FA"/>
    <w:rsid w:val="00DA07EB"/>
    <w:rsid w:val="00DA2529"/>
    <w:rsid w:val="00DB0E89"/>
    <w:rsid w:val="00DB130A"/>
    <w:rsid w:val="00DB16AD"/>
    <w:rsid w:val="00DB2EBB"/>
    <w:rsid w:val="00DC054D"/>
    <w:rsid w:val="00DC10A1"/>
    <w:rsid w:val="00DC1BC9"/>
    <w:rsid w:val="00DC1E85"/>
    <w:rsid w:val="00DC21FD"/>
    <w:rsid w:val="00DC3B73"/>
    <w:rsid w:val="00DC4B9E"/>
    <w:rsid w:val="00DC6190"/>
    <w:rsid w:val="00DC655F"/>
    <w:rsid w:val="00DD0B59"/>
    <w:rsid w:val="00DD182B"/>
    <w:rsid w:val="00DD2D37"/>
    <w:rsid w:val="00DD4E8A"/>
    <w:rsid w:val="00DD4FB1"/>
    <w:rsid w:val="00DD7EBD"/>
    <w:rsid w:val="00DE37E4"/>
    <w:rsid w:val="00DF1084"/>
    <w:rsid w:val="00DF18FF"/>
    <w:rsid w:val="00DF32C1"/>
    <w:rsid w:val="00DF35AA"/>
    <w:rsid w:val="00DF5C39"/>
    <w:rsid w:val="00DF62B6"/>
    <w:rsid w:val="00DF6D51"/>
    <w:rsid w:val="00E021A9"/>
    <w:rsid w:val="00E06DCC"/>
    <w:rsid w:val="00E071D6"/>
    <w:rsid w:val="00E07225"/>
    <w:rsid w:val="00E11B96"/>
    <w:rsid w:val="00E12F6F"/>
    <w:rsid w:val="00E13B59"/>
    <w:rsid w:val="00E20F99"/>
    <w:rsid w:val="00E211D5"/>
    <w:rsid w:val="00E234BE"/>
    <w:rsid w:val="00E23F64"/>
    <w:rsid w:val="00E26C94"/>
    <w:rsid w:val="00E30329"/>
    <w:rsid w:val="00E30F9B"/>
    <w:rsid w:val="00E31841"/>
    <w:rsid w:val="00E322AD"/>
    <w:rsid w:val="00E35F56"/>
    <w:rsid w:val="00E4051D"/>
    <w:rsid w:val="00E47A4B"/>
    <w:rsid w:val="00E526B1"/>
    <w:rsid w:val="00E531C9"/>
    <w:rsid w:val="00E538F8"/>
    <w:rsid w:val="00E5409F"/>
    <w:rsid w:val="00E55912"/>
    <w:rsid w:val="00E562CB"/>
    <w:rsid w:val="00E6058A"/>
    <w:rsid w:val="00E62AF1"/>
    <w:rsid w:val="00E6591A"/>
    <w:rsid w:val="00E71A1A"/>
    <w:rsid w:val="00E73B95"/>
    <w:rsid w:val="00E81215"/>
    <w:rsid w:val="00E826CC"/>
    <w:rsid w:val="00E846D9"/>
    <w:rsid w:val="00E858A0"/>
    <w:rsid w:val="00E85A3D"/>
    <w:rsid w:val="00E86068"/>
    <w:rsid w:val="00E8710F"/>
    <w:rsid w:val="00E87BA6"/>
    <w:rsid w:val="00E9399C"/>
    <w:rsid w:val="00E963BD"/>
    <w:rsid w:val="00EA05A3"/>
    <w:rsid w:val="00EA243F"/>
    <w:rsid w:val="00EA2EAE"/>
    <w:rsid w:val="00EA583F"/>
    <w:rsid w:val="00EA69D0"/>
    <w:rsid w:val="00EA7F49"/>
    <w:rsid w:val="00EB1EC4"/>
    <w:rsid w:val="00EB20AD"/>
    <w:rsid w:val="00EB3F56"/>
    <w:rsid w:val="00EB7203"/>
    <w:rsid w:val="00EC0950"/>
    <w:rsid w:val="00EC24EF"/>
    <w:rsid w:val="00EC3DFE"/>
    <w:rsid w:val="00EC5303"/>
    <w:rsid w:val="00EC550B"/>
    <w:rsid w:val="00EC5F55"/>
    <w:rsid w:val="00EC7D5C"/>
    <w:rsid w:val="00ED15D6"/>
    <w:rsid w:val="00EE0E88"/>
    <w:rsid w:val="00EE1E34"/>
    <w:rsid w:val="00EE501F"/>
    <w:rsid w:val="00EE5732"/>
    <w:rsid w:val="00EE6488"/>
    <w:rsid w:val="00EE69D3"/>
    <w:rsid w:val="00EF0CB7"/>
    <w:rsid w:val="00EF3A96"/>
    <w:rsid w:val="00EF5CB6"/>
    <w:rsid w:val="00EF6F35"/>
    <w:rsid w:val="00F0025E"/>
    <w:rsid w:val="00F019D8"/>
    <w:rsid w:val="00F021FA"/>
    <w:rsid w:val="00F031F3"/>
    <w:rsid w:val="00F03764"/>
    <w:rsid w:val="00F0740C"/>
    <w:rsid w:val="00F07A32"/>
    <w:rsid w:val="00F211B8"/>
    <w:rsid w:val="00F24028"/>
    <w:rsid w:val="00F26707"/>
    <w:rsid w:val="00F3208A"/>
    <w:rsid w:val="00F32735"/>
    <w:rsid w:val="00F330D0"/>
    <w:rsid w:val="00F35D63"/>
    <w:rsid w:val="00F36BD7"/>
    <w:rsid w:val="00F37220"/>
    <w:rsid w:val="00F40C97"/>
    <w:rsid w:val="00F42DD8"/>
    <w:rsid w:val="00F44410"/>
    <w:rsid w:val="00F45C0F"/>
    <w:rsid w:val="00F46DAB"/>
    <w:rsid w:val="00F47BEB"/>
    <w:rsid w:val="00F50991"/>
    <w:rsid w:val="00F51567"/>
    <w:rsid w:val="00F5419A"/>
    <w:rsid w:val="00F54352"/>
    <w:rsid w:val="00F60192"/>
    <w:rsid w:val="00F62E97"/>
    <w:rsid w:val="00F64209"/>
    <w:rsid w:val="00F669C0"/>
    <w:rsid w:val="00F70BC0"/>
    <w:rsid w:val="00F71E8C"/>
    <w:rsid w:val="00F73450"/>
    <w:rsid w:val="00F74B42"/>
    <w:rsid w:val="00F74C36"/>
    <w:rsid w:val="00F76EA6"/>
    <w:rsid w:val="00F77099"/>
    <w:rsid w:val="00F7722B"/>
    <w:rsid w:val="00F85F7B"/>
    <w:rsid w:val="00F86415"/>
    <w:rsid w:val="00F86ED3"/>
    <w:rsid w:val="00F9074B"/>
    <w:rsid w:val="00F922B8"/>
    <w:rsid w:val="00F9378A"/>
    <w:rsid w:val="00F93BF5"/>
    <w:rsid w:val="00F97BBB"/>
    <w:rsid w:val="00FA0150"/>
    <w:rsid w:val="00FA0A3D"/>
    <w:rsid w:val="00FA23B7"/>
    <w:rsid w:val="00FA2CFE"/>
    <w:rsid w:val="00FA5BB0"/>
    <w:rsid w:val="00FA7A21"/>
    <w:rsid w:val="00FB10D3"/>
    <w:rsid w:val="00FB1AC6"/>
    <w:rsid w:val="00FB1D87"/>
    <w:rsid w:val="00FB2A71"/>
    <w:rsid w:val="00FB6B4A"/>
    <w:rsid w:val="00FB6C3F"/>
    <w:rsid w:val="00FC2EE0"/>
    <w:rsid w:val="00FC37B5"/>
    <w:rsid w:val="00FD2446"/>
    <w:rsid w:val="00FD5098"/>
    <w:rsid w:val="00FD75D1"/>
    <w:rsid w:val="00FD771F"/>
    <w:rsid w:val="00FE0DAC"/>
    <w:rsid w:val="00FE3407"/>
    <w:rsid w:val="00FE5142"/>
    <w:rsid w:val="00FF02F5"/>
    <w:rsid w:val="00FF5B17"/>
    <w:rsid w:val="00FF69A6"/>
    <w:rsid w:val="00FF78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76891EB-8458-4660-8D80-B2C6D56A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044E22"/>
  </w:style>
  <w:style w:type="character" w:customStyle="1" w:styleId="ParaNumChar">
    <w:name w:val="ParaNum Char"/>
    <w:link w:val="ParaNum"/>
    <w:locked/>
    <w:rsid w:val="00816750"/>
    <w:rPr>
      <w:snapToGrid w:val="0"/>
      <w:kern w:val="28"/>
      <w:sz w:val="22"/>
    </w:rPr>
  </w:style>
  <w:style w:type="character" w:customStyle="1" w:styleId="UnresolvedMention">
    <w:name w:val="Unresolved Mention"/>
    <w:uiPriority w:val="99"/>
    <w:semiHidden/>
    <w:unhideWhenUsed/>
    <w:rsid w:val="00AF1FE3"/>
    <w:rPr>
      <w:color w:val="605E5C"/>
      <w:shd w:val="clear" w:color="auto" w:fill="E1DFDD"/>
    </w:rPr>
  </w:style>
  <w:style w:type="character" w:styleId="CommentReference">
    <w:name w:val="annotation reference"/>
    <w:rsid w:val="00DF5C39"/>
    <w:rPr>
      <w:sz w:val="16"/>
      <w:szCs w:val="16"/>
    </w:rPr>
  </w:style>
  <w:style w:type="paragraph" w:styleId="CommentText">
    <w:name w:val="annotation text"/>
    <w:basedOn w:val="Normal"/>
    <w:link w:val="CommentTextChar"/>
    <w:rsid w:val="00DF5C39"/>
    <w:rPr>
      <w:sz w:val="20"/>
    </w:rPr>
  </w:style>
  <w:style w:type="character" w:customStyle="1" w:styleId="CommentTextChar">
    <w:name w:val="Comment Text Char"/>
    <w:link w:val="CommentText"/>
    <w:rsid w:val="00DF5C39"/>
    <w:rPr>
      <w:snapToGrid w:val="0"/>
      <w:kern w:val="28"/>
    </w:rPr>
  </w:style>
  <w:style w:type="paragraph" w:styleId="CommentSubject">
    <w:name w:val="annotation subject"/>
    <w:basedOn w:val="CommentText"/>
    <w:next w:val="CommentText"/>
    <w:link w:val="CommentSubjectChar"/>
    <w:rsid w:val="00DF5C39"/>
    <w:rPr>
      <w:b/>
      <w:bCs/>
    </w:rPr>
  </w:style>
  <w:style w:type="character" w:customStyle="1" w:styleId="CommentSubjectChar">
    <w:name w:val="Comment Subject Char"/>
    <w:link w:val="CommentSubject"/>
    <w:rsid w:val="00DF5C39"/>
    <w:rPr>
      <w:b/>
      <w:bCs/>
      <w:snapToGrid w:val="0"/>
      <w:kern w:val="28"/>
    </w:rPr>
  </w:style>
  <w:style w:type="paragraph" w:styleId="BalloonText">
    <w:name w:val="Balloon Text"/>
    <w:basedOn w:val="Normal"/>
    <w:link w:val="BalloonTextChar"/>
    <w:rsid w:val="00DF5C39"/>
    <w:rPr>
      <w:rFonts w:ascii="Segoe UI" w:hAnsi="Segoe UI" w:cs="Segoe UI"/>
      <w:sz w:val="18"/>
      <w:szCs w:val="18"/>
    </w:rPr>
  </w:style>
  <w:style w:type="character" w:customStyle="1" w:styleId="BalloonTextChar">
    <w:name w:val="Balloon Text Char"/>
    <w:link w:val="BalloonText"/>
    <w:rsid w:val="00DF5C39"/>
    <w:rPr>
      <w:rFonts w:ascii="Segoe UI" w:hAnsi="Segoe UI" w:cs="Segoe UI"/>
      <w:snapToGrid w:val="0"/>
      <w:kern w:val="28"/>
      <w:sz w:val="18"/>
      <w:szCs w:val="18"/>
    </w:rPr>
  </w:style>
  <w:style w:type="character" w:styleId="FollowedHyperlink">
    <w:name w:val="FollowedHyperlink"/>
    <w:rsid w:val="00974313"/>
    <w:rPr>
      <w:color w:val="954F72"/>
      <w:u w:val="single"/>
    </w:rPr>
  </w:style>
  <w:style w:type="character" w:customStyle="1" w:styleId="ParaNumChar1">
    <w:name w:val="ParaNum Char1"/>
    <w:locked/>
    <w:rsid w:val="006668E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