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F3315" w:rsidRPr="008A25E7" w14:paraId="2DC5BD67" w14:textId="77777777">
      <w:pPr>
        <w:jc w:val="center"/>
        <w:rPr>
          <w:b/>
          <w:szCs w:val="22"/>
        </w:rPr>
      </w:pPr>
      <w:r w:rsidRPr="008A25E7">
        <w:rPr>
          <w:b/>
          <w:szCs w:val="22"/>
        </w:rPr>
        <w:t>Before the</w:t>
      </w:r>
    </w:p>
    <w:p w:rsidR="00BF3315" w:rsidRPr="008A25E7" w14:paraId="15FFF1E3" w14:textId="77777777">
      <w:pPr>
        <w:jc w:val="center"/>
        <w:rPr>
          <w:b/>
          <w:szCs w:val="22"/>
        </w:rPr>
      </w:pPr>
      <w:r w:rsidRPr="008A25E7">
        <w:rPr>
          <w:b/>
          <w:szCs w:val="22"/>
        </w:rPr>
        <w:t>Federal Communications Commission</w:t>
      </w:r>
    </w:p>
    <w:p w:rsidR="00BF3315" w:rsidRPr="008A25E7" w14:paraId="16EF574D" w14:textId="77777777">
      <w:pPr>
        <w:jc w:val="center"/>
        <w:rPr>
          <w:b/>
          <w:szCs w:val="22"/>
        </w:rPr>
      </w:pPr>
      <w:r w:rsidRPr="008A25E7">
        <w:rPr>
          <w:b/>
          <w:szCs w:val="22"/>
        </w:rPr>
        <w:t>Washington, D.C. 20554</w:t>
      </w:r>
    </w:p>
    <w:p w:rsidR="00BF3315" w:rsidRPr="008A25E7" w14:paraId="76F4E389" w14:textId="77777777">
      <w:pPr>
        <w:rPr>
          <w:szCs w:val="22"/>
        </w:rPr>
      </w:pPr>
    </w:p>
    <w:p w:rsidR="00BF3315" w:rsidRPr="008A25E7" w14:paraId="2BC9F24F" w14:textId="77777777">
      <w:pPr>
        <w:rPr>
          <w:szCs w:val="22"/>
        </w:rPr>
      </w:pPr>
    </w:p>
    <w:tbl>
      <w:tblPr>
        <w:tblW w:w="0" w:type="auto"/>
        <w:tblLayout w:type="fixed"/>
        <w:tblLook w:val="0000"/>
      </w:tblPr>
      <w:tblGrid>
        <w:gridCol w:w="4698"/>
        <w:gridCol w:w="720"/>
        <w:gridCol w:w="4230"/>
      </w:tblGrid>
      <w:tr w14:paraId="56B08C0A" w14:textId="77777777">
        <w:tblPrEx>
          <w:tblW w:w="0" w:type="auto"/>
          <w:tblLayout w:type="fixed"/>
          <w:tblLook w:val="0000"/>
        </w:tblPrEx>
        <w:tc>
          <w:tcPr>
            <w:tcW w:w="4698" w:type="dxa"/>
          </w:tcPr>
          <w:p w:rsidR="00BF3315" w:rsidRPr="008A25E7" w14:paraId="7D619E22" w14:textId="77777777">
            <w:pPr>
              <w:ind w:right="-18"/>
              <w:rPr>
                <w:szCs w:val="22"/>
              </w:rPr>
            </w:pPr>
            <w:r w:rsidRPr="008A25E7">
              <w:rPr>
                <w:szCs w:val="22"/>
              </w:rPr>
              <w:t>In the Matter of Application of</w:t>
            </w:r>
          </w:p>
          <w:p w:rsidR="00BF3315" w:rsidRPr="008A25E7" w14:paraId="24FC6B99" w14:textId="77777777">
            <w:pPr>
              <w:ind w:right="-18"/>
              <w:rPr>
                <w:szCs w:val="22"/>
              </w:rPr>
            </w:pPr>
          </w:p>
          <w:p w:rsidR="00BF3315" w:rsidRPr="008A25E7" w14:paraId="02B8A022" w14:textId="77777777">
            <w:pPr>
              <w:ind w:right="-18"/>
              <w:rPr>
                <w:szCs w:val="22"/>
              </w:rPr>
            </w:pPr>
            <w:r w:rsidRPr="008A25E7">
              <w:rPr>
                <w:szCs w:val="22"/>
              </w:rPr>
              <w:t>THOMAS K. KURIAN</w:t>
            </w:r>
          </w:p>
          <w:p w:rsidR="00BF3315" w:rsidRPr="008A25E7" w14:paraId="7FE3D9C4" w14:textId="77777777">
            <w:pPr>
              <w:ind w:right="-18"/>
              <w:rPr>
                <w:szCs w:val="22"/>
              </w:rPr>
            </w:pPr>
          </w:p>
          <w:p w:rsidR="00BF3315" w:rsidRPr="008A25E7" w14:paraId="632634DB" w14:textId="3CAFA5CF">
            <w:pPr>
              <w:ind w:right="-18"/>
              <w:rPr>
                <w:szCs w:val="22"/>
              </w:rPr>
            </w:pPr>
            <w:r w:rsidRPr="008A25E7">
              <w:rPr>
                <w:szCs w:val="22"/>
              </w:rPr>
              <w:t xml:space="preserve">For Partitioning </w:t>
            </w:r>
            <w:r w:rsidRPr="008A25E7" w:rsidR="00BF7E63">
              <w:rPr>
                <w:szCs w:val="22"/>
              </w:rPr>
              <w:t xml:space="preserve">and Disaggregation </w:t>
            </w:r>
            <w:r w:rsidRPr="008A25E7">
              <w:rPr>
                <w:szCs w:val="22"/>
              </w:rPr>
              <w:t xml:space="preserve">of License for Automated </w:t>
            </w:r>
            <w:r w:rsidRPr="008A25E7" w:rsidR="00C62444">
              <w:rPr>
                <w:szCs w:val="22"/>
              </w:rPr>
              <w:t xml:space="preserve">Maritime </w:t>
            </w:r>
            <w:r w:rsidRPr="008A25E7">
              <w:rPr>
                <w:szCs w:val="22"/>
              </w:rPr>
              <w:t xml:space="preserve">Telecommunications System Station WQCP809 to </w:t>
            </w:r>
            <w:r w:rsidRPr="008A25E7" w:rsidR="00C701FE">
              <w:rPr>
                <w:szCs w:val="22"/>
              </w:rPr>
              <w:t>PTC-220, LLC</w:t>
            </w:r>
          </w:p>
        </w:tc>
        <w:tc>
          <w:tcPr>
            <w:tcW w:w="720" w:type="dxa"/>
          </w:tcPr>
          <w:p w:rsidR="00BF3315" w:rsidRPr="008A25E7" w14:paraId="4BC6A1AE" w14:textId="77777777">
            <w:pPr>
              <w:rPr>
                <w:b/>
                <w:szCs w:val="22"/>
              </w:rPr>
            </w:pPr>
            <w:r w:rsidRPr="008A25E7">
              <w:rPr>
                <w:b/>
                <w:szCs w:val="22"/>
              </w:rPr>
              <w:t>)</w:t>
            </w:r>
          </w:p>
          <w:p w:rsidR="00BF3315" w:rsidRPr="008A25E7" w14:paraId="1E356E2C" w14:textId="77777777">
            <w:pPr>
              <w:rPr>
                <w:b/>
                <w:szCs w:val="22"/>
              </w:rPr>
            </w:pPr>
            <w:r w:rsidRPr="008A25E7">
              <w:rPr>
                <w:b/>
                <w:szCs w:val="22"/>
              </w:rPr>
              <w:t>)</w:t>
            </w:r>
          </w:p>
          <w:p w:rsidR="00BF3315" w:rsidRPr="008A25E7" w14:paraId="02D05F49" w14:textId="77777777">
            <w:pPr>
              <w:rPr>
                <w:b/>
                <w:szCs w:val="22"/>
              </w:rPr>
            </w:pPr>
            <w:r w:rsidRPr="008A25E7">
              <w:rPr>
                <w:b/>
                <w:szCs w:val="22"/>
              </w:rPr>
              <w:t>)</w:t>
            </w:r>
          </w:p>
          <w:p w:rsidR="00BF3315" w:rsidRPr="008A25E7" w14:paraId="0EE42A12" w14:textId="77777777">
            <w:pPr>
              <w:rPr>
                <w:b/>
                <w:szCs w:val="22"/>
              </w:rPr>
            </w:pPr>
            <w:r w:rsidRPr="008A25E7">
              <w:rPr>
                <w:b/>
                <w:szCs w:val="22"/>
              </w:rPr>
              <w:t>)</w:t>
            </w:r>
          </w:p>
          <w:p w:rsidR="00BF3315" w:rsidRPr="008A25E7" w14:paraId="622EB102" w14:textId="77777777">
            <w:pPr>
              <w:rPr>
                <w:b/>
                <w:szCs w:val="22"/>
              </w:rPr>
            </w:pPr>
            <w:r w:rsidRPr="008A25E7">
              <w:rPr>
                <w:b/>
                <w:szCs w:val="22"/>
              </w:rPr>
              <w:t>)</w:t>
            </w:r>
          </w:p>
          <w:p w:rsidR="00BF3315" w:rsidRPr="008A25E7" w14:paraId="34497A9C" w14:textId="77777777">
            <w:pPr>
              <w:rPr>
                <w:b/>
                <w:szCs w:val="22"/>
              </w:rPr>
            </w:pPr>
            <w:r w:rsidRPr="008A25E7">
              <w:rPr>
                <w:b/>
                <w:szCs w:val="22"/>
              </w:rPr>
              <w:t>)</w:t>
            </w:r>
          </w:p>
          <w:p w:rsidR="00BF3315" w:rsidRPr="008A25E7" w14:paraId="01F18732" w14:textId="77777777">
            <w:pPr>
              <w:rPr>
                <w:b/>
                <w:szCs w:val="22"/>
              </w:rPr>
            </w:pPr>
            <w:r w:rsidRPr="008A25E7">
              <w:rPr>
                <w:b/>
                <w:szCs w:val="22"/>
              </w:rPr>
              <w:t>)</w:t>
            </w:r>
          </w:p>
          <w:p w:rsidR="00BF3315" w:rsidRPr="008A25E7" w14:paraId="29DC3872" w14:textId="77777777">
            <w:pPr>
              <w:rPr>
                <w:b/>
                <w:szCs w:val="22"/>
              </w:rPr>
            </w:pPr>
          </w:p>
        </w:tc>
        <w:tc>
          <w:tcPr>
            <w:tcW w:w="4230" w:type="dxa"/>
          </w:tcPr>
          <w:p w:rsidR="00BF3315" w:rsidRPr="008A25E7" w14:paraId="006E3880" w14:textId="77777777">
            <w:pPr>
              <w:rPr>
                <w:szCs w:val="22"/>
              </w:rPr>
            </w:pPr>
          </w:p>
          <w:p w:rsidR="00BF3315" w:rsidRPr="008A25E7" w14:paraId="1F7A2AC5" w14:textId="77777777">
            <w:pPr>
              <w:rPr>
                <w:szCs w:val="22"/>
              </w:rPr>
            </w:pPr>
          </w:p>
          <w:p w:rsidR="00BF3315" w:rsidRPr="008A25E7" w14:paraId="2CC777BF" w14:textId="1549045B">
            <w:pPr>
              <w:rPr>
                <w:szCs w:val="22"/>
              </w:rPr>
            </w:pPr>
            <w:r w:rsidRPr="008A25E7">
              <w:rPr>
                <w:szCs w:val="22"/>
              </w:rPr>
              <w:t xml:space="preserve">File No. </w:t>
            </w:r>
            <w:bookmarkStart w:id="0" w:name="_Hlk56513261"/>
            <w:r w:rsidRPr="008A25E7">
              <w:rPr>
                <w:szCs w:val="22"/>
              </w:rPr>
              <w:t>000</w:t>
            </w:r>
            <w:r w:rsidRPr="008A25E7" w:rsidR="00F427B1">
              <w:rPr>
                <w:szCs w:val="22"/>
              </w:rPr>
              <w:t>8694347</w:t>
            </w:r>
            <w:bookmarkEnd w:id="0"/>
          </w:p>
          <w:p w:rsidR="00BF3315" w:rsidRPr="008A25E7" w14:paraId="7B49B7DB" w14:textId="77777777">
            <w:pPr>
              <w:rPr>
                <w:szCs w:val="22"/>
              </w:rPr>
            </w:pPr>
          </w:p>
          <w:p w:rsidR="00BF3315" w:rsidRPr="008A25E7" w14:paraId="561F5078" w14:textId="77777777">
            <w:pPr>
              <w:rPr>
                <w:szCs w:val="22"/>
              </w:rPr>
            </w:pPr>
          </w:p>
          <w:p w:rsidR="00BF3315" w:rsidRPr="008A25E7" w14:paraId="0A5EF03A" w14:textId="77777777">
            <w:pPr>
              <w:rPr>
                <w:szCs w:val="22"/>
              </w:rPr>
            </w:pPr>
          </w:p>
          <w:p w:rsidR="00BF3315" w:rsidRPr="008A25E7" w14:paraId="7732925F" w14:textId="77777777">
            <w:pPr>
              <w:rPr>
                <w:szCs w:val="22"/>
              </w:rPr>
            </w:pPr>
          </w:p>
          <w:p w:rsidR="00BF3315" w:rsidRPr="008A25E7" w14:paraId="6A263448" w14:textId="77777777">
            <w:pPr>
              <w:rPr>
                <w:szCs w:val="22"/>
              </w:rPr>
            </w:pPr>
          </w:p>
        </w:tc>
      </w:tr>
    </w:tbl>
    <w:p w:rsidR="00BF3315" w:rsidRPr="008A25E7" w14:paraId="4DF94C53" w14:textId="77777777">
      <w:pPr>
        <w:spacing w:before="120"/>
        <w:jc w:val="center"/>
        <w:rPr>
          <w:b/>
          <w:szCs w:val="22"/>
        </w:rPr>
      </w:pPr>
      <w:r w:rsidRPr="008A25E7">
        <w:rPr>
          <w:b/>
          <w:spacing w:val="-2"/>
          <w:szCs w:val="22"/>
        </w:rPr>
        <w:t>ORDER</w:t>
      </w:r>
    </w:p>
    <w:p w:rsidR="00BF3315" w:rsidRPr="008A25E7" w14:paraId="6FF1ED2F" w14:textId="77777777">
      <w:pPr>
        <w:rPr>
          <w:szCs w:val="22"/>
        </w:rPr>
      </w:pPr>
    </w:p>
    <w:p w:rsidR="00BF3315" w:rsidRPr="008A25E7" w14:paraId="2F250688" w14:textId="0410D27C">
      <w:pPr>
        <w:tabs>
          <w:tab w:val="right" w:pos="9360"/>
        </w:tabs>
        <w:rPr>
          <w:b/>
          <w:szCs w:val="22"/>
        </w:rPr>
      </w:pPr>
      <w:r w:rsidRPr="008A25E7">
        <w:rPr>
          <w:b/>
          <w:szCs w:val="22"/>
        </w:rPr>
        <w:t xml:space="preserve">Adopted:  </w:t>
      </w:r>
      <w:r w:rsidRPr="008A25E7" w:rsidR="00C701FE">
        <w:rPr>
          <w:b/>
          <w:szCs w:val="22"/>
        </w:rPr>
        <w:t xml:space="preserve">November </w:t>
      </w:r>
      <w:r w:rsidR="00137096">
        <w:rPr>
          <w:b/>
          <w:szCs w:val="22"/>
        </w:rPr>
        <w:t>23</w:t>
      </w:r>
      <w:r w:rsidRPr="008A25E7">
        <w:rPr>
          <w:b/>
          <w:spacing w:val="-2"/>
          <w:szCs w:val="22"/>
        </w:rPr>
        <w:t>, 20</w:t>
      </w:r>
      <w:r w:rsidRPr="008A25E7" w:rsidR="00C701FE">
        <w:rPr>
          <w:b/>
          <w:spacing w:val="-2"/>
          <w:szCs w:val="22"/>
        </w:rPr>
        <w:t>20</w:t>
      </w:r>
      <w:r w:rsidRPr="008A25E7">
        <w:rPr>
          <w:b/>
          <w:spacing w:val="-2"/>
          <w:szCs w:val="22"/>
        </w:rPr>
        <w:t xml:space="preserve"> </w:t>
      </w:r>
      <w:r w:rsidRPr="008A25E7">
        <w:rPr>
          <w:b/>
          <w:szCs w:val="22"/>
        </w:rPr>
        <w:tab/>
        <w:t xml:space="preserve">Released:  </w:t>
      </w:r>
      <w:r w:rsidRPr="008A25E7" w:rsidR="00C701FE">
        <w:rPr>
          <w:b/>
          <w:szCs w:val="22"/>
        </w:rPr>
        <w:t xml:space="preserve">November </w:t>
      </w:r>
      <w:r w:rsidR="00137096">
        <w:rPr>
          <w:b/>
          <w:szCs w:val="22"/>
        </w:rPr>
        <w:t>23</w:t>
      </w:r>
      <w:r w:rsidRPr="008A25E7">
        <w:rPr>
          <w:b/>
          <w:spacing w:val="-2"/>
          <w:szCs w:val="22"/>
        </w:rPr>
        <w:t>, 20</w:t>
      </w:r>
      <w:r w:rsidRPr="008A25E7" w:rsidR="00C701FE">
        <w:rPr>
          <w:b/>
          <w:spacing w:val="-2"/>
          <w:szCs w:val="22"/>
        </w:rPr>
        <w:t>20</w:t>
      </w:r>
    </w:p>
    <w:p w:rsidR="00BF3315" w:rsidRPr="008A25E7" w14:paraId="3A785CF5" w14:textId="77777777">
      <w:pPr>
        <w:tabs>
          <w:tab w:val="left" w:pos="5760"/>
        </w:tabs>
        <w:rPr>
          <w:b/>
          <w:szCs w:val="22"/>
        </w:rPr>
      </w:pPr>
    </w:p>
    <w:p w:rsidR="00BF3315" w:rsidRPr="008A25E7" w14:paraId="3692FCC5" w14:textId="7A0BED97">
      <w:pPr>
        <w:tabs>
          <w:tab w:val="left" w:pos="5760"/>
        </w:tabs>
        <w:rPr>
          <w:szCs w:val="22"/>
        </w:rPr>
      </w:pPr>
      <w:r w:rsidRPr="008A25E7">
        <w:rPr>
          <w:szCs w:val="22"/>
        </w:rPr>
        <w:t xml:space="preserve">By the </w:t>
      </w:r>
      <w:r w:rsidRPr="008A25E7">
        <w:rPr>
          <w:spacing w:val="-2"/>
          <w:szCs w:val="22"/>
        </w:rPr>
        <w:t>Chief, Mobility Division, Wireless Telecommunications Bureau:</w:t>
      </w:r>
    </w:p>
    <w:p w:rsidR="00BF3315" w:rsidRPr="008A25E7" w14:paraId="3FF7DC45" w14:textId="77777777">
      <w:pPr>
        <w:tabs>
          <w:tab w:val="left" w:pos="5760"/>
        </w:tabs>
        <w:rPr>
          <w:b/>
          <w:szCs w:val="22"/>
        </w:rPr>
      </w:pPr>
    </w:p>
    <w:p w:rsidR="00BF3315" w:rsidRPr="008A25E7" w:rsidP="00C701FE" w14:paraId="22CA2094" w14:textId="180A425B">
      <w:pPr>
        <w:pStyle w:val="ParaNum"/>
        <w:tabs>
          <w:tab w:val="clear" w:pos="1080"/>
        </w:tabs>
        <w:jc w:val="left"/>
        <w:rPr>
          <w:szCs w:val="22"/>
        </w:rPr>
      </w:pPr>
      <w:r w:rsidRPr="008A25E7">
        <w:rPr>
          <w:szCs w:val="22"/>
        </w:rPr>
        <w:t xml:space="preserve">This </w:t>
      </w:r>
      <w:r w:rsidRPr="008A25E7">
        <w:rPr>
          <w:i/>
          <w:szCs w:val="22"/>
        </w:rPr>
        <w:t>Order</w:t>
      </w:r>
      <w:r w:rsidRPr="008A25E7">
        <w:rPr>
          <w:szCs w:val="22"/>
        </w:rPr>
        <w:t xml:space="preserve"> addresses a petition </w:t>
      </w:r>
      <w:r w:rsidRPr="008A25E7" w:rsidR="00FA734B">
        <w:rPr>
          <w:szCs w:val="22"/>
        </w:rPr>
        <w:t xml:space="preserve">to deny </w:t>
      </w:r>
      <w:r w:rsidRPr="008A25E7">
        <w:rPr>
          <w:szCs w:val="22"/>
        </w:rPr>
        <w:t xml:space="preserve">filed by Warren Havens </w:t>
      </w:r>
      <w:r w:rsidRPr="008A25E7" w:rsidR="008F6EE4">
        <w:rPr>
          <w:szCs w:val="22"/>
        </w:rPr>
        <w:t xml:space="preserve">(Havens) </w:t>
      </w:r>
      <w:r w:rsidRPr="008A25E7" w:rsidR="00C701FE">
        <w:rPr>
          <w:szCs w:val="22"/>
        </w:rPr>
        <w:t xml:space="preserve">and the Polaris PNT Group (together, </w:t>
      </w:r>
      <w:r w:rsidRPr="008A25E7" w:rsidR="00D83A92">
        <w:rPr>
          <w:szCs w:val="22"/>
        </w:rPr>
        <w:t>Petitioners</w:t>
      </w:r>
      <w:r w:rsidRPr="008A25E7" w:rsidR="00C701FE">
        <w:rPr>
          <w:szCs w:val="22"/>
        </w:rPr>
        <w:t>)</w:t>
      </w:r>
      <w:r w:rsidRPr="008A25E7">
        <w:rPr>
          <w:szCs w:val="22"/>
        </w:rPr>
        <w:t xml:space="preserve"> </w:t>
      </w:r>
      <w:r w:rsidRPr="008A25E7" w:rsidR="00FA734B">
        <w:rPr>
          <w:szCs w:val="22"/>
        </w:rPr>
        <w:t xml:space="preserve">against </w:t>
      </w:r>
      <w:r w:rsidRPr="008A25E7" w:rsidR="00CE0F9D">
        <w:rPr>
          <w:szCs w:val="22"/>
        </w:rPr>
        <w:t xml:space="preserve">an </w:t>
      </w:r>
      <w:r w:rsidRPr="008A25E7" w:rsidR="00240C18">
        <w:rPr>
          <w:szCs w:val="22"/>
        </w:rPr>
        <w:t>A</w:t>
      </w:r>
      <w:r w:rsidRPr="008A25E7">
        <w:rPr>
          <w:szCs w:val="22"/>
        </w:rPr>
        <w:t>pplication</w:t>
      </w:r>
      <w:r w:rsidRPr="008A25E7" w:rsidR="0043198A">
        <w:rPr>
          <w:szCs w:val="22"/>
        </w:rPr>
        <w:t xml:space="preserve"> </w:t>
      </w:r>
      <w:r w:rsidRPr="008A25E7">
        <w:rPr>
          <w:szCs w:val="22"/>
        </w:rPr>
        <w:t xml:space="preserve">to assign part of the license for Automated Maritime Telecommunications System (AMTS) Station WQCP809 from Thomas K. Kurian (Kurian) to </w:t>
      </w:r>
      <w:r w:rsidRPr="008A25E7" w:rsidR="00C701FE">
        <w:rPr>
          <w:szCs w:val="22"/>
        </w:rPr>
        <w:t xml:space="preserve">PTC-220, LLC </w:t>
      </w:r>
      <w:r w:rsidRPr="008A25E7">
        <w:rPr>
          <w:szCs w:val="22"/>
        </w:rPr>
        <w:t>(</w:t>
      </w:r>
      <w:r w:rsidRPr="008A25E7" w:rsidR="00C701FE">
        <w:rPr>
          <w:szCs w:val="22"/>
        </w:rPr>
        <w:t>PTC-220</w:t>
      </w:r>
      <w:r w:rsidRPr="008A25E7">
        <w:rPr>
          <w:szCs w:val="22"/>
        </w:rPr>
        <w:t>)</w:t>
      </w:r>
      <w:r w:rsidRPr="008A25E7" w:rsidR="008E2134">
        <w:rPr>
          <w:szCs w:val="22"/>
        </w:rPr>
        <w:t xml:space="preserve"> (Kurian and </w:t>
      </w:r>
      <w:r w:rsidRPr="008A25E7" w:rsidR="00C738FF">
        <w:rPr>
          <w:szCs w:val="22"/>
        </w:rPr>
        <w:t>PTC-220 are together, the Applicants)</w:t>
      </w:r>
      <w:r w:rsidRPr="008A25E7" w:rsidR="00CE0477">
        <w:rPr>
          <w:szCs w:val="22"/>
        </w:rPr>
        <w:t>.</w:t>
      </w:r>
      <w:r>
        <w:rPr>
          <w:rStyle w:val="FootnoteReference"/>
          <w:szCs w:val="22"/>
        </w:rPr>
        <w:footnoteReference w:id="3"/>
      </w:r>
      <w:r w:rsidRPr="008A25E7" w:rsidR="00CE0477">
        <w:rPr>
          <w:szCs w:val="22"/>
        </w:rPr>
        <w:t xml:space="preserve"> </w:t>
      </w:r>
      <w:r w:rsidRPr="008A25E7" w:rsidR="00D83A92">
        <w:rPr>
          <w:szCs w:val="22"/>
        </w:rPr>
        <w:t xml:space="preserve"> </w:t>
      </w:r>
      <w:r w:rsidRPr="008A25E7" w:rsidR="00FF4CEB">
        <w:rPr>
          <w:szCs w:val="22"/>
        </w:rPr>
        <w:t xml:space="preserve">This </w:t>
      </w:r>
      <w:r w:rsidRPr="008A25E7" w:rsidR="00FF4CEB">
        <w:rPr>
          <w:i/>
          <w:iCs/>
          <w:szCs w:val="22"/>
        </w:rPr>
        <w:t>Order</w:t>
      </w:r>
      <w:r w:rsidRPr="008A25E7" w:rsidR="00FF4CEB">
        <w:rPr>
          <w:szCs w:val="22"/>
        </w:rPr>
        <w:t xml:space="preserve"> also addresses </w:t>
      </w:r>
      <w:r w:rsidRPr="008A25E7" w:rsidR="00CE0477">
        <w:rPr>
          <w:szCs w:val="22"/>
        </w:rPr>
        <w:t xml:space="preserve">the request of </w:t>
      </w:r>
      <w:r w:rsidRPr="008A25E7" w:rsidR="00B071AF">
        <w:rPr>
          <w:szCs w:val="22"/>
        </w:rPr>
        <w:t>PTC-220</w:t>
      </w:r>
      <w:r w:rsidRPr="008A25E7" w:rsidR="00CE0477">
        <w:rPr>
          <w:szCs w:val="22"/>
        </w:rPr>
        <w:t>, a consortium of the nation’s seven largest freight railroads,</w:t>
      </w:r>
      <w:r w:rsidRPr="008A25E7" w:rsidR="00FF4CEB">
        <w:rPr>
          <w:szCs w:val="22"/>
        </w:rPr>
        <w:t xml:space="preserve"> for waiver of </w:t>
      </w:r>
      <w:r w:rsidRPr="008A25E7" w:rsidR="00DB2A50">
        <w:rPr>
          <w:szCs w:val="22"/>
        </w:rPr>
        <w:t xml:space="preserve">several </w:t>
      </w:r>
      <w:r w:rsidRPr="008A25E7" w:rsidR="00FF4CEB">
        <w:rPr>
          <w:szCs w:val="22"/>
        </w:rPr>
        <w:t>AMTS rules to facilitate use of the spectrum for</w:t>
      </w:r>
      <w:r w:rsidRPr="008A25E7" w:rsidR="0043198A">
        <w:rPr>
          <w:szCs w:val="22"/>
        </w:rPr>
        <w:t xml:space="preserve"> implement</w:t>
      </w:r>
      <w:r w:rsidRPr="008A25E7" w:rsidR="00B071AF">
        <w:rPr>
          <w:szCs w:val="22"/>
        </w:rPr>
        <w:t>ation</w:t>
      </w:r>
      <w:r w:rsidRPr="008A25E7" w:rsidR="0043198A">
        <w:rPr>
          <w:szCs w:val="22"/>
        </w:rPr>
        <w:t xml:space="preserve"> of </w:t>
      </w:r>
      <w:r w:rsidRPr="008A25E7" w:rsidR="00FF4CEB">
        <w:rPr>
          <w:szCs w:val="22"/>
        </w:rPr>
        <w:t>Positive Train Control (PTC)</w:t>
      </w:r>
      <w:r w:rsidRPr="008A25E7" w:rsidR="0043198A">
        <w:rPr>
          <w:szCs w:val="22"/>
        </w:rPr>
        <w:t xml:space="preserve"> </w:t>
      </w:r>
      <w:r w:rsidRPr="008A25E7" w:rsidR="00CE0477">
        <w:rPr>
          <w:szCs w:val="22"/>
        </w:rPr>
        <w:t xml:space="preserve">and related </w:t>
      </w:r>
      <w:r w:rsidRPr="008A25E7" w:rsidR="0043198A">
        <w:rPr>
          <w:szCs w:val="22"/>
        </w:rPr>
        <w:t>rail safety systems</w:t>
      </w:r>
      <w:r w:rsidRPr="008A25E7" w:rsidR="00B071AF">
        <w:rPr>
          <w:szCs w:val="22"/>
        </w:rPr>
        <w:t xml:space="preserve"> by its members</w:t>
      </w:r>
      <w:r w:rsidRPr="008A25E7" w:rsidR="00FF4CEB">
        <w:rPr>
          <w:szCs w:val="22"/>
        </w:rPr>
        <w:t>.</w:t>
      </w:r>
      <w:r>
        <w:rPr>
          <w:rStyle w:val="FootnoteReference"/>
          <w:szCs w:val="22"/>
        </w:rPr>
        <w:footnoteReference w:id="4"/>
      </w:r>
      <w:r w:rsidRPr="008A25E7" w:rsidR="00FF4CEB">
        <w:rPr>
          <w:szCs w:val="22"/>
        </w:rPr>
        <w:t xml:space="preserve">  </w:t>
      </w:r>
      <w:r w:rsidRPr="008A25E7">
        <w:rPr>
          <w:szCs w:val="22"/>
        </w:rPr>
        <w:t>For the reasons s</w:t>
      </w:r>
      <w:r w:rsidRPr="008A25E7" w:rsidR="00EA640D">
        <w:rPr>
          <w:szCs w:val="22"/>
        </w:rPr>
        <w:t xml:space="preserve">tated </w:t>
      </w:r>
      <w:r w:rsidRPr="008A25E7">
        <w:rPr>
          <w:szCs w:val="22"/>
        </w:rPr>
        <w:t>below, we deny the</w:t>
      </w:r>
      <w:r w:rsidRPr="008A25E7" w:rsidR="00C701FE">
        <w:rPr>
          <w:szCs w:val="22"/>
        </w:rPr>
        <w:t xml:space="preserve"> </w:t>
      </w:r>
      <w:r w:rsidRPr="008A25E7" w:rsidR="00AF33B5">
        <w:rPr>
          <w:szCs w:val="22"/>
        </w:rPr>
        <w:t>p</w:t>
      </w:r>
      <w:r w:rsidRPr="008A25E7">
        <w:rPr>
          <w:szCs w:val="22"/>
        </w:rPr>
        <w:t>etition</w:t>
      </w:r>
      <w:r w:rsidRPr="008A25E7" w:rsidR="00EA640D">
        <w:rPr>
          <w:szCs w:val="22"/>
        </w:rPr>
        <w:t xml:space="preserve">, grant </w:t>
      </w:r>
      <w:r w:rsidRPr="008A25E7" w:rsidR="00B071AF">
        <w:rPr>
          <w:szCs w:val="22"/>
        </w:rPr>
        <w:t xml:space="preserve">PTC-220’s </w:t>
      </w:r>
      <w:r w:rsidRPr="008A25E7" w:rsidR="00566A36">
        <w:rPr>
          <w:szCs w:val="22"/>
        </w:rPr>
        <w:t>W</w:t>
      </w:r>
      <w:r w:rsidRPr="008A25E7" w:rsidR="00EA640D">
        <w:rPr>
          <w:szCs w:val="22"/>
        </w:rPr>
        <w:t xml:space="preserve">aiver </w:t>
      </w:r>
      <w:r w:rsidRPr="008A25E7" w:rsidR="00566A36">
        <w:rPr>
          <w:szCs w:val="22"/>
        </w:rPr>
        <w:t>R</w:t>
      </w:r>
      <w:r w:rsidRPr="008A25E7" w:rsidR="00EA640D">
        <w:rPr>
          <w:szCs w:val="22"/>
        </w:rPr>
        <w:t>equest,</w:t>
      </w:r>
      <w:r w:rsidRPr="008A25E7">
        <w:rPr>
          <w:szCs w:val="22"/>
        </w:rPr>
        <w:t xml:space="preserve"> and will process the </w:t>
      </w:r>
      <w:r w:rsidRPr="008A25E7" w:rsidR="00566A36">
        <w:rPr>
          <w:szCs w:val="22"/>
        </w:rPr>
        <w:t>A</w:t>
      </w:r>
      <w:r w:rsidRPr="008A25E7">
        <w:rPr>
          <w:szCs w:val="22"/>
        </w:rPr>
        <w:t>pplication.</w:t>
      </w:r>
    </w:p>
    <w:p w:rsidR="00AF2A61" w:rsidRPr="008A25E7" w:rsidP="00275021" w14:paraId="5EE6F429" w14:textId="5B5BCAA8">
      <w:pPr>
        <w:pStyle w:val="Heading1"/>
        <w:rPr>
          <w:szCs w:val="22"/>
        </w:rPr>
      </w:pPr>
      <w:r w:rsidRPr="008A25E7">
        <w:rPr>
          <w:szCs w:val="22"/>
        </w:rPr>
        <w:t>B</w:t>
      </w:r>
      <w:r w:rsidRPr="008A25E7" w:rsidR="00736280">
        <w:rPr>
          <w:szCs w:val="22"/>
        </w:rPr>
        <w:t>ACKGROUND</w:t>
      </w:r>
    </w:p>
    <w:p w:rsidR="004B1117" w:rsidRPr="008A25E7" w:rsidP="004B1117" w14:paraId="02F31799" w14:textId="67BBD698">
      <w:pPr>
        <w:pStyle w:val="ParaNum"/>
        <w:tabs>
          <w:tab w:val="clear" w:pos="1080"/>
        </w:tabs>
        <w:jc w:val="left"/>
        <w:rPr>
          <w:szCs w:val="22"/>
        </w:rPr>
      </w:pPr>
      <w:r w:rsidRPr="008A25E7">
        <w:rPr>
          <w:szCs w:val="22"/>
        </w:rPr>
        <w:t>T</w:t>
      </w:r>
      <w:r w:rsidRPr="008A25E7" w:rsidR="00EE78B4">
        <w:rPr>
          <w:szCs w:val="22"/>
        </w:rPr>
        <w:t xml:space="preserve">he </w:t>
      </w:r>
      <w:r w:rsidRPr="008A25E7" w:rsidR="00001282">
        <w:rPr>
          <w:szCs w:val="22"/>
        </w:rPr>
        <w:t xml:space="preserve">Commission </w:t>
      </w:r>
      <w:r w:rsidRPr="008A25E7" w:rsidR="00EE78B4">
        <w:rPr>
          <w:szCs w:val="22"/>
        </w:rPr>
        <w:t xml:space="preserve">originally intended </w:t>
      </w:r>
      <w:r w:rsidRPr="008A25E7" w:rsidR="0083589A">
        <w:rPr>
          <w:szCs w:val="22"/>
        </w:rPr>
        <w:t xml:space="preserve">that AMTS </w:t>
      </w:r>
      <w:r w:rsidRPr="008A25E7" w:rsidR="00903588">
        <w:rPr>
          <w:szCs w:val="22"/>
        </w:rPr>
        <w:t xml:space="preserve">stations </w:t>
      </w:r>
      <w:r w:rsidRPr="008A25E7" w:rsidR="0083589A">
        <w:rPr>
          <w:szCs w:val="22"/>
        </w:rPr>
        <w:t xml:space="preserve">would be used </w:t>
      </w:r>
      <w:r w:rsidRPr="008A25E7" w:rsidR="00EE78B4">
        <w:rPr>
          <w:szCs w:val="22"/>
        </w:rPr>
        <w:t xml:space="preserve">to provide service to tugs, barges, and other commercial </w:t>
      </w:r>
      <w:r w:rsidRPr="008A25E7" w:rsidR="0099405F">
        <w:rPr>
          <w:szCs w:val="22"/>
        </w:rPr>
        <w:t xml:space="preserve">maritime </w:t>
      </w:r>
      <w:r w:rsidRPr="008A25E7" w:rsidR="00EE78B4">
        <w:rPr>
          <w:szCs w:val="22"/>
        </w:rPr>
        <w:t>vessels.</w:t>
      </w:r>
      <w:r>
        <w:rPr>
          <w:rStyle w:val="FootnoteReference"/>
          <w:szCs w:val="22"/>
        </w:rPr>
        <w:footnoteReference w:id="5"/>
      </w:r>
      <w:r w:rsidRPr="008A25E7" w:rsidR="00EE78B4">
        <w:rPr>
          <w:szCs w:val="22"/>
        </w:rPr>
        <w:t xml:space="preserve">  </w:t>
      </w:r>
      <w:r w:rsidRPr="008A25E7" w:rsidR="00497BA3">
        <w:rPr>
          <w:szCs w:val="22"/>
        </w:rPr>
        <w:t>The Co</w:t>
      </w:r>
      <w:bookmarkStart w:id="1" w:name="_GoBack"/>
      <w:bookmarkEnd w:id="1"/>
      <w:r w:rsidRPr="008A25E7" w:rsidR="00497BA3">
        <w:rPr>
          <w:szCs w:val="22"/>
        </w:rPr>
        <w:t>mmission amended the AMTS rules in 1997 to permit AMTS stations to serve fixed, mobile, and handheld units on land</w:t>
      </w:r>
      <w:r w:rsidRPr="008A25E7" w:rsidR="00463ECF">
        <w:rPr>
          <w:szCs w:val="22"/>
        </w:rPr>
        <w:t>,</w:t>
      </w:r>
      <w:r>
        <w:rPr>
          <w:rStyle w:val="FootnoteReference"/>
          <w:szCs w:val="22"/>
        </w:rPr>
        <w:footnoteReference w:id="6"/>
      </w:r>
      <w:r w:rsidRPr="008A25E7" w:rsidR="00463ECF">
        <w:rPr>
          <w:szCs w:val="22"/>
        </w:rPr>
        <w:t xml:space="preserve"> and</w:t>
      </w:r>
      <w:r w:rsidRPr="008A25E7" w:rsidR="00EE36EA">
        <w:rPr>
          <w:szCs w:val="22"/>
        </w:rPr>
        <w:t xml:space="preserve"> now </w:t>
      </w:r>
      <w:r w:rsidRPr="008A25E7" w:rsidR="00EE78B4">
        <w:rPr>
          <w:szCs w:val="22"/>
        </w:rPr>
        <w:t>license</w:t>
      </w:r>
      <w:r w:rsidRPr="008A25E7" w:rsidR="00EE36EA">
        <w:rPr>
          <w:szCs w:val="22"/>
        </w:rPr>
        <w:t xml:space="preserve">s AMTS stations </w:t>
      </w:r>
      <w:r w:rsidRPr="008A25E7" w:rsidR="00463ECF">
        <w:rPr>
          <w:szCs w:val="22"/>
        </w:rPr>
        <w:t xml:space="preserve">by </w:t>
      </w:r>
      <w:r w:rsidRPr="008A25E7" w:rsidR="00EE78B4">
        <w:rPr>
          <w:szCs w:val="22"/>
        </w:rPr>
        <w:t xml:space="preserve">geographic </w:t>
      </w:r>
      <w:r w:rsidRPr="008A25E7" w:rsidR="00463ECF">
        <w:rPr>
          <w:szCs w:val="22"/>
        </w:rPr>
        <w:t>area</w:t>
      </w:r>
      <w:r w:rsidRPr="008A25E7" w:rsidR="00CE0477">
        <w:rPr>
          <w:szCs w:val="22"/>
        </w:rPr>
        <w:t>.</w:t>
      </w:r>
      <w:r>
        <w:rPr>
          <w:rStyle w:val="FootnoteReference"/>
          <w:szCs w:val="22"/>
        </w:rPr>
        <w:footnoteReference w:id="7"/>
      </w:r>
      <w:r w:rsidRPr="008A25E7" w:rsidR="002B15A0">
        <w:rPr>
          <w:szCs w:val="22"/>
        </w:rPr>
        <w:t xml:space="preserve">  The AMTS band includes two spectrum blocks in 10 geographic license areas: Block A (217.5-218/219.5-220 MHz) and Block B (217-217.5/219-219.5 </w:t>
      </w:r>
      <w:r w:rsidRPr="008A25E7" w:rsidR="002B15A0">
        <w:rPr>
          <w:szCs w:val="22"/>
        </w:rPr>
        <w:t>MHz).</w:t>
      </w:r>
      <w:r>
        <w:rPr>
          <w:rStyle w:val="FootnoteReference"/>
          <w:szCs w:val="22"/>
        </w:rPr>
        <w:footnoteReference w:id="8"/>
      </w:r>
      <w:r w:rsidRPr="008A25E7" w:rsidR="002E2AA3">
        <w:rPr>
          <w:szCs w:val="22"/>
        </w:rPr>
        <w:t xml:space="preserve"> </w:t>
      </w:r>
      <w:r w:rsidRPr="008A25E7" w:rsidR="002B15A0">
        <w:rPr>
          <w:szCs w:val="22"/>
        </w:rPr>
        <w:t xml:space="preserve"> Station WQCP809 is the Mountain </w:t>
      </w:r>
      <w:r w:rsidRPr="008A25E7" w:rsidR="002132BB">
        <w:rPr>
          <w:szCs w:val="22"/>
        </w:rPr>
        <w:t xml:space="preserve">Area </w:t>
      </w:r>
      <w:r w:rsidRPr="008A25E7" w:rsidR="002B15A0">
        <w:rPr>
          <w:szCs w:val="22"/>
        </w:rPr>
        <w:t>(AMT010) A Block license</w:t>
      </w:r>
      <w:r w:rsidRPr="008A25E7" w:rsidR="007042E8">
        <w:rPr>
          <w:szCs w:val="22"/>
        </w:rPr>
        <w:t>.</w:t>
      </w:r>
      <w:r w:rsidRPr="008A25E7" w:rsidR="00B071AF">
        <w:rPr>
          <w:szCs w:val="22"/>
        </w:rPr>
        <w:t xml:space="preserve"> </w:t>
      </w:r>
      <w:r w:rsidRPr="008A25E7">
        <w:rPr>
          <w:szCs w:val="22"/>
        </w:rPr>
        <w:t xml:space="preserve"> </w:t>
      </w:r>
    </w:p>
    <w:p w:rsidR="003067F4" w:rsidRPr="008A25E7" w:rsidP="00722CBD" w14:paraId="38B8A8AF" w14:textId="1BF5CC3D">
      <w:pPr>
        <w:pStyle w:val="ParaNum"/>
        <w:tabs>
          <w:tab w:val="clear" w:pos="1080"/>
        </w:tabs>
        <w:jc w:val="left"/>
        <w:rPr>
          <w:szCs w:val="22"/>
        </w:rPr>
      </w:pPr>
      <w:r w:rsidRPr="008A25E7">
        <w:rPr>
          <w:szCs w:val="22"/>
        </w:rPr>
        <w:t xml:space="preserve">On </w:t>
      </w:r>
      <w:r w:rsidRPr="008A25E7" w:rsidR="00BB588E">
        <w:rPr>
          <w:szCs w:val="22"/>
        </w:rPr>
        <w:t>J</w:t>
      </w:r>
      <w:r w:rsidRPr="008A25E7" w:rsidR="00405532">
        <w:rPr>
          <w:szCs w:val="22"/>
        </w:rPr>
        <w:t xml:space="preserve">uly </w:t>
      </w:r>
      <w:r w:rsidRPr="008A25E7" w:rsidR="00BB588E">
        <w:rPr>
          <w:szCs w:val="22"/>
        </w:rPr>
        <w:t>16</w:t>
      </w:r>
      <w:r w:rsidRPr="008A25E7">
        <w:rPr>
          <w:szCs w:val="22"/>
        </w:rPr>
        <w:t>, 201</w:t>
      </w:r>
      <w:r w:rsidRPr="008A25E7" w:rsidR="00405532">
        <w:rPr>
          <w:szCs w:val="22"/>
        </w:rPr>
        <w:t>9</w:t>
      </w:r>
      <w:r w:rsidRPr="008A25E7">
        <w:rPr>
          <w:szCs w:val="22"/>
        </w:rPr>
        <w:t xml:space="preserve">, Kurian filed an application to </w:t>
      </w:r>
      <w:r w:rsidRPr="008A25E7" w:rsidR="008D5404">
        <w:rPr>
          <w:szCs w:val="22"/>
        </w:rPr>
        <w:t xml:space="preserve">partition and </w:t>
      </w:r>
      <w:r w:rsidRPr="008A25E7" w:rsidR="0099405F">
        <w:rPr>
          <w:szCs w:val="22"/>
        </w:rPr>
        <w:t xml:space="preserve">disaggregate </w:t>
      </w:r>
      <w:r w:rsidRPr="008A25E7" w:rsidR="0036042F">
        <w:rPr>
          <w:szCs w:val="22"/>
        </w:rPr>
        <w:t xml:space="preserve">219.5-220.0 MHz spectrum </w:t>
      </w:r>
      <w:r w:rsidRPr="008A25E7" w:rsidR="00C30CAC">
        <w:rPr>
          <w:szCs w:val="22"/>
        </w:rPr>
        <w:t>from Kurian’s</w:t>
      </w:r>
      <w:r w:rsidRPr="008A25E7" w:rsidR="0036042F">
        <w:rPr>
          <w:szCs w:val="22"/>
        </w:rPr>
        <w:t xml:space="preserve"> </w:t>
      </w:r>
      <w:r w:rsidRPr="008A25E7">
        <w:rPr>
          <w:szCs w:val="22"/>
        </w:rPr>
        <w:t xml:space="preserve">Station WQCP809 to </w:t>
      </w:r>
      <w:r w:rsidRPr="008A25E7" w:rsidR="00405532">
        <w:rPr>
          <w:szCs w:val="22"/>
        </w:rPr>
        <w:t>PTC-220</w:t>
      </w:r>
      <w:r w:rsidRPr="008A25E7" w:rsidR="00103609">
        <w:rPr>
          <w:szCs w:val="22"/>
        </w:rPr>
        <w:t xml:space="preserve">, </w:t>
      </w:r>
      <w:r w:rsidRPr="008A25E7" w:rsidR="00464792">
        <w:rPr>
          <w:szCs w:val="22"/>
        </w:rPr>
        <w:t>except for</w:t>
      </w:r>
      <w:r w:rsidRPr="008A25E7" w:rsidR="00103609">
        <w:rPr>
          <w:szCs w:val="22"/>
        </w:rPr>
        <w:t xml:space="preserve"> sever</w:t>
      </w:r>
      <w:r w:rsidRPr="008A25E7" w:rsidR="00F269EF">
        <w:rPr>
          <w:szCs w:val="22"/>
        </w:rPr>
        <w:t>a</w:t>
      </w:r>
      <w:r w:rsidRPr="008A25E7" w:rsidR="00103609">
        <w:rPr>
          <w:szCs w:val="22"/>
        </w:rPr>
        <w:t>l</w:t>
      </w:r>
      <w:r w:rsidRPr="008A25E7" w:rsidR="00F269EF">
        <w:rPr>
          <w:szCs w:val="22"/>
        </w:rPr>
        <w:t xml:space="preserve"> count</w:t>
      </w:r>
      <w:r w:rsidRPr="008A25E7" w:rsidR="00464792">
        <w:rPr>
          <w:szCs w:val="22"/>
        </w:rPr>
        <w:t>i</w:t>
      </w:r>
      <w:r w:rsidRPr="008A25E7" w:rsidR="00F269EF">
        <w:rPr>
          <w:szCs w:val="22"/>
        </w:rPr>
        <w:t>es in Mon</w:t>
      </w:r>
      <w:r w:rsidRPr="008A25E7" w:rsidR="00464792">
        <w:rPr>
          <w:szCs w:val="22"/>
        </w:rPr>
        <w:t xml:space="preserve">tana </w:t>
      </w:r>
      <w:r w:rsidRPr="008A25E7" w:rsidR="00F269EF">
        <w:rPr>
          <w:szCs w:val="22"/>
        </w:rPr>
        <w:t>and Wyoming</w:t>
      </w:r>
      <w:r w:rsidRPr="008A25E7">
        <w:rPr>
          <w:szCs w:val="22"/>
        </w:rPr>
        <w:t>.</w:t>
      </w:r>
      <w:r>
        <w:rPr>
          <w:rStyle w:val="FootnoteReference"/>
          <w:szCs w:val="22"/>
        </w:rPr>
        <w:footnoteReference w:id="9"/>
      </w:r>
      <w:r w:rsidRPr="008A25E7">
        <w:rPr>
          <w:szCs w:val="22"/>
        </w:rPr>
        <w:t xml:space="preserve"> </w:t>
      </w:r>
      <w:r w:rsidRPr="008A25E7" w:rsidR="00464792">
        <w:rPr>
          <w:szCs w:val="22"/>
        </w:rPr>
        <w:t xml:space="preserve"> </w:t>
      </w:r>
      <w:r w:rsidRPr="008A25E7">
        <w:rPr>
          <w:szCs w:val="22"/>
        </w:rPr>
        <w:t>On July 24, 2019, t</w:t>
      </w:r>
      <w:r w:rsidRPr="008A25E7" w:rsidR="00464792">
        <w:rPr>
          <w:szCs w:val="22"/>
        </w:rPr>
        <w:t xml:space="preserve">he </w:t>
      </w:r>
      <w:r w:rsidRPr="008A25E7" w:rsidR="006561D6">
        <w:rPr>
          <w:szCs w:val="22"/>
        </w:rPr>
        <w:t xml:space="preserve">Wireless Telecommunications Bureau </w:t>
      </w:r>
      <w:r w:rsidRPr="008A25E7" w:rsidR="00CA4A96">
        <w:rPr>
          <w:szCs w:val="22"/>
        </w:rPr>
        <w:t xml:space="preserve">(Bureau) </w:t>
      </w:r>
      <w:r w:rsidRPr="008A25E7" w:rsidR="006561D6">
        <w:rPr>
          <w:szCs w:val="22"/>
        </w:rPr>
        <w:t xml:space="preserve">placed the </w:t>
      </w:r>
      <w:r w:rsidRPr="008A25E7" w:rsidR="00694E3C">
        <w:rPr>
          <w:szCs w:val="22"/>
        </w:rPr>
        <w:t>A</w:t>
      </w:r>
      <w:r w:rsidRPr="008A25E7" w:rsidR="00464792">
        <w:rPr>
          <w:szCs w:val="22"/>
        </w:rPr>
        <w:t xml:space="preserve">pplication </w:t>
      </w:r>
      <w:r w:rsidRPr="008A25E7">
        <w:rPr>
          <w:szCs w:val="22"/>
        </w:rPr>
        <w:t>on public notice.</w:t>
      </w:r>
      <w:r>
        <w:rPr>
          <w:rStyle w:val="FootnoteReference"/>
          <w:szCs w:val="22"/>
        </w:rPr>
        <w:footnoteReference w:id="10"/>
      </w:r>
      <w:r w:rsidRPr="008A25E7" w:rsidR="00AA6E46">
        <w:rPr>
          <w:szCs w:val="22"/>
        </w:rPr>
        <w:t xml:space="preserve"> </w:t>
      </w:r>
      <w:r w:rsidRPr="008A25E7" w:rsidR="00204A53">
        <w:rPr>
          <w:szCs w:val="22"/>
        </w:rPr>
        <w:t xml:space="preserve"> </w:t>
      </w:r>
    </w:p>
    <w:p w:rsidR="0043198A" w:rsidRPr="008A25E7" w:rsidP="00AA6E46" w14:paraId="3C60670A" w14:textId="58E6A720">
      <w:pPr>
        <w:pStyle w:val="ParaNum"/>
        <w:tabs>
          <w:tab w:val="clear" w:pos="1080"/>
        </w:tabs>
        <w:jc w:val="left"/>
        <w:rPr>
          <w:szCs w:val="22"/>
        </w:rPr>
      </w:pPr>
      <w:r w:rsidRPr="008A25E7">
        <w:rPr>
          <w:szCs w:val="22"/>
        </w:rPr>
        <w:t xml:space="preserve">On August </w:t>
      </w:r>
      <w:r w:rsidRPr="008A25E7" w:rsidR="002B1F8B">
        <w:rPr>
          <w:szCs w:val="22"/>
        </w:rPr>
        <w:t>7</w:t>
      </w:r>
      <w:r w:rsidRPr="008A25E7">
        <w:rPr>
          <w:szCs w:val="22"/>
        </w:rPr>
        <w:t xml:space="preserve">, 2019, </w:t>
      </w:r>
      <w:r w:rsidRPr="008A25E7" w:rsidR="005A76CD">
        <w:rPr>
          <w:szCs w:val="22"/>
        </w:rPr>
        <w:t>Petitioners filed</w:t>
      </w:r>
      <w:r w:rsidRPr="008A25E7" w:rsidR="009A14B9">
        <w:rPr>
          <w:szCs w:val="22"/>
        </w:rPr>
        <w:t xml:space="preserve"> the Petition to Deny</w:t>
      </w:r>
      <w:r w:rsidRPr="008A25E7" w:rsidR="003540B3">
        <w:rPr>
          <w:szCs w:val="22"/>
        </w:rPr>
        <w:t xml:space="preserve"> in which they argue that</w:t>
      </w:r>
      <w:r w:rsidRPr="008A25E7" w:rsidR="00F94B9E">
        <w:rPr>
          <w:szCs w:val="22"/>
        </w:rPr>
        <w:t xml:space="preserve">: </w:t>
      </w:r>
      <w:r w:rsidRPr="008A25E7" w:rsidR="00617862">
        <w:rPr>
          <w:szCs w:val="22"/>
        </w:rPr>
        <w:t xml:space="preserve"> </w:t>
      </w:r>
      <w:r w:rsidRPr="008A25E7" w:rsidR="00F94B9E">
        <w:rPr>
          <w:szCs w:val="22"/>
        </w:rPr>
        <w:t xml:space="preserve">(1) granting the Application would interfere with </w:t>
      </w:r>
      <w:r w:rsidRPr="008A25E7" w:rsidR="000A07A7">
        <w:rPr>
          <w:szCs w:val="22"/>
        </w:rPr>
        <w:t xml:space="preserve">the </w:t>
      </w:r>
      <w:r w:rsidRPr="008A25E7" w:rsidR="00F94B9E">
        <w:rPr>
          <w:szCs w:val="22"/>
        </w:rPr>
        <w:t xml:space="preserve">jurisdiction of the Nevada </w:t>
      </w:r>
      <w:r w:rsidRPr="008A25E7" w:rsidR="002B1F8B">
        <w:rPr>
          <w:szCs w:val="22"/>
        </w:rPr>
        <w:t xml:space="preserve">state </w:t>
      </w:r>
      <w:r w:rsidRPr="008A25E7" w:rsidR="00F94B9E">
        <w:rPr>
          <w:szCs w:val="22"/>
        </w:rPr>
        <w:t>courts</w:t>
      </w:r>
      <w:r w:rsidRPr="008A25E7" w:rsidR="001E2289">
        <w:rPr>
          <w:szCs w:val="22"/>
        </w:rPr>
        <w:t>, inc</w:t>
      </w:r>
      <w:r w:rsidRPr="008A25E7" w:rsidR="007672B7">
        <w:rPr>
          <w:szCs w:val="22"/>
        </w:rPr>
        <w:t>luding the Nevada Supreme Court</w:t>
      </w:r>
      <w:r w:rsidRPr="008A25E7" w:rsidR="000A07A7">
        <w:rPr>
          <w:szCs w:val="22"/>
        </w:rPr>
        <w:t>,</w:t>
      </w:r>
      <w:r w:rsidRPr="008A25E7" w:rsidR="00FB0178">
        <w:rPr>
          <w:szCs w:val="22"/>
        </w:rPr>
        <w:t xml:space="preserve"> regarding a contractual dispute</w:t>
      </w:r>
      <w:r w:rsidRPr="008A25E7" w:rsidR="00F30345">
        <w:rPr>
          <w:szCs w:val="22"/>
        </w:rPr>
        <w:t xml:space="preserve"> in which Havens claims </w:t>
      </w:r>
      <w:r w:rsidRPr="008A25E7" w:rsidR="00C4690B">
        <w:rPr>
          <w:szCs w:val="22"/>
        </w:rPr>
        <w:t xml:space="preserve">he is entitled to an assignment of </w:t>
      </w:r>
      <w:r w:rsidRPr="008A25E7" w:rsidR="00F30345">
        <w:rPr>
          <w:szCs w:val="22"/>
        </w:rPr>
        <w:t xml:space="preserve">spectrum </w:t>
      </w:r>
      <w:r w:rsidRPr="008A25E7" w:rsidR="007E156F">
        <w:rPr>
          <w:szCs w:val="22"/>
        </w:rPr>
        <w:t xml:space="preserve">licensed under </w:t>
      </w:r>
      <w:r w:rsidRPr="008A25E7" w:rsidR="00FB0178">
        <w:rPr>
          <w:szCs w:val="22"/>
        </w:rPr>
        <w:t>Station WQCP809</w:t>
      </w:r>
      <w:r w:rsidRPr="008A25E7" w:rsidR="00C4690B">
        <w:rPr>
          <w:szCs w:val="22"/>
        </w:rPr>
        <w:t xml:space="preserve"> (the </w:t>
      </w:r>
      <w:r w:rsidRPr="008A25E7" w:rsidR="009F257D">
        <w:rPr>
          <w:szCs w:val="22"/>
        </w:rPr>
        <w:t>“</w:t>
      </w:r>
      <w:r w:rsidRPr="008A25E7" w:rsidR="00C4690B">
        <w:rPr>
          <w:szCs w:val="22"/>
        </w:rPr>
        <w:t>Nevada litigation</w:t>
      </w:r>
      <w:r w:rsidRPr="008A25E7" w:rsidR="009F257D">
        <w:rPr>
          <w:szCs w:val="22"/>
        </w:rPr>
        <w:t>”</w:t>
      </w:r>
      <w:r w:rsidRPr="008A25E7" w:rsidR="00C4690B">
        <w:rPr>
          <w:szCs w:val="22"/>
        </w:rPr>
        <w:t>)</w:t>
      </w:r>
      <w:r w:rsidRPr="008A25E7" w:rsidR="00F06379">
        <w:rPr>
          <w:szCs w:val="22"/>
        </w:rPr>
        <w:t xml:space="preserve">; </w:t>
      </w:r>
      <w:r w:rsidRPr="008A25E7" w:rsidR="00F94B9E">
        <w:rPr>
          <w:szCs w:val="22"/>
        </w:rPr>
        <w:t xml:space="preserve">(2) Kurian </w:t>
      </w:r>
      <w:r w:rsidRPr="008A25E7" w:rsidR="00C72B17">
        <w:rPr>
          <w:szCs w:val="22"/>
        </w:rPr>
        <w:t xml:space="preserve">and PTC </w:t>
      </w:r>
      <w:r w:rsidRPr="008A25E7" w:rsidR="00F94B9E">
        <w:rPr>
          <w:szCs w:val="22"/>
        </w:rPr>
        <w:t>breached duties to the FCC and lacked candor</w:t>
      </w:r>
      <w:r w:rsidRPr="008A25E7" w:rsidR="003D7544">
        <w:rPr>
          <w:szCs w:val="22"/>
        </w:rPr>
        <w:t xml:space="preserve"> by not disclosing </w:t>
      </w:r>
      <w:r w:rsidRPr="008A25E7" w:rsidR="00D33E9F">
        <w:rPr>
          <w:szCs w:val="22"/>
        </w:rPr>
        <w:t xml:space="preserve">the Nevada litigation </w:t>
      </w:r>
      <w:r w:rsidRPr="008A25E7" w:rsidR="00F94B9E">
        <w:rPr>
          <w:szCs w:val="22"/>
        </w:rPr>
        <w:t xml:space="preserve">in the </w:t>
      </w:r>
      <w:r w:rsidRPr="008A25E7" w:rsidR="007E156F">
        <w:rPr>
          <w:szCs w:val="22"/>
        </w:rPr>
        <w:t>A</w:t>
      </w:r>
      <w:r w:rsidRPr="008A25E7" w:rsidR="00F94B9E">
        <w:rPr>
          <w:szCs w:val="22"/>
        </w:rPr>
        <w:t xml:space="preserve">pplication; </w:t>
      </w:r>
      <w:r w:rsidRPr="008A25E7" w:rsidR="00C72B17">
        <w:rPr>
          <w:szCs w:val="22"/>
        </w:rPr>
        <w:t xml:space="preserve">and </w:t>
      </w:r>
      <w:r w:rsidRPr="008A25E7" w:rsidR="00A04F8A">
        <w:rPr>
          <w:szCs w:val="22"/>
        </w:rPr>
        <w:t>(</w:t>
      </w:r>
      <w:r w:rsidRPr="008A25E7" w:rsidR="00C72B17">
        <w:rPr>
          <w:szCs w:val="22"/>
        </w:rPr>
        <w:t>3</w:t>
      </w:r>
      <w:r w:rsidRPr="008A25E7" w:rsidR="00A04F8A">
        <w:rPr>
          <w:szCs w:val="22"/>
        </w:rPr>
        <w:t xml:space="preserve">) </w:t>
      </w:r>
      <w:r w:rsidRPr="008A25E7" w:rsidR="00F94B9E">
        <w:rPr>
          <w:szCs w:val="22"/>
        </w:rPr>
        <w:t xml:space="preserve">the </w:t>
      </w:r>
      <w:r w:rsidRPr="008A25E7" w:rsidR="008A65AF">
        <w:rPr>
          <w:szCs w:val="22"/>
        </w:rPr>
        <w:t xml:space="preserve">Public </w:t>
      </w:r>
      <w:r w:rsidRPr="008A25E7" w:rsidR="00A04F8A">
        <w:rPr>
          <w:szCs w:val="22"/>
        </w:rPr>
        <w:t xml:space="preserve">Interest </w:t>
      </w:r>
      <w:r w:rsidRPr="008A25E7">
        <w:rPr>
          <w:szCs w:val="22"/>
        </w:rPr>
        <w:t xml:space="preserve">Showing </w:t>
      </w:r>
      <w:r w:rsidRPr="008A25E7" w:rsidR="00A04F8A">
        <w:rPr>
          <w:szCs w:val="22"/>
        </w:rPr>
        <w:t>and W</w:t>
      </w:r>
      <w:r w:rsidRPr="008A25E7" w:rsidR="00986375">
        <w:rPr>
          <w:szCs w:val="22"/>
        </w:rPr>
        <w:t>a</w:t>
      </w:r>
      <w:r w:rsidRPr="008A25E7" w:rsidR="00A04F8A">
        <w:rPr>
          <w:szCs w:val="22"/>
        </w:rPr>
        <w:t xml:space="preserve">iver Request </w:t>
      </w:r>
      <w:r w:rsidRPr="008A25E7" w:rsidR="007F5146">
        <w:rPr>
          <w:szCs w:val="22"/>
        </w:rPr>
        <w:t>are deficient</w:t>
      </w:r>
      <w:r w:rsidRPr="008A25E7" w:rsidR="00F94B9E">
        <w:rPr>
          <w:szCs w:val="22"/>
        </w:rPr>
        <w:t>.</w:t>
      </w:r>
      <w:r>
        <w:rPr>
          <w:rStyle w:val="FootnoteReference"/>
          <w:szCs w:val="22"/>
        </w:rPr>
        <w:footnoteReference w:id="11"/>
      </w:r>
    </w:p>
    <w:p w:rsidR="00444C39" w:rsidRPr="008A25E7" w:rsidP="00C30CAC" w14:paraId="43EA1EB9" w14:textId="2C246461">
      <w:pPr>
        <w:pStyle w:val="ParaNum"/>
        <w:tabs>
          <w:tab w:val="clear" w:pos="1080"/>
        </w:tabs>
        <w:jc w:val="left"/>
        <w:rPr>
          <w:szCs w:val="22"/>
        </w:rPr>
      </w:pPr>
      <w:r w:rsidRPr="008A25E7">
        <w:rPr>
          <w:szCs w:val="22"/>
        </w:rPr>
        <w:t xml:space="preserve">On August 19, 2019, </w:t>
      </w:r>
      <w:r w:rsidRPr="008A25E7" w:rsidR="00B0357C">
        <w:rPr>
          <w:szCs w:val="22"/>
        </w:rPr>
        <w:t xml:space="preserve">PTC-220 filed an </w:t>
      </w:r>
      <w:r w:rsidRPr="008A25E7" w:rsidR="002B1F8B">
        <w:rPr>
          <w:szCs w:val="22"/>
        </w:rPr>
        <w:t>O</w:t>
      </w:r>
      <w:r w:rsidRPr="008A25E7" w:rsidR="00E277F4">
        <w:rPr>
          <w:szCs w:val="22"/>
        </w:rPr>
        <w:t>p</w:t>
      </w:r>
      <w:r w:rsidRPr="008A25E7" w:rsidR="00C62E78">
        <w:rPr>
          <w:szCs w:val="22"/>
        </w:rPr>
        <w:t>posi</w:t>
      </w:r>
      <w:r w:rsidRPr="008A25E7" w:rsidR="00E277F4">
        <w:rPr>
          <w:szCs w:val="22"/>
        </w:rPr>
        <w:t xml:space="preserve">tion to the </w:t>
      </w:r>
      <w:r w:rsidRPr="008A25E7" w:rsidR="002B1F8B">
        <w:rPr>
          <w:szCs w:val="22"/>
        </w:rPr>
        <w:t>P</w:t>
      </w:r>
      <w:r w:rsidRPr="008A25E7" w:rsidR="00E277F4">
        <w:rPr>
          <w:szCs w:val="22"/>
        </w:rPr>
        <w:t xml:space="preserve">etition </w:t>
      </w:r>
      <w:r w:rsidRPr="008A25E7" w:rsidR="002B1F8B">
        <w:rPr>
          <w:szCs w:val="22"/>
        </w:rPr>
        <w:t>to Deny</w:t>
      </w:r>
      <w:r w:rsidRPr="008A25E7" w:rsidR="00C62E78">
        <w:rPr>
          <w:szCs w:val="22"/>
        </w:rPr>
        <w:t>.</w:t>
      </w:r>
      <w:r>
        <w:rPr>
          <w:rStyle w:val="FootnoteReference"/>
          <w:szCs w:val="22"/>
        </w:rPr>
        <w:footnoteReference w:id="12"/>
      </w:r>
      <w:r w:rsidRPr="008A25E7" w:rsidR="0043198A">
        <w:rPr>
          <w:szCs w:val="22"/>
        </w:rPr>
        <w:t xml:space="preserve">  </w:t>
      </w:r>
      <w:r w:rsidRPr="008A25E7">
        <w:rPr>
          <w:szCs w:val="22"/>
        </w:rPr>
        <w:t xml:space="preserve">On September 14, 2019, </w:t>
      </w:r>
      <w:r w:rsidRPr="008A25E7" w:rsidR="005A76CD">
        <w:rPr>
          <w:szCs w:val="22"/>
        </w:rPr>
        <w:t xml:space="preserve">Petitioners </w:t>
      </w:r>
      <w:r w:rsidRPr="008A25E7" w:rsidR="00C74CA9">
        <w:rPr>
          <w:szCs w:val="22"/>
        </w:rPr>
        <w:t xml:space="preserve">filed a </w:t>
      </w:r>
      <w:r w:rsidRPr="008A25E7" w:rsidR="002B1F8B">
        <w:rPr>
          <w:szCs w:val="22"/>
        </w:rPr>
        <w:t>R</w:t>
      </w:r>
      <w:r w:rsidRPr="008A25E7" w:rsidR="00C74CA9">
        <w:rPr>
          <w:szCs w:val="22"/>
        </w:rPr>
        <w:t>eply</w:t>
      </w:r>
      <w:r w:rsidRPr="008A25E7" w:rsidR="00220A92">
        <w:rPr>
          <w:szCs w:val="22"/>
        </w:rPr>
        <w:t xml:space="preserve">, </w:t>
      </w:r>
      <w:r w:rsidRPr="008A25E7" w:rsidR="00DA7E6E">
        <w:rPr>
          <w:szCs w:val="22"/>
        </w:rPr>
        <w:t>argu</w:t>
      </w:r>
      <w:r w:rsidRPr="008A25E7" w:rsidR="00220A92">
        <w:rPr>
          <w:szCs w:val="22"/>
        </w:rPr>
        <w:t xml:space="preserve">ing </w:t>
      </w:r>
      <w:r w:rsidRPr="008A25E7" w:rsidR="00DA7E6E">
        <w:rPr>
          <w:szCs w:val="22"/>
        </w:rPr>
        <w:t xml:space="preserve">that because Kurian did not file an opposition to </w:t>
      </w:r>
      <w:r w:rsidRPr="008A25E7" w:rsidR="00D54905">
        <w:rPr>
          <w:szCs w:val="22"/>
        </w:rPr>
        <w:t xml:space="preserve">the </w:t>
      </w:r>
      <w:r w:rsidRPr="008A25E7" w:rsidR="00DA7E6E">
        <w:rPr>
          <w:szCs w:val="22"/>
        </w:rPr>
        <w:t xml:space="preserve">petition, </w:t>
      </w:r>
      <w:r w:rsidRPr="008A25E7" w:rsidR="00170923">
        <w:rPr>
          <w:szCs w:val="22"/>
        </w:rPr>
        <w:t>the pet</w:t>
      </w:r>
      <w:r w:rsidRPr="008A25E7" w:rsidR="00D54905">
        <w:rPr>
          <w:szCs w:val="22"/>
        </w:rPr>
        <w:t xml:space="preserve">ition </w:t>
      </w:r>
      <w:r w:rsidRPr="008A25E7" w:rsidR="00170923">
        <w:rPr>
          <w:szCs w:val="22"/>
        </w:rPr>
        <w:t>is effectively unopposed.</w:t>
      </w:r>
      <w:r>
        <w:rPr>
          <w:rStyle w:val="FootnoteReference"/>
          <w:szCs w:val="22"/>
        </w:rPr>
        <w:footnoteReference w:id="13"/>
      </w:r>
      <w:r w:rsidRPr="008A25E7" w:rsidR="00C97D59">
        <w:rPr>
          <w:szCs w:val="22"/>
        </w:rPr>
        <w:t xml:space="preserve"> </w:t>
      </w:r>
      <w:r w:rsidRPr="008A25E7" w:rsidR="006A51E4">
        <w:rPr>
          <w:szCs w:val="22"/>
        </w:rPr>
        <w:t xml:space="preserve"> </w:t>
      </w:r>
      <w:r w:rsidRPr="008A25E7" w:rsidR="005A76CD">
        <w:rPr>
          <w:szCs w:val="22"/>
        </w:rPr>
        <w:t xml:space="preserve">They </w:t>
      </w:r>
      <w:r w:rsidRPr="008A25E7" w:rsidR="00571A5C">
        <w:rPr>
          <w:szCs w:val="22"/>
        </w:rPr>
        <w:t xml:space="preserve">also </w:t>
      </w:r>
      <w:r w:rsidRPr="008A25E7" w:rsidR="00867747">
        <w:rPr>
          <w:szCs w:val="22"/>
        </w:rPr>
        <w:t xml:space="preserve">argue that </w:t>
      </w:r>
      <w:r w:rsidRPr="008A25E7" w:rsidR="00B277C4">
        <w:rPr>
          <w:szCs w:val="22"/>
        </w:rPr>
        <w:t>counsel for PTC-220, the law</w:t>
      </w:r>
      <w:r w:rsidRPr="008A25E7" w:rsidR="00C905E7">
        <w:rPr>
          <w:szCs w:val="22"/>
        </w:rPr>
        <w:t xml:space="preserve"> </w:t>
      </w:r>
      <w:r w:rsidRPr="008A25E7" w:rsidR="00B277C4">
        <w:rPr>
          <w:szCs w:val="22"/>
        </w:rPr>
        <w:t xml:space="preserve">firm of </w:t>
      </w:r>
      <w:r w:rsidRPr="008A25E7" w:rsidR="00C905E7">
        <w:rPr>
          <w:szCs w:val="22"/>
        </w:rPr>
        <w:t xml:space="preserve">Hogan &amp; Lovells, </w:t>
      </w:r>
      <w:r w:rsidRPr="008A25E7" w:rsidR="00DA7E6E">
        <w:rPr>
          <w:szCs w:val="22"/>
        </w:rPr>
        <w:t>should be</w:t>
      </w:r>
      <w:r w:rsidRPr="008A25E7" w:rsidR="00C905E7">
        <w:rPr>
          <w:szCs w:val="22"/>
        </w:rPr>
        <w:t xml:space="preserve"> disqualified.</w:t>
      </w:r>
      <w:r>
        <w:rPr>
          <w:rStyle w:val="FootnoteReference"/>
          <w:szCs w:val="22"/>
        </w:rPr>
        <w:footnoteReference w:id="14"/>
      </w:r>
      <w:r w:rsidRPr="008A25E7" w:rsidR="002B1F8B">
        <w:rPr>
          <w:szCs w:val="22"/>
        </w:rPr>
        <w:t xml:space="preserve"> </w:t>
      </w:r>
      <w:r w:rsidRPr="008A25E7" w:rsidR="007E3B25">
        <w:rPr>
          <w:szCs w:val="22"/>
        </w:rPr>
        <w:t xml:space="preserve"> </w:t>
      </w:r>
      <w:r w:rsidRPr="008A25E7" w:rsidR="005A76CD">
        <w:rPr>
          <w:szCs w:val="22"/>
        </w:rPr>
        <w:t xml:space="preserve">Petitioners </w:t>
      </w:r>
      <w:r w:rsidRPr="008A25E7" w:rsidR="00BF3582">
        <w:rPr>
          <w:szCs w:val="22"/>
        </w:rPr>
        <w:t>filed</w:t>
      </w:r>
      <w:r w:rsidRPr="008A25E7" w:rsidR="00013069">
        <w:rPr>
          <w:szCs w:val="22"/>
        </w:rPr>
        <w:t xml:space="preserve"> supplements to the</w:t>
      </w:r>
      <w:r w:rsidRPr="008A25E7" w:rsidR="000217E8">
        <w:rPr>
          <w:szCs w:val="22"/>
        </w:rPr>
        <w:t>ir</w:t>
      </w:r>
      <w:r w:rsidRPr="008A25E7" w:rsidR="00013069">
        <w:rPr>
          <w:szCs w:val="22"/>
        </w:rPr>
        <w:t xml:space="preserve"> </w:t>
      </w:r>
      <w:r w:rsidRPr="008A25E7" w:rsidR="00D3166B">
        <w:rPr>
          <w:szCs w:val="22"/>
        </w:rPr>
        <w:t>Petition to Deny on Aug</w:t>
      </w:r>
      <w:r w:rsidRPr="008A25E7" w:rsidR="00C06B73">
        <w:rPr>
          <w:szCs w:val="22"/>
        </w:rPr>
        <w:t>u</w:t>
      </w:r>
      <w:r w:rsidRPr="008A25E7" w:rsidR="00D3166B">
        <w:rPr>
          <w:szCs w:val="22"/>
        </w:rPr>
        <w:t>st 14</w:t>
      </w:r>
      <w:r w:rsidRPr="008A25E7" w:rsidR="005418A5">
        <w:rPr>
          <w:szCs w:val="22"/>
        </w:rPr>
        <w:t xml:space="preserve">, 2019 </w:t>
      </w:r>
      <w:r w:rsidRPr="008A25E7" w:rsidR="005A76CD">
        <w:rPr>
          <w:szCs w:val="22"/>
        </w:rPr>
        <w:t>(regarding a judgment lien filed in the Nevada litigation)</w:t>
      </w:r>
      <w:r>
        <w:rPr>
          <w:rStyle w:val="FootnoteReference"/>
          <w:szCs w:val="22"/>
        </w:rPr>
        <w:footnoteReference w:id="15"/>
      </w:r>
      <w:r w:rsidRPr="008A25E7" w:rsidR="005A76CD">
        <w:rPr>
          <w:szCs w:val="22"/>
        </w:rPr>
        <w:t xml:space="preserve"> </w:t>
      </w:r>
      <w:r w:rsidRPr="008A25E7" w:rsidR="00D3166B">
        <w:rPr>
          <w:szCs w:val="22"/>
        </w:rPr>
        <w:t xml:space="preserve">and </w:t>
      </w:r>
      <w:r w:rsidRPr="008A25E7" w:rsidR="00C06B73">
        <w:rPr>
          <w:szCs w:val="22"/>
        </w:rPr>
        <w:t>August 21, 2019</w:t>
      </w:r>
      <w:r w:rsidRPr="008A25E7">
        <w:rPr>
          <w:szCs w:val="22"/>
        </w:rPr>
        <w:t xml:space="preserve"> (</w:t>
      </w:r>
      <w:r w:rsidRPr="008A25E7" w:rsidR="006823FD">
        <w:rPr>
          <w:szCs w:val="22"/>
        </w:rPr>
        <w:t>transmitting</w:t>
      </w:r>
      <w:r w:rsidRPr="008A25E7" w:rsidR="000217E8">
        <w:rPr>
          <w:szCs w:val="22"/>
        </w:rPr>
        <w:t xml:space="preserve"> a</w:t>
      </w:r>
      <w:r w:rsidRPr="008A25E7" w:rsidR="00374106">
        <w:rPr>
          <w:szCs w:val="22"/>
        </w:rPr>
        <w:t xml:space="preserve"> </w:t>
      </w:r>
      <w:r w:rsidRPr="008A25E7">
        <w:rPr>
          <w:szCs w:val="22"/>
        </w:rPr>
        <w:t xml:space="preserve">motion for stay and </w:t>
      </w:r>
      <w:r w:rsidRPr="008A25E7" w:rsidR="00374106">
        <w:rPr>
          <w:szCs w:val="22"/>
        </w:rPr>
        <w:t xml:space="preserve">an </w:t>
      </w:r>
      <w:r w:rsidRPr="008A25E7">
        <w:rPr>
          <w:szCs w:val="22"/>
        </w:rPr>
        <w:t xml:space="preserve">injunction </w:t>
      </w:r>
      <w:r w:rsidRPr="008A25E7" w:rsidR="00323E4B">
        <w:rPr>
          <w:szCs w:val="22"/>
        </w:rPr>
        <w:t xml:space="preserve">to prohibit the sale of spectrum under Station </w:t>
      </w:r>
      <w:r w:rsidRPr="008A25E7" w:rsidR="006861FF">
        <w:rPr>
          <w:szCs w:val="22"/>
        </w:rPr>
        <w:t>WQCP809</w:t>
      </w:r>
      <w:r w:rsidRPr="008A25E7" w:rsidR="00BA67A1">
        <w:rPr>
          <w:szCs w:val="22"/>
        </w:rPr>
        <w:t xml:space="preserve"> by</w:t>
      </w:r>
      <w:r w:rsidRPr="008A25E7" w:rsidR="006861FF">
        <w:rPr>
          <w:szCs w:val="22"/>
        </w:rPr>
        <w:t xml:space="preserve"> Kurian</w:t>
      </w:r>
      <w:r w:rsidRPr="008A25E7">
        <w:rPr>
          <w:szCs w:val="22"/>
        </w:rPr>
        <w:t>)</w:t>
      </w:r>
      <w:r w:rsidRPr="008A25E7" w:rsidR="00C06B73">
        <w:rPr>
          <w:szCs w:val="22"/>
        </w:rPr>
        <w:t>.</w:t>
      </w:r>
      <w:r>
        <w:rPr>
          <w:rStyle w:val="FootnoteReference"/>
          <w:szCs w:val="22"/>
        </w:rPr>
        <w:footnoteReference w:id="16"/>
      </w:r>
      <w:r w:rsidRPr="008A25E7" w:rsidR="00D3166B">
        <w:rPr>
          <w:szCs w:val="22"/>
        </w:rPr>
        <w:t xml:space="preserve"> </w:t>
      </w:r>
      <w:r w:rsidRPr="008A25E7" w:rsidR="00DF4156">
        <w:rPr>
          <w:szCs w:val="22"/>
        </w:rPr>
        <w:t xml:space="preserve"> PTC-220 </w:t>
      </w:r>
      <w:r w:rsidRPr="008A25E7" w:rsidR="002B1F8B">
        <w:rPr>
          <w:szCs w:val="22"/>
        </w:rPr>
        <w:t xml:space="preserve">filed an opposition to the supplemental </w:t>
      </w:r>
      <w:r w:rsidRPr="008A25E7" w:rsidR="00DF4156">
        <w:rPr>
          <w:szCs w:val="22"/>
        </w:rPr>
        <w:t>filings on August 28, 2019.</w:t>
      </w:r>
      <w:r>
        <w:rPr>
          <w:rStyle w:val="FootnoteReference"/>
          <w:szCs w:val="22"/>
        </w:rPr>
        <w:footnoteReference w:id="17"/>
      </w:r>
      <w:r w:rsidRPr="008A25E7" w:rsidR="00F7379C">
        <w:rPr>
          <w:szCs w:val="22"/>
        </w:rPr>
        <w:t xml:space="preserve">  </w:t>
      </w:r>
      <w:r w:rsidRPr="008A25E7" w:rsidR="00462160">
        <w:rPr>
          <w:szCs w:val="22"/>
        </w:rPr>
        <w:t>We treat the</w:t>
      </w:r>
      <w:r w:rsidRPr="008A25E7" w:rsidR="002B1F8B">
        <w:rPr>
          <w:szCs w:val="22"/>
        </w:rPr>
        <w:t xml:space="preserve"> supplemental </w:t>
      </w:r>
      <w:r w:rsidRPr="008A25E7" w:rsidR="00462160">
        <w:rPr>
          <w:szCs w:val="22"/>
        </w:rPr>
        <w:t>filings as informal requests for action</w:t>
      </w:r>
      <w:r w:rsidRPr="008A25E7" w:rsidR="002259AD">
        <w:rPr>
          <w:szCs w:val="22"/>
        </w:rPr>
        <w:t xml:space="preserve"> </w:t>
      </w:r>
      <w:r w:rsidRPr="008A25E7" w:rsidR="001375B5">
        <w:rPr>
          <w:szCs w:val="22"/>
        </w:rPr>
        <w:t xml:space="preserve">under </w:t>
      </w:r>
      <w:r w:rsidRPr="008A25E7" w:rsidR="00105CA3">
        <w:rPr>
          <w:szCs w:val="22"/>
        </w:rPr>
        <w:t>s</w:t>
      </w:r>
      <w:r w:rsidRPr="008A25E7" w:rsidR="001375B5">
        <w:rPr>
          <w:szCs w:val="22"/>
        </w:rPr>
        <w:t xml:space="preserve">ection </w:t>
      </w:r>
      <w:r w:rsidRPr="008A25E7" w:rsidR="007C3512">
        <w:rPr>
          <w:szCs w:val="22"/>
        </w:rPr>
        <w:t>1.41</w:t>
      </w:r>
      <w:r w:rsidRPr="008A25E7" w:rsidR="001375B5">
        <w:rPr>
          <w:szCs w:val="22"/>
        </w:rPr>
        <w:t xml:space="preserve"> of the Commission’s rules</w:t>
      </w:r>
      <w:r>
        <w:rPr>
          <w:rStyle w:val="FootnoteReference"/>
          <w:szCs w:val="22"/>
        </w:rPr>
        <w:footnoteReference w:id="18"/>
      </w:r>
      <w:r w:rsidRPr="008A25E7" w:rsidR="001375B5">
        <w:rPr>
          <w:szCs w:val="22"/>
        </w:rPr>
        <w:t xml:space="preserve"> </w:t>
      </w:r>
      <w:r w:rsidRPr="008A25E7" w:rsidR="002259AD">
        <w:rPr>
          <w:szCs w:val="22"/>
        </w:rPr>
        <w:t>and address them</w:t>
      </w:r>
      <w:r w:rsidRPr="008A25E7" w:rsidR="001375B5">
        <w:rPr>
          <w:szCs w:val="22"/>
        </w:rPr>
        <w:t xml:space="preserve"> below</w:t>
      </w:r>
      <w:r w:rsidRPr="008A25E7" w:rsidR="00462160">
        <w:rPr>
          <w:szCs w:val="22"/>
        </w:rPr>
        <w:t>.</w:t>
      </w:r>
    </w:p>
    <w:p w:rsidR="00AD21A0" w:rsidRPr="008A25E7" w:rsidP="00C30CAC" w14:paraId="4B71A83B" w14:textId="13487EBC">
      <w:pPr>
        <w:pStyle w:val="ParaNum"/>
        <w:tabs>
          <w:tab w:val="clear" w:pos="1080"/>
        </w:tabs>
        <w:jc w:val="left"/>
        <w:rPr>
          <w:szCs w:val="22"/>
        </w:rPr>
      </w:pPr>
      <w:r w:rsidRPr="008A25E7">
        <w:rPr>
          <w:szCs w:val="22"/>
        </w:rPr>
        <w:t xml:space="preserve">On January 28, 2020, </w:t>
      </w:r>
      <w:r w:rsidRPr="008A25E7" w:rsidR="00444C39">
        <w:rPr>
          <w:szCs w:val="22"/>
        </w:rPr>
        <w:t xml:space="preserve">PTC-220 filed </w:t>
      </w:r>
      <w:r w:rsidRPr="008A25E7" w:rsidR="008B3673">
        <w:rPr>
          <w:szCs w:val="22"/>
        </w:rPr>
        <w:t>a</w:t>
      </w:r>
      <w:r w:rsidRPr="008A25E7" w:rsidR="00AD0973">
        <w:rPr>
          <w:szCs w:val="22"/>
        </w:rPr>
        <w:t xml:space="preserve">n update </w:t>
      </w:r>
      <w:r w:rsidRPr="008A25E7" w:rsidR="00C53827">
        <w:rPr>
          <w:szCs w:val="22"/>
        </w:rPr>
        <w:t xml:space="preserve">to the Application </w:t>
      </w:r>
      <w:r w:rsidRPr="008A25E7" w:rsidR="00AD0973">
        <w:rPr>
          <w:szCs w:val="22"/>
        </w:rPr>
        <w:t xml:space="preserve">under </w:t>
      </w:r>
      <w:r w:rsidRPr="008A25E7" w:rsidR="00444C39">
        <w:rPr>
          <w:szCs w:val="22"/>
        </w:rPr>
        <w:t xml:space="preserve">Section 1.65 </w:t>
      </w:r>
      <w:r w:rsidRPr="008A25E7" w:rsidR="00AD0973">
        <w:rPr>
          <w:szCs w:val="22"/>
        </w:rPr>
        <w:t>of the Commission’s rules</w:t>
      </w:r>
      <w:r w:rsidRPr="008A25E7" w:rsidR="00444C39">
        <w:rPr>
          <w:szCs w:val="22"/>
        </w:rPr>
        <w:t>,</w:t>
      </w:r>
      <w:r>
        <w:rPr>
          <w:rStyle w:val="FootnoteReference"/>
          <w:szCs w:val="22"/>
        </w:rPr>
        <w:footnoteReference w:id="19"/>
      </w:r>
      <w:r w:rsidRPr="008A25E7">
        <w:rPr>
          <w:szCs w:val="22"/>
        </w:rPr>
        <w:t xml:space="preserve"> </w:t>
      </w:r>
      <w:r w:rsidRPr="008A25E7" w:rsidR="00444C39">
        <w:rPr>
          <w:szCs w:val="22"/>
        </w:rPr>
        <w:t>transmitting a January 23, 2020</w:t>
      </w:r>
      <w:r w:rsidRPr="008A25E7">
        <w:rPr>
          <w:szCs w:val="22"/>
        </w:rPr>
        <w:t>,</w:t>
      </w:r>
      <w:r w:rsidRPr="008A25E7" w:rsidR="00444C39">
        <w:rPr>
          <w:szCs w:val="22"/>
        </w:rPr>
        <w:t xml:space="preserve"> </w:t>
      </w:r>
      <w:r w:rsidRPr="008A25E7" w:rsidR="00444C39">
        <w:rPr>
          <w:i/>
          <w:iCs/>
          <w:szCs w:val="22"/>
        </w:rPr>
        <w:t>Order of Affirmance</w:t>
      </w:r>
      <w:r w:rsidRPr="008A25E7" w:rsidR="00444C39">
        <w:rPr>
          <w:szCs w:val="22"/>
        </w:rPr>
        <w:t xml:space="preserve"> issued by the Nevada Supreme Court</w:t>
      </w:r>
      <w:r w:rsidRPr="008A25E7">
        <w:rPr>
          <w:szCs w:val="22"/>
        </w:rPr>
        <w:t xml:space="preserve">, which </w:t>
      </w:r>
      <w:r w:rsidRPr="008A25E7" w:rsidR="00444C39">
        <w:rPr>
          <w:szCs w:val="22"/>
        </w:rPr>
        <w:t>deni</w:t>
      </w:r>
      <w:r w:rsidRPr="008A25E7">
        <w:rPr>
          <w:szCs w:val="22"/>
        </w:rPr>
        <w:t>ed</w:t>
      </w:r>
      <w:r w:rsidRPr="008A25E7" w:rsidR="00444C39">
        <w:rPr>
          <w:szCs w:val="22"/>
        </w:rPr>
        <w:t xml:space="preserve"> an appeal of Havens in the Nevada litigation.</w:t>
      </w:r>
      <w:r>
        <w:rPr>
          <w:rStyle w:val="FootnoteReference"/>
          <w:szCs w:val="22"/>
        </w:rPr>
        <w:footnoteReference w:id="20"/>
      </w:r>
      <w:r w:rsidRPr="008A25E7" w:rsidR="00444C39">
        <w:rPr>
          <w:szCs w:val="22"/>
        </w:rPr>
        <w:t xml:space="preserve"> </w:t>
      </w:r>
      <w:r w:rsidRPr="008A25E7" w:rsidR="00B5499B">
        <w:rPr>
          <w:szCs w:val="22"/>
        </w:rPr>
        <w:t xml:space="preserve"> </w:t>
      </w:r>
      <w:r w:rsidRPr="008A25E7">
        <w:rPr>
          <w:szCs w:val="22"/>
        </w:rPr>
        <w:t xml:space="preserve">On January 28, 2020, </w:t>
      </w:r>
      <w:r w:rsidRPr="008A25E7" w:rsidR="00444C39">
        <w:rPr>
          <w:szCs w:val="22"/>
        </w:rPr>
        <w:t xml:space="preserve">Havens </w:t>
      </w:r>
      <w:r w:rsidRPr="008A25E7" w:rsidR="001056BD">
        <w:rPr>
          <w:szCs w:val="22"/>
        </w:rPr>
        <w:t xml:space="preserve">(but no other petitioner) </w:t>
      </w:r>
      <w:r w:rsidRPr="008A25E7" w:rsidR="00444C39">
        <w:rPr>
          <w:szCs w:val="22"/>
        </w:rPr>
        <w:t>filed a response to PTC-220’s</w:t>
      </w:r>
      <w:r w:rsidRPr="008A25E7">
        <w:rPr>
          <w:szCs w:val="22"/>
        </w:rPr>
        <w:t xml:space="preserve"> </w:t>
      </w:r>
      <w:r w:rsidRPr="008A25E7" w:rsidR="00FF5931">
        <w:rPr>
          <w:szCs w:val="22"/>
        </w:rPr>
        <w:t xml:space="preserve">Section 1.65 </w:t>
      </w:r>
      <w:r w:rsidRPr="008A25E7" w:rsidR="00444C39">
        <w:rPr>
          <w:szCs w:val="22"/>
        </w:rPr>
        <w:t>filing</w:t>
      </w:r>
      <w:r w:rsidRPr="008A25E7">
        <w:rPr>
          <w:szCs w:val="22"/>
        </w:rPr>
        <w:t>.</w:t>
      </w:r>
      <w:r>
        <w:rPr>
          <w:rStyle w:val="FootnoteReference"/>
          <w:szCs w:val="22"/>
        </w:rPr>
        <w:footnoteReference w:id="21"/>
      </w:r>
      <w:r w:rsidRPr="008A25E7" w:rsidR="00C30CAC">
        <w:rPr>
          <w:szCs w:val="22"/>
        </w:rPr>
        <w:t xml:space="preserve">  </w:t>
      </w:r>
      <w:r w:rsidRPr="008A25E7" w:rsidR="00C24F35">
        <w:rPr>
          <w:szCs w:val="22"/>
        </w:rPr>
        <w:t xml:space="preserve">On February 29, 2020, </w:t>
      </w:r>
      <w:r w:rsidRPr="008A25E7" w:rsidR="00B5499B">
        <w:rPr>
          <w:szCs w:val="22"/>
        </w:rPr>
        <w:t>Havens supplemented his response</w:t>
      </w:r>
      <w:r w:rsidRPr="008A25E7" w:rsidR="00D67C52">
        <w:rPr>
          <w:szCs w:val="22"/>
        </w:rPr>
        <w:t xml:space="preserve"> to PTC-220’s Section 1.65 filing</w:t>
      </w:r>
      <w:r w:rsidRPr="008A25E7">
        <w:rPr>
          <w:szCs w:val="22"/>
        </w:rPr>
        <w:t>, by transmitting his Petition for Rehearing before the Nevada Supreme Court</w:t>
      </w:r>
      <w:r w:rsidRPr="008A25E7" w:rsidR="00B5499B">
        <w:rPr>
          <w:szCs w:val="22"/>
        </w:rPr>
        <w:t>.</w:t>
      </w:r>
      <w:r>
        <w:rPr>
          <w:rStyle w:val="FootnoteReference"/>
          <w:szCs w:val="22"/>
        </w:rPr>
        <w:footnoteReference w:id="22"/>
      </w:r>
      <w:r w:rsidRPr="008A25E7" w:rsidR="00022AFB">
        <w:rPr>
          <w:szCs w:val="22"/>
        </w:rPr>
        <w:t xml:space="preserve">  He also argue</w:t>
      </w:r>
      <w:r w:rsidRPr="008A25E7" w:rsidR="0066057E">
        <w:rPr>
          <w:szCs w:val="22"/>
        </w:rPr>
        <w:t>d</w:t>
      </w:r>
      <w:r w:rsidRPr="008A25E7" w:rsidR="00022AFB">
        <w:rPr>
          <w:szCs w:val="22"/>
        </w:rPr>
        <w:t xml:space="preserve"> that the Commission</w:t>
      </w:r>
      <w:r w:rsidRPr="008A25E7" w:rsidR="001A07EB">
        <w:rPr>
          <w:szCs w:val="22"/>
        </w:rPr>
        <w:t xml:space="preserve"> should </w:t>
      </w:r>
      <w:r w:rsidRPr="008A25E7" w:rsidR="00300BA5">
        <w:rPr>
          <w:szCs w:val="22"/>
        </w:rPr>
        <w:t xml:space="preserve">review </w:t>
      </w:r>
      <w:r w:rsidRPr="008A25E7" w:rsidR="00AA2874">
        <w:rPr>
          <w:szCs w:val="22"/>
        </w:rPr>
        <w:t>several Civil-War er</w:t>
      </w:r>
      <w:r w:rsidRPr="008A25E7" w:rsidR="00AE3D48">
        <w:rPr>
          <w:szCs w:val="22"/>
        </w:rPr>
        <w:t>a</w:t>
      </w:r>
      <w:r w:rsidRPr="008A25E7" w:rsidR="00AA2874">
        <w:rPr>
          <w:szCs w:val="22"/>
        </w:rPr>
        <w:t xml:space="preserve"> </w:t>
      </w:r>
      <w:r w:rsidRPr="008A25E7" w:rsidR="00300BA5">
        <w:rPr>
          <w:szCs w:val="22"/>
        </w:rPr>
        <w:t xml:space="preserve">“federal railroad </w:t>
      </w:r>
      <w:r w:rsidRPr="008A25E7" w:rsidR="00AE3D48">
        <w:rPr>
          <w:szCs w:val="22"/>
        </w:rPr>
        <w:t>a</w:t>
      </w:r>
      <w:r w:rsidRPr="008A25E7" w:rsidR="00300BA5">
        <w:rPr>
          <w:szCs w:val="22"/>
        </w:rPr>
        <w:t>cts</w:t>
      </w:r>
      <w:r w:rsidRPr="008A25E7" w:rsidR="00557E89">
        <w:rPr>
          <w:szCs w:val="22"/>
        </w:rPr>
        <w:t>”</w:t>
      </w:r>
      <w:r w:rsidRPr="008A25E7" w:rsidR="003956CA">
        <w:rPr>
          <w:szCs w:val="22"/>
        </w:rPr>
        <w:t xml:space="preserve"> </w:t>
      </w:r>
      <w:r w:rsidRPr="008A25E7" w:rsidR="0095779F">
        <w:rPr>
          <w:szCs w:val="22"/>
        </w:rPr>
        <w:t xml:space="preserve">and </w:t>
      </w:r>
      <w:r w:rsidRPr="008A25E7" w:rsidR="007A375D">
        <w:rPr>
          <w:szCs w:val="22"/>
        </w:rPr>
        <w:t>det</w:t>
      </w:r>
      <w:r w:rsidRPr="008A25E7" w:rsidR="00B631CC">
        <w:rPr>
          <w:szCs w:val="22"/>
        </w:rPr>
        <w:t>erm</w:t>
      </w:r>
      <w:r w:rsidRPr="008A25E7" w:rsidR="007A375D">
        <w:rPr>
          <w:szCs w:val="22"/>
        </w:rPr>
        <w:t xml:space="preserve">ine what </w:t>
      </w:r>
      <w:r w:rsidRPr="008A25E7" w:rsidR="00AE3D48">
        <w:rPr>
          <w:szCs w:val="22"/>
        </w:rPr>
        <w:t xml:space="preserve">public interest </w:t>
      </w:r>
      <w:r w:rsidRPr="008A25E7" w:rsidR="007A375D">
        <w:rPr>
          <w:szCs w:val="22"/>
        </w:rPr>
        <w:t>obligat</w:t>
      </w:r>
      <w:r w:rsidRPr="008A25E7" w:rsidR="00B631CC">
        <w:rPr>
          <w:szCs w:val="22"/>
        </w:rPr>
        <w:t>ion</w:t>
      </w:r>
      <w:r w:rsidRPr="008A25E7" w:rsidR="00CB2CFF">
        <w:rPr>
          <w:szCs w:val="22"/>
        </w:rPr>
        <w:t>s</w:t>
      </w:r>
      <w:r w:rsidRPr="008A25E7" w:rsidR="00AE3D48">
        <w:rPr>
          <w:szCs w:val="22"/>
        </w:rPr>
        <w:t xml:space="preserve"> </w:t>
      </w:r>
      <w:r w:rsidRPr="008A25E7" w:rsidR="000E5992">
        <w:rPr>
          <w:szCs w:val="22"/>
        </w:rPr>
        <w:t xml:space="preserve">railroads have under </w:t>
      </w:r>
      <w:r w:rsidRPr="008A25E7" w:rsidR="00B8555F">
        <w:rPr>
          <w:szCs w:val="22"/>
        </w:rPr>
        <w:t>these acts</w:t>
      </w:r>
      <w:r w:rsidRPr="008A25E7" w:rsidR="000E5992">
        <w:rPr>
          <w:szCs w:val="22"/>
        </w:rPr>
        <w:t>.</w:t>
      </w:r>
      <w:r>
        <w:rPr>
          <w:rStyle w:val="FootnoteReference"/>
          <w:szCs w:val="22"/>
        </w:rPr>
        <w:footnoteReference w:id="23"/>
      </w:r>
      <w:r w:rsidRPr="008A25E7" w:rsidR="00FF0555">
        <w:rPr>
          <w:szCs w:val="22"/>
        </w:rPr>
        <w:t xml:space="preserve"> </w:t>
      </w:r>
      <w:r w:rsidRPr="008A25E7" w:rsidR="00022AFB">
        <w:rPr>
          <w:szCs w:val="22"/>
        </w:rPr>
        <w:t xml:space="preserve"> </w:t>
      </w:r>
    </w:p>
    <w:p w:rsidR="00444C39" w:rsidRPr="008A25E7" w:rsidP="00C30CAC" w14:paraId="71C85B35" w14:textId="43D69808">
      <w:pPr>
        <w:pStyle w:val="ParaNum"/>
        <w:tabs>
          <w:tab w:val="clear" w:pos="1080"/>
        </w:tabs>
        <w:jc w:val="left"/>
        <w:rPr>
          <w:szCs w:val="22"/>
        </w:rPr>
      </w:pPr>
      <w:r w:rsidRPr="008A25E7">
        <w:rPr>
          <w:szCs w:val="22"/>
        </w:rPr>
        <w:t xml:space="preserve">On May 8, 2020, </w:t>
      </w:r>
      <w:r w:rsidRPr="008A25E7" w:rsidR="00B5499B">
        <w:rPr>
          <w:szCs w:val="22"/>
        </w:rPr>
        <w:t>PTC-220 filed a</w:t>
      </w:r>
      <w:r w:rsidRPr="008A25E7" w:rsidR="00AB08D0">
        <w:rPr>
          <w:szCs w:val="22"/>
        </w:rPr>
        <w:t>n update</w:t>
      </w:r>
      <w:r w:rsidRPr="008A25E7" w:rsidR="000A6999">
        <w:rPr>
          <w:szCs w:val="22"/>
        </w:rPr>
        <w:t xml:space="preserve"> to the Application</w:t>
      </w:r>
      <w:r w:rsidRPr="008A25E7" w:rsidR="00AB08D0">
        <w:rPr>
          <w:szCs w:val="22"/>
        </w:rPr>
        <w:t xml:space="preserve"> under </w:t>
      </w:r>
      <w:r w:rsidRPr="008A25E7" w:rsidR="00B5499B">
        <w:rPr>
          <w:szCs w:val="22"/>
        </w:rPr>
        <w:t>Section 1.65</w:t>
      </w:r>
      <w:r w:rsidRPr="008A25E7">
        <w:rPr>
          <w:szCs w:val="22"/>
        </w:rPr>
        <w:t>,</w:t>
      </w:r>
      <w:r>
        <w:rPr>
          <w:rStyle w:val="FootnoteReference"/>
          <w:szCs w:val="22"/>
        </w:rPr>
        <w:footnoteReference w:id="24"/>
      </w:r>
      <w:r w:rsidRPr="008A25E7">
        <w:rPr>
          <w:szCs w:val="22"/>
        </w:rPr>
        <w:t xml:space="preserve"> noting that the Nevada Supreme Court issued an </w:t>
      </w:r>
      <w:r w:rsidRPr="008A25E7" w:rsidR="005B4CF9">
        <w:rPr>
          <w:i/>
          <w:iCs/>
          <w:szCs w:val="22"/>
        </w:rPr>
        <w:t>O</w:t>
      </w:r>
      <w:r w:rsidRPr="008A25E7">
        <w:rPr>
          <w:i/>
          <w:iCs/>
          <w:szCs w:val="22"/>
        </w:rPr>
        <w:t>rder</w:t>
      </w:r>
      <w:r w:rsidRPr="008A25E7">
        <w:rPr>
          <w:szCs w:val="22"/>
        </w:rPr>
        <w:t xml:space="preserve"> on April 26, 2020, denying Havens’ Petition for Rehearing of the Supreme Court’s</w:t>
      </w:r>
      <w:r w:rsidRPr="008A25E7" w:rsidR="00424185">
        <w:rPr>
          <w:szCs w:val="22"/>
        </w:rPr>
        <w:t xml:space="preserve"> January 23, 2020,</w:t>
      </w:r>
      <w:r w:rsidRPr="008A25E7">
        <w:rPr>
          <w:szCs w:val="22"/>
        </w:rPr>
        <w:t xml:space="preserve"> </w:t>
      </w:r>
      <w:r w:rsidRPr="008A25E7">
        <w:rPr>
          <w:i/>
          <w:iCs/>
          <w:szCs w:val="22"/>
        </w:rPr>
        <w:t>Order of Affirmance</w:t>
      </w:r>
      <w:r w:rsidRPr="008A25E7" w:rsidR="00B5499B">
        <w:rPr>
          <w:szCs w:val="22"/>
        </w:rPr>
        <w:t>.</w:t>
      </w:r>
      <w:r>
        <w:rPr>
          <w:rStyle w:val="FootnoteReference"/>
          <w:szCs w:val="22"/>
        </w:rPr>
        <w:footnoteReference w:id="25"/>
      </w:r>
      <w:r w:rsidRPr="008A25E7">
        <w:rPr>
          <w:szCs w:val="22"/>
        </w:rPr>
        <w:t xml:space="preserve">  It also responded to arguments regarding an alleged ethical vio</w:t>
      </w:r>
      <w:r w:rsidRPr="008A25E7" w:rsidR="009D0688">
        <w:rPr>
          <w:szCs w:val="22"/>
        </w:rPr>
        <w:t>lation by counsel for PTC-220</w:t>
      </w:r>
      <w:r w:rsidRPr="008A25E7" w:rsidR="0075239F">
        <w:rPr>
          <w:szCs w:val="22"/>
        </w:rPr>
        <w:t xml:space="preserve"> and other claims made by Petitioners</w:t>
      </w:r>
      <w:r w:rsidRPr="008A25E7" w:rsidR="009D0688">
        <w:rPr>
          <w:szCs w:val="22"/>
        </w:rPr>
        <w:t>.</w:t>
      </w:r>
      <w:r>
        <w:rPr>
          <w:rStyle w:val="FootnoteReference"/>
          <w:szCs w:val="22"/>
        </w:rPr>
        <w:footnoteReference w:id="26"/>
      </w:r>
      <w:r w:rsidRPr="008A25E7" w:rsidR="00C30CAC">
        <w:rPr>
          <w:szCs w:val="22"/>
        </w:rPr>
        <w:t xml:space="preserve">  </w:t>
      </w:r>
      <w:r w:rsidRPr="008A25E7" w:rsidR="00463D52">
        <w:rPr>
          <w:szCs w:val="22"/>
        </w:rPr>
        <w:t xml:space="preserve">On May 21, 2020, </w:t>
      </w:r>
      <w:r w:rsidRPr="008A25E7" w:rsidR="00B5499B">
        <w:rPr>
          <w:szCs w:val="22"/>
        </w:rPr>
        <w:t>Havens</w:t>
      </w:r>
      <w:r w:rsidRPr="008A25E7" w:rsidR="007B7A88">
        <w:rPr>
          <w:szCs w:val="22"/>
        </w:rPr>
        <w:t xml:space="preserve"> (but no other petitioner)</w:t>
      </w:r>
      <w:r w:rsidRPr="008A25E7" w:rsidR="00B5499B">
        <w:rPr>
          <w:szCs w:val="22"/>
        </w:rPr>
        <w:t xml:space="preserve"> responded </w:t>
      </w:r>
      <w:r w:rsidRPr="008A25E7" w:rsidR="00463D52">
        <w:rPr>
          <w:szCs w:val="22"/>
        </w:rPr>
        <w:t>to PTC-220’s May 8</w:t>
      </w:r>
      <w:r w:rsidRPr="008A25E7" w:rsidR="00D57BF7">
        <w:rPr>
          <w:szCs w:val="22"/>
        </w:rPr>
        <w:t xml:space="preserve"> </w:t>
      </w:r>
      <w:r w:rsidRPr="008A25E7" w:rsidR="00C24F35">
        <w:rPr>
          <w:szCs w:val="22"/>
        </w:rPr>
        <w:t xml:space="preserve">Section 1.65 </w:t>
      </w:r>
      <w:r w:rsidRPr="008A25E7" w:rsidR="00D57BF7">
        <w:rPr>
          <w:szCs w:val="22"/>
        </w:rPr>
        <w:t xml:space="preserve">Update, by filing </w:t>
      </w:r>
      <w:r w:rsidRPr="008A25E7" w:rsidR="009D0688">
        <w:rPr>
          <w:szCs w:val="22"/>
        </w:rPr>
        <w:t xml:space="preserve">an email exchange </w:t>
      </w:r>
      <w:r w:rsidRPr="008A25E7" w:rsidR="00C24F35">
        <w:rPr>
          <w:szCs w:val="22"/>
        </w:rPr>
        <w:t xml:space="preserve">Havens </w:t>
      </w:r>
      <w:r w:rsidRPr="008A25E7" w:rsidR="009D0688">
        <w:rPr>
          <w:szCs w:val="22"/>
        </w:rPr>
        <w:t xml:space="preserve">initiated with counsel for PTC-220 and an </w:t>
      </w:r>
      <w:r w:rsidRPr="008A25E7" w:rsidR="009D0688">
        <w:rPr>
          <w:i/>
          <w:iCs/>
          <w:szCs w:val="22"/>
        </w:rPr>
        <w:t>Order</w:t>
      </w:r>
      <w:r w:rsidRPr="008A25E7" w:rsidR="009D0688">
        <w:rPr>
          <w:szCs w:val="22"/>
        </w:rPr>
        <w:t xml:space="preserve"> of the Nevada Supreme Court granting his motion to recall the court’s mandate and re-setting the time for him to file a motion for an en banc rehearing.</w:t>
      </w:r>
      <w:r>
        <w:rPr>
          <w:rStyle w:val="FootnoteReference"/>
          <w:szCs w:val="22"/>
        </w:rPr>
        <w:footnoteReference w:id="27"/>
      </w:r>
      <w:r w:rsidRPr="008A25E7" w:rsidR="00C30CAC">
        <w:rPr>
          <w:szCs w:val="22"/>
        </w:rPr>
        <w:t xml:space="preserve">  </w:t>
      </w:r>
      <w:r w:rsidRPr="008A25E7" w:rsidR="00E36CB9">
        <w:rPr>
          <w:szCs w:val="22"/>
        </w:rPr>
        <w:t xml:space="preserve">On July 15, 2020, </w:t>
      </w:r>
      <w:r w:rsidRPr="008A25E7" w:rsidR="00C20FB8">
        <w:rPr>
          <w:szCs w:val="22"/>
        </w:rPr>
        <w:t>Havens</w:t>
      </w:r>
      <w:r w:rsidRPr="008A25E7" w:rsidR="001628B5">
        <w:rPr>
          <w:szCs w:val="22"/>
        </w:rPr>
        <w:t xml:space="preserve"> filed </w:t>
      </w:r>
      <w:r w:rsidRPr="008A25E7" w:rsidR="009D0688">
        <w:rPr>
          <w:szCs w:val="22"/>
        </w:rPr>
        <w:t>a copy of his Peti</w:t>
      </w:r>
      <w:r w:rsidRPr="008A25E7" w:rsidR="00E36CB9">
        <w:rPr>
          <w:szCs w:val="22"/>
        </w:rPr>
        <w:t>ti</w:t>
      </w:r>
      <w:r w:rsidRPr="008A25E7" w:rsidR="009D0688">
        <w:rPr>
          <w:szCs w:val="22"/>
        </w:rPr>
        <w:t>on for En Banc Recon</w:t>
      </w:r>
      <w:r w:rsidRPr="008A25E7" w:rsidR="00E36CB9">
        <w:rPr>
          <w:szCs w:val="22"/>
        </w:rPr>
        <w:t xml:space="preserve">sideration </w:t>
      </w:r>
      <w:r w:rsidRPr="008A25E7" w:rsidR="009D0688">
        <w:rPr>
          <w:szCs w:val="22"/>
        </w:rPr>
        <w:t>or Other Relief filed in the Nev</w:t>
      </w:r>
      <w:r w:rsidRPr="008A25E7" w:rsidR="00E36CB9">
        <w:rPr>
          <w:szCs w:val="22"/>
        </w:rPr>
        <w:t>a</w:t>
      </w:r>
      <w:r w:rsidRPr="008A25E7" w:rsidR="009D0688">
        <w:rPr>
          <w:szCs w:val="22"/>
        </w:rPr>
        <w:t>da lit</w:t>
      </w:r>
      <w:r w:rsidRPr="008A25E7" w:rsidR="00E36CB9">
        <w:rPr>
          <w:szCs w:val="22"/>
        </w:rPr>
        <w:t>i</w:t>
      </w:r>
      <w:r w:rsidRPr="008A25E7" w:rsidR="009D0688">
        <w:rPr>
          <w:szCs w:val="22"/>
        </w:rPr>
        <w:t>gation.</w:t>
      </w:r>
      <w:r>
        <w:rPr>
          <w:rStyle w:val="FootnoteReference"/>
          <w:szCs w:val="22"/>
        </w:rPr>
        <w:footnoteReference w:id="28"/>
      </w:r>
      <w:r w:rsidRPr="008A25E7" w:rsidR="004053F8">
        <w:rPr>
          <w:szCs w:val="22"/>
        </w:rPr>
        <w:t xml:space="preserve">  </w:t>
      </w:r>
      <w:r w:rsidRPr="008A25E7" w:rsidR="00CD0249">
        <w:rPr>
          <w:szCs w:val="22"/>
        </w:rPr>
        <w:t>Finally, o</w:t>
      </w:r>
      <w:r w:rsidRPr="008A25E7" w:rsidR="00C20FB8">
        <w:rPr>
          <w:szCs w:val="22"/>
        </w:rPr>
        <w:t>n September 25, 2020, PTC-220 filed a</w:t>
      </w:r>
      <w:r w:rsidRPr="008A25E7" w:rsidR="00AB08D0">
        <w:rPr>
          <w:szCs w:val="22"/>
        </w:rPr>
        <w:t xml:space="preserve">n update </w:t>
      </w:r>
      <w:r w:rsidRPr="008A25E7" w:rsidR="009D4CE5">
        <w:rPr>
          <w:szCs w:val="22"/>
        </w:rPr>
        <w:t xml:space="preserve">to the Application </w:t>
      </w:r>
      <w:r w:rsidRPr="008A25E7" w:rsidR="00AB08D0">
        <w:rPr>
          <w:szCs w:val="22"/>
        </w:rPr>
        <w:t xml:space="preserve">under </w:t>
      </w:r>
      <w:r w:rsidRPr="008A25E7" w:rsidR="00C20FB8">
        <w:rPr>
          <w:szCs w:val="22"/>
        </w:rPr>
        <w:t>Section 1.65,</w:t>
      </w:r>
      <w:r>
        <w:rPr>
          <w:rStyle w:val="FootnoteReference"/>
          <w:szCs w:val="22"/>
        </w:rPr>
        <w:footnoteReference w:id="29"/>
      </w:r>
      <w:r w:rsidRPr="008A25E7" w:rsidR="00C20FB8">
        <w:rPr>
          <w:szCs w:val="22"/>
        </w:rPr>
        <w:t xml:space="preserve"> transmitting a September 11, 2020</w:t>
      </w:r>
      <w:r w:rsidRPr="008A25E7" w:rsidR="00E1675F">
        <w:rPr>
          <w:szCs w:val="22"/>
        </w:rPr>
        <w:t>,</w:t>
      </w:r>
      <w:r w:rsidRPr="008A25E7" w:rsidR="00C20FB8">
        <w:rPr>
          <w:szCs w:val="22"/>
        </w:rPr>
        <w:t xml:space="preserve"> </w:t>
      </w:r>
      <w:r w:rsidRPr="008A25E7" w:rsidR="004053F8">
        <w:rPr>
          <w:i/>
          <w:iCs/>
          <w:szCs w:val="22"/>
        </w:rPr>
        <w:t>O</w:t>
      </w:r>
      <w:r w:rsidRPr="008A25E7" w:rsidR="00C20FB8">
        <w:rPr>
          <w:i/>
          <w:iCs/>
          <w:szCs w:val="22"/>
        </w:rPr>
        <w:t>rder</w:t>
      </w:r>
      <w:r w:rsidRPr="008A25E7" w:rsidR="00C20FB8">
        <w:rPr>
          <w:szCs w:val="22"/>
        </w:rPr>
        <w:t xml:space="preserve"> of the Nevada Supreme Court denying Havens</w:t>
      </w:r>
      <w:r w:rsidRPr="008A25E7" w:rsidR="004053F8">
        <w:rPr>
          <w:szCs w:val="22"/>
        </w:rPr>
        <w:t>’</w:t>
      </w:r>
      <w:r w:rsidRPr="008A25E7" w:rsidR="00C20FB8">
        <w:rPr>
          <w:szCs w:val="22"/>
        </w:rPr>
        <w:t xml:space="preserve"> Petition for En Banc Reconsideration or Other Relief.</w:t>
      </w:r>
      <w:r>
        <w:rPr>
          <w:rStyle w:val="FootnoteReference"/>
          <w:szCs w:val="22"/>
        </w:rPr>
        <w:footnoteReference w:id="30"/>
      </w:r>
    </w:p>
    <w:p w:rsidR="00275021" w:rsidRPr="008A25E7" w:rsidP="00275021" w14:paraId="130178BA" w14:textId="4912747C">
      <w:pPr>
        <w:pStyle w:val="Heading1"/>
        <w:rPr>
          <w:szCs w:val="22"/>
        </w:rPr>
      </w:pPr>
      <w:r w:rsidRPr="008A25E7">
        <w:rPr>
          <w:szCs w:val="22"/>
        </w:rPr>
        <w:t xml:space="preserve"> </w:t>
      </w:r>
      <w:r w:rsidRPr="008A25E7" w:rsidR="00EE78B4">
        <w:rPr>
          <w:szCs w:val="22"/>
        </w:rPr>
        <w:t>Discussion</w:t>
      </w:r>
    </w:p>
    <w:p w:rsidR="006D5F90" w:rsidRPr="008A25E7" w:rsidP="006D5F90" w14:paraId="5904359B" w14:textId="1FDA2557">
      <w:pPr>
        <w:pStyle w:val="Heading2"/>
        <w:rPr>
          <w:szCs w:val="22"/>
        </w:rPr>
      </w:pPr>
      <w:r w:rsidRPr="008A25E7">
        <w:rPr>
          <w:szCs w:val="22"/>
        </w:rPr>
        <w:t xml:space="preserve">Assignment Application </w:t>
      </w:r>
    </w:p>
    <w:p w:rsidR="006133B5" w:rsidRPr="008A25E7" w:rsidP="006133B5" w14:paraId="1E713E04" w14:textId="045976EE">
      <w:pPr>
        <w:pStyle w:val="ParaNum"/>
        <w:tabs>
          <w:tab w:val="clear" w:pos="1080"/>
        </w:tabs>
        <w:jc w:val="left"/>
        <w:rPr>
          <w:szCs w:val="22"/>
        </w:rPr>
      </w:pPr>
      <w:r w:rsidRPr="008A25E7">
        <w:rPr>
          <w:szCs w:val="22"/>
          <w:u w:val="single"/>
        </w:rPr>
        <w:t xml:space="preserve">Nevada </w:t>
      </w:r>
      <w:r w:rsidRPr="008A25E7" w:rsidR="00EE78B4">
        <w:rPr>
          <w:szCs w:val="22"/>
          <w:u w:val="single"/>
        </w:rPr>
        <w:t>Litigation</w:t>
      </w:r>
      <w:r w:rsidRPr="008A25E7" w:rsidR="00EE78B4">
        <w:rPr>
          <w:szCs w:val="22"/>
        </w:rPr>
        <w:t xml:space="preserve">.  </w:t>
      </w:r>
      <w:r w:rsidRPr="008A25E7" w:rsidR="00D83A92">
        <w:rPr>
          <w:szCs w:val="22"/>
        </w:rPr>
        <w:t xml:space="preserve">Petitioners argue that </w:t>
      </w:r>
      <w:r w:rsidRPr="008A25E7" w:rsidR="00964CEE">
        <w:rPr>
          <w:szCs w:val="22"/>
        </w:rPr>
        <w:t>“the FCC should deny the Application to not undermine and interfere with the jurisdiction and actions pending before the Nevada Courts”</w:t>
      </w:r>
      <w:r w:rsidRPr="008A25E7" w:rsidR="00003716">
        <w:rPr>
          <w:szCs w:val="22"/>
        </w:rPr>
        <w:t xml:space="preserve"> in which Havens </w:t>
      </w:r>
      <w:r w:rsidRPr="008A25E7" w:rsidR="001D6B01">
        <w:rPr>
          <w:szCs w:val="22"/>
        </w:rPr>
        <w:t>contends</w:t>
      </w:r>
      <w:r w:rsidRPr="008A25E7" w:rsidR="0017061C">
        <w:rPr>
          <w:szCs w:val="22"/>
        </w:rPr>
        <w:t xml:space="preserve"> </w:t>
      </w:r>
      <w:r w:rsidRPr="008A25E7" w:rsidR="00D95712">
        <w:rPr>
          <w:szCs w:val="22"/>
        </w:rPr>
        <w:t xml:space="preserve">that Kurian </w:t>
      </w:r>
      <w:r w:rsidRPr="008A25E7" w:rsidR="00B67462">
        <w:rPr>
          <w:szCs w:val="22"/>
        </w:rPr>
        <w:t xml:space="preserve">must </w:t>
      </w:r>
      <w:r w:rsidRPr="008A25E7" w:rsidR="00D95712">
        <w:rPr>
          <w:szCs w:val="22"/>
        </w:rPr>
        <w:t>assign</w:t>
      </w:r>
      <w:r w:rsidRPr="008A25E7" w:rsidR="001D6B01">
        <w:rPr>
          <w:szCs w:val="22"/>
        </w:rPr>
        <w:t xml:space="preserve"> </w:t>
      </w:r>
      <w:r w:rsidRPr="008A25E7" w:rsidR="00C24F35">
        <w:rPr>
          <w:szCs w:val="22"/>
        </w:rPr>
        <w:t xml:space="preserve">certain </w:t>
      </w:r>
      <w:r w:rsidRPr="008A25E7" w:rsidR="001D6B01">
        <w:rPr>
          <w:szCs w:val="22"/>
        </w:rPr>
        <w:t>spectrum un</w:t>
      </w:r>
      <w:r w:rsidRPr="008A25E7" w:rsidR="003657B8">
        <w:rPr>
          <w:szCs w:val="22"/>
        </w:rPr>
        <w:t>d</w:t>
      </w:r>
      <w:r w:rsidRPr="008A25E7" w:rsidR="001D6B01">
        <w:rPr>
          <w:szCs w:val="22"/>
        </w:rPr>
        <w:t xml:space="preserve">er </w:t>
      </w:r>
      <w:r w:rsidRPr="008A25E7" w:rsidR="003657B8">
        <w:rPr>
          <w:szCs w:val="22"/>
        </w:rPr>
        <w:t>Station WQCP809</w:t>
      </w:r>
      <w:r w:rsidRPr="008A25E7" w:rsidR="007D64B7">
        <w:rPr>
          <w:szCs w:val="22"/>
        </w:rPr>
        <w:t>, including the spectrum at issue here</w:t>
      </w:r>
      <w:r w:rsidRPr="008A25E7" w:rsidR="008C0245">
        <w:rPr>
          <w:szCs w:val="22"/>
        </w:rPr>
        <w:t>,</w:t>
      </w:r>
      <w:r w:rsidRPr="008A25E7" w:rsidR="003657B8">
        <w:rPr>
          <w:szCs w:val="22"/>
        </w:rPr>
        <w:t xml:space="preserve"> </w:t>
      </w:r>
      <w:r w:rsidRPr="008A25E7" w:rsidR="001D6B01">
        <w:rPr>
          <w:szCs w:val="22"/>
        </w:rPr>
        <w:t xml:space="preserve">to </w:t>
      </w:r>
      <w:r w:rsidRPr="008A25E7" w:rsidR="00B67462">
        <w:rPr>
          <w:szCs w:val="22"/>
        </w:rPr>
        <w:t>himself</w:t>
      </w:r>
      <w:r w:rsidRPr="008A25E7" w:rsidR="001D6B01">
        <w:rPr>
          <w:szCs w:val="22"/>
        </w:rPr>
        <w:t>.</w:t>
      </w:r>
      <w:r>
        <w:rPr>
          <w:rStyle w:val="FootnoteReference"/>
          <w:szCs w:val="22"/>
        </w:rPr>
        <w:footnoteReference w:id="31"/>
      </w:r>
      <w:r w:rsidRPr="008A25E7" w:rsidR="00C86846">
        <w:rPr>
          <w:szCs w:val="22"/>
        </w:rPr>
        <w:t xml:space="preserve">  </w:t>
      </w:r>
      <w:r w:rsidRPr="008A25E7" w:rsidR="006812EF">
        <w:rPr>
          <w:szCs w:val="22"/>
        </w:rPr>
        <w:t xml:space="preserve">In </w:t>
      </w:r>
      <w:r w:rsidRPr="008A25E7" w:rsidR="00FB3237">
        <w:rPr>
          <w:szCs w:val="22"/>
        </w:rPr>
        <w:t>20</w:t>
      </w:r>
      <w:r w:rsidRPr="008A25E7" w:rsidR="006812EF">
        <w:rPr>
          <w:szCs w:val="22"/>
        </w:rPr>
        <w:t>18,</w:t>
      </w:r>
      <w:r w:rsidRPr="008A25E7" w:rsidR="00FB3237">
        <w:rPr>
          <w:szCs w:val="22"/>
        </w:rPr>
        <w:t xml:space="preserve"> a</w:t>
      </w:r>
      <w:r w:rsidRPr="008A25E7" w:rsidR="00871122">
        <w:rPr>
          <w:szCs w:val="22"/>
        </w:rPr>
        <w:t xml:space="preserve"> jury awarded Havens </w:t>
      </w:r>
      <w:r w:rsidRPr="008A25E7" w:rsidR="00A26353">
        <w:rPr>
          <w:szCs w:val="22"/>
        </w:rPr>
        <w:t xml:space="preserve">money </w:t>
      </w:r>
      <w:r w:rsidRPr="008A25E7" w:rsidR="00871122">
        <w:rPr>
          <w:szCs w:val="22"/>
        </w:rPr>
        <w:t>damages</w:t>
      </w:r>
      <w:r w:rsidRPr="008A25E7" w:rsidR="00A26353">
        <w:rPr>
          <w:szCs w:val="22"/>
        </w:rPr>
        <w:t xml:space="preserve"> </w:t>
      </w:r>
      <w:r w:rsidRPr="008A25E7" w:rsidR="00D02305">
        <w:rPr>
          <w:szCs w:val="22"/>
        </w:rPr>
        <w:t xml:space="preserve">in the Nevada </w:t>
      </w:r>
      <w:r w:rsidRPr="008A25E7" w:rsidR="00F37209">
        <w:rPr>
          <w:szCs w:val="22"/>
        </w:rPr>
        <w:t>l</w:t>
      </w:r>
      <w:r w:rsidRPr="008A25E7" w:rsidR="00D02305">
        <w:rPr>
          <w:szCs w:val="22"/>
        </w:rPr>
        <w:t>itigation</w:t>
      </w:r>
      <w:r w:rsidRPr="008A25E7" w:rsidR="009330E4">
        <w:rPr>
          <w:szCs w:val="22"/>
        </w:rPr>
        <w:t xml:space="preserve"> but declined to </w:t>
      </w:r>
      <w:r w:rsidRPr="008A25E7" w:rsidR="00DC4CCC">
        <w:rPr>
          <w:szCs w:val="22"/>
        </w:rPr>
        <w:t xml:space="preserve">grant </w:t>
      </w:r>
      <w:r w:rsidRPr="008A25E7" w:rsidR="00DE5EF3">
        <w:rPr>
          <w:szCs w:val="22"/>
        </w:rPr>
        <w:t xml:space="preserve">his </w:t>
      </w:r>
      <w:r w:rsidRPr="008A25E7" w:rsidR="00B2651C">
        <w:rPr>
          <w:szCs w:val="22"/>
        </w:rPr>
        <w:t xml:space="preserve">request for </w:t>
      </w:r>
      <w:r w:rsidRPr="008A25E7" w:rsidR="00D53CFA">
        <w:rPr>
          <w:szCs w:val="22"/>
        </w:rPr>
        <w:t>specific</w:t>
      </w:r>
      <w:r w:rsidRPr="008A25E7" w:rsidR="00DB2B7D">
        <w:rPr>
          <w:szCs w:val="22"/>
        </w:rPr>
        <w:t xml:space="preserve"> per</w:t>
      </w:r>
      <w:r w:rsidRPr="008A25E7" w:rsidR="00D53CFA">
        <w:rPr>
          <w:szCs w:val="22"/>
        </w:rPr>
        <w:t xml:space="preserve">formance </w:t>
      </w:r>
      <w:r w:rsidRPr="008A25E7" w:rsidR="009330E4">
        <w:rPr>
          <w:szCs w:val="22"/>
        </w:rPr>
        <w:t>(</w:t>
      </w:r>
      <w:r w:rsidRPr="008A25E7" w:rsidR="00A26353">
        <w:rPr>
          <w:szCs w:val="22"/>
        </w:rPr>
        <w:t xml:space="preserve">assignment of spectrum </w:t>
      </w:r>
      <w:r w:rsidRPr="008A25E7" w:rsidR="00DB2B7D">
        <w:rPr>
          <w:szCs w:val="22"/>
        </w:rPr>
        <w:t xml:space="preserve">under </w:t>
      </w:r>
      <w:r w:rsidRPr="008A25E7" w:rsidR="00FB3237">
        <w:rPr>
          <w:szCs w:val="22"/>
        </w:rPr>
        <w:t>Station WQCP809</w:t>
      </w:r>
      <w:r w:rsidRPr="008A25E7" w:rsidR="009330E4">
        <w:rPr>
          <w:szCs w:val="22"/>
        </w:rPr>
        <w:t>)</w:t>
      </w:r>
      <w:r w:rsidRPr="008A25E7" w:rsidR="00A26353">
        <w:rPr>
          <w:szCs w:val="22"/>
        </w:rPr>
        <w:t>.</w:t>
      </w:r>
      <w:r>
        <w:rPr>
          <w:rStyle w:val="FootnoteReference"/>
          <w:szCs w:val="22"/>
        </w:rPr>
        <w:footnoteReference w:id="32"/>
      </w:r>
      <w:r w:rsidRPr="008A25E7" w:rsidR="00A55E67">
        <w:rPr>
          <w:szCs w:val="22"/>
        </w:rPr>
        <w:t xml:space="preserve"> </w:t>
      </w:r>
      <w:r w:rsidRPr="008A25E7" w:rsidR="00257935">
        <w:rPr>
          <w:szCs w:val="22"/>
        </w:rPr>
        <w:t xml:space="preserve"> </w:t>
      </w:r>
      <w:r w:rsidRPr="008A25E7" w:rsidR="001720EB">
        <w:rPr>
          <w:szCs w:val="22"/>
        </w:rPr>
        <w:t xml:space="preserve">The </w:t>
      </w:r>
      <w:r w:rsidRPr="008A25E7" w:rsidR="00741716">
        <w:rPr>
          <w:szCs w:val="22"/>
        </w:rPr>
        <w:t xml:space="preserve">trial </w:t>
      </w:r>
      <w:r w:rsidRPr="008A25E7" w:rsidR="001720EB">
        <w:rPr>
          <w:szCs w:val="22"/>
        </w:rPr>
        <w:t xml:space="preserve">court denied </w:t>
      </w:r>
      <w:r w:rsidRPr="008A25E7" w:rsidR="00257935">
        <w:rPr>
          <w:szCs w:val="22"/>
        </w:rPr>
        <w:t>Havens</w:t>
      </w:r>
      <w:r w:rsidRPr="008A25E7" w:rsidR="00EF4530">
        <w:rPr>
          <w:szCs w:val="22"/>
        </w:rPr>
        <w:t>’</w:t>
      </w:r>
      <w:r w:rsidRPr="008A25E7" w:rsidR="00257935">
        <w:rPr>
          <w:szCs w:val="22"/>
        </w:rPr>
        <w:t xml:space="preserve"> </w:t>
      </w:r>
      <w:r w:rsidRPr="008A25E7" w:rsidR="001720EB">
        <w:rPr>
          <w:szCs w:val="22"/>
        </w:rPr>
        <w:t xml:space="preserve">request for </w:t>
      </w:r>
      <w:r w:rsidRPr="008A25E7" w:rsidR="00257935">
        <w:rPr>
          <w:szCs w:val="22"/>
        </w:rPr>
        <w:t xml:space="preserve">specific performance </w:t>
      </w:r>
      <w:r w:rsidRPr="008A25E7" w:rsidR="00AD200B">
        <w:rPr>
          <w:szCs w:val="22"/>
        </w:rPr>
        <w:t>on reconsideration</w:t>
      </w:r>
      <w:r w:rsidRPr="008A25E7" w:rsidR="00AF29C8">
        <w:rPr>
          <w:szCs w:val="22"/>
        </w:rPr>
        <w:t>.</w:t>
      </w:r>
      <w:r>
        <w:rPr>
          <w:rStyle w:val="FootnoteReference"/>
          <w:szCs w:val="22"/>
        </w:rPr>
        <w:footnoteReference w:id="33"/>
      </w:r>
      <w:r w:rsidRPr="008A25E7" w:rsidR="00354181">
        <w:rPr>
          <w:szCs w:val="22"/>
        </w:rPr>
        <w:t xml:space="preserve">  </w:t>
      </w:r>
      <w:r w:rsidRPr="008A25E7" w:rsidR="00AF2F27">
        <w:rPr>
          <w:szCs w:val="22"/>
        </w:rPr>
        <w:t>Most recently, o</w:t>
      </w:r>
      <w:r w:rsidRPr="008A25E7" w:rsidR="0029676B">
        <w:rPr>
          <w:szCs w:val="22"/>
        </w:rPr>
        <w:t>n September 11, 2020,</w:t>
      </w:r>
      <w:r w:rsidRPr="008A25E7">
        <w:rPr>
          <w:szCs w:val="22"/>
        </w:rPr>
        <w:t xml:space="preserve"> the Nevada Supreme Court issued an </w:t>
      </w:r>
      <w:r w:rsidRPr="008A25E7" w:rsidR="00767873">
        <w:rPr>
          <w:i/>
          <w:iCs/>
          <w:szCs w:val="22"/>
        </w:rPr>
        <w:t>Order</w:t>
      </w:r>
      <w:r w:rsidRPr="008A25E7" w:rsidR="00767873">
        <w:rPr>
          <w:szCs w:val="22"/>
        </w:rPr>
        <w:t xml:space="preserve"> denying</w:t>
      </w:r>
      <w:r w:rsidRPr="008A25E7">
        <w:rPr>
          <w:szCs w:val="22"/>
        </w:rPr>
        <w:t xml:space="preserve"> Havens’ </w:t>
      </w:r>
      <w:r w:rsidRPr="008A25E7">
        <w:rPr>
          <w:szCs w:val="22"/>
        </w:rPr>
        <w:t>Petition for En Banc Reconsideration or Other Relief.</w:t>
      </w:r>
      <w:r>
        <w:rPr>
          <w:rStyle w:val="FootnoteReference"/>
          <w:szCs w:val="22"/>
        </w:rPr>
        <w:footnoteReference w:id="34"/>
      </w:r>
      <w:r w:rsidRPr="008A25E7" w:rsidR="00554C4C">
        <w:rPr>
          <w:szCs w:val="22"/>
        </w:rPr>
        <w:t xml:space="preserve">  </w:t>
      </w:r>
    </w:p>
    <w:p w:rsidR="006D5253" w:rsidRPr="008A25E7" w:rsidP="00C9049D" w14:paraId="7A9939E1" w14:textId="6D421A3F">
      <w:pPr>
        <w:pStyle w:val="ParaNum"/>
        <w:tabs>
          <w:tab w:val="clear" w:pos="1080"/>
        </w:tabs>
        <w:jc w:val="left"/>
        <w:rPr>
          <w:szCs w:val="22"/>
        </w:rPr>
      </w:pPr>
      <w:r w:rsidRPr="008A25E7">
        <w:rPr>
          <w:szCs w:val="22"/>
        </w:rPr>
        <w:t xml:space="preserve">It is well established that the </w:t>
      </w:r>
      <w:r w:rsidRPr="008A25E7" w:rsidR="00AE2722">
        <w:rPr>
          <w:szCs w:val="22"/>
        </w:rPr>
        <w:t xml:space="preserve">Commission </w:t>
      </w:r>
      <w:r w:rsidRPr="008A25E7">
        <w:rPr>
          <w:szCs w:val="22"/>
        </w:rPr>
        <w:t xml:space="preserve">will not </w:t>
      </w:r>
      <w:r w:rsidRPr="008A25E7" w:rsidR="00AE2722">
        <w:rPr>
          <w:szCs w:val="22"/>
        </w:rPr>
        <w:t xml:space="preserve">defer action on assignment applications pending the resolution of </w:t>
      </w:r>
      <w:r w:rsidRPr="008A25E7" w:rsidR="007438F3">
        <w:rPr>
          <w:szCs w:val="22"/>
        </w:rPr>
        <w:t xml:space="preserve">private </w:t>
      </w:r>
      <w:r w:rsidRPr="008A25E7" w:rsidR="00AE2722">
        <w:rPr>
          <w:szCs w:val="22"/>
        </w:rPr>
        <w:t>litigation</w:t>
      </w:r>
      <w:r w:rsidRPr="008A25E7" w:rsidR="007438F3">
        <w:rPr>
          <w:szCs w:val="22"/>
        </w:rPr>
        <w:t>.</w:t>
      </w:r>
      <w:r>
        <w:rPr>
          <w:rStyle w:val="FootnoteReference"/>
          <w:szCs w:val="22"/>
        </w:rPr>
        <w:footnoteReference w:id="35"/>
      </w:r>
      <w:r w:rsidRPr="008A25E7" w:rsidR="007438F3">
        <w:rPr>
          <w:szCs w:val="22"/>
        </w:rPr>
        <w:t xml:space="preserve"> </w:t>
      </w:r>
      <w:r w:rsidRPr="008A25E7" w:rsidR="004C6C18">
        <w:rPr>
          <w:szCs w:val="22"/>
        </w:rPr>
        <w:t xml:space="preserve"> In 2009, t</w:t>
      </w:r>
      <w:r w:rsidRPr="008A25E7">
        <w:rPr>
          <w:szCs w:val="22"/>
        </w:rPr>
        <w:t>he Bureau</w:t>
      </w:r>
      <w:r w:rsidRPr="008A25E7" w:rsidR="005B7086">
        <w:rPr>
          <w:szCs w:val="22"/>
        </w:rPr>
        <w:t xml:space="preserve"> found that the Nevada litigation involved private contractual matters</w:t>
      </w:r>
      <w:r w:rsidRPr="008A25E7" w:rsidR="00C708FA">
        <w:rPr>
          <w:szCs w:val="22"/>
        </w:rPr>
        <w:t>,</w:t>
      </w:r>
      <w:r w:rsidRPr="008A25E7" w:rsidR="009000A0">
        <w:rPr>
          <w:szCs w:val="22"/>
        </w:rPr>
        <w:t xml:space="preserve"> and </w:t>
      </w:r>
      <w:r w:rsidRPr="008A25E7">
        <w:rPr>
          <w:szCs w:val="22"/>
        </w:rPr>
        <w:t xml:space="preserve">rejected </w:t>
      </w:r>
      <w:r w:rsidRPr="008A25E7" w:rsidR="004C6C18">
        <w:rPr>
          <w:szCs w:val="22"/>
        </w:rPr>
        <w:t xml:space="preserve">Havens’ </w:t>
      </w:r>
      <w:r w:rsidRPr="008A25E7">
        <w:rPr>
          <w:szCs w:val="22"/>
        </w:rPr>
        <w:t>argument</w:t>
      </w:r>
      <w:r w:rsidRPr="008A25E7" w:rsidR="000343FA">
        <w:rPr>
          <w:szCs w:val="22"/>
        </w:rPr>
        <w:t xml:space="preserve"> that </w:t>
      </w:r>
      <w:r w:rsidRPr="008A25E7" w:rsidR="00503773">
        <w:rPr>
          <w:szCs w:val="22"/>
        </w:rPr>
        <w:t>its pendency</w:t>
      </w:r>
      <w:r w:rsidRPr="008A25E7" w:rsidR="000343FA">
        <w:rPr>
          <w:szCs w:val="22"/>
        </w:rPr>
        <w:t xml:space="preserve"> </w:t>
      </w:r>
      <w:r w:rsidRPr="008A25E7" w:rsidR="00FC3537">
        <w:rPr>
          <w:szCs w:val="22"/>
        </w:rPr>
        <w:t>provided a basis for denying an application to assign spectrum under Station WQCP809 from Kurian to NorthWestern Corporation</w:t>
      </w:r>
      <w:r w:rsidRPr="008A25E7" w:rsidR="00C708FA">
        <w:rPr>
          <w:szCs w:val="22"/>
        </w:rPr>
        <w:t>.</w:t>
      </w:r>
      <w:r>
        <w:rPr>
          <w:rStyle w:val="FootnoteReference"/>
          <w:szCs w:val="22"/>
        </w:rPr>
        <w:footnoteReference w:id="36"/>
      </w:r>
      <w:r w:rsidRPr="008A25E7" w:rsidR="00C708FA">
        <w:rPr>
          <w:szCs w:val="22"/>
        </w:rPr>
        <w:t xml:space="preserve"> </w:t>
      </w:r>
      <w:r w:rsidRPr="008A25E7">
        <w:rPr>
          <w:szCs w:val="22"/>
        </w:rPr>
        <w:t xml:space="preserve"> The Commission affirmed that decision,</w:t>
      </w:r>
      <w:r>
        <w:rPr>
          <w:rStyle w:val="FootnoteReference"/>
          <w:szCs w:val="22"/>
        </w:rPr>
        <w:footnoteReference w:id="37"/>
      </w:r>
      <w:r w:rsidRPr="008A25E7">
        <w:rPr>
          <w:szCs w:val="22"/>
        </w:rPr>
        <w:t xml:space="preserve"> and the U.S. Court of Appeals affirmed the Commission’s decision.</w:t>
      </w:r>
      <w:r>
        <w:rPr>
          <w:rStyle w:val="FootnoteReference"/>
          <w:szCs w:val="22"/>
        </w:rPr>
        <w:footnoteReference w:id="38"/>
      </w:r>
    </w:p>
    <w:p w:rsidR="00BF3315" w:rsidRPr="008A25E7" w:rsidP="00C9049D" w14:paraId="14411851" w14:textId="4B70F475">
      <w:pPr>
        <w:pStyle w:val="ParaNum"/>
        <w:tabs>
          <w:tab w:val="clear" w:pos="1080"/>
        </w:tabs>
        <w:jc w:val="left"/>
        <w:rPr>
          <w:szCs w:val="22"/>
        </w:rPr>
      </w:pPr>
      <w:r w:rsidRPr="008A25E7">
        <w:rPr>
          <w:szCs w:val="22"/>
        </w:rPr>
        <w:t>A</w:t>
      </w:r>
      <w:r w:rsidRPr="008A25E7" w:rsidR="00BC4FD9">
        <w:rPr>
          <w:szCs w:val="22"/>
        </w:rPr>
        <w:t xml:space="preserve">bsent </w:t>
      </w:r>
      <w:r w:rsidRPr="008A25E7" w:rsidR="00AE2722">
        <w:rPr>
          <w:szCs w:val="22"/>
        </w:rPr>
        <w:t>a stay or injunction issued by a court,</w:t>
      </w:r>
      <w:r w:rsidRPr="008A25E7" w:rsidR="008522BC">
        <w:rPr>
          <w:szCs w:val="22"/>
        </w:rPr>
        <w:t xml:space="preserve"> </w:t>
      </w:r>
      <w:r w:rsidRPr="008A25E7" w:rsidR="00AE2722">
        <w:rPr>
          <w:szCs w:val="22"/>
        </w:rPr>
        <w:t>the Commission routinely act</w:t>
      </w:r>
      <w:r w:rsidRPr="008A25E7" w:rsidR="00757C1F">
        <w:rPr>
          <w:szCs w:val="22"/>
        </w:rPr>
        <w:t>s</w:t>
      </w:r>
      <w:r w:rsidRPr="008A25E7" w:rsidR="00AE2722">
        <w:rPr>
          <w:szCs w:val="22"/>
        </w:rPr>
        <w:t xml:space="preserve"> on license assignment applications pending resolution of private disputes.</w:t>
      </w:r>
      <w:r>
        <w:rPr>
          <w:rStyle w:val="FootnoteReference"/>
          <w:szCs w:val="22"/>
        </w:rPr>
        <w:footnoteReference w:id="39"/>
      </w:r>
      <w:r w:rsidRPr="008A25E7" w:rsidR="00AE2722">
        <w:rPr>
          <w:szCs w:val="22"/>
        </w:rPr>
        <w:t xml:space="preserve"> </w:t>
      </w:r>
      <w:r w:rsidRPr="008A25E7" w:rsidR="00C9049D">
        <w:rPr>
          <w:szCs w:val="22"/>
        </w:rPr>
        <w:t xml:space="preserve"> </w:t>
      </w:r>
      <w:r w:rsidRPr="008A25E7" w:rsidR="000F44B0">
        <w:rPr>
          <w:szCs w:val="22"/>
        </w:rPr>
        <w:t xml:space="preserve">Despite </w:t>
      </w:r>
      <w:r w:rsidRPr="008A25E7" w:rsidR="00760AC3">
        <w:rPr>
          <w:szCs w:val="22"/>
        </w:rPr>
        <w:t xml:space="preserve">more than a </w:t>
      </w:r>
      <w:r w:rsidRPr="008A25E7" w:rsidR="000F44B0">
        <w:rPr>
          <w:szCs w:val="22"/>
        </w:rPr>
        <w:t xml:space="preserve">decade of litigation, </w:t>
      </w:r>
      <w:r w:rsidRPr="008A25E7" w:rsidR="00F3098C">
        <w:rPr>
          <w:szCs w:val="22"/>
        </w:rPr>
        <w:t xml:space="preserve">Petitioners have not </w:t>
      </w:r>
      <w:r w:rsidRPr="008A25E7" w:rsidR="00EE78B4">
        <w:rPr>
          <w:szCs w:val="22"/>
        </w:rPr>
        <w:t xml:space="preserve">presented a court order holding that </w:t>
      </w:r>
      <w:r w:rsidRPr="008A25E7" w:rsidR="004C7FEF">
        <w:rPr>
          <w:szCs w:val="22"/>
        </w:rPr>
        <w:t xml:space="preserve">Havens is </w:t>
      </w:r>
      <w:r w:rsidRPr="008A25E7" w:rsidR="00EE78B4">
        <w:rPr>
          <w:szCs w:val="22"/>
        </w:rPr>
        <w:t xml:space="preserve">entitled to </w:t>
      </w:r>
      <w:r w:rsidRPr="008A25E7" w:rsidR="007F7C34">
        <w:rPr>
          <w:szCs w:val="22"/>
        </w:rPr>
        <w:t xml:space="preserve">enforce a putative contract for </w:t>
      </w:r>
      <w:r w:rsidRPr="008A25E7" w:rsidR="00C80E5D">
        <w:rPr>
          <w:szCs w:val="22"/>
        </w:rPr>
        <w:t xml:space="preserve">assignment </w:t>
      </w:r>
      <w:r w:rsidRPr="008A25E7" w:rsidR="007F7C34">
        <w:rPr>
          <w:szCs w:val="22"/>
        </w:rPr>
        <w:t xml:space="preserve">of spectrum under </w:t>
      </w:r>
      <w:r w:rsidRPr="008A25E7" w:rsidR="00EC640E">
        <w:rPr>
          <w:szCs w:val="22"/>
        </w:rPr>
        <w:t>Station WQCP809</w:t>
      </w:r>
      <w:r w:rsidRPr="008A25E7" w:rsidR="00EE78B4">
        <w:rPr>
          <w:szCs w:val="22"/>
        </w:rPr>
        <w:t xml:space="preserve">. </w:t>
      </w:r>
      <w:r w:rsidRPr="008A25E7" w:rsidR="00750DC4">
        <w:rPr>
          <w:szCs w:val="22"/>
        </w:rPr>
        <w:t xml:space="preserve"> </w:t>
      </w:r>
      <w:r w:rsidRPr="008A25E7" w:rsidR="00EE78B4">
        <w:rPr>
          <w:szCs w:val="22"/>
        </w:rPr>
        <w:t xml:space="preserve">Consequently, the </w:t>
      </w:r>
      <w:r w:rsidRPr="008A25E7" w:rsidR="00597759">
        <w:rPr>
          <w:szCs w:val="22"/>
        </w:rPr>
        <w:t xml:space="preserve">Nevada </w:t>
      </w:r>
      <w:r w:rsidRPr="008A25E7" w:rsidR="00EE78B4">
        <w:rPr>
          <w:szCs w:val="22"/>
        </w:rPr>
        <w:t>litigation</w:t>
      </w:r>
      <w:r w:rsidRPr="008A25E7" w:rsidR="00EC640E">
        <w:rPr>
          <w:szCs w:val="22"/>
        </w:rPr>
        <w:t xml:space="preserve"> </w:t>
      </w:r>
      <w:r w:rsidRPr="008A25E7" w:rsidR="00EE78B4">
        <w:rPr>
          <w:szCs w:val="22"/>
        </w:rPr>
        <w:t>pr</w:t>
      </w:r>
      <w:r w:rsidRPr="008A25E7" w:rsidR="006F042A">
        <w:rPr>
          <w:szCs w:val="22"/>
        </w:rPr>
        <w:t xml:space="preserve">ovides </w:t>
      </w:r>
      <w:r w:rsidRPr="008A25E7" w:rsidR="00EE78B4">
        <w:rPr>
          <w:szCs w:val="22"/>
        </w:rPr>
        <w:t xml:space="preserve">no basis for denying the </w:t>
      </w:r>
      <w:r w:rsidRPr="008A25E7" w:rsidR="00076047">
        <w:rPr>
          <w:szCs w:val="22"/>
        </w:rPr>
        <w:t>A</w:t>
      </w:r>
      <w:r w:rsidRPr="008A25E7" w:rsidR="00EE78B4">
        <w:rPr>
          <w:szCs w:val="22"/>
        </w:rPr>
        <w:t>pplication</w:t>
      </w:r>
      <w:r w:rsidRPr="008A25E7" w:rsidR="00CE5700">
        <w:rPr>
          <w:szCs w:val="22"/>
        </w:rPr>
        <w:t xml:space="preserve"> to assign spectrum </w:t>
      </w:r>
      <w:r w:rsidRPr="008A25E7" w:rsidR="00F462FB">
        <w:rPr>
          <w:szCs w:val="22"/>
        </w:rPr>
        <w:t xml:space="preserve">under Station WQCP809 </w:t>
      </w:r>
      <w:r w:rsidRPr="008A25E7" w:rsidR="00CE5700">
        <w:rPr>
          <w:szCs w:val="22"/>
        </w:rPr>
        <w:t>from Kurian to PTC-220</w:t>
      </w:r>
      <w:r w:rsidRPr="008A25E7" w:rsidR="00EE78B4">
        <w:rPr>
          <w:szCs w:val="22"/>
        </w:rPr>
        <w:t xml:space="preserve">.  Kurian and </w:t>
      </w:r>
      <w:r w:rsidRPr="008A25E7" w:rsidR="001D154A">
        <w:rPr>
          <w:szCs w:val="22"/>
        </w:rPr>
        <w:t xml:space="preserve">PTC-220 </w:t>
      </w:r>
      <w:r w:rsidRPr="008A25E7" w:rsidR="00EE78B4">
        <w:rPr>
          <w:szCs w:val="22"/>
        </w:rPr>
        <w:t xml:space="preserve">may consummate the assignment at their own risk that </w:t>
      </w:r>
      <w:r w:rsidRPr="008A25E7" w:rsidR="00417AC6">
        <w:rPr>
          <w:szCs w:val="22"/>
        </w:rPr>
        <w:t xml:space="preserve">Havens </w:t>
      </w:r>
      <w:r w:rsidRPr="008A25E7" w:rsidR="009E3672">
        <w:rPr>
          <w:szCs w:val="22"/>
        </w:rPr>
        <w:t>might</w:t>
      </w:r>
      <w:r w:rsidRPr="008A25E7" w:rsidR="009E5614">
        <w:rPr>
          <w:szCs w:val="22"/>
        </w:rPr>
        <w:t xml:space="preserve"> </w:t>
      </w:r>
      <w:r w:rsidRPr="008A25E7" w:rsidR="00F57A08">
        <w:rPr>
          <w:szCs w:val="22"/>
        </w:rPr>
        <w:t xml:space="preserve">ultimately </w:t>
      </w:r>
      <w:r w:rsidRPr="008A25E7" w:rsidR="00EE78B4">
        <w:rPr>
          <w:szCs w:val="22"/>
        </w:rPr>
        <w:t xml:space="preserve">prevail in </w:t>
      </w:r>
      <w:r w:rsidRPr="008A25E7" w:rsidR="00680E3D">
        <w:rPr>
          <w:szCs w:val="22"/>
        </w:rPr>
        <w:t xml:space="preserve">the </w:t>
      </w:r>
      <w:r w:rsidRPr="008A25E7" w:rsidR="00BF4F55">
        <w:rPr>
          <w:szCs w:val="22"/>
        </w:rPr>
        <w:t xml:space="preserve">Nevada </w:t>
      </w:r>
      <w:r w:rsidRPr="008A25E7" w:rsidR="00EE78B4">
        <w:rPr>
          <w:szCs w:val="22"/>
        </w:rPr>
        <w:t>litigation.</w:t>
      </w:r>
      <w:r>
        <w:rPr>
          <w:rStyle w:val="FootnoteReference"/>
          <w:szCs w:val="22"/>
        </w:rPr>
        <w:footnoteReference w:id="40"/>
      </w:r>
    </w:p>
    <w:p w:rsidR="00440D9F" w:rsidRPr="008A25E7" w:rsidP="001131C6" w14:paraId="6BB003F8" w14:textId="701D2F91">
      <w:pPr>
        <w:pStyle w:val="ParaNum"/>
        <w:tabs>
          <w:tab w:val="clear" w:pos="1080"/>
        </w:tabs>
        <w:jc w:val="left"/>
        <w:rPr>
          <w:szCs w:val="22"/>
        </w:rPr>
      </w:pPr>
      <w:r w:rsidRPr="008A25E7">
        <w:rPr>
          <w:szCs w:val="22"/>
          <w:u w:val="single"/>
        </w:rPr>
        <w:t xml:space="preserve">Alleged </w:t>
      </w:r>
      <w:r w:rsidRPr="008A25E7" w:rsidR="0079570E">
        <w:rPr>
          <w:szCs w:val="22"/>
          <w:u w:val="single"/>
        </w:rPr>
        <w:t xml:space="preserve">Breach of Duty and </w:t>
      </w:r>
      <w:r w:rsidRPr="008A25E7">
        <w:rPr>
          <w:szCs w:val="22"/>
          <w:u w:val="single"/>
        </w:rPr>
        <w:t xml:space="preserve">Lack of </w:t>
      </w:r>
      <w:r w:rsidRPr="008A25E7" w:rsidR="00EA61AC">
        <w:rPr>
          <w:szCs w:val="22"/>
          <w:u w:val="single"/>
        </w:rPr>
        <w:t>Candor</w:t>
      </w:r>
      <w:r w:rsidRPr="008A25E7" w:rsidR="001131C6">
        <w:rPr>
          <w:szCs w:val="22"/>
        </w:rPr>
        <w:t xml:space="preserve">. </w:t>
      </w:r>
      <w:r w:rsidRPr="008A25E7" w:rsidR="00EA61AC">
        <w:rPr>
          <w:szCs w:val="22"/>
        </w:rPr>
        <w:t xml:space="preserve"> </w:t>
      </w:r>
      <w:r w:rsidRPr="008A25E7" w:rsidR="007266E9">
        <w:rPr>
          <w:szCs w:val="22"/>
        </w:rPr>
        <w:t>In their Petitio</w:t>
      </w:r>
      <w:r w:rsidRPr="008A25E7" w:rsidR="00B0637C">
        <w:rPr>
          <w:szCs w:val="22"/>
        </w:rPr>
        <w:t>n</w:t>
      </w:r>
      <w:r w:rsidRPr="008A25E7" w:rsidR="007266E9">
        <w:rPr>
          <w:szCs w:val="22"/>
        </w:rPr>
        <w:t xml:space="preserve"> to Deny, </w:t>
      </w:r>
      <w:r w:rsidRPr="008A25E7" w:rsidR="003E4086">
        <w:rPr>
          <w:szCs w:val="22"/>
        </w:rPr>
        <w:t xml:space="preserve">Petitioners </w:t>
      </w:r>
      <w:r w:rsidRPr="008A25E7" w:rsidR="00915EC5">
        <w:rPr>
          <w:szCs w:val="22"/>
        </w:rPr>
        <w:t xml:space="preserve">argue </w:t>
      </w:r>
      <w:r w:rsidRPr="008A25E7" w:rsidR="00417AC6">
        <w:rPr>
          <w:szCs w:val="22"/>
        </w:rPr>
        <w:t xml:space="preserve">that </w:t>
      </w:r>
      <w:r w:rsidRPr="008A25E7" w:rsidR="00EA61AC">
        <w:rPr>
          <w:szCs w:val="22"/>
        </w:rPr>
        <w:t xml:space="preserve">Kurian and PTC-220 had an affirmative duty to </w:t>
      </w:r>
      <w:r w:rsidRPr="008A25E7" w:rsidR="00F17EC4">
        <w:rPr>
          <w:szCs w:val="22"/>
        </w:rPr>
        <w:t xml:space="preserve">report </w:t>
      </w:r>
      <w:r w:rsidRPr="008A25E7" w:rsidR="00EA61AC">
        <w:rPr>
          <w:szCs w:val="22"/>
        </w:rPr>
        <w:t xml:space="preserve">the </w:t>
      </w:r>
      <w:r w:rsidRPr="008A25E7" w:rsidR="002914AF">
        <w:rPr>
          <w:szCs w:val="22"/>
        </w:rPr>
        <w:t xml:space="preserve">Nevada litigation </w:t>
      </w:r>
      <w:r w:rsidRPr="008A25E7" w:rsidR="006C1F6E">
        <w:rPr>
          <w:szCs w:val="22"/>
        </w:rPr>
        <w:t>in the Application</w:t>
      </w:r>
      <w:r w:rsidRPr="008A25E7" w:rsidR="00AD0952">
        <w:rPr>
          <w:szCs w:val="22"/>
        </w:rPr>
        <w:t>.</w:t>
      </w:r>
      <w:r>
        <w:rPr>
          <w:rStyle w:val="FootnoteReference"/>
          <w:szCs w:val="22"/>
        </w:rPr>
        <w:footnoteReference w:id="41"/>
      </w:r>
      <w:r w:rsidRPr="008A25E7" w:rsidR="006C1F6E">
        <w:rPr>
          <w:szCs w:val="22"/>
        </w:rPr>
        <w:t xml:space="preserve">  </w:t>
      </w:r>
      <w:r w:rsidRPr="008A25E7" w:rsidR="00B10D07">
        <w:rPr>
          <w:szCs w:val="22"/>
        </w:rPr>
        <w:t>They claim that</w:t>
      </w:r>
      <w:r w:rsidRPr="008A25E7" w:rsidR="00915EC5">
        <w:rPr>
          <w:szCs w:val="22"/>
        </w:rPr>
        <w:t xml:space="preserve"> </w:t>
      </w:r>
      <w:r w:rsidRPr="008A25E7" w:rsidR="005B08F9">
        <w:rPr>
          <w:szCs w:val="22"/>
        </w:rPr>
        <w:t>by not reporting the litigation,</w:t>
      </w:r>
      <w:r w:rsidRPr="008A25E7" w:rsidR="00B10D07">
        <w:rPr>
          <w:szCs w:val="22"/>
        </w:rPr>
        <w:t xml:space="preserve"> </w:t>
      </w:r>
      <w:r w:rsidRPr="008A25E7" w:rsidR="005B08F9">
        <w:rPr>
          <w:szCs w:val="22"/>
        </w:rPr>
        <w:t xml:space="preserve">Kurian and PTC-220 </w:t>
      </w:r>
      <w:r w:rsidRPr="008A25E7" w:rsidR="00D20DAA">
        <w:rPr>
          <w:szCs w:val="22"/>
        </w:rPr>
        <w:t>“breached duties to the FCC, i</w:t>
      </w:r>
      <w:r w:rsidRPr="008A25E7" w:rsidR="00D861E1">
        <w:rPr>
          <w:szCs w:val="22"/>
        </w:rPr>
        <w:t>n</w:t>
      </w:r>
      <w:r w:rsidRPr="008A25E7" w:rsidR="00D20DAA">
        <w:rPr>
          <w:szCs w:val="22"/>
        </w:rPr>
        <w:t>c</w:t>
      </w:r>
      <w:r w:rsidRPr="008A25E7" w:rsidR="00D861E1">
        <w:rPr>
          <w:szCs w:val="22"/>
        </w:rPr>
        <w:t xml:space="preserve">luding </w:t>
      </w:r>
      <w:r w:rsidRPr="008A25E7" w:rsidR="00D20DAA">
        <w:rPr>
          <w:szCs w:val="22"/>
        </w:rPr>
        <w:t>lack of candor, in the Applica</w:t>
      </w:r>
      <w:r w:rsidRPr="008A25E7" w:rsidR="00D861E1">
        <w:rPr>
          <w:szCs w:val="22"/>
        </w:rPr>
        <w:t>tion</w:t>
      </w:r>
      <w:r w:rsidRPr="008A25E7" w:rsidR="00D20DAA">
        <w:rPr>
          <w:szCs w:val="22"/>
        </w:rPr>
        <w:t>.”</w:t>
      </w:r>
      <w:r>
        <w:rPr>
          <w:rStyle w:val="FootnoteReference"/>
          <w:szCs w:val="22"/>
        </w:rPr>
        <w:footnoteReference w:id="42"/>
      </w:r>
      <w:r w:rsidRPr="008A25E7" w:rsidR="00037AE1">
        <w:rPr>
          <w:szCs w:val="22"/>
        </w:rPr>
        <w:t xml:space="preserve">  </w:t>
      </w:r>
      <w:r w:rsidRPr="008A25E7" w:rsidR="00E37616">
        <w:rPr>
          <w:szCs w:val="22"/>
        </w:rPr>
        <w:t>In its Opposition,</w:t>
      </w:r>
      <w:r w:rsidRPr="008A25E7" w:rsidR="00595634">
        <w:rPr>
          <w:szCs w:val="22"/>
        </w:rPr>
        <w:t xml:space="preserve"> PTC-220 </w:t>
      </w:r>
      <w:r w:rsidRPr="008A25E7" w:rsidR="007E5CA7">
        <w:rPr>
          <w:szCs w:val="22"/>
        </w:rPr>
        <w:t>respond</w:t>
      </w:r>
      <w:r w:rsidRPr="008A25E7" w:rsidR="0039409D">
        <w:rPr>
          <w:szCs w:val="22"/>
        </w:rPr>
        <w:t>s</w:t>
      </w:r>
      <w:r w:rsidRPr="008A25E7" w:rsidR="007E5CA7">
        <w:rPr>
          <w:szCs w:val="22"/>
        </w:rPr>
        <w:t xml:space="preserve"> </w:t>
      </w:r>
      <w:r w:rsidRPr="008A25E7" w:rsidR="00595634">
        <w:rPr>
          <w:szCs w:val="22"/>
        </w:rPr>
        <w:t>that</w:t>
      </w:r>
      <w:r w:rsidRPr="008A25E7" w:rsidR="0020491F">
        <w:rPr>
          <w:szCs w:val="22"/>
        </w:rPr>
        <w:t xml:space="preserve"> </w:t>
      </w:r>
      <w:r w:rsidRPr="008A25E7" w:rsidR="00291296">
        <w:rPr>
          <w:szCs w:val="22"/>
        </w:rPr>
        <w:t>t</w:t>
      </w:r>
      <w:r w:rsidRPr="008A25E7" w:rsidR="0039409D">
        <w:rPr>
          <w:szCs w:val="22"/>
        </w:rPr>
        <w:t>he Application provide</w:t>
      </w:r>
      <w:r w:rsidRPr="008A25E7" w:rsidR="00A877C0">
        <w:rPr>
          <w:szCs w:val="22"/>
        </w:rPr>
        <w:t>s</w:t>
      </w:r>
      <w:r w:rsidRPr="008A25E7" w:rsidR="00F361DA">
        <w:rPr>
          <w:szCs w:val="22"/>
        </w:rPr>
        <w:t xml:space="preserve"> the information req</w:t>
      </w:r>
      <w:r w:rsidRPr="008A25E7" w:rsidR="007D48CC">
        <w:rPr>
          <w:szCs w:val="22"/>
        </w:rPr>
        <w:t>u</w:t>
      </w:r>
      <w:r w:rsidRPr="008A25E7" w:rsidR="00F361DA">
        <w:rPr>
          <w:szCs w:val="22"/>
        </w:rPr>
        <w:t>ired</w:t>
      </w:r>
      <w:r w:rsidRPr="008A25E7" w:rsidR="007D48CC">
        <w:rPr>
          <w:szCs w:val="22"/>
        </w:rPr>
        <w:t xml:space="preserve"> by </w:t>
      </w:r>
      <w:r w:rsidRPr="008A25E7" w:rsidR="008A0299">
        <w:rPr>
          <w:szCs w:val="22"/>
        </w:rPr>
        <w:t>the Communications Act and the Commission</w:t>
      </w:r>
      <w:r w:rsidRPr="008A25E7" w:rsidR="00291296">
        <w:rPr>
          <w:szCs w:val="22"/>
        </w:rPr>
        <w:t>’</w:t>
      </w:r>
      <w:r w:rsidRPr="008A25E7" w:rsidR="008A0299">
        <w:rPr>
          <w:szCs w:val="22"/>
        </w:rPr>
        <w:t>s</w:t>
      </w:r>
      <w:r w:rsidRPr="008A25E7" w:rsidR="00291296">
        <w:rPr>
          <w:szCs w:val="22"/>
        </w:rPr>
        <w:t xml:space="preserve"> rules,</w:t>
      </w:r>
      <w:r w:rsidRPr="008A25E7" w:rsidR="008A0299">
        <w:rPr>
          <w:szCs w:val="22"/>
        </w:rPr>
        <w:t xml:space="preserve"> </w:t>
      </w:r>
      <w:r w:rsidRPr="008A25E7" w:rsidR="0007404A">
        <w:rPr>
          <w:szCs w:val="22"/>
        </w:rPr>
        <w:t xml:space="preserve">and </w:t>
      </w:r>
      <w:r w:rsidRPr="008A25E7" w:rsidR="00EE74E2">
        <w:rPr>
          <w:szCs w:val="22"/>
        </w:rPr>
        <w:t>that</w:t>
      </w:r>
      <w:r w:rsidRPr="008A25E7" w:rsidR="001D1A48">
        <w:rPr>
          <w:szCs w:val="22"/>
        </w:rPr>
        <w:t xml:space="preserve"> Petitioners</w:t>
      </w:r>
      <w:r w:rsidRPr="008A25E7" w:rsidR="0007404A">
        <w:rPr>
          <w:szCs w:val="22"/>
        </w:rPr>
        <w:t xml:space="preserve"> have not cited any precedent </w:t>
      </w:r>
      <w:r w:rsidRPr="008A25E7" w:rsidR="009C5A3D">
        <w:rPr>
          <w:szCs w:val="22"/>
        </w:rPr>
        <w:t>to support their claim that</w:t>
      </w:r>
      <w:r w:rsidRPr="008A25E7" w:rsidR="008E48C0">
        <w:rPr>
          <w:szCs w:val="22"/>
        </w:rPr>
        <w:t xml:space="preserve"> </w:t>
      </w:r>
      <w:r w:rsidRPr="008A25E7" w:rsidR="00C166B3">
        <w:rPr>
          <w:szCs w:val="22"/>
        </w:rPr>
        <w:t>disclos</w:t>
      </w:r>
      <w:r w:rsidRPr="008A25E7" w:rsidR="00A877C0">
        <w:rPr>
          <w:szCs w:val="22"/>
        </w:rPr>
        <w:t xml:space="preserve">ure </w:t>
      </w:r>
      <w:r w:rsidRPr="008A25E7" w:rsidR="008E48C0">
        <w:rPr>
          <w:szCs w:val="22"/>
        </w:rPr>
        <w:t>of the N</w:t>
      </w:r>
      <w:r w:rsidRPr="008A25E7" w:rsidR="00C166B3">
        <w:rPr>
          <w:szCs w:val="22"/>
        </w:rPr>
        <w:t>e</w:t>
      </w:r>
      <w:r w:rsidRPr="008A25E7" w:rsidR="008E48C0">
        <w:rPr>
          <w:szCs w:val="22"/>
        </w:rPr>
        <w:t>v</w:t>
      </w:r>
      <w:r w:rsidRPr="008A25E7" w:rsidR="00C166B3">
        <w:rPr>
          <w:szCs w:val="22"/>
        </w:rPr>
        <w:t>a</w:t>
      </w:r>
      <w:r w:rsidRPr="008A25E7" w:rsidR="008E48C0">
        <w:rPr>
          <w:szCs w:val="22"/>
        </w:rPr>
        <w:t>da li</w:t>
      </w:r>
      <w:r w:rsidRPr="008A25E7" w:rsidR="00C166B3">
        <w:rPr>
          <w:szCs w:val="22"/>
        </w:rPr>
        <w:t xml:space="preserve">tigation </w:t>
      </w:r>
      <w:r w:rsidRPr="008A25E7" w:rsidR="008E48C0">
        <w:rPr>
          <w:szCs w:val="22"/>
        </w:rPr>
        <w:t>in the A</w:t>
      </w:r>
      <w:r w:rsidRPr="008A25E7" w:rsidR="00C166B3">
        <w:rPr>
          <w:szCs w:val="22"/>
        </w:rPr>
        <w:t>pplication</w:t>
      </w:r>
      <w:r w:rsidRPr="008A25E7" w:rsidR="00A877C0">
        <w:rPr>
          <w:szCs w:val="22"/>
        </w:rPr>
        <w:t xml:space="preserve"> was necessary</w:t>
      </w:r>
      <w:r w:rsidRPr="008A25E7" w:rsidR="00B72C2D">
        <w:rPr>
          <w:szCs w:val="22"/>
        </w:rPr>
        <w:t>.</w:t>
      </w:r>
      <w:r>
        <w:rPr>
          <w:rStyle w:val="FootnoteReference"/>
          <w:szCs w:val="22"/>
        </w:rPr>
        <w:footnoteReference w:id="43"/>
      </w:r>
      <w:r w:rsidRPr="008A25E7" w:rsidR="00595634">
        <w:rPr>
          <w:szCs w:val="22"/>
        </w:rPr>
        <w:t xml:space="preserve">  </w:t>
      </w:r>
      <w:r w:rsidRPr="008A25E7" w:rsidR="007266E9">
        <w:rPr>
          <w:szCs w:val="22"/>
        </w:rPr>
        <w:t xml:space="preserve">In their Reply, </w:t>
      </w:r>
      <w:r w:rsidRPr="008A25E7" w:rsidR="0050778A">
        <w:rPr>
          <w:szCs w:val="22"/>
        </w:rPr>
        <w:t xml:space="preserve">Petitioners </w:t>
      </w:r>
      <w:r w:rsidRPr="008A25E7" w:rsidR="00613A17">
        <w:rPr>
          <w:szCs w:val="22"/>
        </w:rPr>
        <w:t xml:space="preserve">argue that </w:t>
      </w:r>
      <w:r w:rsidRPr="008A25E7" w:rsidR="0050778A">
        <w:rPr>
          <w:szCs w:val="22"/>
        </w:rPr>
        <w:t xml:space="preserve">Kurian and PTC-220 </w:t>
      </w:r>
      <w:r w:rsidRPr="008A25E7" w:rsidR="00D3227A">
        <w:rPr>
          <w:szCs w:val="22"/>
        </w:rPr>
        <w:t xml:space="preserve">had </w:t>
      </w:r>
      <w:r w:rsidRPr="008A25E7" w:rsidR="0050778A">
        <w:rPr>
          <w:szCs w:val="22"/>
        </w:rPr>
        <w:t xml:space="preserve">an obligation to advise the Commission </w:t>
      </w:r>
      <w:r w:rsidRPr="008A25E7" w:rsidR="00FF598E">
        <w:rPr>
          <w:szCs w:val="22"/>
        </w:rPr>
        <w:t>“</w:t>
      </w:r>
      <w:r w:rsidRPr="008A25E7" w:rsidR="0050778A">
        <w:rPr>
          <w:szCs w:val="22"/>
        </w:rPr>
        <w:t>that</w:t>
      </w:r>
      <w:r w:rsidRPr="008A25E7" w:rsidR="00FF598E">
        <w:rPr>
          <w:szCs w:val="22"/>
        </w:rPr>
        <w:t xml:space="preserve"> they do not currently have any agreement to se</w:t>
      </w:r>
      <w:r w:rsidRPr="008A25E7" w:rsidR="004813E1">
        <w:rPr>
          <w:szCs w:val="22"/>
        </w:rPr>
        <w:t>ll</w:t>
      </w:r>
      <w:r w:rsidRPr="008A25E7" w:rsidR="00FF598E">
        <w:rPr>
          <w:szCs w:val="22"/>
        </w:rPr>
        <w:t xml:space="preserve">/buy the </w:t>
      </w:r>
      <w:r w:rsidRPr="008A25E7" w:rsidR="00FF598E">
        <w:rPr>
          <w:szCs w:val="22"/>
        </w:rPr>
        <w:t xml:space="preserve">spectrum in the </w:t>
      </w:r>
      <w:r w:rsidRPr="008A25E7" w:rsidR="00D3227A">
        <w:rPr>
          <w:szCs w:val="22"/>
        </w:rPr>
        <w:t>assignment,</w:t>
      </w:r>
      <w:r w:rsidRPr="008A25E7" w:rsidR="0050778A">
        <w:rPr>
          <w:szCs w:val="22"/>
        </w:rPr>
        <w:t xml:space="preserve"> </w:t>
      </w:r>
      <w:r w:rsidRPr="008A25E7" w:rsidR="004813E1">
        <w:rPr>
          <w:szCs w:val="22"/>
        </w:rPr>
        <w:t xml:space="preserve">but have a ‘no contract’ now for </w:t>
      </w:r>
      <w:r w:rsidRPr="008A25E7" w:rsidR="00CC1439">
        <w:rPr>
          <w:szCs w:val="22"/>
        </w:rPr>
        <w:t>‘</w:t>
      </w:r>
      <w:r w:rsidRPr="008A25E7" w:rsidR="004813E1">
        <w:rPr>
          <w:szCs w:val="22"/>
        </w:rPr>
        <w:t>the</w:t>
      </w:r>
      <w:r w:rsidRPr="008A25E7" w:rsidR="00CC1439">
        <w:rPr>
          <w:szCs w:val="22"/>
        </w:rPr>
        <w:t xml:space="preserve"> sale’ later deal, document</w:t>
      </w:r>
      <w:r w:rsidRPr="008A25E7" w:rsidR="003D0FF5">
        <w:rPr>
          <w:szCs w:val="22"/>
        </w:rPr>
        <w:t>ation</w:t>
      </w:r>
      <w:r w:rsidRPr="008A25E7" w:rsidR="00CC1439">
        <w:rPr>
          <w:szCs w:val="22"/>
        </w:rPr>
        <w:t xml:space="preserve"> of which they hide.”</w:t>
      </w:r>
      <w:r>
        <w:rPr>
          <w:rStyle w:val="FootnoteReference"/>
          <w:szCs w:val="22"/>
        </w:rPr>
        <w:footnoteReference w:id="44"/>
      </w:r>
      <w:r w:rsidRPr="008A25E7" w:rsidR="003D0FF5">
        <w:rPr>
          <w:szCs w:val="22"/>
        </w:rPr>
        <w:t xml:space="preserve"> </w:t>
      </w:r>
      <w:r w:rsidRPr="008A25E7" w:rsidR="004813E1">
        <w:rPr>
          <w:szCs w:val="22"/>
        </w:rPr>
        <w:t xml:space="preserve"> </w:t>
      </w:r>
      <w:r w:rsidRPr="008A25E7" w:rsidR="00101613">
        <w:rPr>
          <w:szCs w:val="22"/>
        </w:rPr>
        <w:t>Peti</w:t>
      </w:r>
      <w:r w:rsidRPr="008A25E7" w:rsidR="00BD5645">
        <w:rPr>
          <w:szCs w:val="22"/>
        </w:rPr>
        <w:t xml:space="preserve">tioners </w:t>
      </w:r>
      <w:r w:rsidRPr="008A25E7" w:rsidR="00101613">
        <w:rPr>
          <w:szCs w:val="22"/>
        </w:rPr>
        <w:t xml:space="preserve">claim </w:t>
      </w:r>
      <w:r w:rsidRPr="008A25E7" w:rsidR="00BD5645">
        <w:rPr>
          <w:szCs w:val="22"/>
        </w:rPr>
        <w:t xml:space="preserve">that </w:t>
      </w:r>
      <w:r w:rsidRPr="008A25E7" w:rsidR="002A0983">
        <w:rPr>
          <w:szCs w:val="22"/>
        </w:rPr>
        <w:t>the</w:t>
      </w:r>
      <w:r w:rsidRPr="008A25E7" w:rsidR="00E75A6E">
        <w:rPr>
          <w:szCs w:val="22"/>
        </w:rPr>
        <w:t>se</w:t>
      </w:r>
      <w:r w:rsidRPr="008A25E7" w:rsidR="002A0983">
        <w:rPr>
          <w:szCs w:val="22"/>
        </w:rPr>
        <w:t xml:space="preserve"> </w:t>
      </w:r>
      <w:r w:rsidRPr="008A25E7" w:rsidR="00BD5645">
        <w:rPr>
          <w:szCs w:val="22"/>
        </w:rPr>
        <w:t>assertion</w:t>
      </w:r>
      <w:r w:rsidRPr="008A25E7" w:rsidR="002A0983">
        <w:rPr>
          <w:szCs w:val="22"/>
        </w:rPr>
        <w:t>s</w:t>
      </w:r>
      <w:r w:rsidRPr="008A25E7" w:rsidR="00BD5645">
        <w:rPr>
          <w:szCs w:val="22"/>
        </w:rPr>
        <w:t xml:space="preserve"> warrant </w:t>
      </w:r>
      <w:r w:rsidRPr="008A25E7" w:rsidR="009C1242">
        <w:rPr>
          <w:szCs w:val="22"/>
        </w:rPr>
        <w:t xml:space="preserve">that </w:t>
      </w:r>
      <w:r w:rsidRPr="008A25E7" w:rsidR="00385AAA">
        <w:rPr>
          <w:szCs w:val="22"/>
        </w:rPr>
        <w:t>the Commission conduc</w:t>
      </w:r>
      <w:r w:rsidRPr="008A25E7" w:rsidR="002A0983">
        <w:rPr>
          <w:szCs w:val="22"/>
        </w:rPr>
        <w:t>t</w:t>
      </w:r>
      <w:r w:rsidRPr="008A25E7" w:rsidR="00385AAA">
        <w:rPr>
          <w:szCs w:val="22"/>
        </w:rPr>
        <w:t xml:space="preserve"> a hearing proceeding.</w:t>
      </w:r>
      <w:r>
        <w:rPr>
          <w:rStyle w:val="FootnoteReference"/>
          <w:szCs w:val="22"/>
        </w:rPr>
        <w:footnoteReference w:id="45"/>
      </w:r>
      <w:r w:rsidRPr="008A25E7" w:rsidR="00BD5645">
        <w:rPr>
          <w:szCs w:val="22"/>
        </w:rPr>
        <w:t xml:space="preserve"> </w:t>
      </w:r>
    </w:p>
    <w:p w:rsidR="00B004B5" w:rsidRPr="008A25E7" w:rsidP="001131C6" w14:paraId="00F53113" w14:textId="7778F535">
      <w:pPr>
        <w:pStyle w:val="ParaNum"/>
        <w:tabs>
          <w:tab w:val="clear" w:pos="1080"/>
        </w:tabs>
        <w:jc w:val="left"/>
        <w:rPr>
          <w:szCs w:val="22"/>
        </w:rPr>
      </w:pPr>
      <w:r w:rsidRPr="008A25E7">
        <w:rPr>
          <w:szCs w:val="22"/>
        </w:rPr>
        <w:t>Petitioners</w:t>
      </w:r>
      <w:r w:rsidRPr="008A25E7" w:rsidR="005A3275">
        <w:rPr>
          <w:szCs w:val="22"/>
        </w:rPr>
        <w:t xml:space="preserve"> cite</w:t>
      </w:r>
      <w:r w:rsidRPr="008A25E7" w:rsidR="002977B3">
        <w:rPr>
          <w:szCs w:val="22"/>
        </w:rPr>
        <w:t xml:space="preserve"> </w:t>
      </w:r>
      <w:r w:rsidRPr="008A25E7" w:rsidR="0079570E">
        <w:rPr>
          <w:szCs w:val="22"/>
        </w:rPr>
        <w:t xml:space="preserve">one </w:t>
      </w:r>
      <w:r w:rsidRPr="008A25E7" w:rsidR="002977B3">
        <w:rPr>
          <w:szCs w:val="22"/>
        </w:rPr>
        <w:t xml:space="preserve">case, </w:t>
      </w:r>
      <w:r w:rsidRPr="008A25E7" w:rsidR="00A9082E">
        <w:rPr>
          <w:i/>
          <w:iCs/>
          <w:szCs w:val="22"/>
        </w:rPr>
        <w:t>WOKO v. FCC</w:t>
      </w:r>
      <w:r w:rsidRPr="008A25E7" w:rsidR="00A9082E">
        <w:rPr>
          <w:szCs w:val="22"/>
        </w:rPr>
        <w:t>,</w:t>
      </w:r>
      <w:r>
        <w:rPr>
          <w:rStyle w:val="FootnoteReference"/>
          <w:szCs w:val="22"/>
        </w:rPr>
        <w:footnoteReference w:id="46"/>
      </w:r>
      <w:r w:rsidRPr="008A25E7" w:rsidR="002977B3">
        <w:rPr>
          <w:szCs w:val="22"/>
        </w:rPr>
        <w:t xml:space="preserve"> </w:t>
      </w:r>
      <w:r w:rsidRPr="008A25E7" w:rsidR="005A3275">
        <w:rPr>
          <w:szCs w:val="22"/>
        </w:rPr>
        <w:t xml:space="preserve">to support </w:t>
      </w:r>
      <w:r w:rsidRPr="008A25E7" w:rsidR="00AE22E5">
        <w:rPr>
          <w:szCs w:val="22"/>
        </w:rPr>
        <w:t xml:space="preserve">their </w:t>
      </w:r>
      <w:r w:rsidRPr="008A25E7" w:rsidR="00A9082E">
        <w:rPr>
          <w:szCs w:val="22"/>
        </w:rPr>
        <w:t>claim</w:t>
      </w:r>
      <w:r w:rsidRPr="008A25E7" w:rsidR="002330BD">
        <w:rPr>
          <w:szCs w:val="22"/>
        </w:rPr>
        <w:t>s</w:t>
      </w:r>
      <w:r w:rsidRPr="008A25E7" w:rsidR="00A9082E">
        <w:rPr>
          <w:szCs w:val="22"/>
        </w:rPr>
        <w:t>.</w:t>
      </w:r>
      <w:r w:rsidRPr="008A25E7" w:rsidR="005A659C">
        <w:rPr>
          <w:szCs w:val="22"/>
        </w:rPr>
        <w:t xml:space="preserve">  </w:t>
      </w:r>
      <w:r w:rsidRPr="008A25E7" w:rsidR="009757E2">
        <w:rPr>
          <w:szCs w:val="22"/>
        </w:rPr>
        <w:t xml:space="preserve">In </w:t>
      </w:r>
      <w:r w:rsidRPr="008A25E7" w:rsidR="009757E2">
        <w:rPr>
          <w:i/>
          <w:szCs w:val="22"/>
        </w:rPr>
        <w:t>WOKO</w:t>
      </w:r>
      <w:r w:rsidRPr="008A25E7" w:rsidR="009757E2">
        <w:rPr>
          <w:szCs w:val="22"/>
        </w:rPr>
        <w:t xml:space="preserve">, the Commission refused to renew a </w:t>
      </w:r>
      <w:r w:rsidRPr="008A25E7" w:rsidR="00200CE0">
        <w:rPr>
          <w:szCs w:val="22"/>
        </w:rPr>
        <w:t xml:space="preserve">radio station </w:t>
      </w:r>
      <w:r w:rsidRPr="008A25E7" w:rsidR="009757E2">
        <w:rPr>
          <w:szCs w:val="22"/>
        </w:rPr>
        <w:t>license “because of misrepresentations made to the Commission</w:t>
      </w:r>
      <w:r w:rsidRPr="008A25E7" w:rsidR="00BC22CE">
        <w:rPr>
          <w:szCs w:val="22"/>
        </w:rPr>
        <w:t xml:space="preserve"> and its predecessor </w:t>
      </w:r>
      <w:r w:rsidRPr="008A25E7" w:rsidR="009757E2">
        <w:rPr>
          <w:szCs w:val="22"/>
        </w:rPr>
        <w:t>as to the ownership of the applicant’s capital stock</w:t>
      </w:r>
      <w:r w:rsidRPr="008A25E7" w:rsidR="006104B5">
        <w:rPr>
          <w:szCs w:val="22"/>
        </w:rPr>
        <w:t>,</w:t>
      </w:r>
      <w:r w:rsidRPr="008A25E7" w:rsidR="009757E2">
        <w:rPr>
          <w:szCs w:val="22"/>
        </w:rPr>
        <w:t>”</w:t>
      </w:r>
      <w:r w:rsidRPr="008A25E7" w:rsidR="006104B5">
        <w:rPr>
          <w:szCs w:val="22"/>
        </w:rPr>
        <w:t xml:space="preserve"> as well as </w:t>
      </w:r>
      <w:r w:rsidRPr="008A25E7" w:rsidR="000D4A49">
        <w:rPr>
          <w:szCs w:val="22"/>
        </w:rPr>
        <w:t>“</w:t>
      </w:r>
      <w:r w:rsidRPr="008A25E7" w:rsidR="009757E2">
        <w:rPr>
          <w:szCs w:val="22"/>
        </w:rPr>
        <w:t>false testimony</w:t>
      </w:r>
      <w:r w:rsidRPr="008A25E7" w:rsidR="005E37BC">
        <w:rPr>
          <w:szCs w:val="22"/>
        </w:rPr>
        <w:t>”</w:t>
      </w:r>
      <w:r w:rsidRPr="008A25E7" w:rsidR="009757E2">
        <w:rPr>
          <w:szCs w:val="22"/>
        </w:rPr>
        <w:t xml:space="preserve"> at </w:t>
      </w:r>
      <w:r w:rsidRPr="008A25E7" w:rsidR="00FC20D2">
        <w:rPr>
          <w:szCs w:val="22"/>
        </w:rPr>
        <w:t>Commission</w:t>
      </w:r>
      <w:r w:rsidRPr="008A25E7" w:rsidR="0086778A">
        <w:rPr>
          <w:szCs w:val="22"/>
        </w:rPr>
        <w:t xml:space="preserve"> </w:t>
      </w:r>
      <w:r w:rsidRPr="008A25E7" w:rsidR="009757E2">
        <w:rPr>
          <w:szCs w:val="22"/>
        </w:rPr>
        <w:t>hearings.</w:t>
      </w:r>
      <w:r>
        <w:rPr>
          <w:rStyle w:val="FootnoteReference"/>
          <w:szCs w:val="22"/>
        </w:rPr>
        <w:footnoteReference w:id="47"/>
      </w:r>
      <w:r w:rsidRPr="008A25E7" w:rsidR="009805F8">
        <w:rPr>
          <w:szCs w:val="22"/>
        </w:rPr>
        <w:t xml:space="preserve">  </w:t>
      </w:r>
      <w:r w:rsidRPr="008A25E7" w:rsidR="00312337">
        <w:rPr>
          <w:szCs w:val="22"/>
        </w:rPr>
        <w:t>Petitioners</w:t>
      </w:r>
      <w:r w:rsidRPr="008A25E7" w:rsidR="00FC20D2">
        <w:rPr>
          <w:szCs w:val="22"/>
        </w:rPr>
        <w:t>’</w:t>
      </w:r>
      <w:r w:rsidRPr="008A25E7" w:rsidR="00312337">
        <w:rPr>
          <w:szCs w:val="22"/>
        </w:rPr>
        <w:t xml:space="preserve"> reliance on </w:t>
      </w:r>
      <w:r w:rsidRPr="008A25E7" w:rsidR="00312337">
        <w:rPr>
          <w:i/>
          <w:iCs/>
          <w:szCs w:val="22"/>
        </w:rPr>
        <w:t>WOKO</w:t>
      </w:r>
      <w:r w:rsidRPr="008A25E7" w:rsidR="00312337">
        <w:rPr>
          <w:szCs w:val="22"/>
        </w:rPr>
        <w:t xml:space="preserve"> is misplaced.</w:t>
      </w:r>
      <w:r w:rsidRPr="008A25E7">
        <w:rPr>
          <w:szCs w:val="22"/>
        </w:rPr>
        <w:t xml:space="preserve">  </w:t>
      </w:r>
      <w:r w:rsidRPr="008A25E7" w:rsidR="009757E2">
        <w:rPr>
          <w:szCs w:val="22"/>
        </w:rPr>
        <w:t xml:space="preserve">Here, </w:t>
      </w:r>
      <w:r w:rsidRPr="008A25E7" w:rsidR="00E7323D">
        <w:rPr>
          <w:szCs w:val="22"/>
        </w:rPr>
        <w:t xml:space="preserve">unlike </w:t>
      </w:r>
      <w:r w:rsidRPr="008A25E7" w:rsidR="00E7323D">
        <w:rPr>
          <w:i/>
          <w:iCs/>
          <w:szCs w:val="22"/>
        </w:rPr>
        <w:t>WOKO</w:t>
      </w:r>
      <w:r w:rsidRPr="008A25E7" w:rsidR="00E7323D">
        <w:rPr>
          <w:szCs w:val="22"/>
        </w:rPr>
        <w:t xml:space="preserve">, </w:t>
      </w:r>
      <w:r w:rsidRPr="008A25E7" w:rsidR="009757E2">
        <w:rPr>
          <w:szCs w:val="22"/>
        </w:rPr>
        <w:t xml:space="preserve">neither Kurian nor PTC-220 provided false testimony or misrepresented facts to the Commission.  </w:t>
      </w:r>
      <w:r w:rsidRPr="008A25E7" w:rsidR="00723742">
        <w:rPr>
          <w:szCs w:val="22"/>
        </w:rPr>
        <w:t>T</w:t>
      </w:r>
      <w:r w:rsidRPr="008A25E7" w:rsidR="009757E2">
        <w:rPr>
          <w:szCs w:val="22"/>
        </w:rPr>
        <w:t>hey provid</w:t>
      </w:r>
      <w:r w:rsidRPr="008A25E7" w:rsidR="002024BB">
        <w:rPr>
          <w:szCs w:val="22"/>
        </w:rPr>
        <w:t xml:space="preserve">ed </w:t>
      </w:r>
      <w:r w:rsidRPr="008A25E7" w:rsidR="009757E2">
        <w:rPr>
          <w:szCs w:val="22"/>
        </w:rPr>
        <w:t>the information required by Section 308(b) of the Communications Act, as amended,</w:t>
      </w:r>
      <w:r>
        <w:rPr>
          <w:rStyle w:val="FootnoteReference"/>
          <w:szCs w:val="22"/>
        </w:rPr>
        <w:footnoteReference w:id="48"/>
      </w:r>
      <w:r w:rsidRPr="008A25E7" w:rsidR="009757E2">
        <w:rPr>
          <w:szCs w:val="22"/>
        </w:rPr>
        <w:t xml:space="preserve"> and</w:t>
      </w:r>
      <w:r w:rsidRPr="008A25E7" w:rsidR="00491292">
        <w:rPr>
          <w:szCs w:val="22"/>
        </w:rPr>
        <w:t xml:space="preserve"> </w:t>
      </w:r>
      <w:r w:rsidRPr="008A25E7" w:rsidR="004B5FAD">
        <w:rPr>
          <w:szCs w:val="22"/>
        </w:rPr>
        <w:t>s</w:t>
      </w:r>
      <w:r w:rsidRPr="008A25E7" w:rsidR="00491292">
        <w:rPr>
          <w:szCs w:val="22"/>
        </w:rPr>
        <w:t xml:space="preserve">ection </w:t>
      </w:r>
      <w:r w:rsidRPr="008A25E7" w:rsidR="00D44767">
        <w:rPr>
          <w:szCs w:val="22"/>
        </w:rPr>
        <w:t xml:space="preserve">1.948(c) of </w:t>
      </w:r>
      <w:r w:rsidRPr="008A25E7" w:rsidR="009757E2">
        <w:rPr>
          <w:szCs w:val="22"/>
        </w:rPr>
        <w:t>the Commission’s rules</w:t>
      </w:r>
      <w:r w:rsidRPr="008A25E7" w:rsidR="002024BB">
        <w:rPr>
          <w:szCs w:val="22"/>
        </w:rPr>
        <w:t xml:space="preserve"> in the Application</w:t>
      </w:r>
      <w:r w:rsidRPr="008A25E7" w:rsidR="009757E2">
        <w:rPr>
          <w:szCs w:val="22"/>
        </w:rPr>
        <w:t>.</w:t>
      </w:r>
      <w:r>
        <w:rPr>
          <w:rStyle w:val="FootnoteReference"/>
          <w:szCs w:val="22"/>
        </w:rPr>
        <w:footnoteReference w:id="49"/>
      </w:r>
    </w:p>
    <w:p w:rsidR="005414D2" w:rsidRPr="008A25E7" w:rsidP="001131C6" w14:paraId="68BCAB78" w14:textId="67B78C27">
      <w:pPr>
        <w:pStyle w:val="ParaNum"/>
        <w:tabs>
          <w:tab w:val="clear" w:pos="1080"/>
        </w:tabs>
        <w:jc w:val="left"/>
        <w:rPr>
          <w:szCs w:val="22"/>
        </w:rPr>
      </w:pPr>
      <w:r w:rsidRPr="008A25E7">
        <w:rPr>
          <w:szCs w:val="22"/>
        </w:rPr>
        <w:t xml:space="preserve">On the date </w:t>
      </w:r>
      <w:r w:rsidRPr="008A25E7" w:rsidR="00572629">
        <w:rPr>
          <w:szCs w:val="22"/>
        </w:rPr>
        <w:t xml:space="preserve">Kurian and PTC-220 </w:t>
      </w:r>
      <w:r w:rsidRPr="008A25E7" w:rsidR="002A1781">
        <w:rPr>
          <w:szCs w:val="22"/>
        </w:rPr>
        <w:t xml:space="preserve">filed the Application, </w:t>
      </w:r>
      <w:r w:rsidRPr="008A25E7" w:rsidR="00030E69">
        <w:rPr>
          <w:szCs w:val="22"/>
        </w:rPr>
        <w:t xml:space="preserve">there was no final order </w:t>
      </w:r>
      <w:r w:rsidRPr="008A25E7" w:rsidR="0048491F">
        <w:rPr>
          <w:szCs w:val="22"/>
        </w:rPr>
        <w:t xml:space="preserve">in the </w:t>
      </w:r>
      <w:r w:rsidRPr="008A25E7" w:rsidR="00370D18">
        <w:rPr>
          <w:szCs w:val="22"/>
        </w:rPr>
        <w:t xml:space="preserve">Nevada </w:t>
      </w:r>
      <w:r w:rsidRPr="008A25E7" w:rsidR="0048491F">
        <w:rPr>
          <w:szCs w:val="22"/>
        </w:rPr>
        <w:t xml:space="preserve">litigation </w:t>
      </w:r>
      <w:r w:rsidRPr="008A25E7" w:rsidR="00030E69">
        <w:rPr>
          <w:szCs w:val="22"/>
        </w:rPr>
        <w:t>that</w:t>
      </w:r>
      <w:r w:rsidRPr="008A25E7" w:rsidR="00370D18">
        <w:rPr>
          <w:szCs w:val="22"/>
        </w:rPr>
        <w:t xml:space="preserve"> would have</w:t>
      </w:r>
      <w:r w:rsidRPr="008A25E7" w:rsidR="00030E69">
        <w:rPr>
          <w:szCs w:val="22"/>
        </w:rPr>
        <w:t xml:space="preserve"> </w:t>
      </w:r>
      <w:r w:rsidRPr="008A25E7" w:rsidR="00370D18">
        <w:rPr>
          <w:szCs w:val="22"/>
        </w:rPr>
        <w:t xml:space="preserve">barred </w:t>
      </w:r>
      <w:r w:rsidRPr="008A25E7" w:rsidR="009757E2">
        <w:rPr>
          <w:szCs w:val="22"/>
        </w:rPr>
        <w:t xml:space="preserve">processing of </w:t>
      </w:r>
      <w:r w:rsidRPr="008A25E7" w:rsidR="00F94BFF">
        <w:rPr>
          <w:szCs w:val="22"/>
        </w:rPr>
        <w:t>the A</w:t>
      </w:r>
      <w:r w:rsidRPr="008A25E7" w:rsidR="009757E2">
        <w:rPr>
          <w:szCs w:val="22"/>
        </w:rPr>
        <w:t>pplication</w:t>
      </w:r>
      <w:r w:rsidRPr="008A25E7" w:rsidR="00370D18">
        <w:rPr>
          <w:szCs w:val="22"/>
        </w:rPr>
        <w:t xml:space="preserve"> nor has there been one since.</w:t>
      </w:r>
      <w:r w:rsidRPr="008A25E7" w:rsidR="009757E2">
        <w:rPr>
          <w:szCs w:val="22"/>
        </w:rPr>
        <w:t xml:space="preserve"> </w:t>
      </w:r>
      <w:r w:rsidRPr="008A25E7" w:rsidR="00B94055">
        <w:rPr>
          <w:szCs w:val="22"/>
        </w:rPr>
        <w:t xml:space="preserve"> Moreover, </w:t>
      </w:r>
      <w:r w:rsidRPr="008A25E7" w:rsidR="00314CCC">
        <w:rPr>
          <w:szCs w:val="22"/>
        </w:rPr>
        <w:t xml:space="preserve">we agree with </w:t>
      </w:r>
      <w:r w:rsidRPr="008A25E7" w:rsidR="00B94055">
        <w:rPr>
          <w:szCs w:val="22"/>
        </w:rPr>
        <w:t>PTC-220</w:t>
      </w:r>
      <w:r w:rsidRPr="008A25E7" w:rsidR="00314CCC">
        <w:rPr>
          <w:szCs w:val="22"/>
        </w:rPr>
        <w:t xml:space="preserve"> that </w:t>
      </w:r>
      <w:r w:rsidRPr="008A25E7" w:rsidR="00B94055">
        <w:rPr>
          <w:szCs w:val="22"/>
        </w:rPr>
        <w:t>“no FCC rule requires an executed contract to exist at the time of filing of an assignment application.”</w:t>
      </w:r>
      <w:r>
        <w:rPr>
          <w:rStyle w:val="FootnoteReference"/>
          <w:szCs w:val="22"/>
        </w:rPr>
        <w:footnoteReference w:id="50"/>
      </w:r>
      <w:r w:rsidRPr="008A25E7" w:rsidR="00B94055">
        <w:rPr>
          <w:szCs w:val="22"/>
        </w:rPr>
        <w:t xml:space="preserve">  </w:t>
      </w:r>
      <w:r w:rsidRPr="008A25E7" w:rsidR="001957FD">
        <w:rPr>
          <w:szCs w:val="22"/>
        </w:rPr>
        <w:t xml:space="preserve">Petitioners cite </w:t>
      </w:r>
      <w:r w:rsidRPr="008A25E7" w:rsidR="00635419">
        <w:rPr>
          <w:szCs w:val="22"/>
        </w:rPr>
        <w:t xml:space="preserve">no </w:t>
      </w:r>
      <w:r w:rsidRPr="008A25E7" w:rsidR="001957FD">
        <w:rPr>
          <w:szCs w:val="22"/>
        </w:rPr>
        <w:t>p</w:t>
      </w:r>
      <w:r w:rsidRPr="008A25E7" w:rsidR="00635419">
        <w:rPr>
          <w:szCs w:val="22"/>
        </w:rPr>
        <w:t>re</w:t>
      </w:r>
      <w:r w:rsidRPr="008A25E7" w:rsidR="001957FD">
        <w:rPr>
          <w:szCs w:val="22"/>
        </w:rPr>
        <w:t>ce</w:t>
      </w:r>
      <w:r w:rsidRPr="008A25E7" w:rsidR="00635419">
        <w:rPr>
          <w:szCs w:val="22"/>
        </w:rPr>
        <w:t>d</w:t>
      </w:r>
      <w:r w:rsidRPr="008A25E7" w:rsidR="001957FD">
        <w:rPr>
          <w:szCs w:val="22"/>
        </w:rPr>
        <w:t>e</w:t>
      </w:r>
      <w:r w:rsidRPr="008A25E7" w:rsidR="00635419">
        <w:rPr>
          <w:szCs w:val="22"/>
        </w:rPr>
        <w:t>n</w:t>
      </w:r>
      <w:r w:rsidRPr="008A25E7" w:rsidR="001957FD">
        <w:rPr>
          <w:szCs w:val="22"/>
        </w:rPr>
        <w:t>t</w:t>
      </w:r>
      <w:r w:rsidRPr="008A25E7" w:rsidR="004C4D4E">
        <w:rPr>
          <w:szCs w:val="22"/>
        </w:rPr>
        <w:t xml:space="preserve">, nor are we aware of any, </w:t>
      </w:r>
      <w:r w:rsidRPr="008A25E7" w:rsidR="008070CC">
        <w:rPr>
          <w:szCs w:val="22"/>
        </w:rPr>
        <w:t xml:space="preserve">to support </w:t>
      </w:r>
      <w:r w:rsidRPr="008A25E7" w:rsidR="001957FD">
        <w:rPr>
          <w:szCs w:val="22"/>
        </w:rPr>
        <w:t xml:space="preserve">their claim that </w:t>
      </w:r>
      <w:r w:rsidRPr="008A25E7" w:rsidR="009757E2">
        <w:rPr>
          <w:szCs w:val="22"/>
        </w:rPr>
        <w:t xml:space="preserve">Kurian </w:t>
      </w:r>
      <w:r w:rsidRPr="008A25E7" w:rsidR="00AA7568">
        <w:rPr>
          <w:szCs w:val="22"/>
        </w:rPr>
        <w:t xml:space="preserve">and </w:t>
      </w:r>
      <w:r w:rsidRPr="008A25E7" w:rsidR="009757E2">
        <w:rPr>
          <w:szCs w:val="22"/>
        </w:rPr>
        <w:t xml:space="preserve">PTC-220 </w:t>
      </w:r>
      <w:r w:rsidRPr="008A25E7" w:rsidR="00AA7568">
        <w:rPr>
          <w:szCs w:val="22"/>
        </w:rPr>
        <w:t xml:space="preserve">had </w:t>
      </w:r>
      <w:r w:rsidRPr="008A25E7" w:rsidR="004C4D4E">
        <w:rPr>
          <w:szCs w:val="22"/>
        </w:rPr>
        <w:t xml:space="preserve">an </w:t>
      </w:r>
      <w:r w:rsidRPr="008A25E7" w:rsidR="009757E2">
        <w:rPr>
          <w:szCs w:val="22"/>
        </w:rPr>
        <w:t>obligat</w:t>
      </w:r>
      <w:r w:rsidRPr="008A25E7" w:rsidR="00AA7568">
        <w:rPr>
          <w:szCs w:val="22"/>
        </w:rPr>
        <w:t xml:space="preserve">ion </w:t>
      </w:r>
      <w:r w:rsidRPr="008A25E7" w:rsidR="009757E2">
        <w:rPr>
          <w:szCs w:val="22"/>
        </w:rPr>
        <w:t>to disclose the existence of the Nevada litigation in the Application</w:t>
      </w:r>
      <w:r w:rsidRPr="008A25E7" w:rsidR="00616C6B">
        <w:rPr>
          <w:szCs w:val="22"/>
        </w:rPr>
        <w:t xml:space="preserve"> or that they were required to advise the Commission </w:t>
      </w:r>
      <w:r w:rsidRPr="008A25E7" w:rsidR="00186AB4">
        <w:rPr>
          <w:szCs w:val="22"/>
        </w:rPr>
        <w:t xml:space="preserve">whether they had a </w:t>
      </w:r>
      <w:r w:rsidRPr="008A25E7" w:rsidR="00616C6B">
        <w:rPr>
          <w:szCs w:val="22"/>
        </w:rPr>
        <w:t>contract</w:t>
      </w:r>
      <w:r w:rsidRPr="008A25E7" w:rsidR="00F865CF">
        <w:rPr>
          <w:szCs w:val="22"/>
        </w:rPr>
        <w:t xml:space="preserve"> for the sale of spectrum under Station </w:t>
      </w:r>
      <w:r w:rsidRPr="008A25E7" w:rsidR="00E12090">
        <w:rPr>
          <w:szCs w:val="22"/>
        </w:rPr>
        <w:t xml:space="preserve">WQCP809.  </w:t>
      </w:r>
      <w:r w:rsidRPr="008A25E7" w:rsidR="00316250">
        <w:rPr>
          <w:szCs w:val="22"/>
        </w:rPr>
        <w:t>W</w:t>
      </w:r>
      <w:r w:rsidRPr="008A25E7">
        <w:rPr>
          <w:szCs w:val="22"/>
        </w:rPr>
        <w:t xml:space="preserve">e find that </w:t>
      </w:r>
      <w:r w:rsidRPr="008A25E7" w:rsidR="009757E2">
        <w:rPr>
          <w:szCs w:val="22"/>
        </w:rPr>
        <w:t xml:space="preserve">neither party breached </w:t>
      </w:r>
      <w:r w:rsidRPr="008A25E7" w:rsidR="00E53F73">
        <w:rPr>
          <w:szCs w:val="22"/>
        </w:rPr>
        <w:t xml:space="preserve">a </w:t>
      </w:r>
      <w:r w:rsidRPr="008A25E7" w:rsidR="009757E2">
        <w:rPr>
          <w:szCs w:val="22"/>
        </w:rPr>
        <w:t xml:space="preserve">duty to the Commission </w:t>
      </w:r>
      <w:r w:rsidRPr="008A25E7" w:rsidR="00D433F7">
        <w:rPr>
          <w:szCs w:val="22"/>
        </w:rPr>
        <w:t>nor</w:t>
      </w:r>
      <w:r w:rsidRPr="008A25E7" w:rsidR="009757E2">
        <w:rPr>
          <w:szCs w:val="22"/>
        </w:rPr>
        <w:t xml:space="preserve"> lacked candor</w:t>
      </w:r>
      <w:r w:rsidRPr="008A25E7" w:rsidR="00182870">
        <w:rPr>
          <w:szCs w:val="22"/>
        </w:rPr>
        <w:t>,</w:t>
      </w:r>
      <w:r w:rsidRPr="008A25E7" w:rsidR="00E12090">
        <w:rPr>
          <w:szCs w:val="22"/>
        </w:rPr>
        <w:t xml:space="preserve"> and that there is no </w:t>
      </w:r>
      <w:r w:rsidRPr="008A25E7" w:rsidR="00553BA3">
        <w:rPr>
          <w:szCs w:val="22"/>
        </w:rPr>
        <w:t xml:space="preserve">evidence </w:t>
      </w:r>
      <w:r w:rsidRPr="008A25E7" w:rsidR="00E12090">
        <w:rPr>
          <w:szCs w:val="22"/>
        </w:rPr>
        <w:t xml:space="preserve">in the record </w:t>
      </w:r>
      <w:r w:rsidRPr="008A25E7" w:rsidR="00553BA3">
        <w:rPr>
          <w:szCs w:val="22"/>
        </w:rPr>
        <w:t xml:space="preserve">that would warrant undertaking </w:t>
      </w:r>
      <w:r w:rsidRPr="008A25E7" w:rsidR="00E12090">
        <w:rPr>
          <w:szCs w:val="22"/>
        </w:rPr>
        <w:t>a hearin</w:t>
      </w:r>
      <w:r w:rsidRPr="008A25E7" w:rsidR="00553BA3">
        <w:rPr>
          <w:szCs w:val="22"/>
        </w:rPr>
        <w:t>g</w:t>
      </w:r>
      <w:r w:rsidRPr="008A25E7" w:rsidR="00E12090">
        <w:rPr>
          <w:szCs w:val="22"/>
        </w:rPr>
        <w:t xml:space="preserve"> as urged by Petitioners</w:t>
      </w:r>
      <w:r w:rsidRPr="008A25E7" w:rsidR="009757E2">
        <w:rPr>
          <w:szCs w:val="22"/>
        </w:rPr>
        <w:t>.</w:t>
      </w:r>
    </w:p>
    <w:p w:rsidR="0011176B" w:rsidRPr="008A25E7" w:rsidP="00714C9F" w14:paraId="0A1515FF" w14:textId="77777777">
      <w:pPr>
        <w:pStyle w:val="ParaNum"/>
        <w:tabs>
          <w:tab w:val="clear" w:pos="1080"/>
        </w:tabs>
        <w:jc w:val="left"/>
        <w:rPr>
          <w:szCs w:val="22"/>
        </w:rPr>
      </w:pPr>
      <w:r w:rsidRPr="008A25E7">
        <w:rPr>
          <w:szCs w:val="22"/>
          <w:u w:val="single"/>
        </w:rPr>
        <w:t xml:space="preserve">Public Interest </w:t>
      </w:r>
      <w:r w:rsidRPr="008A25E7" w:rsidR="00D030AB">
        <w:rPr>
          <w:szCs w:val="22"/>
          <w:u w:val="single"/>
        </w:rPr>
        <w:t>Showing</w:t>
      </w:r>
      <w:r w:rsidRPr="008A25E7">
        <w:rPr>
          <w:szCs w:val="22"/>
        </w:rPr>
        <w:t>.</w:t>
      </w:r>
      <w:r w:rsidRPr="008A25E7" w:rsidR="001A5442">
        <w:rPr>
          <w:szCs w:val="22"/>
        </w:rPr>
        <w:t xml:space="preserve">  Petitioners argue that</w:t>
      </w:r>
      <w:r w:rsidRPr="008A25E7" w:rsidR="00AF1B0F">
        <w:rPr>
          <w:szCs w:val="22"/>
        </w:rPr>
        <w:t xml:space="preserve"> the Application’s Public Interest S</w:t>
      </w:r>
      <w:r w:rsidRPr="008A25E7" w:rsidR="00D030AB">
        <w:rPr>
          <w:szCs w:val="22"/>
        </w:rPr>
        <w:t xml:space="preserve">howing </w:t>
      </w:r>
      <w:r w:rsidRPr="008A25E7" w:rsidR="00AF1B0F">
        <w:rPr>
          <w:szCs w:val="22"/>
        </w:rPr>
        <w:t xml:space="preserve">is </w:t>
      </w:r>
      <w:r w:rsidRPr="008A25E7" w:rsidR="0059391D">
        <w:rPr>
          <w:szCs w:val="22"/>
        </w:rPr>
        <w:t>deficient</w:t>
      </w:r>
      <w:r w:rsidRPr="008A25E7" w:rsidR="00466D21">
        <w:rPr>
          <w:szCs w:val="22"/>
        </w:rPr>
        <w:t xml:space="preserve"> and </w:t>
      </w:r>
      <w:r w:rsidRPr="008A25E7" w:rsidR="008C3456">
        <w:rPr>
          <w:szCs w:val="22"/>
        </w:rPr>
        <w:t xml:space="preserve">that the Application </w:t>
      </w:r>
      <w:r w:rsidRPr="008A25E7" w:rsidR="00466D21">
        <w:rPr>
          <w:szCs w:val="22"/>
        </w:rPr>
        <w:t xml:space="preserve">therefore </w:t>
      </w:r>
      <w:r w:rsidRPr="008A25E7" w:rsidR="006F094F">
        <w:rPr>
          <w:szCs w:val="22"/>
        </w:rPr>
        <w:t xml:space="preserve">should </w:t>
      </w:r>
      <w:r w:rsidRPr="008A25E7" w:rsidR="00466D21">
        <w:rPr>
          <w:szCs w:val="22"/>
        </w:rPr>
        <w:t>be denied.</w:t>
      </w:r>
      <w:r>
        <w:rPr>
          <w:rStyle w:val="FootnoteReference"/>
          <w:szCs w:val="22"/>
        </w:rPr>
        <w:footnoteReference w:id="51"/>
      </w:r>
      <w:r w:rsidRPr="008A25E7" w:rsidR="00466D21">
        <w:rPr>
          <w:szCs w:val="22"/>
        </w:rPr>
        <w:t xml:space="preserve"> </w:t>
      </w:r>
      <w:r w:rsidRPr="008A25E7" w:rsidR="009757E2">
        <w:rPr>
          <w:szCs w:val="22"/>
        </w:rPr>
        <w:t xml:space="preserve"> </w:t>
      </w:r>
      <w:r w:rsidRPr="008A25E7" w:rsidR="008B26EB">
        <w:rPr>
          <w:szCs w:val="22"/>
        </w:rPr>
        <w:t xml:space="preserve">Petitioners acknowledge </w:t>
      </w:r>
      <w:r w:rsidRPr="008A25E7" w:rsidR="00691B9B">
        <w:rPr>
          <w:szCs w:val="22"/>
        </w:rPr>
        <w:t xml:space="preserve">that </w:t>
      </w:r>
      <w:r w:rsidRPr="008A25E7" w:rsidR="00EF5E4E">
        <w:rPr>
          <w:szCs w:val="22"/>
        </w:rPr>
        <w:t xml:space="preserve">PTC-220 seeks </w:t>
      </w:r>
      <w:r w:rsidRPr="008A25E7" w:rsidR="00F53BC9">
        <w:rPr>
          <w:szCs w:val="22"/>
        </w:rPr>
        <w:t xml:space="preserve">Kurian’s </w:t>
      </w:r>
      <w:r w:rsidRPr="008A25E7" w:rsidR="00EF5E4E">
        <w:rPr>
          <w:szCs w:val="22"/>
        </w:rPr>
        <w:t xml:space="preserve">AMTS spectrum for use in PTC networks </w:t>
      </w:r>
      <w:r w:rsidRPr="008A25E7" w:rsidR="000B3280">
        <w:rPr>
          <w:szCs w:val="22"/>
        </w:rPr>
        <w:t xml:space="preserve">but </w:t>
      </w:r>
      <w:r w:rsidRPr="008A25E7" w:rsidR="00F46D95">
        <w:rPr>
          <w:szCs w:val="22"/>
        </w:rPr>
        <w:t xml:space="preserve">complain </w:t>
      </w:r>
      <w:r w:rsidRPr="008A25E7" w:rsidR="0063769C">
        <w:rPr>
          <w:szCs w:val="22"/>
        </w:rPr>
        <w:t xml:space="preserve">the Public Interest Showing </w:t>
      </w:r>
      <w:r w:rsidRPr="008A25E7" w:rsidR="00FD3AE7">
        <w:rPr>
          <w:szCs w:val="22"/>
        </w:rPr>
        <w:t>does “not define what PTC is</w:t>
      </w:r>
      <w:r w:rsidRPr="008A25E7" w:rsidR="000A7DBE">
        <w:rPr>
          <w:szCs w:val="22"/>
        </w:rPr>
        <w:t>”</w:t>
      </w:r>
      <w:r w:rsidRPr="008A25E7" w:rsidR="00786C61">
        <w:rPr>
          <w:szCs w:val="22"/>
        </w:rPr>
        <w:t xml:space="preserve"> or </w:t>
      </w:r>
      <w:r w:rsidRPr="008A25E7" w:rsidR="002A4E99">
        <w:rPr>
          <w:szCs w:val="22"/>
        </w:rPr>
        <w:t xml:space="preserve">explain </w:t>
      </w:r>
      <w:r w:rsidRPr="008A25E7" w:rsidR="00A24C76">
        <w:rPr>
          <w:szCs w:val="22"/>
        </w:rPr>
        <w:t xml:space="preserve">why more spectrum </w:t>
      </w:r>
      <w:r w:rsidRPr="008A25E7" w:rsidR="002A4E99">
        <w:rPr>
          <w:szCs w:val="22"/>
        </w:rPr>
        <w:t>is needed to implement PTC</w:t>
      </w:r>
      <w:r w:rsidRPr="008A25E7" w:rsidR="00786C61">
        <w:rPr>
          <w:szCs w:val="22"/>
        </w:rPr>
        <w:t>.</w:t>
      </w:r>
      <w:r>
        <w:rPr>
          <w:rStyle w:val="FootnoteReference"/>
          <w:szCs w:val="22"/>
        </w:rPr>
        <w:footnoteReference w:id="52"/>
      </w:r>
      <w:r w:rsidRPr="008A25E7" w:rsidR="00786C61">
        <w:rPr>
          <w:szCs w:val="22"/>
        </w:rPr>
        <w:t xml:space="preserve">  </w:t>
      </w:r>
      <w:r w:rsidRPr="008A25E7" w:rsidR="00CD522E">
        <w:rPr>
          <w:szCs w:val="22"/>
        </w:rPr>
        <w:t xml:space="preserve">Petitioners further argue that the </w:t>
      </w:r>
      <w:r w:rsidRPr="008A25E7" w:rsidR="0055728E">
        <w:rPr>
          <w:szCs w:val="22"/>
        </w:rPr>
        <w:t xml:space="preserve">Application </w:t>
      </w:r>
      <w:r w:rsidRPr="008A25E7" w:rsidR="00CD522E">
        <w:rPr>
          <w:szCs w:val="22"/>
        </w:rPr>
        <w:t>fail</w:t>
      </w:r>
      <w:r w:rsidRPr="008A25E7" w:rsidR="0055728E">
        <w:rPr>
          <w:szCs w:val="22"/>
        </w:rPr>
        <w:t>s</w:t>
      </w:r>
      <w:r w:rsidRPr="008A25E7" w:rsidR="00CD522E">
        <w:rPr>
          <w:szCs w:val="22"/>
        </w:rPr>
        <w:t xml:space="preserve"> to explain why AMTS spectrum is needed for PTC “where extensive other spectrum is available, and easy to use in multi-band radio equipment that can even provide net advantages.”</w:t>
      </w:r>
      <w:r>
        <w:rPr>
          <w:rStyle w:val="FootnoteReference"/>
          <w:szCs w:val="22"/>
        </w:rPr>
        <w:footnoteReference w:id="53"/>
      </w:r>
    </w:p>
    <w:p w:rsidR="00714C9F" w:rsidRPr="008A25E7" w:rsidP="00714C9F" w14:paraId="5E190A4A" w14:textId="34A15C0E">
      <w:pPr>
        <w:pStyle w:val="ParaNum"/>
        <w:tabs>
          <w:tab w:val="clear" w:pos="1080"/>
        </w:tabs>
        <w:jc w:val="left"/>
        <w:rPr>
          <w:szCs w:val="22"/>
        </w:rPr>
      </w:pPr>
      <w:r w:rsidRPr="008A25E7">
        <w:rPr>
          <w:szCs w:val="22"/>
        </w:rPr>
        <w:t xml:space="preserve">Petitioners </w:t>
      </w:r>
      <w:r w:rsidRPr="008A25E7" w:rsidR="004356A1">
        <w:rPr>
          <w:szCs w:val="22"/>
        </w:rPr>
        <w:t xml:space="preserve">cite no rule or precedent for </w:t>
      </w:r>
      <w:r w:rsidRPr="008A25E7" w:rsidR="00E73DC8">
        <w:rPr>
          <w:szCs w:val="22"/>
        </w:rPr>
        <w:t xml:space="preserve">their </w:t>
      </w:r>
      <w:r w:rsidRPr="008A25E7">
        <w:rPr>
          <w:szCs w:val="22"/>
        </w:rPr>
        <w:t>claim that PTC-220 should seek non-AMTS spectrum to deploy PTC.</w:t>
      </w:r>
      <w:r>
        <w:rPr>
          <w:rStyle w:val="FootnoteReference"/>
          <w:szCs w:val="22"/>
        </w:rPr>
        <w:footnoteReference w:id="54"/>
      </w:r>
      <w:r w:rsidRPr="008A25E7">
        <w:rPr>
          <w:szCs w:val="22"/>
        </w:rPr>
        <w:t xml:space="preserve">  The public interest does not require PTC-220 to seek spectrum in other bands.  Indeed, we note that Havens (through two licensee companies), previously assigned AMTS spectrum to </w:t>
      </w:r>
      <w:r w:rsidRPr="008A25E7">
        <w:rPr>
          <w:szCs w:val="22"/>
        </w:rPr>
        <w:t>Amtrak for its PTC deployment along the Northeast Rail Corridor.</w:t>
      </w:r>
      <w:r>
        <w:rPr>
          <w:rStyle w:val="FootnoteReference"/>
          <w:szCs w:val="22"/>
        </w:rPr>
        <w:footnoteReference w:id="55"/>
      </w:r>
      <w:r w:rsidRPr="008A25E7">
        <w:rPr>
          <w:szCs w:val="22"/>
        </w:rPr>
        <w:t xml:space="preserve">  </w:t>
      </w:r>
      <w:r w:rsidRPr="008A25E7" w:rsidR="00CD522E">
        <w:rPr>
          <w:szCs w:val="22"/>
        </w:rPr>
        <w:t xml:space="preserve">  </w:t>
      </w:r>
    </w:p>
    <w:p w:rsidR="00A434A3" w:rsidRPr="008A25E7" w:rsidP="0099405F" w14:paraId="40B615E6" w14:textId="6D3667C3">
      <w:pPr>
        <w:pStyle w:val="ParaNum"/>
        <w:tabs>
          <w:tab w:val="clear" w:pos="1080"/>
        </w:tabs>
        <w:jc w:val="left"/>
        <w:rPr>
          <w:szCs w:val="22"/>
        </w:rPr>
      </w:pPr>
      <w:r w:rsidRPr="008A25E7">
        <w:rPr>
          <w:szCs w:val="22"/>
        </w:rPr>
        <w:t xml:space="preserve">In the </w:t>
      </w:r>
      <w:r w:rsidRPr="008A25E7" w:rsidR="00E87392">
        <w:rPr>
          <w:szCs w:val="22"/>
        </w:rPr>
        <w:t>Public Interest Showing</w:t>
      </w:r>
      <w:r w:rsidRPr="008A25E7">
        <w:rPr>
          <w:szCs w:val="22"/>
        </w:rPr>
        <w:t xml:space="preserve">, the </w:t>
      </w:r>
      <w:r w:rsidRPr="008A25E7" w:rsidR="008E2134">
        <w:rPr>
          <w:szCs w:val="22"/>
        </w:rPr>
        <w:t xml:space="preserve">Applicants </w:t>
      </w:r>
      <w:r w:rsidRPr="008A25E7" w:rsidR="00C62871">
        <w:rPr>
          <w:szCs w:val="22"/>
        </w:rPr>
        <w:t xml:space="preserve">explain </w:t>
      </w:r>
      <w:r w:rsidRPr="008A25E7" w:rsidR="0061099E">
        <w:rPr>
          <w:szCs w:val="22"/>
        </w:rPr>
        <w:t>tha</w:t>
      </w:r>
      <w:r w:rsidRPr="008A25E7" w:rsidR="009A4BB4">
        <w:rPr>
          <w:szCs w:val="22"/>
        </w:rPr>
        <w:t>t</w:t>
      </w:r>
      <w:r w:rsidRPr="008A25E7" w:rsidR="0061099E">
        <w:rPr>
          <w:szCs w:val="22"/>
        </w:rPr>
        <w:t xml:space="preserve"> PTC-220 </w:t>
      </w:r>
      <w:r w:rsidRPr="008A25E7" w:rsidR="009A4BB4">
        <w:rPr>
          <w:szCs w:val="22"/>
        </w:rPr>
        <w:t xml:space="preserve">“was established </w:t>
      </w:r>
      <w:r w:rsidRPr="008A25E7" w:rsidR="00BD46AE">
        <w:rPr>
          <w:szCs w:val="22"/>
        </w:rPr>
        <w:t>to lead the deployment of PTC netwo</w:t>
      </w:r>
      <w:r w:rsidRPr="008A25E7" w:rsidR="00BA5510">
        <w:rPr>
          <w:szCs w:val="22"/>
        </w:rPr>
        <w:t>r</w:t>
      </w:r>
      <w:r w:rsidRPr="008A25E7" w:rsidR="00BD46AE">
        <w:rPr>
          <w:szCs w:val="22"/>
        </w:rPr>
        <w:t>ks nationwide that Cl</w:t>
      </w:r>
      <w:r w:rsidRPr="008A25E7" w:rsidR="00BA5510">
        <w:rPr>
          <w:szCs w:val="22"/>
        </w:rPr>
        <w:t>a</w:t>
      </w:r>
      <w:r w:rsidRPr="008A25E7" w:rsidR="00BD46AE">
        <w:rPr>
          <w:szCs w:val="22"/>
        </w:rPr>
        <w:t>ss I and cert</w:t>
      </w:r>
      <w:r w:rsidRPr="008A25E7" w:rsidR="00BA5510">
        <w:rPr>
          <w:szCs w:val="22"/>
        </w:rPr>
        <w:t>a</w:t>
      </w:r>
      <w:r w:rsidRPr="008A25E7" w:rsidR="00BD46AE">
        <w:rPr>
          <w:szCs w:val="22"/>
        </w:rPr>
        <w:t xml:space="preserve">in other </w:t>
      </w:r>
      <w:r w:rsidRPr="008A25E7" w:rsidR="00BA5510">
        <w:rPr>
          <w:szCs w:val="22"/>
        </w:rPr>
        <w:t xml:space="preserve">railroads are required </w:t>
      </w:r>
      <w:r w:rsidRPr="008A25E7" w:rsidR="007569DC">
        <w:rPr>
          <w:szCs w:val="22"/>
        </w:rPr>
        <w:t>to implement pursuant to</w:t>
      </w:r>
      <w:r w:rsidRPr="008A25E7" w:rsidR="00E15572">
        <w:rPr>
          <w:szCs w:val="22"/>
        </w:rPr>
        <w:t xml:space="preserve"> the Rail Safety Improvement Act of 2008</w:t>
      </w:r>
      <w:r w:rsidRPr="008A25E7" w:rsidR="00683710">
        <w:rPr>
          <w:szCs w:val="22"/>
        </w:rPr>
        <w:t xml:space="preserve"> (“RSIA”).</w:t>
      </w:r>
      <w:r w:rsidRPr="008A25E7" w:rsidR="00E94A37">
        <w:rPr>
          <w:szCs w:val="22"/>
        </w:rPr>
        <w:t>”</w:t>
      </w:r>
      <w:r>
        <w:rPr>
          <w:rStyle w:val="FootnoteReference"/>
          <w:szCs w:val="22"/>
        </w:rPr>
        <w:footnoteReference w:id="56"/>
      </w:r>
      <w:r w:rsidRPr="008A25E7" w:rsidR="00B82A06">
        <w:rPr>
          <w:szCs w:val="22"/>
        </w:rPr>
        <w:t xml:space="preserve">  </w:t>
      </w:r>
      <w:r w:rsidRPr="008A25E7" w:rsidR="00F654E7">
        <w:rPr>
          <w:szCs w:val="22"/>
        </w:rPr>
        <w:t xml:space="preserve">That law requires that </w:t>
      </w:r>
      <w:r w:rsidRPr="008A25E7" w:rsidR="00E15572">
        <w:rPr>
          <w:szCs w:val="22"/>
        </w:rPr>
        <w:t>U.S. freight, passenger, and commuter railroads implement PTC systems to “prevent train-to-train collisions, over-speed derailments, incursions into established work zone limits, and the movement of a train through a switch left in the wrong position.”</w:t>
      </w:r>
      <w:r>
        <w:rPr>
          <w:rStyle w:val="FootnoteReference"/>
          <w:szCs w:val="22"/>
        </w:rPr>
        <w:footnoteReference w:id="57"/>
      </w:r>
    </w:p>
    <w:p w:rsidR="004136EA" w:rsidRPr="008A25E7" w:rsidP="0099405F" w14:paraId="58801783" w14:textId="68219251">
      <w:pPr>
        <w:pStyle w:val="ParaNum"/>
        <w:tabs>
          <w:tab w:val="clear" w:pos="1080"/>
        </w:tabs>
        <w:jc w:val="left"/>
        <w:rPr>
          <w:szCs w:val="22"/>
        </w:rPr>
      </w:pPr>
      <w:r w:rsidRPr="008A25E7">
        <w:rPr>
          <w:szCs w:val="22"/>
        </w:rPr>
        <w:t xml:space="preserve">The </w:t>
      </w:r>
      <w:r w:rsidRPr="008A25E7" w:rsidR="008E2134">
        <w:rPr>
          <w:szCs w:val="22"/>
        </w:rPr>
        <w:t>A</w:t>
      </w:r>
      <w:r w:rsidRPr="008A25E7" w:rsidR="00460D50">
        <w:rPr>
          <w:szCs w:val="22"/>
        </w:rPr>
        <w:t xml:space="preserve">pplicants </w:t>
      </w:r>
      <w:r w:rsidRPr="008A25E7" w:rsidR="00C62871">
        <w:rPr>
          <w:szCs w:val="22"/>
        </w:rPr>
        <w:t>stat</w:t>
      </w:r>
      <w:r w:rsidRPr="008A25E7" w:rsidR="00526BE2">
        <w:rPr>
          <w:szCs w:val="22"/>
        </w:rPr>
        <w:t>e</w:t>
      </w:r>
      <w:r w:rsidRPr="008A25E7" w:rsidR="00C62871">
        <w:rPr>
          <w:szCs w:val="22"/>
        </w:rPr>
        <w:t xml:space="preserve"> </w:t>
      </w:r>
      <w:r w:rsidRPr="008A25E7" w:rsidR="00E87392">
        <w:rPr>
          <w:szCs w:val="22"/>
        </w:rPr>
        <w:t xml:space="preserve">that the proposed </w:t>
      </w:r>
      <w:r w:rsidRPr="008A25E7" w:rsidR="00CD3797">
        <w:rPr>
          <w:szCs w:val="22"/>
        </w:rPr>
        <w:t>assignment “</w:t>
      </w:r>
      <w:r w:rsidRPr="008A25E7" w:rsidR="00E87392">
        <w:rPr>
          <w:szCs w:val="22"/>
        </w:rPr>
        <w:t>is consistent with the public interest, convenience, and necessity because it will increase the amount of usable spectrum available for PTC operations, and other related train control safety applications.”</w:t>
      </w:r>
      <w:r>
        <w:rPr>
          <w:rStyle w:val="FootnoteReference"/>
          <w:szCs w:val="22"/>
        </w:rPr>
        <w:footnoteReference w:id="58"/>
      </w:r>
      <w:r w:rsidRPr="008A25E7" w:rsidR="00A434A3">
        <w:rPr>
          <w:szCs w:val="22"/>
        </w:rPr>
        <w:t xml:space="preserve">  </w:t>
      </w:r>
      <w:r w:rsidRPr="008A25E7" w:rsidR="00522AA4">
        <w:rPr>
          <w:szCs w:val="22"/>
        </w:rPr>
        <w:t xml:space="preserve">In its </w:t>
      </w:r>
      <w:r w:rsidRPr="008A25E7" w:rsidR="00C36147">
        <w:rPr>
          <w:szCs w:val="22"/>
        </w:rPr>
        <w:t xml:space="preserve">concurrently filed </w:t>
      </w:r>
      <w:r w:rsidRPr="008A25E7" w:rsidR="00181A8F">
        <w:rPr>
          <w:szCs w:val="22"/>
        </w:rPr>
        <w:t xml:space="preserve">Waiver Request, </w:t>
      </w:r>
      <w:r w:rsidRPr="008A25E7" w:rsidR="00522AA4">
        <w:rPr>
          <w:szCs w:val="22"/>
        </w:rPr>
        <w:t>PTC-220</w:t>
      </w:r>
      <w:r w:rsidRPr="008A25E7" w:rsidR="00181A8F">
        <w:rPr>
          <w:szCs w:val="22"/>
        </w:rPr>
        <w:t xml:space="preserve"> explains that the AMTS spectrum will enable more robust PTC systems by permitting the deployment of two additional nationwide Common Control Channels, “which would be used by all locomotive radios to attach to a PTC base station and receive instructions regarding the proper frequency to operate on in the particular area.”</w:t>
      </w:r>
      <w:r>
        <w:rPr>
          <w:rStyle w:val="FootnoteReference"/>
          <w:szCs w:val="22"/>
        </w:rPr>
        <w:footnoteReference w:id="59"/>
      </w:r>
      <w:r w:rsidRPr="008A25E7" w:rsidR="00181A8F">
        <w:rPr>
          <w:szCs w:val="22"/>
        </w:rPr>
        <w:t xml:space="preserve">  </w:t>
      </w:r>
      <w:r w:rsidRPr="008A25E7" w:rsidR="003C5033">
        <w:rPr>
          <w:szCs w:val="22"/>
        </w:rPr>
        <w:t xml:space="preserve">PTC-220 </w:t>
      </w:r>
      <w:r w:rsidRPr="008A25E7" w:rsidR="00181A8F">
        <w:rPr>
          <w:szCs w:val="22"/>
        </w:rPr>
        <w:t>also explains that the spectrum will be used for expanded PTC deployments and other rail safety applications</w:t>
      </w:r>
      <w:r w:rsidRPr="008A25E7" w:rsidR="00B15A06">
        <w:rPr>
          <w:szCs w:val="22"/>
        </w:rPr>
        <w:t xml:space="preserve">, including </w:t>
      </w:r>
      <w:r w:rsidRPr="008A25E7" w:rsidR="00203AF3">
        <w:rPr>
          <w:szCs w:val="22"/>
        </w:rPr>
        <w:t xml:space="preserve">End of Train </w:t>
      </w:r>
      <w:r w:rsidRPr="008A25E7" w:rsidR="00665FE5">
        <w:rPr>
          <w:szCs w:val="22"/>
        </w:rPr>
        <w:t xml:space="preserve">(EOT) </w:t>
      </w:r>
      <w:r w:rsidRPr="008A25E7" w:rsidR="001E37F8">
        <w:rPr>
          <w:szCs w:val="22"/>
        </w:rPr>
        <w:t>d</w:t>
      </w:r>
      <w:r w:rsidRPr="008A25E7" w:rsidR="00203AF3">
        <w:rPr>
          <w:szCs w:val="22"/>
        </w:rPr>
        <w:t>evices</w:t>
      </w:r>
      <w:r w:rsidRPr="008A25E7" w:rsidR="00D16A1E">
        <w:rPr>
          <w:szCs w:val="22"/>
        </w:rPr>
        <w:t xml:space="preserve"> and </w:t>
      </w:r>
      <w:r w:rsidRPr="008A25E7" w:rsidR="00AE59B0">
        <w:rPr>
          <w:szCs w:val="22"/>
        </w:rPr>
        <w:t>d</w:t>
      </w:r>
      <w:r w:rsidRPr="008A25E7" w:rsidR="00D16A1E">
        <w:rPr>
          <w:szCs w:val="22"/>
        </w:rPr>
        <w:t xml:space="preserve">istributed </w:t>
      </w:r>
      <w:r w:rsidRPr="008A25E7" w:rsidR="00AE59B0">
        <w:rPr>
          <w:szCs w:val="22"/>
        </w:rPr>
        <w:t>p</w:t>
      </w:r>
      <w:r w:rsidRPr="008A25E7" w:rsidR="00D16A1E">
        <w:rPr>
          <w:szCs w:val="22"/>
        </w:rPr>
        <w:t>ower systems.</w:t>
      </w:r>
      <w:r>
        <w:rPr>
          <w:rStyle w:val="FootnoteReference"/>
          <w:szCs w:val="22"/>
        </w:rPr>
        <w:footnoteReference w:id="60"/>
      </w:r>
      <w:r w:rsidRPr="008A25E7" w:rsidR="00D16A1E">
        <w:rPr>
          <w:szCs w:val="22"/>
        </w:rPr>
        <w:t xml:space="preserve"> </w:t>
      </w:r>
    </w:p>
    <w:p w:rsidR="00D81A2A" w:rsidRPr="008A25E7" w:rsidP="001A0EAA" w14:paraId="463FC808" w14:textId="0B2BAAF1">
      <w:pPr>
        <w:pStyle w:val="ParaNum"/>
        <w:tabs>
          <w:tab w:val="clear" w:pos="1080"/>
        </w:tabs>
        <w:jc w:val="left"/>
        <w:rPr>
          <w:szCs w:val="22"/>
        </w:rPr>
      </w:pPr>
      <w:r w:rsidRPr="008A25E7">
        <w:rPr>
          <w:szCs w:val="22"/>
        </w:rPr>
        <w:t xml:space="preserve">The Commission has recognized </w:t>
      </w:r>
      <w:r w:rsidRPr="008A25E7" w:rsidR="00571BC7">
        <w:rPr>
          <w:szCs w:val="22"/>
        </w:rPr>
        <w:t>th</w:t>
      </w:r>
      <w:r w:rsidRPr="008A25E7">
        <w:rPr>
          <w:szCs w:val="22"/>
        </w:rPr>
        <w:t>at “PTC is a potentially transformative technology” that can “save lives, prevent injuries, and avoid extensive property damage</w:t>
      </w:r>
      <w:r w:rsidRPr="008A25E7" w:rsidR="00F53DFE">
        <w:rPr>
          <w:szCs w:val="22"/>
        </w:rPr>
        <w:t>,</w:t>
      </w:r>
      <w:r w:rsidRPr="008A25E7">
        <w:rPr>
          <w:szCs w:val="22"/>
        </w:rPr>
        <w:t>”</w:t>
      </w:r>
      <w:r>
        <w:rPr>
          <w:rStyle w:val="FootnoteReference"/>
          <w:szCs w:val="22"/>
        </w:rPr>
        <w:footnoteReference w:id="61"/>
      </w:r>
      <w:r w:rsidRPr="008A25E7" w:rsidR="00F53DFE">
        <w:rPr>
          <w:szCs w:val="22"/>
        </w:rPr>
        <w:t xml:space="preserve"> a</w:t>
      </w:r>
      <w:r w:rsidRPr="008A25E7" w:rsidR="000F2A0B">
        <w:rPr>
          <w:szCs w:val="22"/>
        </w:rPr>
        <w:t xml:space="preserve">nd </w:t>
      </w:r>
      <w:r w:rsidRPr="008A25E7">
        <w:rPr>
          <w:szCs w:val="22"/>
        </w:rPr>
        <w:t>has taken myriad actions to facilitate its successful implementation.</w:t>
      </w:r>
      <w:r>
        <w:rPr>
          <w:rStyle w:val="FootnoteReference"/>
          <w:szCs w:val="22"/>
        </w:rPr>
        <w:footnoteReference w:id="62"/>
      </w:r>
      <w:r w:rsidRPr="008A25E7" w:rsidR="00170D12">
        <w:rPr>
          <w:szCs w:val="22"/>
        </w:rPr>
        <w:t xml:space="preserve">  </w:t>
      </w:r>
      <w:r w:rsidRPr="008A25E7" w:rsidR="00CE2608">
        <w:rPr>
          <w:szCs w:val="22"/>
        </w:rPr>
        <w:t>We find</w:t>
      </w:r>
      <w:r w:rsidRPr="008A25E7" w:rsidR="00B21564">
        <w:rPr>
          <w:szCs w:val="22"/>
        </w:rPr>
        <w:t xml:space="preserve"> that</w:t>
      </w:r>
      <w:r w:rsidRPr="008A25E7" w:rsidR="00C85429">
        <w:rPr>
          <w:szCs w:val="22"/>
        </w:rPr>
        <w:t xml:space="preserve"> consistent with </w:t>
      </w:r>
      <w:r w:rsidRPr="008A25E7" w:rsidR="008D309D">
        <w:rPr>
          <w:szCs w:val="22"/>
        </w:rPr>
        <w:t>this precedent</w:t>
      </w:r>
      <w:r w:rsidRPr="008A25E7" w:rsidR="00C85429">
        <w:rPr>
          <w:szCs w:val="22"/>
        </w:rPr>
        <w:t>,</w:t>
      </w:r>
      <w:r w:rsidRPr="008A25E7" w:rsidR="00E40925">
        <w:rPr>
          <w:szCs w:val="22"/>
        </w:rPr>
        <w:t xml:space="preserve"> </w:t>
      </w:r>
      <w:r w:rsidRPr="008A25E7" w:rsidR="00C85429">
        <w:rPr>
          <w:szCs w:val="22"/>
        </w:rPr>
        <w:t xml:space="preserve">the </w:t>
      </w:r>
      <w:r w:rsidRPr="008A25E7" w:rsidR="00CE2608">
        <w:rPr>
          <w:szCs w:val="22"/>
        </w:rPr>
        <w:t>Application’s Public Interest Showing</w:t>
      </w:r>
      <w:r w:rsidRPr="008A25E7" w:rsidR="00C85429">
        <w:rPr>
          <w:szCs w:val="22"/>
        </w:rPr>
        <w:t xml:space="preserve">, its </w:t>
      </w:r>
      <w:r w:rsidRPr="008A25E7" w:rsidR="00CE2608">
        <w:rPr>
          <w:szCs w:val="22"/>
        </w:rPr>
        <w:t>related Waiver Request</w:t>
      </w:r>
      <w:r w:rsidRPr="008A25E7" w:rsidR="00E40925">
        <w:rPr>
          <w:szCs w:val="22"/>
        </w:rPr>
        <w:t>,</w:t>
      </w:r>
      <w:r w:rsidRPr="008A25E7" w:rsidR="00C85429">
        <w:rPr>
          <w:szCs w:val="22"/>
        </w:rPr>
        <w:t xml:space="preserve"> and Section 309(a) of the Communications Act,</w:t>
      </w:r>
      <w:r>
        <w:rPr>
          <w:rStyle w:val="FootnoteReference"/>
          <w:szCs w:val="22"/>
        </w:rPr>
        <w:footnoteReference w:id="63"/>
      </w:r>
      <w:r w:rsidRPr="008A25E7" w:rsidR="00C85429">
        <w:rPr>
          <w:szCs w:val="22"/>
        </w:rPr>
        <w:t xml:space="preserve"> </w:t>
      </w:r>
      <w:r w:rsidRPr="008A25E7" w:rsidR="00E40925">
        <w:rPr>
          <w:szCs w:val="22"/>
        </w:rPr>
        <w:t xml:space="preserve">the proposed assignment of </w:t>
      </w:r>
      <w:r w:rsidRPr="008A25E7" w:rsidR="00CE2608">
        <w:rPr>
          <w:szCs w:val="22"/>
        </w:rPr>
        <w:t>spectrum to enhance PTC and other rail safety systems will serve the public interest, convenience, and necessity.</w:t>
      </w:r>
    </w:p>
    <w:p w:rsidR="004B7350" w:rsidRPr="008A25E7" w:rsidP="00C85429" w14:paraId="7E68DC89" w14:textId="2F8865CE">
      <w:pPr>
        <w:pStyle w:val="ParaNum"/>
        <w:tabs>
          <w:tab w:val="clear" w:pos="1080"/>
        </w:tabs>
        <w:jc w:val="left"/>
        <w:rPr>
          <w:szCs w:val="22"/>
        </w:rPr>
      </w:pPr>
      <w:r w:rsidRPr="008A25E7">
        <w:rPr>
          <w:szCs w:val="22"/>
          <w:u w:val="single"/>
        </w:rPr>
        <w:t>Disqualification</w:t>
      </w:r>
      <w:r w:rsidRPr="008A25E7" w:rsidR="00D81A2A">
        <w:rPr>
          <w:szCs w:val="22"/>
          <w:u w:val="single"/>
        </w:rPr>
        <w:t xml:space="preserve"> of </w:t>
      </w:r>
      <w:r w:rsidRPr="008A25E7">
        <w:rPr>
          <w:szCs w:val="22"/>
          <w:u w:val="single"/>
        </w:rPr>
        <w:t>Counsel</w:t>
      </w:r>
      <w:r w:rsidRPr="008A25E7" w:rsidR="00D81A2A">
        <w:rPr>
          <w:szCs w:val="22"/>
          <w:u w:val="single"/>
        </w:rPr>
        <w:t xml:space="preserve"> </w:t>
      </w:r>
      <w:r w:rsidRPr="008A25E7">
        <w:rPr>
          <w:szCs w:val="22"/>
          <w:u w:val="single"/>
        </w:rPr>
        <w:t>to PTC-220</w:t>
      </w:r>
      <w:r w:rsidRPr="008A25E7">
        <w:rPr>
          <w:szCs w:val="22"/>
        </w:rPr>
        <w:t>.</w:t>
      </w:r>
      <w:r w:rsidRPr="008A25E7" w:rsidR="00804287">
        <w:rPr>
          <w:szCs w:val="22"/>
        </w:rPr>
        <w:t xml:space="preserve">  </w:t>
      </w:r>
      <w:r w:rsidRPr="008A25E7" w:rsidR="009A62F5">
        <w:rPr>
          <w:szCs w:val="22"/>
        </w:rPr>
        <w:t xml:space="preserve">In their Reply, Petitioners </w:t>
      </w:r>
      <w:r w:rsidRPr="008A25E7" w:rsidR="00755582">
        <w:rPr>
          <w:szCs w:val="22"/>
        </w:rPr>
        <w:t xml:space="preserve">claim </w:t>
      </w:r>
      <w:r w:rsidRPr="008A25E7" w:rsidR="009A62F5">
        <w:rPr>
          <w:szCs w:val="22"/>
        </w:rPr>
        <w:t xml:space="preserve">that counsel </w:t>
      </w:r>
      <w:r w:rsidRPr="008A25E7" w:rsidR="00580517">
        <w:rPr>
          <w:szCs w:val="22"/>
        </w:rPr>
        <w:t xml:space="preserve">to </w:t>
      </w:r>
      <w:r w:rsidRPr="008A25E7" w:rsidR="009A62F5">
        <w:rPr>
          <w:szCs w:val="22"/>
        </w:rPr>
        <w:t>PTC-220, the law firm of Hogan Lovells</w:t>
      </w:r>
      <w:r w:rsidRPr="008A25E7" w:rsidR="00FF50BD">
        <w:rPr>
          <w:szCs w:val="22"/>
        </w:rPr>
        <w:t xml:space="preserve"> US LLP</w:t>
      </w:r>
      <w:r w:rsidRPr="008A25E7" w:rsidR="008953AD">
        <w:rPr>
          <w:szCs w:val="22"/>
        </w:rPr>
        <w:t xml:space="preserve"> (Hogan Lovells)</w:t>
      </w:r>
      <w:r w:rsidRPr="008A25E7" w:rsidR="009A62F5">
        <w:rPr>
          <w:szCs w:val="22"/>
        </w:rPr>
        <w:t>, should be disqualified</w:t>
      </w:r>
      <w:r w:rsidRPr="008A25E7" w:rsidR="009A2412">
        <w:rPr>
          <w:szCs w:val="22"/>
        </w:rPr>
        <w:t xml:space="preserve"> in this matter</w:t>
      </w:r>
      <w:r w:rsidRPr="008A25E7" w:rsidR="00305B98">
        <w:rPr>
          <w:szCs w:val="22"/>
        </w:rPr>
        <w:t>.</w:t>
      </w:r>
      <w:r>
        <w:rPr>
          <w:rStyle w:val="FootnoteReference"/>
          <w:szCs w:val="22"/>
        </w:rPr>
        <w:footnoteReference w:id="64"/>
      </w:r>
      <w:r w:rsidRPr="008A25E7" w:rsidR="00C34E8B">
        <w:rPr>
          <w:szCs w:val="22"/>
        </w:rPr>
        <w:t xml:space="preserve">  In a J</w:t>
      </w:r>
      <w:r w:rsidRPr="008A25E7" w:rsidR="00F62D84">
        <w:rPr>
          <w:szCs w:val="22"/>
        </w:rPr>
        <w:t>a</w:t>
      </w:r>
      <w:r w:rsidRPr="008A25E7" w:rsidR="00C34E8B">
        <w:rPr>
          <w:szCs w:val="22"/>
        </w:rPr>
        <w:t>nu</w:t>
      </w:r>
      <w:r w:rsidRPr="008A25E7" w:rsidR="00F62D84">
        <w:rPr>
          <w:szCs w:val="22"/>
        </w:rPr>
        <w:t>a</w:t>
      </w:r>
      <w:r w:rsidRPr="008A25E7" w:rsidR="00C34E8B">
        <w:rPr>
          <w:szCs w:val="22"/>
        </w:rPr>
        <w:t>r</w:t>
      </w:r>
      <w:r w:rsidRPr="008A25E7" w:rsidR="00F62D84">
        <w:rPr>
          <w:szCs w:val="22"/>
        </w:rPr>
        <w:t>y</w:t>
      </w:r>
      <w:r w:rsidRPr="008A25E7" w:rsidR="00C34E8B">
        <w:rPr>
          <w:szCs w:val="22"/>
        </w:rPr>
        <w:t xml:space="preserve"> 28, </w:t>
      </w:r>
      <w:r w:rsidRPr="008A25E7" w:rsidR="00F62D84">
        <w:rPr>
          <w:szCs w:val="22"/>
        </w:rPr>
        <w:t>2020, filing, Havens (but no other petitioner)</w:t>
      </w:r>
      <w:r w:rsidRPr="008A25E7" w:rsidR="00755582">
        <w:rPr>
          <w:szCs w:val="22"/>
        </w:rPr>
        <w:t xml:space="preserve"> </w:t>
      </w:r>
      <w:r w:rsidRPr="008A25E7" w:rsidR="00CB7791">
        <w:rPr>
          <w:szCs w:val="22"/>
        </w:rPr>
        <w:t xml:space="preserve">states that </w:t>
      </w:r>
      <w:r w:rsidRPr="008A25E7" w:rsidR="00E67AEB">
        <w:rPr>
          <w:szCs w:val="22"/>
        </w:rPr>
        <w:t>“</w:t>
      </w:r>
      <w:r w:rsidRPr="008A25E7" w:rsidR="004E267D">
        <w:rPr>
          <w:szCs w:val="22"/>
        </w:rPr>
        <w:t xml:space="preserve">the Hogan Lovells firm </w:t>
      </w:r>
      <w:r w:rsidRPr="008A25E7" w:rsidR="00E67AEB">
        <w:rPr>
          <w:szCs w:val="22"/>
        </w:rPr>
        <w:t>[</w:t>
      </w:r>
      <w:r w:rsidRPr="008A25E7" w:rsidR="00046019">
        <w:rPr>
          <w:szCs w:val="22"/>
        </w:rPr>
        <w:t>is</w:t>
      </w:r>
      <w:r w:rsidRPr="008A25E7" w:rsidR="00E67AEB">
        <w:rPr>
          <w:szCs w:val="22"/>
        </w:rPr>
        <w:t>]</w:t>
      </w:r>
      <w:r w:rsidRPr="008A25E7" w:rsidR="00046019">
        <w:rPr>
          <w:szCs w:val="22"/>
        </w:rPr>
        <w:t xml:space="preserve"> past counsel to myself</w:t>
      </w:r>
      <w:r w:rsidRPr="008A25E7" w:rsidR="00095AF4">
        <w:rPr>
          <w:szCs w:val="22"/>
        </w:rPr>
        <w:t xml:space="preserve"> and associated LLCs</w:t>
      </w:r>
      <w:r w:rsidRPr="008A25E7" w:rsidR="000D1EC7">
        <w:rPr>
          <w:szCs w:val="22"/>
        </w:rPr>
        <w:t xml:space="preserve"> </w:t>
      </w:r>
      <w:r w:rsidRPr="008A25E7" w:rsidR="00D27EDE">
        <w:rPr>
          <w:szCs w:val="22"/>
        </w:rPr>
        <w:t>. . . in</w:t>
      </w:r>
      <w:r w:rsidRPr="008A25E7" w:rsidR="00742933">
        <w:rPr>
          <w:szCs w:val="22"/>
        </w:rPr>
        <w:t>c</w:t>
      </w:r>
      <w:r w:rsidRPr="008A25E7" w:rsidR="00D27EDE">
        <w:rPr>
          <w:szCs w:val="22"/>
        </w:rPr>
        <w:t>lu</w:t>
      </w:r>
      <w:r w:rsidRPr="008A25E7" w:rsidR="00742933">
        <w:rPr>
          <w:szCs w:val="22"/>
        </w:rPr>
        <w:t>ding</w:t>
      </w:r>
      <w:r w:rsidRPr="008A25E7" w:rsidR="00D27EDE">
        <w:rPr>
          <w:szCs w:val="22"/>
        </w:rPr>
        <w:t xml:space="preserve"> as to the subject AMTS spectrum invo</w:t>
      </w:r>
      <w:r w:rsidRPr="008A25E7" w:rsidR="00742933">
        <w:rPr>
          <w:szCs w:val="22"/>
        </w:rPr>
        <w:t>l</w:t>
      </w:r>
      <w:r w:rsidRPr="008A25E7" w:rsidR="00D27EDE">
        <w:rPr>
          <w:szCs w:val="22"/>
        </w:rPr>
        <w:t>ved.”</w:t>
      </w:r>
      <w:r>
        <w:rPr>
          <w:rStyle w:val="FootnoteReference"/>
          <w:szCs w:val="22"/>
        </w:rPr>
        <w:footnoteReference w:id="65"/>
      </w:r>
      <w:r w:rsidRPr="008A25E7" w:rsidR="00FF50BD">
        <w:rPr>
          <w:szCs w:val="22"/>
        </w:rPr>
        <w:t xml:space="preserve"> </w:t>
      </w:r>
      <w:r w:rsidRPr="008A25E7" w:rsidR="00E67AEB">
        <w:rPr>
          <w:szCs w:val="22"/>
        </w:rPr>
        <w:t xml:space="preserve"> </w:t>
      </w:r>
      <w:r w:rsidRPr="008A25E7" w:rsidR="008953AD">
        <w:rPr>
          <w:szCs w:val="22"/>
        </w:rPr>
        <w:t xml:space="preserve">Havens </w:t>
      </w:r>
      <w:r w:rsidRPr="008A25E7" w:rsidR="00B72601">
        <w:rPr>
          <w:szCs w:val="22"/>
        </w:rPr>
        <w:t>claims tha</w:t>
      </w:r>
      <w:r w:rsidRPr="008A25E7" w:rsidR="00E62B7A">
        <w:rPr>
          <w:szCs w:val="22"/>
        </w:rPr>
        <w:t>t</w:t>
      </w:r>
      <w:r w:rsidRPr="008A25E7" w:rsidR="00B72601">
        <w:rPr>
          <w:szCs w:val="22"/>
        </w:rPr>
        <w:t xml:space="preserve"> by not addressing his </w:t>
      </w:r>
      <w:r w:rsidRPr="008A25E7" w:rsidR="00F5460B">
        <w:rPr>
          <w:szCs w:val="22"/>
        </w:rPr>
        <w:t xml:space="preserve">disqualification </w:t>
      </w:r>
      <w:r w:rsidRPr="008A25E7" w:rsidR="00F44166">
        <w:rPr>
          <w:szCs w:val="22"/>
        </w:rPr>
        <w:t>arguments, Hogan Lovells</w:t>
      </w:r>
      <w:r w:rsidRPr="008A25E7" w:rsidR="003B769B">
        <w:rPr>
          <w:szCs w:val="22"/>
        </w:rPr>
        <w:t>’</w:t>
      </w:r>
      <w:r w:rsidRPr="008A25E7" w:rsidR="00F44166">
        <w:rPr>
          <w:szCs w:val="22"/>
        </w:rPr>
        <w:t xml:space="preserve"> </w:t>
      </w:r>
      <w:r w:rsidRPr="008A25E7" w:rsidR="001B37C5">
        <w:rPr>
          <w:szCs w:val="22"/>
        </w:rPr>
        <w:t xml:space="preserve">“lack of </w:t>
      </w:r>
      <w:r w:rsidRPr="008A25E7" w:rsidR="00FF50BD">
        <w:rPr>
          <w:szCs w:val="22"/>
        </w:rPr>
        <w:t>response</w:t>
      </w:r>
      <w:r w:rsidRPr="008A25E7" w:rsidR="00F369BF">
        <w:rPr>
          <w:szCs w:val="22"/>
        </w:rPr>
        <w:t>s</w:t>
      </w:r>
      <w:r w:rsidRPr="008A25E7" w:rsidR="001B37C5">
        <w:rPr>
          <w:szCs w:val="22"/>
        </w:rPr>
        <w:t xml:space="preserve"> are admission</w:t>
      </w:r>
      <w:r w:rsidRPr="008A25E7" w:rsidR="00F369BF">
        <w:rPr>
          <w:szCs w:val="22"/>
        </w:rPr>
        <w:t>s</w:t>
      </w:r>
      <w:r w:rsidRPr="008A25E7" w:rsidR="001B37C5">
        <w:rPr>
          <w:szCs w:val="22"/>
        </w:rPr>
        <w:t xml:space="preserve"> and waivers.”</w:t>
      </w:r>
      <w:r>
        <w:rPr>
          <w:rStyle w:val="FootnoteReference"/>
          <w:szCs w:val="22"/>
        </w:rPr>
        <w:footnoteReference w:id="66"/>
      </w:r>
      <w:r w:rsidRPr="008A25E7" w:rsidR="009B0EB0">
        <w:rPr>
          <w:szCs w:val="22"/>
        </w:rPr>
        <w:t xml:space="preserve">  </w:t>
      </w:r>
      <w:r w:rsidRPr="008A25E7" w:rsidR="0099043E">
        <w:rPr>
          <w:szCs w:val="22"/>
        </w:rPr>
        <w:t>Petitioners failed to timely raise th</w:t>
      </w:r>
      <w:r w:rsidRPr="008A25E7" w:rsidR="007732C7">
        <w:rPr>
          <w:szCs w:val="22"/>
        </w:rPr>
        <w:t>e</w:t>
      </w:r>
      <w:r w:rsidRPr="008A25E7" w:rsidR="0099043E">
        <w:rPr>
          <w:szCs w:val="22"/>
        </w:rPr>
        <w:t>s</w:t>
      </w:r>
      <w:r w:rsidRPr="008A25E7" w:rsidR="007732C7">
        <w:rPr>
          <w:szCs w:val="22"/>
        </w:rPr>
        <w:t>e</w:t>
      </w:r>
      <w:r w:rsidRPr="008A25E7" w:rsidR="0099043E">
        <w:rPr>
          <w:szCs w:val="22"/>
        </w:rPr>
        <w:t xml:space="preserve"> argument</w:t>
      </w:r>
      <w:r w:rsidRPr="008A25E7" w:rsidR="007732C7">
        <w:rPr>
          <w:szCs w:val="22"/>
        </w:rPr>
        <w:t>s</w:t>
      </w:r>
      <w:r w:rsidRPr="008A25E7" w:rsidR="0099043E">
        <w:rPr>
          <w:szCs w:val="22"/>
        </w:rPr>
        <w:t xml:space="preserve"> in their Petit</w:t>
      </w:r>
      <w:r w:rsidRPr="008A25E7" w:rsidR="00EE2778">
        <w:rPr>
          <w:szCs w:val="22"/>
        </w:rPr>
        <w:t>i</w:t>
      </w:r>
      <w:r w:rsidRPr="008A25E7" w:rsidR="0099043E">
        <w:rPr>
          <w:szCs w:val="22"/>
        </w:rPr>
        <w:t>on to Deny</w:t>
      </w:r>
      <w:r w:rsidRPr="008A25E7" w:rsidR="0020023E">
        <w:rPr>
          <w:szCs w:val="22"/>
        </w:rPr>
        <w:t xml:space="preserve"> as required by Section </w:t>
      </w:r>
      <w:r w:rsidRPr="008A25E7" w:rsidR="00D558FD">
        <w:rPr>
          <w:szCs w:val="22"/>
        </w:rPr>
        <w:t>1</w:t>
      </w:r>
      <w:r w:rsidRPr="008A25E7" w:rsidR="00EE2778">
        <w:rPr>
          <w:szCs w:val="22"/>
        </w:rPr>
        <w:t>.</w:t>
      </w:r>
      <w:r w:rsidRPr="008A25E7" w:rsidR="00D558FD">
        <w:rPr>
          <w:szCs w:val="22"/>
        </w:rPr>
        <w:t>9</w:t>
      </w:r>
      <w:r w:rsidRPr="008A25E7" w:rsidR="00A23EA7">
        <w:rPr>
          <w:szCs w:val="22"/>
        </w:rPr>
        <w:t>48(j)(1)(iii)</w:t>
      </w:r>
      <w:r w:rsidRPr="008A25E7" w:rsidR="00EE2778">
        <w:rPr>
          <w:szCs w:val="22"/>
        </w:rPr>
        <w:t xml:space="preserve"> of the </w:t>
      </w:r>
      <w:r w:rsidRPr="008A25E7" w:rsidR="00A23EA7">
        <w:rPr>
          <w:szCs w:val="22"/>
        </w:rPr>
        <w:t>Commission’s</w:t>
      </w:r>
      <w:r w:rsidRPr="008A25E7" w:rsidR="00EE2778">
        <w:rPr>
          <w:szCs w:val="22"/>
        </w:rPr>
        <w:t xml:space="preserve"> rules.</w:t>
      </w:r>
      <w:r>
        <w:rPr>
          <w:rStyle w:val="FootnoteReference"/>
          <w:szCs w:val="22"/>
        </w:rPr>
        <w:footnoteReference w:id="67"/>
      </w:r>
      <w:r w:rsidRPr="008A25E7" w:rsidR="007B1FF5">
        <w:rPr>
          <w:szCs w:val="22"/>
        </w:rPr>
        <w:t xml:space="preserve">  </w:t>
      </w:r>
      <w:r w:rsidRPr="008A25E7" w:rsidR="006A7D6E">
        <w:rPr>
          <w:szCs w:val="22"/>
        </w:rPr>
        <w:t xml:space="preserve">In the interest of a full record, </w:t>
      </w:r>
      <w:r w:rsidRPr="008A25E7" w:rsidR="00265DA7">
        <w:rPr>
          <w:szCs w:val="22"/>
        </w:rPr>
        <w:t>w</w:t>
      </w:r>
      <w:r w:rsidRPr="008A25E7" w:rsidR="007B1FF5">
        <w:rPr>
          <w:szCs w:val="22"/>
        </w:rPr>
        <w:t>e will treat th</w:t>
      </w:r>
      <w:r w:rsidRPr="008A25E7" w:rsidR="00B117FD">
        <w:rPr>
          <w:szCs w:val="22"/>
        </w:rPr>
        <w:t xml:space="preserve">e allegations </w:t>
      </w:r>
      <w:r w:rsidRPr="008A25E7" w:rsidR="007B1FF5">
        <w:rPr>
          <w:szCs w:val="22"/>
        </w:rPr>
        <w:t xml:space="preserve">as </w:t>
      </w:r>
      <w:r w:rsidRPr="008A25E7" w:rsidR="00265DA7">
        <w:rPr>
          <w:szCs w:val="22"/>
        </w:rPr>
        <w:t xml:space="preserve">an </w:t>
      </w:r>
      <w:r w:rsidRPr="008A25E7" w:rsidR="007B1FF5">
        <w:rPr>
          <w:szCs w:val="22"/>
        </w:rPr>
        <w:t xml:space="preserve">informal request for action under </w:t>
      </w:r>
      <w:r w:rsidRPr="008A25E7" w:rsidR="00265DA7">
        <w:rPr>
          <w:szCs w:val="22"/>
        </w:rPr>
        <w:t>s</w:t>
      </w:r>
      <w:r w:rsidRPr="008A25E7" w:rsidR="007B1FF5">
        <w:rPr>
          <w:szCs w:val="22"/>
        </w:rPr>
        <w:t>ection 1.41 of the Commission’s rules</w:t>
      </w:r>
      <w:r w:rsidRPr="008A25E7" w:rsidR="00B117FD">
        <w:rPr>
          <w:szCs w:val="22"/>
        </w:rPr>
        <w:t>.</w:t>
      </w:r>
      <w:r>
        <w:rPr>
          <w:rStyle w:val="FootnoteReference"/>
          <w:szCs w:val="22"/>
        </w:rPr>
        <w:footnoteReference w:id="68"/>
      </w:r>
    </w:p>
    <w:p w:rsidR="00326EC5" w:rsidRPr="008A25E7" w:rsidP="00C85429" w14:paraId="60F0EF24" w14:textId="1E6867A6">
      <w:pPr>
        <w:pStyle w:val="ParaNum"/>
        <w:tabs>
          <w:tab w:val="clear" w:pos="1080"/>
        </w:tabs>
        <w:jc w:val="left"/>
        <w:rPr>
          <w:szCs w:val="22"/>
        </w:rPr>
      </w:pPr>
      <w:r w:rsidRPr="008A25E7">
        <w:rPr>
          <w:szCs w:val="22"/>
        </w:rPr>
        <w:t>A</w:t>
      </w:r>
      <w:r w:rsidRPr="008A25E7" w:rsidR="00586F93">
        <w:rPr>
          <w:szCs w:val="22"/>
        </w:rPr>
        <w:t xml:space="preserve"> May 8, 2020</w:t>
      </w:r>
      <w:r w:rsidRPr="008A25E7" w:rsidR="00E30F4C">
        <w:rPr>
          <w:szCs w:val="22"/>
        </w:rPr>
        <w:t>,</w:t>
      </w:r>
      <w:r w:rsidRPr="008A25E7" w:rsidR="00586F93">
        <w:rPr>
          <w:szCs w:val="22"/>
        </w:rPr>
        <w:t xml:space="preserve"> </w:t>
      </w:r>
      <w:r w:rsidRPr="008A25E7">
        <w:rPr>
          <w:szCs w:val="22"/>
        </w:rPr>
        <w:t>filing executed by David L. Martin of Hogan Lovells</w:t>
      </w:r>
      <w:r w:rsidRPr="008A25E7" w:rsidR="00586F93">
        <w:rPr>
          <w:szCs w:val="22"/>
        </w:rPr>
        <w:t xml:space="preserve">, </w:t>
      </w:r>
      <w:r w:rsidRPr="008A25E7" w:rsidR="00F369BF">
        <w:rPr>
          <w:szCs w:val="22"/>
        </w:rPr>
        <w:t xml:space="preserve">explains </w:t>
      </w:r>
      <w:r w:rsidRPr="008A25E7" w:rsidR="00300B65">
        <w:rPr>
          <w:szCs w:val="22"/>
        </w:rPr>
        <w:t xml:space="preserve">that </w:t>
      </w:r>
      <w:r w:rsidRPr="008A25E7">
        <w:rPr>
          <w:szCs w:val="22"/>
        </w:rPr>
        <w:t xml:space="preserve">the </w:t>
      </w:r>
      <w:r w:rsidRPr="008A25E7" w:rsidR="009D4F70">
        <w:rPr>
          <w:szCs w:val="22"/>
        </w:rPr>
        <w:t xml:space="preserve">law </w:t>
      </w:r>
      <w:r w:rsidRPr="008A25E7">
        <w:rPr>
          <w:szCs w:val="22"/>
        </w:rPr>
        <w:t xml:space="preserve">firm’s </w:t>
      </w:r>
      <w:r w:rsidRPr="008A25E7" w:rsidR="00300B65">
        <w:rPr>
          <w:szCs w:val="22"/>
        </w:rPr>
        <w:t xml:space="preserve">relationship with </w:t>
      </w:r>
      <w:r w:rsidRPr="008A25E7" w:rsidR="00F639E4">
        <w:rPr>
          <w:szCs w:val="22"/>
        </w:rPr>
        <w:t xml:space="preserve">Havens </w:t>
      </w:r>
      <w:r w:rsidRPr="008A25E7" w:rsidR="002F2CAC">
        <w:rPr>
          <w:szCs w:val="22"/>
        </w:rPr>
        <w:t>“</w:t>
      </w:r>
      <w:r w:rsidRPr="008A25E7" w:rsidR="00AA46B0">
        <w:rPr>
          <w:szCs w:val="22"/>
        </w:rPr>
        <w:t>ended 13 years ago.</w:t>
      </w:r>
      <w:r w:rsidRPr="008A25E7" w:rsidR="002F2CAC">
        <w:rPr>
          <w:szCs w:val="22"/>
        </w:rPr>
        <w:t>”</w:t>
      </w:r>
      <w:r>
        <w:rPr>
          <w:rStyle w:val="FootnoteReference"/>
          <w:szCs w:val="22"/>
        </w:rPr>
        <w:footnoteReference w:id="69"/>
      </w:r>
      <w:r w:rsidRPr="008A25E7" w:rsidR="00E30F4C">
        <w:rPr>
          <w:szCs w:val="22"/>
        </w:rPr>
        <w:t xml:space="preserve">  The filing</w:t>
      </w:r>
      <w:r w:rsidRPr="008A25E7" w:rsidR="00C735DE">
        <w:rPr>
          <w:szCs w:val="22"/>
        </w:rPr>
        <w:t xml:space="preserve"> </w:t>
      </w:r>
      <w:r w:rsidRPr="008A25E7" w:rsidR="00371271">
        <w:rPr>
          <w:szCs w:val="22"/>
        </w:rPr>
        <w:t xml:space="preserve">includes Martin’s </w:t>
      </w:r>
      <w:r w:rsidRPr="008A25E7" w:rsidR="00C735DE">
        <w:rPr>
          <w:szCs w:val="22"/>
        </w:rPr>
        <w:t xml:space="preserve">declaration </w:t>
      </w:r>
      <w:r w:rsidRPr="008A25E7" w:rsidR="002F3E9F">
        <w:rPr>
          <w:szCs w:val="22"/>
        </w:rPr>
        <w:t>“under penalty of perjury that the f</w:t>
      </w:r>
      <w:r w:rsidRPr="008A25E7" w:rsidR="00371271">
        <w:rPr>
          <w:szCs w:val="22"/>
        </w:rPr>
        <w:t>a</w:t>
      </w:r>
      <w:r w:rsidRPr="008A25E7" w:rsidR="002F3E9F">
        <w:rPr>
          <w:szCs w:val="22"/>
        </w:rPr>
        <w:t>c</w:t>
      </w:r>
      <w:r w:rsidRPr="008A25E7" w:rsidR="00371271">
        <w:rPr>
          <w:szCs w:val="22"/>
        </w:rPr>
        <w:t>t</w:t>
      </w:r>
      <w:r w:rsidRPr="008A25E7" w:rsidR="002F3E9F">
        <w:rPr>
          <w:szCs w:val="22"/>
        </w:rPr>
        <w:t>ual s</w:t>
      </w:r>
      <w:r w:rsidRPr="008A25E7" w:rsidR="00371271">
        <w:rPr>
          <w:szCs w:val="22"/>
        </w:rPr>
        <w:t>t</w:t>
      </w:r>
      <w:r w:rsidRPr="008A25E7" w:rsidR="002F3E9F">
        <w:rPr>
          <w:szCs w:val="22"/>
        </w:rPr>
        <w:t>at</w:t>
      </w:r>
      <w:r w:rsidRPr="008A25E7" w:rsidR="00371271">
        <w:rPr>
          <w:szCs w:val="22"/>
        </w:rPr>
        <w:t xml:space="preserve">ements </w:t>
      </w:r>
      <w:r w:rsidRPr="008A25E7" w:rsidR="002F3E9F">
        <w:rPr>
          <w:szCs w:val="22"/>
        </w:rPr>
        <w:t>in the . . . filing</w:t>
      </w:r>
      <w:r w:rsidRPr="008A25E7" w:rsidR="000D5E60">
        <w:rPr>
          <w:szCs w:val="22"/>
        </w:rPr>
        <w:t xml:space="preserve"> known by me are t</w:t>
      </w:r>
      <w:r w:rsidRPr="008A25E7" w:rsidR="00371271">
        <w:rPr>
          <w:szCs w:val="22"/>
        </w:rPr>
        <w:t>r</w:t>
      </w:r>
      <w:r w:rsidRPr="008A25E7" w:rsidR="000D5E60">
        <w:rPr>
          <w:szCs w:val="22"/>
        </w:rPr>
        <w:t>ue and correct.”</w:t>
      </w:r>
      <w:r>
        <w:rPr>
          <w:rStyle w:val="FootnoteReference"/>
          <w:szCs w:val="22"/>
        </w:rPr>
        <w:footnoteReference w:id="70"/>
      </w:r>
      <w:r w:rsidRPr="008A25E7" w:rsidR="00371271">
        <w:rPr>
          <w:szCs w:val="22"/>
        </w:rPr>
        <w:t xml:space="preserve">  The filing </w:t>
      </w:r>
      <w:r w:rsidRPr="008A25E7" w:rsidR="005E120D">
        <w:rPr>
          <w:szCs w:val="22"/>
        </w:rPr>
        <w:t xml:space="preserve">also </w:t>
      </w:r>
      <w:r w:rsidRPr="008A25E7" w:rsidR="0043659E">
        <w:rPr>
          <w:szCs w:val="22"/>
        </w:rPr>
        <w:t>states</w:t>
      </w:r>
      <w:r w:rsidRPr="008A25E7" w:rsidR="00371271">
        <w:rPr>
          <w:szCs w:val="22"/>
        </w:rPr>
        <w:t xml:space="preserve"> </w:t>
      </w:r>
      <w:r w:rsidRPr="008A25E7" w:rsidR="0043659E">
        <w:rPr>
          <w:szCs w:val="22"/>
        </w:rPr>
        <w:t>“[u]</w:t>
      </w:r>
      <w:r w:rsidRPr="008A25E7" w:rsidR="00AA46B0">
        <w:rPr>
          <w:szCs w:val="22"/>
        </w:rPr>
        <w:t>ndersigned counsel denies that representation of PTC-220 in the instant assignment application proceeding gives rise to any violation of the D.C. Rules of Professional Conduct.</w:t>
      </w:r>
      <w:r w:rsidRPr="008A25E7" w:rsidR="0043659E">
        <w:rPr>
          <w:szCs w:val="22"/>
        </w:rPr>
        <w:t>”</w:t>
      </w:r>
      <w:r>
        <w:rPr>
          <w:rStyle w:val="FootnoteReference"/>
          <w:szCs w:val="22"/>
        </w:rPr>
        <w:footnoteReference w:id="71"/>
      </w:r>
      <w:r w:rsidRPr="008A25E7" w:rsidR="004B0209">
        <w:rPr>
          <w:szCs w:val="22"/>
        </w:rPr>
        <w:t xml:space="preserve">  </w:t>
      </w:r>
      <w:r w:rsidRPr="008A25E7" w:rsidR="00D02F67">
        <w:rPr>
          <w:szCs w:val="22"/>
        </w:rPr>
        <w:t xml:space="preserve">As PTC-220 notes, </w:t>
      </w:r>
      <w:r w:rsidRPr="008A25E7" w:rsidR="003C55C8">
        <w:rPr>
          <w:szCs w:val="22"/>
        </w:rPr>
        <w:t xml:space="preserve">even </w:t>
      </w:r>
      <w:r w:rsidRPr="008A25E7" w:rsidR="004B0209">
        <w:rPr>
          <w:szCs w:val="22"/>
        </w:rPr>
        <w:t xml:space="preserve">if Havens </w:t>
      </w:r>
      <w:r w:rsidRPr="008A25E7" w:rsidR="00A61A7F">
        <w:rPr>
          <w:szCs w:val="22"/>
        </w:rPr>
        <w:t xml:space="preserve">demonstrated </w:t>
      </w:r>
      <w:r w:rsidRPr="008A25E7" w:rsidR="00AA46B0">
        <w:rPr>
          <w:szCs w:val="22"/>
        </w:rPr>
        <w:t>some violation of those rules,</w:t>
      </w:r>
      <w:r w:rsidRPr="008A25E7" w:rsidR="00B24A3D">
        <w:rPr>
          <w:szCs w:val="22"/>
        </w:rPr>
        <w:t xml:space="preserve"> </w:t>
      </w:r>
      <w:r w:rsidRPr="008A25E7" w:rsidR="00857AF6">
        <w:rPr>
          <w:szCs w:val="22"/>
        </w:rPr>
        <w:t xml:space="preserve">the </w:t>
      </w:r>
      <w:r w:rsidRPr="008A25E7" w:rsidR="00E35C14">
        <w:rPr>
          <w:szCs w:val="22"/>
        </w:rPr>
        <w:t>Commission</w:t>
      </w:r>
      <w:r w:rsidRPr="008A25E7" w:rsidR="00857AF6">
        <w:rPr>
          <w:szCs w:val="22"/>
        </w:rPr>
        <w:t xml:space="preserve"> </w:t>
      </w:r>
      <w:r w:rsidRPr="008A25E7" w:rsidR="005D5A5D">
        <w:rPr>
          <w:szCs w:val="22"/>
        </w:rPr>
        <w:t xml:space="preserve">has </w:t>
      </w:r>
      <w:r w:rsidRPr="008A25E7" w:rsidR="00743382">
        <w:rPr>
          <w:szCs w:val="22"/>
        </w:rPr>
        <w:t xml:space="preserve">declined to </w:t>
      </w:r>
      <w:r w:rsidRPr="008A25E7" w:rsidR="005D5A5D">
        <w:rPr>
          <w:szCs w:val="22"/>
        </w:rPr>
        <w:t xml:space="preserve">adjudicate </w:t>
      </w:r>
      <w:r w:rsidRPr="008A25E7" w:rsidR="00E35C14">
        <w:rPr>
          <w:szCs w:val="22"/>
        </w:rPr>
        <w:t xml:space="preserve">“[i]ssues related to attorney misconduct </w:t>
      </w:r>
      <w:r w:rsidRPr="008A25E7" w:rsidR="005A76CF">
        <w:rPr>
          <w:szCs w:val="22"/>
        </w:rPr>
        <w:t xml:space="preserve"> . . . </w:t>
      </w:r>
      <w:r w:rsidRPr="008A25E7" w:rsidR="00E35C14">
        <w:rPr>
          <w:szCs w:val="22"/>
        </w:rPr>
        <w:t>in the course of an ongoing licensing proceeding except where the allegations of attorney misconduct are inextricably related to the questions being litigated.”</w:t>
      </w:r>
      <w:r>
        <w:rPr>
          <w:rStyle w:val="FootnoteReference"/>
          <w:szCs w:val="22"/>
        </w:rPr>
        <w:footnoteReference w:id="72"/>
      </w:r>
      <w:r w:rsidRPr="008A25E7" w:rsidR="002D2E7A">
        <w:rPr>
          <w:szCs w:val="22"/>
        </w:rPr>
        <w:t xml:space="preserve"> </w:t>
      </w:r>
      <w:r w:rsidRPr="008A25E7" w:rsidR="0037553C">
        <w:rPr>
          <w:szCs w:val="22"/>
        </w:rPr>
        <w:t xml:space="preserve"> </w:t>
      </w:r>
      <w:r w:rsidRPr="008A25E7" w:rsidR="003F1EC6">
        <w:rPr>
          <w:szCs w:val="22"/>
        </w:rPr>
        <w:t>We find that t</w:t>
      </w:r>
      <w:r w:rsidRPr="008A25E7" w:rsidR="00BE5300">
        <w:rPr>
          <w:szCs w:val="22"/>
        </w:rPr>
        <w:t xml:space="preserve">here is no nexus between </w:t>
      </w:r>
      <w:r w:rsidRPr="008A25E7" w:rsidR="006F26AE">
        <w:rPr>
          <w:szCs w:val="22"/>
        </w:rPr>
        <w:t xml:space="preserve">Petitioners’ </w:t>
      </w:r>
      <w:r w:rsidRPr="008A25E7" w:rsidR="00B256A8">
        <w:rPr>
          <w:szCs w:val="22"/>
        </w:rPr>
        <w:t xml:space="preserve">claim that </w:t>
      </w:r>
      <w:r w:rsidRPr="008A25E7" w:rsidR="00491639">
        <w:rPr>
          <w:szCs w:val="22"/>
        </w:rPr>
        <w:t xml:space="preserve">Hogan Lovells should be disqualified and </w:t>
      </w:r>
      <w:r w:rsidRPr="008A25E7" w:rsidR="002533ED">
        <w:rPr>
          <w:szCs w:val="22"/>
        </w:rPr>
        <w:t>the</w:t>
      </w:r>
      <w:r w:rsidRPr="008A25E7" w:rsidR="006F26AE">
        <w:rPr>
          <w:szCs w:val="22"/>
        </w:rPr>
        <w:t xml:space="preserve"> substantive </w:t>
      </w:r>
      <w:r w:rsidRPr="008A25E7" w:rsidR="002533ED">
        <w:rPr>
          <w:szCs w:val="22"/>
        </w:rPr>
        <w:t xml:space="preserve">issues before us in this proceeding.  </w:t>
      </w:r>
      <w:r w:rsidRPr="008A25E7" w:rsidR="0037553C">
        <w:rPr>
          <w:szCs w:val="22"/>
        </w:rPr>
        <w:t xml:space="preserve">We therefore </w:t>
      </w:r>
      <w:r w:rsidRPr="008A25E7" w:rsidR="00DF5E73">
        <w:rPr>
          <w:szCs w:val="22"/>
        </w:rPr>
        <w:t xml:space="preserve">decline to </w:t>
      </w:r>
      <w:r w:rsidRPr="008A25E7" w:rsidR="00AA46B0">
        <w:rPr>
          <w:szCs w:val="22"/>
        </w:rPr>
        <w:t>consider th</w:t>
      </w:r>
      <w:r w:rsidRPr="008A25E7" w:rsidR="00DF5E73">
        <w:rPr>
          <w:szCs w:val="22"/>
        </w:rPr>
        <w:t>e</w:t>
      </w:r>
      <w:r w:rsidRPr="008A25E7" w:rsidR="00AA46B0">
        <w:rPr>
          <w:szCs w:val="22"/>
        </w:rPr>
        <w:t>s</w:t>
      </w:r>
      <w:r w:rsidRPr="008A25E7" w:rsidR="00DF5E73">
        <w:rPr>
          <w:szCs w:val="22"/>
        </w:rPr>
        <w:t>e</w:t>
      </w:r>
      <w:r w:rsidRPr="008A25E7" w:rsidR="00AA46B0">
        <w:rPr>
          <w:szCs w:val="22"/>
        </w:rPr>
        <w:t xml:space="preserve"> allegation</w:t>
      </w:r>
      <w:r w:rsidRPr="008A25E7" w:rsidR="00DF5E73">
        <w:rPr>
          <w:szCs w:val="22"/>
        </w:rPr>
        <w:t>s</w:t>
      </w:r>
      <w:r w:rsidRPr="008A25E7" w:rsidR="00AA46B0">
        <w:rPr>
          <w:szCs w:val="22"/>
        </w:rPr>
        <w:t xml:space="preserve"> </w:t>
      </w:r>
      <w:r w:rsidRPr="008A25E7" w:rsidR="00255507">
        <w:rPr>
          <w:szCs w:val="22"/>
        </w:rPr>
        <w:t>further here</w:t>
      </w:r>
      <w:r w:rsidRPr="008A25E7" w:rsidR="00DF5E73">
        <w:rPr>
          <w:szCs w:val="22"/>
        </w:rPr>
        <w:t>.</w:t>
      </w:r>
      <w:r w:rsidRPr="008A25E7" w:rsidR="00255507">
        <w:rPr>
          <w:szCs w:val="22"/>
        </w:rPr>
        <w:t xml:space="preserve">  </w:t>
      </w:r>
    </w:p>
    <w:p w:rsidR="00B86B6F" w:rsidRPr="008A25E7" w:rsidP="001A0EAA" w14:paraId="6C2A2C8D" w14:textId="6BBD5B78">
      <w:pPr>
        <w:pStyle w:val="ParaNum"/>
        <w:tabs>
          <w:tab w:val="clear" w:pos="1080"/>
        </w:tabs>
        <w:jc w:val="left"/>
        <w:rPr>
          <w:szCs w:val="22"/>
        </w:rPr>
      </w:pPr>
      <w:r w:rsidRPr="008A25E7">
        <w:rPr>
          <w:szCs w:val="22"/>
          <w:u w:val="single"/>
        </w:rPr>
        <w:t>Kurian</w:t>
      </w:r>
      <w:r w:rsidRPr="008A25E7" w:rsidR="001114A2">
        <w:rPr>
          <w:szCs w:val="22"/>
          <w:u w:val="single"/>
        </w:rPr>
        <w:t xml:space="preserve"> Filings</w:t>
      </w:r>
      <w:r w:rsidRPr="008A25E7" w:rsidR="00804287">
        <w:rPr>
          <w:szCs w:val="22"/>
        </w:rPr>
        <w:t xml:space="preserve">. </w:t>
      </w:r>
      <w:r w:rsidRPr="008A25E7" w:rsidR="00D81A2A">
        <w:rPr>
          <w:szCs w:val="22"/>
        </w:rPr>
        <w:t xml:space="preserve"> </w:t>
      </w:r>
      <w:r w:rsidRPr="008A25E7" w:rsidR="005E582A">
        <w:rPr>
          <w:szCs w:val="22"/>
        </w:rPr>
        <w:t xml:space="preserve">Petitioners </w:t>
      </w:r>
      <w:r w:rsidRPr="008A25E7" w:rsidR="00F30AD1">
        <w:rPr>
          <w:szCs w:val="22"/>
        </w:rPr>
        <w:t xml:space="preserve">note </w:t>
      </w:r>
      <w:r w:rsidRPr="008A25E7" w:rsidR="00743624">
        <w:rPr>
          <w:szCs w:val="22"/>
        </w:rPr>
        <w:t xml:space="preserve">that </w:t>
      </w:r>
      <w:r w:rsidRPr="008A25E7" w:rsidR="005E582A">
        <w:rPr>
          <w:szCs w:val="22"/>
        </w:rPr>
        <w:t xml:space="preserve">Kurian did not </w:t>
      </w:r>
      <w:r w:rsidRPr="008A25E7" w:rsidR="007C34F3">
        <w:rPr>
          <w:szCs w:val="22"/>
        </w:rPr>
        <w:t xml:space="preserve">formally </w:t>
      </w:r>
      <w:r w:rsidRPr="008A25E7" w:rsidR="005E582A">
        <w:rPr>
          <w:szCs w:val="22"/>
        </w:rPr>
        <w:t>oppos</w:t>
      </w:r>
      <w:r w:rsidRPr="008A25E7" w:rsidR="007C34F3">
        <w:rPr>
          <w:szCs w:val="22"/>
        </w:rPr>
        <w:t>e</w:t>
      </w:r>
      <w:r w:rsidRPr="008A25E7" w:rsidR="005E582A">
        <w:rPr>
          <w:szCs w:val="22"/>
        </w:rPr>
        <w:t xml:space="preserve"> the</w:t>
      </w:r>
      <w:r w:rsidRPr="008A25E7" w:rsidR="00A82EEE">
        <w:rPr>
          <w:szCs w:val="22"/>
        </w:rPr>
        <w:t>ir</w:t>
      </w:r>
      <w:r w:rsidRPr="008A25E7" w:rsidR="005E582A">
        <w:rPr>
          <w:szCs w:val="22"/>
        </w:rPr>
        <w:t xml:space="preserve"> Petition to </w:t>
      </w:r>
      <w:r w:rsidRPr="008A25E7" w:rsidR="00F371B9">
        <w:rPr>
          <w:szCs w:val="22"/>
        </w:rPr>
        <w:t>Deny</w:t>
      </w:r>
      <w:r w:rsidRPr="008A25E7" w:rsidR="00DC29C7">
        <w:rPr>
          <w:szCs w:val="22"/>
        </w:rPr>
        <w:t xml:space="preserve">, did not join </w:t>
      </w:r>
      <w:r w:rsidRPr="008A25E7" w:rsidR="001114A2">
        <w:rPr>
          <w:szCs w:val="22"/>
        </w:rPr>
        <w:t xml:space="preserve">PTC-220’s </w:t>
      </w:r>
      <w:r w:rsidRPr="008A25E7" w:rsidR="00DC29C7">
        <w:rPr>
          <w:szCs w:val="22"/>
        </w:rPr>
        <w:t>Opposition, and di</w:t>
      </w:r>
      <w:r w:rsidRPr="008A25E7" w:rsidR="004E5F79">
        <w:rPr>
          <w:szCs w:val="22"/>
        </w:rPr>
        <w:t>d</w:t>
      </w:r>
      <w:r w:rsidRPr="008A25E7" w:rsidR="00DC29C7">
        <w:rPr>
          <w:szCs w:val="22"/>
        </w:rPr>
        <w:t xml:space="preserve"> not respond </w:t>
      </w:r>
      <w:r w:rsidRPr="008A25E7" w:rsidR="00F30AD1">
        <w:rPr>
          <w:szCs w:val="22"/>
        </w:rPr>
        <w:t xml:space="preserve">to </w:t>
      </w:r>
      <w:r w:rsidRPr="008A25E7" w:rsidR="00743624">
        <w:rPr>
          <w:szCs w:val="22"/>
        </w:rPr>
        <w:t>Petitioners’ supplements</w:t>
      </w:r>
      <w:r w:rsidRPr="008A25E7" w:rsidR="004E5F79">
        <w:rPr>
          <w:szCs w:val="22"/>
        </w:rPr>
        <w:t xml:space="preserve"> to the </w:t>
      </w:r>
      <w:r w:rsidRPr="008A25E7" w:rsidR="00C85D3A">
        <w:rPr>
          <w:szCs w:val="22"/>
        </w:rPr>
        <w:t>Petition to Deny</w:t>
      </w:r>
      <w:r w:rsidRPr="008A25E7" w:rsidR="00DC29C7">
        <w:rPr>
          <w:szCs w:val="22"/>
        </w:rPr>
        <w:t>.</w:t>
      </w:r>
      <w:r>
        <w:rPr>
          <w:rStyle w:val="FootnoteReference"/>
          <w:szCs w:val="22"/>
        </w:rPr>
        <w:footnoteReference w:id="73"/>
      </w:r>
      <w:r w:rsidRPr="008A25E7" w:rsidR="002443C3">
        <w:rPr>
          <w:szCs w:val="22"/>
        </w:rPr>
        <w:t xml:space="preserve">  </w:t>
      </w:r>
      <w:r w:rsidRPr="008A25E7" w:rsidR="00C85D3A">
        <w:rPr>
          <w:szCs w:val="22"/>
        </w:rPr>
        <w:t xml:space="preserve">Petitioners </w:t>
      </w:r>
      <w:r w:rsidRPr="008A25E7" w:rsidR="002443C3">
        <w:rPr>
          <w:szCs w:val="22"/>
        </w:rPr>
        <w:t>claim that</w:t>
      </w:r>
      <w:r w:rsidRPr="008A25E7" w:rsidR="003972FD">
        <w:rPr>
          <w:szCs w:val="22"/>
        </w:rPr>
        <w:t>,</w:t>
      </w:r>
      <w:r w:rsidRPr="008A25E7" w:rsidR="002443C3">
        <w:rPr>
          <w:szCs w:val="22"/>
        </w:rPr>
        <w:t xml:space="preserve"> abs</w:t>
      </w:r>
      <w:r w:rsidRPr="008A25E7" w:rsidR="00B36B20">
        <w:rPr>
          <w:szCs w:val="22"/>
        </w:rPr>
        <w:t>e</w:t>
      </w:r>
      <w:r w:rsidRPr="008A25E7" w:rsidR="002443C3">
        <w:rPr>
          <w:szCs w:val="22"/>
        </w:rPr>
        <w:t>nt</w:t>
      </w:r>
      <w:r w:rsidRPr="008A25E7" w:rsidR="00B36B20">
        <w:rPr>
          <w:szCs w:val="22"/>
        </w:rPr>
        <w:t xml:space="preserve"> such filings, </w:t>
      </w:r>
      <w:r w:rsidRPr="008A25E7" w:rsidR="00E03348">
        <w:rPr>
          <w:szCs w:val="22"/>
        </w:rPr>
        <w:t xml:space="preserve">their </w:t>
      </w:r>
      <w:r w:rsidRPr="008A25E7" w:rsidR="00B36B20">
        <w:rPr>
          <w:szCs w:val="22"/>
        </w:rPr>
        <w:t>Peti</w:t>
      </w:r>
      <w:r w:rsidRPr="008A25E7" w:rsidR="00A255F5">
        <w:rPr>
          <w:szCs w:val="22"/>
        </w:rPr>
        <w:t>ti</w:t>
      </w:r>
      <w:r w:rsidRPr="008A25E7" w:rsidR="00B36B20">
        <w:rPr>
          <w:szCs w:val="22"/>
        </w:rPr>
        <w:t>on to Deny</w:t>
      </w:r>
      <w:r w:rsidRPr="008A25E7" w:rsidR="00E03348">
        <w:rPr>
          <w:szCs w:val="22"/>
        </w:rPr>
        <w:t xml:space="preserve"> “</w:t>
      </w:r>
      <w:r w:rsidRPr="008A25E7" w:rsidR="00B36B20">
        <w:rPr>
          <w:szCs w:val="22"/>
        </w:rPr>
        <w:t>is not effectively opposed, and is effectively admitted.”</w:t>
      </w:r>
      <w:r>
        <w:rPr>
          <w:rStyle w:val="FootnoteReference"/>
          <w:szCs w:val="22"/>
        </w:rPr>
        <w:footnoteReference w:id="74"/>
      </w:r>
      <w:r w:rsidRPr="008A25E7" w:rsidR="00E03348">
        <w:rPr>
          <w:szCs w:val="22"/>
        </w:rPr>
        <w:t xml:space="preserve">  </w:t>
      </w:r>
      <w:r w:rsidRPr="008A25E7" w:rsidR="0095210C">
        <w:rPr>
          <w:szCs w:val="22"/>
        </w:rPr>
        <w:t>Petitioners</w:t>
      </w:r>
      <w:r w:rsidRPr="008A25E7" w:rsidR="00E03348">
        <w:rPr>
          <w:szCs w:val="22"/>
        </w:rPr>
        <w:t xml:space="preserve"> cite no</w:t>
      </w:r>
      <w:r w:rsidRPr="008A25E7" w:rsidR="003166C7">
        <w:rPr>
          <w:szCs w:val="22"/>
        </w:rPr>
        <w:t xml:space="preserve"> FCC rule or </w:t>
      </w:r>
      <w:r w:rsidRPr="008A25E7" w:rsidR="0095210C">
        <w:rPr>
          <w:szCs w:val="22"/>
        </w:rPr>
        <w:t xml:space="preserve">precedent </w:t>
      </w:r>
      <w:r w:rsidRPr="008A25E7" w:rsidR="003972FD">
        <w:rPr>
          <w:szCs w:val="22"/>
        </w:rPr>
        <w:t>to support</w:t>
      </w:r>
      <w:r w:rsidRPr="008A25E7" w:rsidR="0095210C">
        <w:rPr>
          <w:szCs w:val="22"/>
        </w:rPr>
        <w:t xml:space="preserve"> their assertion</w:t>
      </w:r>
      <w:r w:rsidRPr="008A25E7" w:rsidR="003166C7">
        <w:rPr>
          <w:szCs w:val="22"/>
        </w:rPr>
        <w:t>s</w:t>
      </w:r>
      <w:r w:rsidRPr="008A25E7" w:rsidR="003972FD">
        <w:rPr>
          <w:szCs w:val="22"/>
        </w:rPr>
        <w:t>,</w:t>
      </w:r>
      <w:r w:rsidRPr="008A25E7" w:rsidR="0095210C">
        <w:rPr>
          <w:szCs w:val="22"/>
        </w:rPr>
        <w:t xml:space="preserve"> nor are we aware of any.</w:t>
      </w:r>
      <w:r w:rsidRPr="008A25E7" w:rsidR="003166C7">
        <w:rPr>
          <w:szCs w:val="22"/>
        </w:rPr>
        <w:t xml:space="preserve">  The fact that Kurian </w:t>
      </w:r>
      <w:r w:rsidRPr="008A25E7" w:rsidR="00A71C74">
        <w:rPr>
          <w:szCs w:val="22"/>
        </w:rPr>
        <w:t xml:space="preserve">chose </w:t>
      </w:r>
      <w:r w:rsidRPr="008A25E7" w:rsidR="003166C7">
        <w:rPr>
          <w:szCs w:val="22"/>
        </w:rPr>
        <w:t>no</w:t>
      </w:r>
      <w:r w:rsidRPr="008A25E7" w:rsidR="00A71C74">
        <w:rPr>
          <w:szCs w:val="22"/>
        </w:rPr>
        <w:t>t to file a</w:t>
      </w:r>
      <w:r w:rsidRPr="008A25E7" w:rsidR="005E5C0F">
        <w:rPr>
          <w:szCs w:val="22"/>
        </w:rPr>
        <w:t xml:space="preserve"> separate</w:t>
      </w:r>
      <w:r w:rsidRPr="008A25E7" w:rsidR="00A71C74">
        <w:rPr>
          <w:szCs w:val="22"/>
        </w:rPr>
        <w:t xml:space="preserve"> opposition, join PTC-220’s Opposition</w:t>
      </w:r>
      <w:r w:rsidRPr="008A25E7" w:rsidR="00F2437F">
        <w:rPr>
          <w:szCs w:val="22"/>
        </w:rPr>
        <w:t xml:space="preserve"> or other filings</w:t>
      </w:r>
      <w:r w:rsidRPr="008A25E7" w:rsidR="00A71C74">
        <w:rPr>
          <w:szCs w:val="22"/>
        </w:rPr>
        <w:t>, or respond to supplements to the Petition to Deny</w:t>
      </w:r>
      <w:r w:rsidRPr="008A25E7" w:rsidR="003972FD">
        <w:rPr>
          <w:szCs w:val="22"/>
        </w:rPr>
        <w:t>,</w:t>
      </w:r>
      <w:r w:rsidRPr="008A25E7" w:rsidR="00A71C74">
        <w:rPr>
          <w:szCs w:val="22"/>
        </w:rPr>
        <w:t xml:space="preserve"> </w:t>
      </w:r>
      <w:r w:rsidRPr="008A25E7" w:rsidR="00810646">
        <w:rPr>
          <w:szCs w:val="22"/>
        </w:rPr>
        <w:t xml:space="preserve">has </w:t>
      </w:r>
      <w:r w:rsidRPr="008A25E7" w:rsidR="00A71C74">
        <w:rPr>
          <w:szCs w:val="22"/>
        </w:rPr>
        <w:t>no</w:t>
      </w:r>
      <w:r w:rsidRPr="008A25E7" w:rsidR="00842AEB">
        <w:rPr>
          <w:szCs w:val="22"/>
        </w:rPr>
        <w:t xml:space="preserve"> </w:t>
      </w:r>
      <w:r w:rsidRPr="008A25E7" w:rsidR="00A71C74">
        <w:rPr>
          <w:szCs w:val="22"/>
        </w:rPr>
        <w:t>decisional signif</w:t>
      </w:r>
      <w:r w:rsidRPr="008A25E7" w:rsidR="00842AEB">
        <w:rPr>
          <w:szCs w:val="22"/>
        </w:rPr>
        <w:t>i</w:t>
      </w:r>
      <w:r w:rsidRPr="008A25E7" w:rsidR="00A71C74">
        <w:rPr>
          <w:szCs w:val="22"/>
        </w:rPr>
        <w:t>can</w:t>
      </w:r>
      <w:r w:rsidRPr="008A25E7" w:rsidR="00842AEB">
        <w:rPr>
          <w:szCs w:val="22"/>
        </w:rPr>
        <w:t>ce.</w:t>
      </w:r>
      <w:r w:rsidRPr="008A25E7" w:rsidR="00A71C74">
        <w:rPr>
          <w:szCs w:val="22"/>
        </w:rPr>
        <w:t xml:space="preserve"> </w:t>
      </w:r>
    </w:p>
    <w:p w:rsidR="00F9053A" w:rsidRPr="008A25E7" w:rsidP="00C85429" w14:paraId="01F138FC" w14:textId="4E7A1776">
      <w:pPr>
        <w:pStyle w:val="ParaNum"/>
        <w:tabs>
          <w:tab w:val="clear" w:pos="1080"/>
        </w:tabs>
        <w:jc w:val="left"/>
        <w:rPr>
          <w:szCs w:val="22"/>
        </w:rPr>
      </w:pPr>
      <w:r w:rsidRPr="008A25E7">
        <w:rPr>
          <w:szCs w:val="22"/>
          <w:u w:val="single"/>
        </w:rPr>
        <w:t xml:space="preserve">Federal Railroad </w:t>
      </w:r>
      <w:r w:rsidRPr="008A25E7" w:rsidR="00F05C80">
        <w:rPr>
          <w:szCs w:val="22"/>
          <w:u w:val="single"/>
        </w:rPr>
        <w:t>Act</w:t>
      </w:r>
      <w:r w:rsidRPr="008A25E7">
        <w:rPr>
          <w:szCs w:val="22"/>
          <w:u w:val="single"/>
        </w:rPr>
        <w:t>s</w:t>
      </w:r>
      <w:r w:rsidRPr="008A25E7" w:rsidR="003A76DB">
        <w:rPr>
          <w:szCs w:val="22"/>
        </w:rPr>
        <w:t>.</w:t>
      </w:r>
      <w:r w:rsidRPr="008A25E7" w:rsidR="00AB2203">
        <w:rPr>
          <w:szCs w:val="22"/>
        </w:rPr>
        <w:t xml:space="preserve">  </w:t>
      </w:r>
      <w:r w:rsidRPr="008A25E7" w:rsidR="00604BC5">
        <w:rPr>
          <w:szCs w:val="22"/>
        </w:rPr>
        <w:t xml:space="preserve">In a February 29, 2020 filing, Havens cites several </w:t>
      </w:r>
      <w:r w:rsidRPr="008A25E7" w:rsidR="0000726F">
        <w:rPr>
          <w:szCs w:val="22"/>
        </w:rPr>
        <w:t>Civ</w:t>
      </w:r>
      <w:r w:rsidRPr="008A25E7" w:rsidR="004F5B8E">
        <w:rPr>
          <w:szCs w:val="22"/>
        </w:rPr>
        <w:t>i</w:t>
      </w:r>
      <w:r w:rsidRPr="008A25E7" w:rsidR="0000726F">
        <w:rPr>
          <w:szCs w:val="22"/>
        </w:rPr>
        <w:t xml:space="preserve">l-War era </w:t>
      </w:r>
      <w:r w:rsidRPr="008A25E7" w:rsidR="00FB1077">
        <w:rPr>
          <w:szCs w:val="22"/>
        </w:rPr>
        <w:t>statutes</w:t>
      </w:r>
      <w:r w:rsidRPr="008A25E7" w:rsidR="00604BC5">
        <w:rPr>
          <w:szCs w:val="22"/>
        </w:rPr>
        <w:t>, including “the Act of July 1, 1862, 12 Stat. 489.”</w:t>
      </w:r>
      <w:r>
        <w:rPr>
          <w:rStyle w:val="FootnoteReference"/>
          <w:szCs w:val="22"/>
        </w:rPr>
        <w:footnoteReference w:id="75"/>
      </w:r>
      <w:r w:rsidRPr="008A25E7" w:rsidR="00604BC5">
        <w:rPr>
          <w:szCs w:val="22"/>
        </w:rPr>
        <w:t xml:space="preserve"> </w:t>
      </w:r>
      <w:r w:rsidRPr="008A25E7" w:rsidR="00D16F17">
        <w:rPr>
          <w:szCs w:val="22"/>
        </w:rPr>
        <w:t xml:space="preserve"> </w:t>
      </w:r>
      <w:r w:rsidRPr="008A25E7" w:rsidR="00604BC5">
        <w:rPr>
          <w:szCs w:val="22"/>
        </w:rPr>
        <w:t xml:space="preserve">Havens </w:t>
      </w:r>
      <w:r w:rsidRPr="008A25E7" w:rsidR="00856878">
        <w:rPr>
          <w:szCs w:val="22"/>
        </w:rPr>
        <w:t xml:space="preserve">contends </w:t>
      </w:r>
      <w:r w:rsidRPr="008A25E7" w:rsidR="00866D49">
        <w:rPr>
          <w:szCs w:val="22"/>
        </w:rPr>
        <w:t xml:space="preserve">that </w:t>
      </w:r>
      <w:r w:rsidRPr="008A25E7" w:rsidR="006569F7">
        <w:rPr>
          <w:szCs w:val="22"/>
        </w:rPr>
        <w:t xml:space="preserve">we </w:t>
      </w:r>
      <w:r w:rsidRPr="008A25E7" w:rsidR="00856878">
        <w:rPr>
          <w:szCs w:val="22"/>
        </w:rPr>
        <w:t xml:space="preserve">should </w:t>
      </w:r>
      <w:r w:rsidRPr="008A25E7" w:rsidR="00604BC5">
        <w:rPr>
          <w:szCs w:val="22"/>
        </w:rPr>
        <w:t xml:space="preserve">review these acts “[b]efore finding that . . . </w:t>
      </w:r>
      <w:r w:rsidRPr="008A25E7" w:rsidR="00260097">
        <w:rPr>
          <w:szCs w:val="22"/>
        </w:rPr>
        <w:t xml:space="preserve">private freight </w:t>
      </w:r>
      <w:r w:rsidRPr="008A25E7" w:rsidR="00604BC5">
        <w:rPr>
          <w:szCs w:val="22"/>
        </w:rPr>
        <w:t>railroads have a valid public-interest basis to get more FCC licensed spectrum</w:t>
      </w:r>
      <w:r w:rsidRPr="008A25E7" w:rsidR="00C7575A">
        <w:rPr>
          <w:szCs w:val="22"/>
        </w:rPr>
        <w:t>”</w:t>
      </w:r>
      <w:r w:rsidRPr="008A25E7" w:rsidR="00C85429">
        <w:rPr>
          <w:szCs w:val="22"/>
        </w:rPr>
        <w:t xml:space="preserve"> to deploy PTC.</w:t>
      </w:r>
      <w:r>
        <w:rPr>
          <w:rStyle w:val="FootnoteReference"/>
          <w:szCs w:val="22"/>
        </w:rPr>
        <w:footnoteReference w:id="76"/>
      </w:r>
      <w:r w:rsidRPr="008A25E7" w:rsidR="000323F9">
        <w:rPr>
          <w:szCs w:val="22"/>
        </w:rPr>
        <w:t xml:space="preserve">  PTC-220 responds that </w:t>
      </w:r>
      <w:r w:rsidRPr="008A25E7" w:rsidR="003D5B41">
        <w:rPr>
          <w:szCs w:val="22"/>
        </w:rPr>
        <w:t xml:space="preserve">Havens </w:t>
      </w:r>
      <w:r w:rsidRPr="008A25E7">
        <w:rPr>
          <w:szCs w:val="22"/>
        </w:rPr>
        <w:t>appe</w:t>
      </w:r>
      <w:r w:rsidRPr="008A25E7" w:rsidR="003A3E87">
        <w:rPr>
          <w:szCs w:val="22"/>
        </w:rPr>
        <w:t>a</w:t>
      </w:r>
      <w:r w:rsidRPr="008A25E7">
        <w:rPr>
          <w:szCs w:val="22"/>
        </w:rPr>
        <w:t xml:space="preserve">rs to be </w:t>
      </w:r>
      <w:r w:rsidRPr="008A25E7" w:rsidR="003D5B41">
        <w:rPr>
          <w:szCs w:val="22"/>
        </w:rPr>
        <w:t>a</w:t>
      </w:r>
      <w:r w:rsidR="002A3055">
        <w:rPr>
          <w:szCs w:val="22"/>
        </w:rPr>
        <w:t xml:space="preserve">sserting </w:t>
      </w:r>
      <w:r w:rsidRPr="008A25E7" w:rsidR="00C25C84">
        <w:rPr>
          <w:szCs w:val="22"/>
        </w:rPr>
        <w:t xml:space="preserve">that </w:t>
      </w:r>
      <w:r w:rsidRPr="008A25E7" w:rsidR="009A6D40">
        <w:rPr>
          <w:szCs w:val="22"/>
        </w:rPr>
        <w:t xml:space="preserve">PTC is a form of wireless telegraphy </w:t>
      </w:r>
      <w:r w:rsidRPr="008A25E7" w:rsidR="009A32A5">
        <w:rPr>
          <w:szCs w:val="22"/>
        </w:rPr>
        <w:t xml:space="preserve">under these statutes, railroads </w:t>
      </w:r>
      <w:r w:rsidRPr="008A25E7" w:rsidR="007C33EF">
        <w:rPr>
          <w:szCs w:val="22"/>
        </w:rPr>
        <w:t xml:space="preserve">are required </w:t>
      </w:r>
      <w:r w:rsidRPr="008A25E7" w:rsidR="00433D11">
        <w:rPr>
          <w:szCs w:val="22"/>
        </w:rPr>
        <w:t>to deploy tele</w:t>
      </w:r>
      <w:r w:rsidRPr="008A25E7" w:rsidR="001B14A3">
        <w:rPr>
          <w:szCs w:val="22"/>
        </w:rPr>
        <w:t>g</w:t>
      </w:r>
      <w:r w:rsidRPr="008A25E7" w:rsidR="003A3E87">
        <w:rPr>
          <w:szCs w:val="22"/>
        </w:rPr>
        <w:t>r</w:t>
      </w:r>
      <w:r w:rsidRPr="008A25E7" w:rsidR="001B14A3">
        <w:rPr>
          <w:szCs w:val="22"/>
        </w:rPr>
        <w:t>ap</w:t>
      </w:r>
      <w:r w:rsidRPr="008A25E7" w:rsidR="003A3E87">
        <w:rPr>
          <w:szCs w:val="22"/>
        </w:rPr>
        <w:t>h</w:t>
      </w:r>
      <w:r w:rsidRPr="008A25E7" w:rsidR="001B14A3">
        <w:rPr>
          <w:szCs w:val="22"/>
        </w:rPr>
        <w:t>y</w:t>
      </w:r>
      <w:r w:rsidRPr="008A25E7" w:rsidR="00F63055">
        <w:rPr>
          <w:szCs w:val="22"/>
        </w:rPr>
        <w:t xml:space="preserve">, and </w:t>
      </w:r>
      <w:r w:rsidRPr="008A25E7" w:rsidR="00700E54">
        <w:rPr>
          <w:szCs w:val="22"/>
        </w:rPr>
        <w:t xml:space="preserve">that </w:t>
      </w:r>
      <w:r w:rsidRPr="008A25E7" w:rsidR="007737F4">
        <w:rPr>
          <w:szCs w:val="22"/>
        </w:rPr>
        <w:t xml:space="preserve">we </w:t>
      </w:r>
      <w:r w:rsidRPr="008A25E7" w:rsidR="00F02A3D">
        <w:rPr>
          <w:szCs w:val="22"/>
        </w:rPr>
        <w:t xml:space="preserve">should </w:t>
      </w:r>
      <w:r w:rsidRPr="008A25E7" w:rsidR="00146D00">
        <w:rPr>
          <w:szCs w:val="22"/>
        </w:rPr>
        <w:t xml:space="preserve">consider </w:t>
      </w:r>
      <w:r w:rsidRPr="008A25E7" w:rsidR="00D81E9C">
        <w:rPr>
          <w:szCs w:val="22"/>
        </w:rPr>
        <w:t>the railroads’ obligations u</w:t>
      </w:r>
      <w:r w:rsidRPr="008A25E7" w:rsidR="003F3303">
        <w:rPr>
          <w:szCs w:val="22"/>
        </w:rPr>
        <w:t xml:space="preserve">nder these </w:t>
      </w:r>
      <w:r w:rsidRPr="008A25E7" w:rsidR="00054927">
        <w:rPr>
          <w:szCs w:val="22"/>
        </w:rPr>
        <w:t>statutes</w:t>
      </w:r>
      <w:r w:rsidRPr="008A25E7" w:rsidR="00F4143D">
        <w:rPr>
          <w:szCs w:val="22"/>
        </w:rPr>
        <w:t>.</w:t>
      </w:r>
      <w:r>
        <w:rPr>
          <w:rStyle w:val="FootnoteReference"/>
          <w:szCs w:val="22"/>
        </w:rPr>
        <w:footnoteReference w:id="77"/>
      </w:r>
      <w:r w:rsidRPr="008A25E7" w:rsidR="00BD4F95">
        <w:rPr>
          <w:szCs w:val="22"/>
        </w:rPr>
        <w:t xml:space="preserve">  PTC-220 states that </w:t>
      </w:r>
      <w:r w:rsidRPr="008A25E7" w:rsidR="00235B0C">
        <w:rPr>
          <w:szCs w:val="22"/>
        </w:rPr>
        <w:t xml:space="preserve">even </w:t>
      </w:r>
      <w:r w:rsidRPr="008A25E7" w:rsidR="00D05F64">
        <w:rPr>
          <w:szCs w:val="22"/>
        </w:rPr>
        <w:t>assuming</w:t>
      </w:r>
      <w:r w:rsidRPr="008A25E7" w:rsidR="00146D00">
        <w:rPr>
          <w:szCs w:val="22"/>
        </w:rPr>
        <w:t xml:space="preserve"> Havens’ </w:t>
      </w:r>
      <w:r w:rsidRPr="008A25E7" w:rsidR="00BD4F95">
        <w:rPr>
          <w:szCs w:val="22"/>
        </w:rPr>
        <w:t>assertions are correct,</w:t>
      </w:r>
      <w:r w:rsidRPr="008A25E7" w:rsidR="002829EE">
        <w:rPr>
          <w:szCs w:val="22"/>
        </w:rPr>
        <w:t xml:space="preserve"> </w:t>
      </w:r>
      <w:r w:rsidRPr="008A25E7" w:rsidR="00313809">
        <w:rPr>
          <w:szCs w:val="22"/>
        </w:rPr>
        <w:t xml:space="preserve">grant </w:t>
      </w:r>
      <w:r w:rsidRPr="008A25E7" w:rsidR="006A3CEA">
        <w:rPr>
          <w:szCs w:val="22"/>
        </w:rPr>
        <w:t xml:space="preserve">of </w:t>
      </w:r>
      <w:r w:rsidRPr="008A25E7" w:rsidR="002829EE">
        <w:rPr>
          <w:szCs w:val="22"/>
        </w:rPr>
        <w:t xml:space="preserve">the </w:t>
      </w:r>
      <w:r w:rsidRPr="008A25E7" w:rsidR="00313809">
        <w:rPr>
          <w:szCs w:val="22"/>
        </w:rPr>
        <w:t>application</w:t>
      </w:r>
      <w:r w:rsidRPr="008A25E7" w:rsidR="006A3CEA">
        <w:rPr>
          <w:szCs w:val="22"/>
        </w:rPr>
        <w:t xml:space="preserve"> would provide </w:t>
      </w:r>
      <w:r w:rsidRPr="008A25E7" w:rsidR="002829EE">
        <w:rPr>
          <w:szCs w:val="22"/>
        </w:rPr>
        <w:t xml:space="preserve">spectrum </w:t>
      </w:r>
      <w:r w:rsidRPr="008A25E7" w:rsidR="007A31F3">
        <w:rPr>
          <w:szCs w:val="22"/>
        </w:rPr>
        <w:t xml:space="preserve">so that the </w:t>
      </w:r>
      <w:r w:rsidRPr="008A25E7" w:rsidR="00BD3395">
        <w:rPr>
          <w:szCs w:val="22"/>
        </w:rPr>
        <w:t>railroads</w:t>
      </w:r>
      <w:r w:rsidRPr="008A25E7" w:rsidR="007A31F3">
        <w:rPr>
          <w:szCs w:val="22"/>
        </w:rPr>
        <w:t xml:space="preserve"> could satisfy their</w:t>
      </w:r>
      <w:r w:rsidRPr="008A25E7" w:rsidR="00BD3395">
        <w:rPr>
          <w:szCs w:val="22"/>
        </w:rPr>
        <w:t xml:space="preserve"> asserted </w:t>
      </w:r>
      <w:r w:rsidRPr="008A25E7" w:rsidR="00B675D2">
        <w:rPr>
          <w:szCs w:val="22"/>
        </w:rPr>
        <w:t xml:space="preserve">obligation </w:t>
      </w:r>
      <w:r w:rsidRPr="008A25E7" w:rsidR="002528C5">
        <w:rPr>
          <w:szCs w:val="22"/>
        </w:rPr>
        <w:t xml:space="preserve">under the statutes </w:t>
      </w:r>
      <w:r w:rsidRPr="008A25E7" w:rsidR="00B675D2">
        <w:rPr>
          <w:szCs w:val="22"/>
        </w:rPr>
        <w:t xml:space="preserve">to </w:t>
      </w:r>
      <w:r w:rsidRPr="008A25E7" w:rsidR="0098298C">
        <w:rPr>
          <w:szCs w:val="22"/>
        </w:rPr>
        <w:t>deploy</w:t>
      </w:r>
      <w:r w:rsidRPr="008A25E7" w:rsidR="002528C5">
        <w:rPr>
          <w:szCs w:val="22"/>
        </w:rPr>
        <w:t xml:space="preserve"> </w:t>
      </w:r>
      <w:r w:rsidRPr="008A25E7" w:rsidR="00027447">
        <w:rPr>
          <w:szCs w:val="22"/>
        </w:rPr>
        <w:t xml:space="preserve">a form of </w:t>
      </w:r>
      <w:r w:rsidRPr="008A25E7" w:rsidR="0098298C">
        <w:rPr>
          <w:szCs w:val="22"/>
        </w:rPr>
        <w:t>teleg</w:t>
      </w:r>
      <w:r w:rsidRPr="008A25E7" w:rsidR="00D05F64">
        <w:rPr>
          <w:szCs w:val="22"/>
        </w:rPr>
        <w:t>rap</w:t>
      </w:r>
      <w:r w:rsidRPr="008A25E7" w:rsidR="00E04B9B">
        <w:rPr>
          <w:szCs w:val="22"/>
        </w:rPr>
        <w:t>h</w:t>
      </w:r>
      <w:r w:rsidRPr="008A25E7" w:rsidR="0098298C">
        <w:rPr>
          <w:szCs w:val="22"/>
        </w:rPr>
        <w:t>y</w:t>
      </w:r>
      <w:r w:rsidRPr="008A25E7" w:rsidR="00027447">
        <w:rPr>
          <w:szCs w:val="22"/>
        </w:rPr>
        <w:t xml:space="preserve"> (PTC)</w:t>
      </w:r>
      <w:r w:rsidRPr="008A25E7" w:rsidR="00E04B9B">
        <w:rPr>
          <w:szCs w:val="22"/>
        </w:rPr>
        <w:t>.</w:t>
      </w:r>
      <w:r>
        <w:rPr>
          <w:rStyle w:val="FootnoteReference"/>
          <w:szCs w:val="22"/>
        </w:rPr>
        <w:footnoteReference w:id="78"/>
      </w:r>
      <w:r w:rsidRPr="008A25E7" w:rsidR="002829EE">
        <w:rPr>
          <w:szCs w:val="22"/>
        </w:rPr>
        <w:t xml:space="preserve"> </w:t>
      </w:r>
      <w:r w:rsidRPr="008A25E7" w:rsidR="00BD4F95">
        <w:rPr>
          <w:szCs w:val="22"/>
        </w:rPr>
        <w:t xml:space="preserve"> </w:t>
      </w:r>
    </w:p>
    <w:p w:rsidR="004A1D48" w:rsidRPr="008A25E7" w:rsidP="00920ADC" w14:paraId="3D8DC73F" w14:textId="36B9D9D3">
      <w:pPr>
        <w:pStyle w:val="ParaNum"/>
        <w:tabs>
          <w:tab w:val="clear" w:pos="1080"/>
        </w:tabs>
        <w:jc w:val="left"/>
        <w:rPr>
          <w:szCs w:val="22"/>
        </w:rPr>
      </w:pPr>
      <w:r w:rsidRPr="008A25E7">
        <w:rPr>
          <w:szCs w:val="22"/>
        </w:rPr>
        <w:t xml:space="preserve">Havens’ </w:t>
      </w:r>
      <w:r w:rsidRPr="008A25E7" w:rsidR="00232AC3">
        <w:rPr>
          <w:szCs w:val="22"/>
        </w:rPr>
        <w:t xml:space="preserve">arguments regarding the alleged import of the </w:t>
      </w:r>
      <w:r w:rsidRPr="008A25E7" w:rsidR="00773F96">
        <w:rPr>
          <w:szCs w:val="22"/>
        </w:rPr>
        <w:t>Civil-War era statutes</w:t>
      </w:r>
      <w:r w:rsidRPr="008A25E7" w:rsidR="00342D90">
        <w:rPr>
          <w:szCs w:val="22"/>
        </w:rPr>
        <w:t xml:space="preserve"> </w:t>
      </w:r>
      <w:r w:rsidRPr="008A25E7" w:rsidR="007F35C3">
        <w:rPr>
          <w:szCs w:val="22"/>
        </w:rPr>
        <w:t xml:space="preserve">rely </w:t>
      </w:r>
      <w:r w:rsidR="002A3055">
        <w:rPr>
          <w:szCs w:val="22"/>
        </w:rPr>
        <w:t xml:space="preserve">include </w:t>
      </w:r>
      <w:r w:rsidRPr="008A25E7" w:rsidR="007F35C3">
        <w:rPr>
          <w:szCs w:val="22"/>
        </w:rPr>
        <w:t xml:space="preserve">on no </w:t>
      </w:r>
      <w:r w:rsidRPr="008A25E7" w:rsidR="00C02485">
        <w:rPr>
          <w:szCs w:val="22"/>
        </w:rPr>
        <w:t>new</w:t>
      </w:r>
      <w:r w:rsidRPr="008A25E7" w:rsidR="00E32301">
        <w:rPr>
          <w:szCs w:val="22"/>
        </w:rPr>
        <w:t xml:space="preserve"> facts </w:t>
      </w:r>
      <w:r w:rsidRPr="008A25E7" w:rsidR="00CE4868">
        <w:rPr>
          <w:szCs w:val="22"/>
        </w:rPr>
        <w:t xml:space="preserve">and </w:t>
      </w:r>
      <w:r w:rsidRPr="008A25E7" w:rsidR="00DD51C4">
        <w:rPr>
          <w:szCs w:val="22"/>
        </w:rPr>
        <w:t>c</w:t>
      </w:r>
      <w:r w:rsidRPr="008A25E7" w:rsidR="00E32301">
        <w:rPr>
          <w:szCs w:val="22"/>
        </w:rPr>
        <w:t xml:space="preserve">ould have been </w:t>
      </w:r>
      <w:r w:rsidRPr="008A25E7" w:rsidR="00715068">
        <w:rPr>
          <w:szCs w:val="22"/>
        </w:rPr>
        <w:t>presented in the Peti</w:t>
      </w:r>
      <w:r w:rsidRPr="008A25E7" w:rsidR="000A07B7">
        <w:rPr>
          <w:szCs w:val="22"/>
        </w:rPr>
        <w:t>ti</w:t>
      </w:r>
      <w:r w:rsidRPr="008A25E7" w:rsidR="00715068">
        <w:rPr>
          <w:szCs w:val="22"/>
        </w:rPr>
        <w:t>on to Deny</w:t>
      </w:r>
      <w:r w:rsidRPr="008A25E7" w:rsidR="003236DA">
        <w:rPr>
          <w:szCs w:val="22"/>
        </w:rPr>
        <w:t>.</w:t>
      </w:r>
      <w:r>
        <w:rPr>
          <w:rStyle w:val="FootnoteReference"/>
          <w:szCs w:val="22"/>
        </w:rPr>
        <w:footnoteReference w:id="79"/>
      </w:r>
      <w:r w:rsidRPr="008A25E7" w:rsidR="005E2286">
        <w:rPr>
          <w:szCs w:val="22"/>
        </w:rPr>
        <w:t xml:space="preserve"> </w:t>
      </w:r>
      <w:r w:rsidRPr="008A25E7" w:rsidR="0038155E">
        <w:rPr>
          <w:szCs w:val="22"/>
        </w:rPr>
        <w:t xml:space="preserve"> </w:t>
      </w:r>
      <w:r w:rsidRPr="008A25E7" w:rsidR="00B15B3E">
        <w:rPr>
          <w:szCs w:val="22"/>
        </w:rPr>
        <w:t>In the interest of a complete record, w</w:t>
      </w:r>
      <w:r w:rsidRPr="008A25E7" w:rsidR="0038155E">
        <w:rPr>
          <w:szCs w:val="22"/>
        </w:rPr>
        <w:t>e will</w:t>
      </w:r>
      <w:r w:rsidRPr="008A25E7" w:rsidR="00CE4868">
        <w:rPr>
          <w:szCs w:val="22"/>
        </w:rPr>
        <w:t xml:space="preserve"> treat</w:t>
      </w:r>
      <w:r w:rsidRPr="008A25E7" w:rsidR="0038155E">
        <w:rPr>
          <w:szCs w:val="22"/>
        </w:rPr>
        <w:t xml:space="preserve"> </w:t>
      </w:r>
      <w:r w:rsidRPr="008A25E7" w:rsidR="00DD3187">
        <w:rPr>
          <w:szCs w:val="22"/>
        </w:rPr>
        <w:t xml:space="preserve">Havens’ </w:t>
      </w:r>
      <w:r w:rsidRPr="008A25E7" w:rsidR="0038155E">
        <w:rPr>
          <w:szCs w:val="22"/>
        </w:rPr>
        <w:t>argument</w:t>
      </w:r>
      <w:r w:rsidRPr="008A25E7" w:rsidR="00DD3187">
        <w:rPr>
          <w:szCs w:val="22"/>
        </w:rPr>
        <w:t>s</w:t>
      </w:r>
      <w:r w:rsidRPr="008A25E7" w:rsidR="0038155E">
        <w:rPr>
          <w:szCs w:val="22"/>
        </w:rPr>
        <w:t xml:space="preserve"> as an informal request for </w:t>
      </w:r>
      <w:r w:rsidRPr="008A25E7" w:rsidR="00F03D77">
        <w:rPr>
          <w:szCs w:val="22"/>
        </w:rPr>
        <w:t>action u</w:t>
      </w:r>
      <w:r w:rsidRPr="008A25E7" w:rsidR="00DD3187">
        <w:rPr>
          <w:szCs w:val="22"/>
        </w:rPr>
        <w:t>nder section 1.41 of the Commission’s rules</w:t>
      </w:r>
      <w:r w:rsidRPr="008A25E7" w:rsidR="00F03D77">
        <w:rPr>
          <w:szCs w:val="22"/>
        </w:rPr>
        <w:t>.</w:t>
      </w:r>
      <w:r>
        <w:rPr>
          <w:rStyle w:val="FootnoteReference"/>
          <w:szCs w:val="22"/>
        </w:rPr>
        <w:footnoteReference w:id="80"/>
      </w:r>
    </w:p>
    <w:p w:rsidR="00C85429" w:rsidRPr="008A25E7" w:rsidP="00920ADC" w14:paraId="16BA8CB6" w14:textId="3CADE80D">
      <w:pPr>
        <w:pStyle w:val="ParaNum"/>
        <w:tabs>
          <w:tab w:val="clear" w:pos="1080"/>
        </w:tabs>
        <w:jc w:val="left"/>
        <w:rPr>
          <w:szCs w:val="22"/>
        </w:rPr>
      </w:pPr>
      <w:r w:rsidRPr="008A25E7">
        <w:rPr>
          <w:szCs w:val="22"/>
        </w:rPr>
        <w:t>T</w:t>
      </w:r>
      <w:r w:rsidRPr="008A25E7" w:rsidR="005E2286">
        <w:rPr>
          <w:szCs w:val="22"/>
        </w:rPr>
        <w:t xml:space="preserve">he laws </w:t>
      </w:r>
      <w:r w:rsidRPr="008A25E7">
        <w:rPr>
          <w:szCs w:val="22"/>
        </w:rPr>
        <w:t xml:space="preserve">Havens cites </w:t>
      </w:r>
      <w:r w:rsidRPr="008A25E7" w:rsidR="005E2286">
        <w:rPr>
          <w:szCs w:val="22"/>
        </w:rPr>
        <w:t xml:space="preserve">are not </w:t>
      </w:r>
      <w:r w:rsidRPr="008A25E7" w:rsidR="002F350A">
        <w:rPr>
          <w:szCs w:val="22"/>
        </w:rPr>
        <w:t>relevant</w:t>
      </w:r>
      <w:r w:rsidRPr="008A25E7" w:rsidR="005E2286">
        <w:rPr>
          <w:szCs w:val="22"/>
        </w:rPr>
        <w:t xml:space="preserve"> to our review of the proposed assignment</w:t>
      </w:r>
      <w:r w:rsidRPr="008A25E7" w:rsidR="00B170BE">
        <w:rPr>
          <w:szCs w:val="22"/>
        </w:rPr>
        <w:t>.</w:t>
      </w:r>
      <w:r w:rsidRPr="008A25E7" w:rsidR="0075672F">
        <w:rPr>
          <w:szCs w:val="22"/>
        </w:rPr>
        <w:t xml:space="preserve">  </w:t>
      </w:r>
      <w:r w:rsidRPr="008A25E7" w:rsidR="00480322">
        <w:rPr>
          <w:szCs w:val="22"/>
        </w:rPr>
        <w:t>I</w:t>
      </w:r>
      <w:r w:rsidRPr="008A25E7" w:rsidR="003C26C0">
        <w:rPr>
          <w:szCs w:val="22"/>
        </w:rPr>
        <w:t>n the Rail Safety Improvement Act of 2008,</w:t>
      </w:r>
      <w:r w:rsidRPr="008A25E7" w:rsidR="008A319D">
        <w:rPr>
          <w:szCs w:val="22"/>
        </w:rPr>
        <w:t xml:space="preserve"> </w:t>
      </w:r>
      <w:r w:rsidRPr="008A25E7" w:rsidR="0075672F">
        <w:rPr>
          <w:szCs w:val="22"/>
        </w:rPr>
        <w:t>Congress mandated</w:t>
      </w:r>
      <w:r w:rsidRPr="008A25E7" w:rsidR="00D972E3">
        <w:rPr>
          <w:szCs w:val="22"/>
        </w:rPr>
        <w:t xml:space="preserve"> </w:t>
      </w:r>
      <w:r w:rsidRPr="008A25E7" w:rsidR="00817346">
        <w:rPr>
          <w:szCs w:val="22"/>
        </w:rPr>
        <w:t xml:space="preserve">that </w:t>
      </w:r>
      <w:r w:rsidRPr="008A25E7" w:rsidR="0063620E">
        <w:rPr>
          <w:szCs w:val="22"/>
        </w:rPr>
        <w:t>U.S. freight, passenger, and commuter railroads implement PTC systems to “prevent train-to-train collisions, over-speed derailments, incursions into established work zone limits, and the movement of a train through a switch left in the wrong position.”</w:t>
      </w:r>
      <w:r>
        <w:rPr>
          <w:rStyle w:val="FootnoteReference"/>
          <w:szCs w:val="22"/>
        </w:rPr>
        <w:footnoteReference w:id="81"/>
      </w:r>
      <w:r w:rsidRPr="008A25E7" w:rsidR="00B43E22">
        <w:rPr>
          <w:szCs w:val="22"/>
        </w:rPr>
        <w:t xml:space="preserve">  </w:t>
      </w:r>
      <w:r w:rsidRPr="008A25E7" w:rsidR="003C26C0">
        <w:rPr>
          <w:szCs w:val="22"/>
        </w:rPr>
        <w:t xml:space="preserve">This </w:t>
      </w:r>
      <w:r w:rsidRPr="008A25E7" w:rsidR="00480322">
        <w:rPr>
          <w:szCs w:val="22"/>
        </w:rPr>
        <w:t>mandate</w:t>
      </w:r>
      <w:r w:rsidRPr="008A25E7" w:rsidR="00AC345D">
        <w:rPr>
          <w:szCs w:val="22"/>
        </w:rPr>
        <w:t>,</w:t>
      </w:r>
      <w:r w:rsidRPr="008A25E7" w:rsidR="00480322">
        <w:rPr>
          <w:szCs w:val="22"/>
        </w:rPr>
        <w:t xml:space="preserve"> </w:t>
      </w:r>
      <w:r w:rsidRPr="008A25E7" w:rsidR="00EB7B9E">
        <w:rPr>
          <w:szCs w:val="22"/>
        </w:rPr>
        <w:t>not the Civil-War era statutes cited by Havens</w:t>
      </w:r>
      <w:r w:rsidRPr="008A25E7" w:rsidR="00E632C0">
        <w:rPr>
          <w:szCs w:val="22"/>
        </w:rPr>
        <w:t>, informs our analysis here</w:t>
      </w:r>
      <w:r w:rsidRPr="008A25E7" w:rsidR="00EB7B9E">
        <w:rPr>
          <w:szCs w:val="22"/>
        </w:rPr>
        <w:t>.</w:t>
      </w:r>
      <w:r w:rsidRPr="008A25E7" w:rsidR="00AC345D">
        <w:rPr>
          <w:szCs w:val="22"/>
        </w:rPr>
        <w:t xml:space="preserve">  </w:t>
      </w:r>
      <w:r w:rsidRPr="008A25E7" w:rsidR="008B1C7B">
        <w:rPr>
          <w:szCs w:val="22"/>
        </w:rPr>
        <w:t xml:space="preserve">We have </w:t>
      </w:r>
      <w:r w:rsidRPr="008A25E7" w:rsidR="00531C80">
        <w:rPr>
          <w:szCs w:val="22"/>
        </w:rPr>
        <w:t>conduct</w:t>
      </w:r>
      <w:r w:rsidRPr="008A25E7" w:rsidR="008B1C7B">
        <w:rPr>
          <w:szCs w:val="22"/>
        </w:rPr>
        <w:t>ed</w:t>
      </w:r>
      <w:r w:rsidRPr="008A25E7" w:rsidR="00531C80">
        <w:rPr>
          <w:szCs w:val="22"/>
        </w:rPr>
        <w:t xml:space="preserve"> the public interest </w:t>
      </w:r>
      <w:r w:rsidRPr="008A25E7" w:rsidR="00845394">
        <w:rPr>
          <w:szCs w:val="22"/>
        </w:rPr>
        <w:t xml:space="preserve">analysis </w:t>
      </w:r>
      <w:r w:rsidRPr="008A25E7" w:rsidR="008B1C7B">
        <w:rPr>
          <w:szCs w:val="22"/>
        </w:rPr>
        <w:t xml:space="preserve">required by </w:t>
      </w:r>
      <w:r w:rsidRPr="008A25E7" w:rsidR="002465A9">
        <w:rPr>
          <w:szCs w:val="22"/>
        </w:rPr>
        <w:t>Section</w:t>
      </w:r>
      <w:r w:rsidRPr="008A25E7" w:rsidR="00531C80">
        <w:rPr>
          <w:szCs w:val="22"/>
        </w:rPr>
        <w:t xml:space="preserve"> 309</w:t>
      </w:r>
      <w:r w:rsidRPr="008A25E7" w:rsidR="002D7240">
        <w:rPr>
          <w:szCs w:val="22"/>
        </w:rPr>
        <w:t xml:space="preserve">(a) of the </w:t>
      </w:r>
      <w:r w:rsidRPr="008A25E7" w:rsidR="00363F3E">
        <w:rPr>
          <w:szCs w:val="22"/>
        </w:rPr>
        <w:t>Communications</w:t>
      </w:r>
      <w:r w:rsidRPr="008A25E7" w:rsidR="0048164B">
        <w:rPr>
          <w:szCs w:val="22"/>
        </w:rPr>
        <w:t xml:space="preserve"> </w:t>
      </w:r>
      <w:r w:rsidRPr="008A25E7" w:rsidR="002D7240">
        <w:rPr>
          <w:szCs w:val="22"/>
        </w:rPr>
        <w:t>Act</w:t>
      </w:r>
      <w:r w:rsidRPr="008A25E7" w:rsidR="00994095">
        <w:rPr>
          <w:szCs w:val="22"/>
        </w:rPr>
        <w:t xml:space="preserve"> above</w:t>
      </w:r>
      <w:r w:rsidRPr="008A25E7" w:rsidR="00F705BC">
        <w:rPr>
          <w:szCs w:val="22"/>
        </w:rPr>
        <w:t>,</w:t>
      </w:r>
      <w:r>
        <w:rPr>
          <w:rStyle w:val="FootnoteReference"/>
          <w:szCs w:val="22"/>
        </w:rPr>
        <w:footnoteReference w:id="82"/>
      </w:r>
      <w:r w:rsidRPr="008A25E7">
        <w:rPr>
          <w:szCs w:val="22"/>
        </w:rPr>
        <w:t xml:space="preserve"> </w:t>
      </w:r>
      <w:r w:rsidRPr="008A25E7" w:rsidR="00B516B7">
        <w:rPr>
          <w:szCs w:val="22"/>
        </w:rPr>
        <w:t xml:space="preserve">and </w:t>
      </w:r>
      <w:r w:rsidRPr="008A25E7">
        <w:rPr>
          <w:szCs w:val="22"/>
        </w:rPr>
        <w:t>f</w:t>
      </w:r>
      <w:r w:rsidRPr="008A25E7" w:rsidR="00B516B7">
        <w:rPr>
          <w:szCs w:val="22"/>
        </w:rPr>
        <w:t xml:space="preserve">ound </w:t>
      </w:r>
      <w:r w:rsidRPr="008A25E7">
        <w:rPr>
          <w:szCs w:val="22"/>
        </w:rPr>
        <w:t>that consistent with</w:t>
      </w:r>
      <w:r w:rsidRPr="008A25E7" w:rsidR="00583259">
        <w:rPr>
          <w:szCs w:val="22"/>
        </w:rPr>
        <w:t xml:space="preserve"> the Rail Safety Improvement Act of 2008,</w:t>
      </w:r>
      <w:r w:rsidRPr="008A25E7">
        <w:rPr>
          <w:szCs w:val="22"/>
        </w:rPr>
        <w:t xml:space="preserve"> Commission precedent</w:t>
      </w:r>
      <w:r w:rsidRPr="008A25E7" w:rsidR="0013649A">
        <w:rPr>
          <w:szCs w:val="22"/>
        </w:rPr>
        <w:t>,</w:t>
      </w:r>
      <w:r w:rsidRPr="008A25E7">
        <w:rPr>
          <w:szCs w:val="22"/>
        </w:rPr>
        <w:t xml:space="preserve"> and Section 309(a), the proposed assignment of spectrum to enable PTC and </w:t>
      </w:r>
      <w:r w:rsidRPr="008A25E7" w:rsidR="007E6CBE">
        <w:rPr>
          <w:szCs w:val="22"/>
        </w:rPr>
        <w:t xml:space="preserve">related </w:t>
      </w:r>
      <w:r w:rsidRPr="008A25E7">
        <w:rPr>
          <w:szCs w:val="22"/>
        </w:rPr>
        <w:t>rail safety systems will serve the public interest.</w:t>
      </w:r>
    </w:p>
    <w:p w:rsidR="001E37F8" w:rsidRPr="008A25E7" w:rsidP="006D5F90" w14:paraId="35A6266E" w14:textId="7E3611E4">
      <w:pPr>
        <w:pStyle w:val="Heading2"/>
        <w:rPr>
          <w:szCs w:val="22"/>
        </w:rPr>
      </w:pPr>
      <w:r w:rsidRPr="008A25E7">
        <w:rPr>
          <w:szCs w:val="22"/>
        </w:rPr>
        <w:t xml:space="preserve">PTC-220 </w:t>
      </w:r>
      <w:r w:rsidRPr="008A25E7" w:rsidR="004B7350">
        <w:rPr>
          <w:szCs w:val="22"/>
        </w:rPr>
        <w:t>Waiver Request</w:t>
      </w:r>
    </w:p>
    <w:p w:rsidR="004C3F29" w:rsidRPr="008A25E7" w:rsidP="00122AE2" w14:paraId="15EBD71E" w14:textId="16E2DAAB">
      <w:pPr>
        <w:pStyle w:val="ParaNum"/>
        <w:tabs>
          <w:tab w:val="clear" w:pos="1080"/>
        </w:tabs>
        <w:jc w:val="left"/>
        <w:rPr>
          <w:szCs w:val="22"/>
        </w:rPr>
      </w:pPr>
      <w:r w:rsidRPr="008A25E7">
        <w:rPr>
          <w:szCs w:val="22"/>
        </w:rPr>
        <w:t xml:space="preserve">PTC-220 </w:t>
      </w:r>
      <w:r w:rsidRPr="008A25E7" w:rsidR="00431459">
        <w:rPr>
          <w:szCs w:val="22"/>
        </w:rPr>
        <w:t xml:space="preserve">filed </w:t>
      </w:r>
      <w:r w:rsidRPr="008A25E7" w:rsidR="00263315">
        <w:rPr>
          <w:szCs w:val="22"/>
        </w:rPr>
        <w:t>a r</w:t>
      </w:r>
      <w:r w:rsidRPr="008A25E7">
        <w:rPr>
          <w:szCs w:val="22"/>
        </w:rPr>
        <w:t>equest</w:t>
      </w:r>
      <w:r w:rsidRPr="008A25E7" w:rsidR="00263315">
        <w:rPr>
          <w:szCs w:val="22"/>
        </w:rPr>
        <w:t xml:space="preserve"> for waiver</w:t>
      </w:r>
      <w:r w:rsidRPr="008A25E7">
        <w:rPr>
          <w:szCs w:val="22"/>
        </w:rPr>
        <w:t xml:space="preserve"> of the following Part 80 rules </w:t>
      </w:r>
      <w:r w:rsidRPr="008A25E7" w:rsidR="00971AD1">
        <w:rPr>
          <w:szCs w:val="22"/>
        </w:rPr>
        <w:t>with the Application</w:t>
      </w:r>
      <w:r w:rsidRPr="008A25E7">
        <w:rPr>
          <w:szCs w:val="22"/>
        </w:rPr>
        <w:t>:</w:t>
      </w:r>
      <w:r>
        <w:rPr>
          <w:rStyle w:val="FootnoteReference"/>
          <w:szCs w:val="22"/>
        </w:rPr>
        <w:footnoteReference w:id="83"/>
      </w:r>
      <w:r w:rsidRPr="008A25E7" w:rsidR="003C7F0E">
        <w:rPr>
          <w:szCs w:val="22"/>
        </w:rPr>
        <w:t xml:space="preserve"> </w:t>
      </w:r>
    </w:p>
    <w:p w:rsidR="004C3F29" w:rsidRPr="008A25E7" w:rsidP="00122AE2" w14:paraId="13A85565" w14:textId="2368B148">
      <w:pPr>
        <w:pStyle w:val="ParaNum"/>
        <w:numPr>
          <w:ilvl w:val="0"/>
          <w:numId w:val="6"/>
        </w:numPr>
        <w:jc w:val="left"/>
        <w:rPr>
          <w:szCs w:val="22"/>
        </w:rPr>
      </w:pPr>
      <w:r w:rsidRPr="008A25E7">
        <w:rPr>
          <w:szCs w:val="22"/>
        </w:rPr>
        <w:t xml:space="preserve">Section 80.92(a), which requires licensees to monitor a frequency </w:t>
      </w:r>
      <w:r w:rsidRPr="008A25E7" w:rsidR="0044206F">
        <w:rPr>
          <w:szCs w:val="22"/>
        </w:rPr>
        <w:t xml:space="preserve">before </w:t>
      </w:r>
      <w:r w:rsidRPr="008A25E7">
        <w:rPr>
          <w:szCs w:val="22"/>
        </w:rPr>
        <w:t>transmitting;</w:t>
      </w:r>
      <w:r w:rsidRPr="008A25E7">
        <w:rPr>
          <w:rStyle w:val="FootnoteReference"/>
          <w:szCs w:val="22"/>
        </w:rPr>
        <w:t xml:space="preserve"> </w:t>
      </w:r>
      <w:r>
        <w:rPr>
          <w:rStyle w:val="FootnoteReference"/>
          <w:szCs w:val="22"/>
        </w:rPr>
        <w:footnoteReference w:id="84"/>
      </w:r>
    </w:p>
    <w:p w:rsidR="0057037C" w:rsidRPr="008A25E7" w:rsidP="00122AE2" w14:paraId="63FB800C" w14:textId="1749F52D">
      <w:pPr>
        <w:pStyle w:val="ParaNum"/>
        <w:numPr>
          <w:ilvl w:val="0"/>
          <w:numId w:val="6"/>
        </w:numPr>
        <w:jc w:val="left"/>
        <w:rPr>
          <w:szCs w:val="22"/>
        </w:rPr>
      </w:pPr>
      <w:r w:rsidRPr="008A25E7">
        <w:rPr>
          <w:szCs w:val="22"/>
        </w:rPr>
        <w:t>Section 80.105, which requires coast</w:t>
      </w:r>
      <w:r w:rsidRPr="008A25E7">
        <w:rPr>
          <w:szCs w:val="22"/>
        </w:rPr>
        <w:t xml:space="preserve"> </w:t>
      </w:r>
      <w:r w:rsidRPr="008A25E7">
        <w:rPr>
          <w:szCs w:val="22"/>
        </w:rPr>
        <w:t>stations</w:t>
      </w:r>
      <w:r>
        <w:rPr>
          <w:rStyle w:val="FootnoteReference"/>
          <w:szCs w:val="22"/>
        </w:rPr>
        <w:footnoteReference w:id="85"/>
      </w:r>
      <w:r w:rsidRPr="008A25E7">
        <w:rPr>
          <w:szCs w:val="22"/>
        </w:rPr>
        <w:t xml:space="preserve"> to receive calls from ship and aircraft stations;</w:t>
      </w:r>
      <w:r>
        <w:rPr>
          <w:rStyle w:val="FootnoteReference"/>
          <w:szCs w:val="22"/>
        </w:rPr>
        <w:footnoteReference w:id="86"/>
      </w:r>
    </w:p>
    <w:p w:rsidR="0057037C" w:rsidRPr="008A25E7" w:rsidP="00122AE2" w14:paraId="626D58CD" w14:textId="0E037BFA">
      <w:pPr>
        <w:pStyle w:val="ParaNum"/>
        <w:numPr>
          <w:ilvl w:val="0"/>
          <w:numId w:val="6"/>
        </w:numPr>
        <w:jc w:val="left"/>
        <w:rPr>
          <w:szCs w:val="22"/>
        </w:rPr>
      </w:pPr>
      <w:r w:rsidRPr="008A25E7">
        <w:rPr>
          <w:szCs w:val="22"/>
        </w:rPr>
        <w:t xml:space="preserve">Section 80.106, which requires </w:t>
      </w:r>
      <w:r w:rsidRPr="008A25E7" w:rsidR="00905807">
        <w:rPr>
          <w:szCs w:val="22"/>
        </w:rPr>
        <w:t xml:space="preserve">a </w:t>
      </w:r>
      <w:r w:rsidRPr="008A25E7">
        <w:rPr>
          <w:szCs w:val="22"/>
        </w:rPr>
        <w:t xml:space="preserve">coast station to receive communications from mobile stations </w:t>
      </w:r>
      <w:r w:rsidRPr="008A25E7" w:rsidR="009B5FCF">
        <w:rPr>
          <w:szCs w:val="22"/>
        </w:rPr>
        <w:t>a</w:t>
      </w:r>
      <w:r w:rsidRPr="008A25E7">
        <w:rPr>
          <w:szCs w:val="22"/>
        </w:rPr>
        <w:t>nd to transmit communications delivered to it</w:t>
      </w:r>
      <w:r w:rsidRPr="008A25E7" w:rsidR="000E2389">
        <w:rPr>
          <w:szCs w:val="22"/>
        </w:rPr>
        <w:t xml:space="preserve">, which </w:t>
      </w:r>
      <w:r w:rsidRPr="008A25E7">
        <w:rPr>
          <w:szCs w:val="22"/>
        </w:rPr>
        <w:t>are directed to mobile stations;</w:t>
      </w:r>
      <w:r>
        <w:rPr>
          <w:rStyle w:val="FootnoteReference"/>
          <w:szCs w:val="22"/>
        </w:rPr>
        <w:footnoteReference w:id="87"/>
      </w:r>
    </w:p>
    <w:p w:rsidR="004C3F29" w:rsidRPr="008A25E7" w:rsidP="00122AE2" w14:paraId="38276F8D" w14:textId="33AE1807">
      <w:pPr>
        <w:pStyle w:val="ParaNum"/>
        <w:numPr>
          <w:ilvl w:val="0"/>
          <w:numId w:val="6"/>
        </w:numPr>
        <w:jc w:val="left"/>
        <w:rPr>
          <w:szCs w:val="22"/>
        </w:rPr>
      </w:pPr>
      <w:r w:rsidRPr="008A25E7">
        <w:rPr>
          <w:szCs w:val="22"/>
        </w:rPr>
        <w:t xml:space="preserve">Section 80.123(a), which requires </w:t>
      </w:r>
      <w:r w:rsidRPr="008A25E7" w:rsidR="0057037C">
        <w:rPr>
          <w:szCs w:val="22"/>
        </w:rPr>
        <w:t xml:space="preserve">an </w:t>
      </w:r>
      <w:r w:rsidRPr="008A25E7">
        <w:rPr>
          <w:szCs w:val="22"/>
        </w:rPr>
        <w:t xml:space="preserve">AMTS land station to secure a letter authorizing the </w:t>
      </w:r>
      <w:r w:rsidRPr="008A25E7" w:rsidR="0057037C">
        <w:rPr>
          <w:szCs w:val="22"/>
        </w:rPr>
        <w:t xml:space="preserve">land </w:t>
      </w:r>
      <w:r w:rsidRPr="008A25E7">
        <w:rPr>
          <w:szCs w:val="22"/>
        </w:rPr>
        <w:t xml:space="preserve">station to communicate with </w:t>
      </w:r>
      <w:r w:rsidRPr="008A25E7" w:rsidR="00DE43FE">
        <w:rPr>
          <w:szCs w:val="22"/>
        </w:rPr>
        <w:t xml:space="preserve">a </w:t>
      </w:r>
      <w:r w:rsidRPr="008A25E7">
        <w:rPr>
          <w:szCs w:val="22"/>
        </w:rPr>
        <w:t>coast station;</w:t>
      </w:r>
      <w:r>
        <w:rPr>
          <w:rStyle w:val="FootnoteReference"/>
          <w:szCs w:val="22"/>
        </w:rPr>
        <w:footnoteReference w:id="88"/>
      </w:r>
      <w:r w:rsidRPr="008A25E7">
        <w:rPr>
          <w:szCs w:val="22"/>
        </w:rPr>
        <w:t xml:space="preserve"> </w:t>
      </w:r>
    </w:p>
    <w:p w:rsidR="004C3F29" w:rsidRPr="008A25E7" w:rsidP="00122AE2" w14:paraId="5BEF442B" w14:textId="16381EDE">
      <w:pPr>
        <w:pStyle w:val="ParaNum"/>
        <w:numPr>
          <w:ilvl w:val="0"/>
          <w:numId w:val="6"/>
        </w:numPr>
        <w:jc w:val="left"/>
        <w:rPr>
          <w:szCs w:val="22"/>
        </w:rPr>
      </w:pPr>
      <w:r w:rsidRPr="008A25E7">
        <w:rPr>
          <w:szCs w:val="22"/>
        </w:rPr>
        <w:t>Section 80.123(b), which requires coast stations to afford priority to marine-originating communications;</w:t>
      </w:r>
      <w:r>
        <w:rPr>
          <w:rStyle w:val="FootnoteReference"/>
          <w:szCs w:val="22"/>
        </w:rPr>
        <w:footnoteReference w:id="89"/>
      </w:r>
      <w:r w:rsidRPr="008A25E7">
        <w:rPr>
          <w:szCs w:val="22"/>
        </w:rPr>
        <w:t xml:space="preserve"> </w:t>
      </w:r>
    </w:p>
    <w:p w:rsidR="00DA5D09" w:rsidRPr="008A25E7" w:rsidP="00122AE2" w14:paraId="7B859C22" w14:textId="77777777">
      <w:pPr>
        <w:pStyle w:val="ParaNum"/>
        <w:numPr>
          <w:ilvl w:val="0"/>
          <w:numId w:val="6"/>
        </w:numPr>
        <w:jc w:val="left"/>
        <w:rPr>
          <w:szCs w:val="22"/>
        </w:rPr>
      </w:pPr>
      <w:r w:rsidRPr="008A25E7">
        <w:rPr>
          <w:szCs w:val="22"/>
        </w:rPr>
        <w:t xml:space="preserve">Section 80.123(f), which provides that </w:t>
      </w:r>
      <w:r w:rsidRPr="008A25E7" w:rsidR="006C11E3">
        <w:rPr>
          <w:szCs w:val="22"/>
        </w:rPr>
        <w:t xml:space="preserve">AMTS </w:t>
      </w:r>
      <w:r w:rsidRPr="008A25E7">
        <w:rPr>
          <w:szCs w:val="22"/>
        </w:rPr>
        <w:t>land stations may only communicate with coast stations;</w:t>
      </w:r>
      <w:r>
        <w:rPr>
          <w:rStyle w:val="FootnoteReference"/>
          <w:szCs w:val="22"/>
        </w:rPr>
        <w:footnoteReference w:id="90"/>
      </w:r>
      <w:r w:rsidRPr="008A25E7">
        <w:rPr>
          <w:szCs w:val="22"/>
        </w:rPr>
        <w:t xml:space="preserve"> </w:t>
      </w:r>
    </w:p>
    <w:p w:rsidR="004C3F29" w:rsidRPr="008A25E7" w:rsidP="00122AE2" w14:paraId="62FC0DDE" w14:textId="238C389C">
      <w:pPr>
        <w:pStyle w:val="ParaNum"/>
        <w:numPr>
          <w:ilvl w:val="0"/>
          <w:numId w:val="6"/>
        </w:numPr>
        <w:jc w:val="left"/>
        <w:rPr>
          <w:szCs w:val="22"/>
        </w:rPr>
      </w:pPr>
      <w:r w:rsidRPr="008A25E7">
        <w:rPr>
          <w:szCs w:val="22"/>
        </w:rPr>
        <w:t>Section 80.215(h)(5), which requires coast stations’ transmitter power, as measured at the input terminals to the station antenna, to be 50 watts or less</w:t>
      </w:r>
      <w:r w:rsidRPr="008A25E7" w:rsidR="00AB5F27">
        <w:rPr>
          <w:szCs w:val="22"/>
        </w:rPr>
        <w:t>;</w:t>
      </w:r>
      <w:r>
        <w:rPr>
          <w:rStyle w:val="FootnoteReference"/>
          <w:szCs w:val="22"/>
        </w:rPr>
        <w:footnoteReference w:id="91"/>
      </w:r>
      <w:r w:rsidRPr="008A25E7">
        <w:rPr>
          <w:szCs w:val="22"/>
        </w:rPr>
        <w:t xml:space="preserve"> </w:t>
      </w:r>
      <w:r w:rsidRPr="008A25E7" w:rsidR="00B074B2">
        <w:rPr>
          <w:szCs w:val="22"/>
        </w:rPr>
        <w:t>and</w:t>
      </w:r>
      <w:r w:rsidRPr="008A25E7" w:rsidR="00E76881">
        <w:rPr>
          <w:rStyle w:val="FootnoteReference"/>
          <w:szCs w:val="22"/>
        </w:rPr>
        <w:t xml:space="preserve"> </w:t>
      </w:r>
    </w:p>
    <w:p w:rsidR="004C3F29" w:rsidRPr="008A25E7" w:rsidP="00122AE2" w14:paraId="7AACE725" w14:textId="10C5810A">
      <w:pPr>
        <w:pStyle w:val="ParaNum"/>
        <w:numPr>
          <w:ilvl w:val="0"/>
          <w:numId w:val="6"/>
        </w:numPr>
        <w:jc w:val="left"/>
        <w:rPr>
          <w:szCs w:val="22"/>
        </w:rPr>
      </w:pPr>
      <w:r w:rsidRPr="008A25E7">
        <w:rPr>
          <w:szCs w:val="22"/>
        </w:rPr>
        <w:t xml:space="preserve">Section 80.385(a)(2), which divides </w:t>
      </w:r>
      <w:r w:rsidRPr="008A25E7" w:rsidR="006C11E3">
        <w:rPr>
          <w:szCs w:val="22"/>
        </w:rPr>
        <w:t xml:space="preserve">the </w:t>
      </w:r>
      <w:r w:rsidRPr="008A25E7">
        <w:rPr>
          <w:szCs w:val="22"/>
        </w:rPr>
        <w:t xml:space="preserve">AMTS spectrum </w:t>
      </w:r>
      <w:r w:rsidRPr="008A25E7" w:rsidR="006C11E3">
        <w:rPr>
          <w:szCs w:val="22"/>
        </w:rPr>
        <w:t xml:space="preserve">band </w:t>
      </w:r>
      <w:r w:rsidRPr="008A25E7">
        <w:rPr>
          <w:szCs w:val="22"/>
        </w:rPr>
        <w:t>into coast (base) station frequencies (217-218 MHz) and ship (mobile) station frequencies (219-220 MHz).</w:t>
      </w:r>
      <w:r>
        <w:rPr>
          <w:rStyle w:val="FootnoteReference"/>
          <w:szCs w:val="22"/>
        </w:rPr>
        <w:footnoteReference w:id="92"/>
      </w:r>
    </w:p>
    <w:p w:rsidR="00737348" w:rsidRPr="008A25E7" w:rsidP="003C535B" w14:paraId="20526CE5" w14:textId="04DA8F73">
      <w:pPr>
        <w:pStyle w:val="ParaNum"/>
        <w:tabs>
          <w:tab w:val="clear" w:pos="1080"/>
        </w:tabs>
        <w:jc w:val="left"/>
        <w:rPr>
          <w:szCs w:val="22"/>
        </w:rPr>
      </w:pPr>
      <w:r w:rsidRPr="008A25E7">
        <w:rPr>
          <w:szCs w:val="22"/>
        </w:rPr>
        <w:t>Petit</w:t>
      </w:r>
      <w:r w:rsidRPr="008A25E7">
        <w:rPr>
          <w:szCs w:val="22"/>
        </w:rPr>
        <w:t>i</w:t>
      </w:r>
      <w:r w:rsidRPr="008A25E7">
        <w:rPr>
          <w:szCs w:val="22"/>
        </w:rPr>
        <w:t xml:space="preserve">oners </w:t>
      </w:r>
      <w:r w:rsidRPr="008A25E7" w:rsidR="0097576D">
        <w:rPr>
          <w:szCs w:val="22"/>
        </w:rPr>
        <w:t xml:space="preserve">claim </w:t>
      </w:r>
      <w:r w:rsidRPr="008A25E7" w:rsidR="00710601">
        <w:rPr>
          <w:szCs w:val="22"/>
        </w:rPr>
        <w:t xml:space="preserve">PTC-220’s </w:t>
      </w:r>
      <w:r w:rsidRPr="008A25E7">
        <w:rPr>
          <w:szCs w:val="22"/>
        </w:rPr>
        <w:t>Waiver Request</w:t>
      </w:r>
      <w:r w:rsidRPr="008A25E7" w:rsidR="0097576D">
        <w:rPr>
          <w:szCs w:val="22"/>
        </w:rPr>
        <w:t xml:space="preserve"> </w:t>
      </w:r>
      <w:r w:rsidRPr="008A25E7">
        <w:rPr>
          <w:szCs w:val="22"/>
        </w:rPr>
        <w:t>is deficient</w:t>
      </w:r>
      <w:r w:rsidRPr="008A25E7" w:rsidR="00AD1D6F">
        <w:rPr>
          <w:szCs w:val="22"/>
        </w:rPr>
        <w:t xml:space="preserve"> </w:t>
      </w:r>
      <w:r w:rsidRPr="008A25E7" w:rsidR="00142113">
        <w:rPr>
          <w:szCs w:val="22"/>
        </w:rPr>
        <w:t xml:space="preserve">because </w:t>
      </w:r>
      <w:r w:rsidRPr="008A25E7" w:rsidR="00454AC1">
        <w:rPr>
          <w:szCs w:val="22"/>
        </w:rPr>
        <w:t xml:space="preserve">it </w:t>
      </w:r>
      <w:r w:rsidRPr="008A25E7" w:rsidR="00142113">
        <w:rPr>
          <w:szCs w:val="22"/>
        </w:rPr>
        <w:t xml:space="preserve">does not </w:t>
      </w:r>
      <w:r w:rsidRPr="008A25E7" w:rsidR="00454AC1">
        <w:rPr>
          <w:szCs w:val="22"/>
        </w:rPr>
        <w:t xml:space="preserve">include a showing </w:t>
      </w:r>
      <w:r w:rsidRPr="008A25E7" w:rsidR="002E4998">
        <w:rPr>
          <w:szCs w:val="22"/>
        </w:rPr>
        <w:t>regarding the railroads</w:t>
      </w:r>
      <w:r w:rsidRPr="008A25E7" w:rsidR="00710601">
        <w:rPr>
          <w:szCs w:val="22"/>
        </w:rPr>
        <w:t>’</w:t>
      </w:r>
      <w:r w:rsidRPr="008A25E7" w:rsidR="002E4998">
        <w:rPr>
          <w:szCs w:val="22"/>
        </w:rPr>
        <w:t xml:space="preserve"> need for additional spectrum to deploy PTC.</w:t>
      </w:r>
      <w:r>
        <w:rPr>
          <w:rStyle w:val="FootnoteReference"/>
          <w:szCs w:val="22"/>
        </w:rPr>
        <w:footnoteReference w:id="93"/>
      </w:r>
      <w:r w:rsidRPr="008A25E7" w:rsidR="002E4998">
        <w:rPr>
          <w:szCs w:val="22"/>
        </w:rPr>
        <w:t xml:space="preserve">  In fact, </w:t>
      </w:r>
      <w:r w:rsidRPr="008A25E7" w:rsidR="00333F39">
        <w:rPr>
          <w:szCs w:val="22"/>
        </w:rPr>
        <w:t xml:space="preserve">PTC-220 explains </w:t>
      </w:r>
      <w:r w:rsidRPr="008A25E7" w:rsidR="00710601">
        <w:rPr>
          <w:szCs w:val="22"/>
        </w:rPr>
        <w:t>that the spectrum will enable more robust PTC systems by permitting the deployment of two additional nationwide Common Control Channels, “which would be used by all locomotive radios to attach to a PTC base station and receive instructions regarding the proper frequency to operate on in the particular area.”</w:t>
      </w:r>
      <w:r>
        <w:rPr>
          <w:rStyle w:val="FootnoteReference"/>
          <w:szCs w:val="22"/>
        </w:rPr>
        <w:footnoteReference w:id="94"/>
      </w:r>
      <w:r w:rsidRPr="008A25E7" w:rsidR="00710601">
        <w:rPr>
          <w:szCs w:val="22"/>
        </w:rPr>
        <w:t xml:space="preserve">  PTC-220 </w:t>
      </w:r>
      <w:r w:rsidRPr="008A25E7" w:rsidR="00A94A10">
        <w:rPr>
          <w:szCs w:val="22"/>
        </w:rPr>
        <w:t xml:space="preserve">further </w:t>
      </w:r>
      <w:r w:rsidRPr="008A25E7" w:rsidR="00710601">
        <w:rPr>
          <w:szCs w:val="22"/>
        </w:rPr>
        <w:t xml:space="preserve">explains that the spectrum will be used for expanded PTC deployments and </w:t>
      </w:r>
      <w:r w:rsidRPr="008A25E7" w:rsidR="00F56B8D">
        <w:rPr>
          <w:szCs w:val="22"/>
        </w:rPr>
        <w:t xml:space="preserve">related </w:t>
      </w:r>
      <w:r w:rsidRPr="008A25E7" w:rsidR="00710601">
        <w:rPr>
          <w:szCs w:val="22"/>
        </w:rPr>
        <w:t xml:space="preserve">rail safety applications, including End of Train (EOT) Devices and </w:t>
      </w:r>
      <w:r w:rsidRPr="008A25E7" w:rsidR="00C94496">
        <w:rPr>
          <w:szCs w:val="22"/>
        </w:rPr>
        <w:t>d</w:t>
      </w:r>
      <w:r w:rsidRPr="008A25E7" w:rsidR="00710601">
        <w:rPr>
          <w:szCs w:val="22"/>
        </w:rPr>
        <w:t xml:space="preserve">istributed </w:t>
      </w:r>
      <w:r w:rsidRPr="008A25E7" w:rsidR="00C94496">
        <w:rPr>
          <w:szCs w:val="22"/>
        </w:rPr>
        <w:t>p</w:t>
      </w:r>
      <w:r w:rsidRPr="008A25E7" w:rsidR="00710601">
        <w:rPr>
          <w:szCs w:val="22"/>
        </w:rPr>
        <w:t>ower systems.</w:t>
      </w:r>
      <w:r>
        <w:rPr>
          <w:rStyle w:val="FootnoteReference"/>
          <w:szCs w:val="22"/>
        </w:rPr>
        <w:footnoteReference w:id="95"/>
      </w:r>
      <w:r w:rsidRPr="008A25E7" w:rsidR="0033146D">
        <w:rPr>
          <w:szCs w:val="22"/>
        </w:rPr>
        <w:t xml:space="preserve">  </w:t>
      </w:r>
      <w:r w:rsidRPr="008A25E7" w:rsidR="00DA1FD9">
        <w:rPr>
          <w:szCs w:val="22"/>
        </w:rPr>
        <w:t xml:space="preserve">The record </w:t>
      </w:r>
      <w:r w:rsidRPr="008A25E7" w:rsidR="00DA1FD9">
        <w:rPr>
          <w:szCs w:val="22"/>
        </w:rPr>
        <w:t xml:space="preserve">does not support </w:t>
      </w:r>
      <w:r w:rsidRPr="008A25E7" w:rsidR="0033146D">
        <w:rPr>
          <w:szCs w:val="22"/>
        </w:rPr>
        <w:t>Petitioners</w:t>
      </w:r>
      <w:r w:rsidRPr="008A25E7" w:rsidR="009020F7">
        <w:rPr>
          <w:szCs w:val="22"/>
        </w:rPr>
        <w:t>’</w:t>
      </w:r>
      <w:r w:rsidRPr="008A25E7" w:rsidR="0033146D">
        <w:rPr>
          <w:szCs w:val="22"/>
        </w:rPr>
        <w:t xml:space="preserve"> claim that the </w:t>
      </w:r>
      <w:r w:rsidRPr="008A25E7" w:rsidR="009020F7">
        <w:rPr>
          <w:szCs w:val="22"/>
        </w:rPr>
        <w:t>Wa</w:t>
      </w:r>
      <w:r w:rsidRPr="008A25E7" w:rsidR="0033146D">
        <w:rPr>
          <w:szCs w:val="22"/>
        </w:rPr>
        <w:t xml:space="preserve">iver </w:t>
      </w:r>
      <w:r w:rsidRPr="008A25E7" w:rsidR="009020F7">
        <w:rPr>
          <w:szCs w:val="22"/>
        </w:rPr>
        <w:t>R</w:t>
      </w:r>
      <w:r w:rsidRPr="008A25E7" w:rsidR="0033146D">
        <w:rPr>
          <w:szCs w:val="22"/>
        </w:rPr>
        <w:t>equest is defi</w:t>
      </w:r>
      <w:r w:rsidRPr="008A25E7" w:rsidR="009020F7">
        <w:rPr>
          <w:szCs w:val="22"/>
        </w:rPr>
        <w:t>cie</w:t>
      </w:r>
      <w:r w:rsidRPr="008A25E7" w:rsidR="0033146D">
        <w:rPr>
          <w:szCs w:val="22"/>
        </w:rPr>
        <w:t>nt</w:t>
      </w:r>
      <w:r w:rsidRPr="008A25E7" w:rsidR="009020F7">
        <w:rPr>
          <w:szCs w:val="22"/>
        </w:rPr>
        <w:t>.</w:t>
      </w:r>
      <w:r w:rsidRPr="008A25E7" w:rsidR="0033146D">
        <w:rPr>
          <w:szCs w:val="22"/>
        </w:rPr>
        <w:t xml:space="preserve">  </w:t>
      </w:r>
    </w:p>
    <w:p w:rsidR="00D77425" w:rsidRPr="008A25E7" w:rsidP="003C535B" w14:paraId="58A650DB" w14:textId="5A508CC9">
      <w:pPr>
        <w:pStyle w:val="ParaNum"/>
        <w:tabs>
          <w:tab w:val="clear" w:pos="1080"/>
        </w:tabs>
        <w:jc w:val="left"/>
        <w:rPr>
          <w:szCs w:val="22"/>
        </w:rPr>
      </w:pPr>
      <w:r w:rsidRPr="008A25E7">
        <w:rPr>
          <w:szCs w:val="22"/>
        </w:rPr>
        <w:t>M</w:t>
      </w:r>
      <w:r w:rsidRPr="008A25E7" w:rsidR="00DA1FD9">
        <w:rPr>
          <w:szCs w:val="22"/>
        </w:rPr>
        <w:t>oreover,</w:t>
      </w:r>
      <w:r w:rsidRPr="008A25E7" w:rsidR="00406CF7">
        <w:rPr>
          <w:szCs w:val="22"/>
        </w:rPr>
        <w:t xml:space="preserve"> </w:t>
      </w:r>
      <w:r w:rsidRPr="008A25E7">
        <w:rPr>
          <w:szCs w:val="22"/>
        </w:rPr>
        <w:t xml:space="preserve">with the exception of Section </w:t>
      </w:r>
      <w:r w:rsidRPr="008A25E7" w:rsidR="00DA5D09">
        <w:rPr>
          <w:szCs w:val="22"/>
        </w:rPr>
        <w:t>80.215(h)(5),</w:t>
      </w:r>
      <w:r w:rsidRPr="008A25E7" w:rsidR="00406CF7">
        <w:rPr>
          <w:szCs w:val="22"/>
        </w:rPr>
        <w:t xml:space="preserve"> the Bureau </w:t>
      </w:r>
      <w:r w:rsidRPr="008A25E7" w:rsidR="00DA1FD9">
        <w:rPr>
          <w:szCs w:val="22"/>
        </w:rPr>
        <w:t xml:space="preserve">previously </w:t>
      </w:r>
      <w:r w:rsidRPr="008A25E7" w:rsidR="009A5A82">
        <w:rPr>
          <w:szCs w:val="22"/>
        </w:rPr>
        <w:t xml:space="preserve">issued orders </w:t>
      </w:r>
      <w:r w:rsidRPr="008A25E7" w:rsidR="00406CF7">
        <w:rPr>
          <w:szCs w:val="22"/>
        </w:rPr>
        <w:t>waiv</w:t>
      </w:r>
      <w:r w:rsidRPr="008A25E7" w:rsidR="009A5A82">
        <w:rPr>
          <w:szCs w:val="22"/>
        </w:rPr>
        <w:t xml:space="preserve">ing </w:t>
      </w:r>
      <w:r w:rsidRPr="008A25E7" w:rsidR="00406CF7">
        <w:rPr>
          <w:szCs w:val="22"/>
        </w:rPr>
        <w:t xml:space="preserve">each of the Part 80 rules identified above to enable Amtrak and the Southern California Regional Rail Authority to deploy PTC using AMTS spectrum in the Northeast </w:t>
      </w:r>
      <w:r w:rsidRPr="008A25E7" w:rsidR="00367CA9">
        <w:rPr>
          <w:szCs w:val="22"/>
        </w:rPr>
        <w:t xml:space="preserve">Rail </w:t>
      </w:r>
      <w:r w:rsidRPr="008A25E7" w:rsidR="00406CF7">
        <w:rPr>
          <w:szCs w:val="22"/>
        </w:rPr>
        <w:t xml:space="preserve">Corridor </w:t>
      </w:r>
      <w:r w:rsidRPr="008A25E7" w:rsidR="001F4263">
        <w:rPr>
          <w:szCs w:val="22"/>
        </w:rPr>
        <w:t xml:space="preserve">(from New York to Washington DC) </w:t>
      </w:r>
      <w:r w:rsidRPr="008A25E7" w:rsidR="00406CF7">
        <w:rPr>
          <w:szCs w:val="22"/>
        </w:rPr>
        <w:t>and Southern California, respectively.</w:t>
      </w:r>
      <w:r>
        <w:rPr>
          <w:rStyle w:val="FootnoteReference"/>
          <w:szCs w:val="22"/>
        </w:rPr>
        <w:footnoteReference w:id="96"/>
      </w:r>
      <w:r w:rsidRPr="008A25E7" w:rsidR="00B4018D">
        <w:rPr>
          <w:szCs w:val="22"/>
        </w:rPr>
        <w:t xml:space="preserve">  The </w:t>
      </w:r>
      <w:r w:rsidRPr="008A25E7" w:rsidR="00847EDA">
        <w:rPr>
          <w:szCs w:val="22"/>
        </w:rPr>
        <w:t xml:space="preserve">Bureau’s </w:t>
      </w:r>
      <w:r w:rsidRPr="008A25E7" w:rsidR="00B4018D">
        <w:rPr>
          <w:szCs w:val="22"/>
        </w:rPr>
        <w:t>r</w:t>
      </w:r>
      <w:r w:rsidRPr="008A25E7" w:rsidR="000752EB">
        <w:rPr>
          <w:szCs w:val="22"/>
        </w:rPr>
        <w:t xml:space="preserve">easoning </w:t>
      </w:r>
      <w:r w:rsidRPr="008A25E7" w:rsidR="00847EDA">
        <w:rPr>
          <w:szCs w:val="22"/>
        </w:rPr>
        <w:t xml:space="preserve">for waiving the subject rules </w:t>
      </w:r>
      <w:r w:rsidRPr="008A25E7" w:rsidR="00E327BD">
        <w:rPr>
          <w:szCs w:val="22"/>
        </w:rPr>
        <w:t xml:space="preserve">to enable PTC </w:t>
      </w:r>
      <w:r w:rsidRPr="008A25E7" w:rsidR="00847EDA">
        <w:rPr>
          <w:szCs w:val="22"/>
        </w:rPr>
        <w:t>in those orders appl</w:t>
      </w:r>
      <w:r w:rsidRPr="008A25E7" w:rsidR="00231038">
        <w:rPr>
          <w:szCs w:val="22"/>
        </w:rPr>
        <w:t>ies</w:t>
      </w:r>
      <w:r w:rsidRPr="008A25E7" w:rsidR="00847EDA">
        <w:rPr>
          <w:szCs w:val="22"/>
        </w:rPr>
        <w:t xml:space="preserve"> equally here.</w:t>
      </w:r>
      <w:r w:rsidRPr="008A25E7" w:rsidR="00B4018D">
        <w:rPr>
          <w:szCs w:val="22"/>
        </w:rPr>
        <w:t xml:space="preserve"> </w:t>
      </w:r>
      <w:r w:rsidRPr="008A25E7" w:rsidR="00406CF7">
        <w:rPr>
          <w:szCs w:val="22"/>
        </w:rPr>
        <w:t xml:space="preserve"> </w:t>
      </w:r>
    </w:p>
    <w:p w:rsidR="0057037C" w:rsidRPr="008A25E7" w:rsidP="00E76881" w14:paraId="0C103593" w14:textId="7637E057">
      <w:pPr>
        <w:pStyle w:val="ParaNum"/>
        <w:tabs>
          <w:tab w:val="clear" w:pos="1080"/>
        </w:tabs>
        <w:jc w:val="left"/>
        <w:rPr>
          <w:szCs w:val="22"/>
        </w:rPr>
      </w:pPr>
      <w:r w:rsidRPr="008A25E7">
        <w:rPr>
          <w:szCs w:val="22"/>
          <w:u w:val="single"/>
        </w:rPr>
        <w:t>Waiver Standard</w:t>
      </w:r>
      <w:r w:rsidRPr="008A25E7">
        <w:rPr>
          <w:szCs w:val="22"/>
        </w:rPr>
        <w:t>.  Section 1.925(b)(3) of the Commission's Rules provides that we may grant a waiver if it is shown that (i) the underlying purpose of the rule(s) would not be served or would be frustrated by application to the instant case, and grant of the requested waiver would be in the public interest; or (ii) in light of unique or unusual circumstances, application of the rule(s) would be inequitable, unduly burdensome, or contrary to the public interest, or the applicant has no reasonable alternative.</w:t>
      </w:r>
      <w:r>
        <w:rPr>
          <w:szCs w:val="22"/>
          <w:vertAlign w:val="superscript"/>
        </w:rPr>
        <w:footnoteReference w:id="97"/>
      </w:r>
      <w:r w:rsidRPr="008A25E7">
        <w:rPr>
          <w:szCs w:val="22"/>
        </w:rPr>
        <w:t xml:space="preserve">  The Commission also may waive a rule, in whole or in part, on its own motion or on petition for good cause.</w:t>
      </w:r>
      <w:r>
        <w:rPr>
          <w:szCs w:val="22"/>
          <w:vertAlign w:val="superscript"/>
        </w:rPr>
        <w:footnoteReference w:id="98"/>
      </w:r>
      <w:r w:rsidRPr="008A25E7">
        <w:rPr>
          <w:szCs w:val="22"/>
        </w:rPr>
        <w:t xml:space="preserve"> </w:t>
      </w:r>
    </w:p>
    <w:p w:rsidR="00E76881" w:rsidRPr="00130D36" w:rsidP="00E76881" w14:paraId="69E645B9" w14:textId="0AB05E14">
      <w:pPr>
        <w:pStyle w:val="ParaNum"/>
        <w:tabs>
          <w:tab w:val="clear" w:pos="1080"/>
        </w:tabs>
        <w:jc w:val="left"/>
        <w:rPr>
          <w:szCs w:val="22"/>
        </w:rPr>
      </w:pPr>
      <w:r w:rsidRPr="008A25E7">
        <w:rPr>
          <w:szCs w:val="22"/>
        </w:rPr>
        <w:t>Further, when the Commission amended its rules to permit AMTS stations to provide service to units on land, it stated that the following factors would be considered in evaluating requests for waiver of AMTS rules:  (a) whether the applicant will provide priority to maritime communications; (b) the distance of a proposed land mobile radio operation from the nearest navigable waterways; (c) the magnitude of divergence sought from specific Part 80 technical requirements; (d) whether alternative spectrum that could accommodate the proposed private land mobile radio (PLMR) or other land mobile radio service is unavailable or unsuitable for that purpose; and (e) whether grant of the waiver would benefit public safety or homeland security (including support of critical infrastructure</w:t>
      </w:r>
      <w:r w:rsidRPr="00130D36">
        <w:rPr>
          <w:szCs w:val="22"/>
        </w:rPr>
        <w:t>).</w:t>
      </w:r>
      <w:r>
        <w:rPr>
          <w:rStyle w:val="FootnoteReference"/>
          <w:szCs w:val="22"/>
        </w:rPr>
        <w:footnoteReference w:id="99"/>
      </w:r>
      <w:r w:rsidRPr="00130D36">
        <w:rPr>
          <w:szCs w:val="22"/>
        </w:rPr>
        <w:t xml:space="preserve">   </w:t>
      </w:r>
    </w:p>
    <w:p w:rsidR="00C670E4" w:rsidRPr="00130D36" w:rsidP="003C535B" w14:paraId="75490AE7" w14:textId="52B4D103">
      <w:pPr>
        <w:pStyle w:val="ParaNum"/>
        <w:tabs>
          <w:tab w:val="clear" w:pos="1080"/>
        </w:tabs>
        <w:jc w:val="left"/>
        <w:rPr>
          <w:szCs w:val="22"/>
        </w:rPr>
      </w:pPr>
      <w:r w:rsidRPr="00130D36">
        <w:rPr>
          <w:szCs w:val="22"/>
        </w:rPr>
        <w:t xml:space="preserve"> </w:t>
      </w:r>
      <w:r w:rsidRPr="00130D36">
        <w:rPr>
          <w:szCs w:val="22"/>
        </w:rPr>
        <w:t xml:space="preserve"> </w:t>
      </w:r>
      <w:r w:rsidRPr="00130D36">
        <w:rPr>
          <w:iCs/>
          <w:szCs w:val="22"/>
          <w:u w:val="single"/>
        </w:rPr>
        <w:t>Section 80.92(a)</w:t>
      </w:r>
      <w:r w:rsidRPr="00130D36">
        <w:rPr>
          <w:iCs/>
          <w:szCs w:val="22"/>
        </w:rPr>
        <w:t>.</w:t>
      </w:r>
      <w:r w:rsidRPr="00130D36">
        <w:rPr>
          <w:szCs w:val="22"/>
        </w:rPr>
        <w:t xml:space="preserve">  Section 80.92(a) requires an AMTS station operator to determine that a frequency is not in use before transmitting.</w:t>
      </w:r>
      <w:r>
        <w:rPr>
          <w:rStyle w:val="FootnoteReference"/>
          <w:szCs w:val="22"/>
        </w:rPr>
        <w:footnoteReference w:id="100"/>
      </w:r>
      <w:r w:rsidRPr="00130D36">
        <w:rPr>
          <w:szCs w:val="22"/>
        </w:rPr>
        <w:t xml:space="preserve">  PTC-220 states that while this rule is “necessary for a shared public system like AMTS, the rule is unnecessary for PTC systems,”</w:t>
      </w:r>
      <w:r>
        <w:rPr>
          <w:rStyle w:val="FootnoteReference"/>
          <w:szCs w:val="22"/>
        </w:rPr>
        <w:footnoteReference w:id="101"/>
      </w:r>
      <w:r w:rsidRPr="00130D36">
        <w:rPr>
          <w:szCs w:val="22"/>
        </w:rPr>
        <w:t xml:space="preserve"> which operate on an exclusive</w:t>
      </w:r>
      <w:r w:rsidRPr="00130D36" w:rsidR="00A96EA2">
        <w:rPr>
          <w:szCs w:val="22"/>
        </w:rPr>
        <w:t>-</w:t>
      </w:r>
      <w:r w:rsidRPr="00130D36">
        <w:rPr>
          <w:szCs w:val="22"/>
        </w:rPr>
        <w:t xml:space="preserve">use basis.  In the </w:t>
      </w:r>
      <w:r w:rsidRPr="00130D36">
        <w:rPr>
          <w:i/>
          <w:szCs w:val="22"/>
        </w:rPr>
        <w:t>Amtrak Part 80 Waiver Order</w:t>
      </w:r>
      <w:r w:rsidRPr="00130D36">
        <w:rPr>
          <w:szCs w:val="22"/>
        </w:rPr>
        <w:t>, the Bureau found that waiving the requirement to monitor before transmitting would “promote the efficient use of AMTS spectrum and serve the public interest by promoting rail safety.”</w:t>
      </w:r>
      <w:r>
        <w:rPr>
          <w:rStyle w:val="FootnoteReference"/>
          <w:szCs w:val="22"/>
        </w:rPr>
        <w:footnoteReference w:id="102"/>
      </w:r>
      <w:r w:rsidRPr="00130D36">
        <w:rPr>
          <w:szCs w:val="22"/>
        </w:rPr>
        <w:t xml:space="preserve">  Consistent with that order</w:t>
      </w:r>
      <w:r w:rsidRPr="00130D36" w:rsidR="00896351">
        <w:rPr>
          <w:szCs w:val="22"/>
        </w:rPr>
        <w:t xml:space="preserve"> and because </w:t>
      </w:r>
      <w:r w:rsidR="002A3055">
        <w:rPr>
          <w:szCs w:val="22"/>
        </w:rPr>
        <w:t>r</w:t>
      </w:r>
      <w:r w:rsidRPr="00130D36" w:rsidR="009164BF">
        <w:rPr>
          <w:szCs w:val="22"/>
        </w:rPr>
        <w:t xml:space="preserve">ailroads are deploying </w:t>
      </w:r>
      <w:r w:rsidRPr="00130D36" w:rsidR="00896351">
        <w:rPr>
          <w:szCs w:val="22"/>
        </w:rPr>
        <w:t xml:space="preserve">PTC </w:t>
      </w:r>
      <w:r w:rsidRPr="00130D36" w:rsidR="000322E1">
        <w:rPr>
          <w:szCs w:val="22"/>
        </w:rPr>
        <w:t xml:space="preserve">in </w:t>
      </w:r>
      <w:r w:rsidR="002A3055">
        <w:rPr>
          <w:szCs w:val="22"/>
        </w:rPr>
        <w:t xml:space="preserve">defined </w:t>
      </w:r>
      <w:r w:rsidRPr="00130D36" w:rsidR="000322E1">
        <w:rPr>
          <w:szCs w:val="22"/>
        </w:rPr>
        <w:t>rail corridors</w:t>
      </w:r>
      <w:r w:rsidRPr="00130D36">
        <w:rPr>
          <w:szCs w:val="22"/>
        </w:rPr>
        <w:t xml:space="preserve">, we find that </w:t>
      </w:r>
      <w:r w:rsidRPr="00130D36" w:rsidR="009B5C4E">
        <w:rPr>
          <w:szCs w:val="22"/>
        </w:rPr>
        <w:t>the purpose of the rule</w:t>
      </w:r>
      <w:r w:rsidRPr="00130D36" w:rsidR="00E50128">
        <w:rPr>
          <w:szCs w:val="22"/>
        </w:rPr>
        <w:t xml:space="preserve"> (to avoid interference) would not be served</w:t>
      </w:r>
      <w:r w:rsidRPr="00130D36" w:rsidR="00676FBB">
        <w:rPr>
          <w:szCs w:val="22"/>
        </w:rPr>
        <w:t xml:space="preserve"> here</w:t>
      </w:r>
      <w:r w:rsidRPr="00130D36" w:rsidR="009B5C4E">
        <w:rPr>
          <w:szCs w:val="22"/>
        </w:rPr>
        <w:t>,</w:t>
      </w:r>
      <w:r w:rsidRPr="00130D36" w:rsidR="00676FBB">
        <w:rPr>
          <w:szCs w:val="22"/>
        </w:rPr>
        <w:t xml:space="preserve"> and that</w:t>
      </w:r>
      <w:r w:rsidRPr="00130D36" w:rsidR="009B5C4E">
        <w:rPr>
          <w:szCs w:val="22"/>
        </w:rPr>
        <w:t xml:space="preserve"> </w:t>
      </w:r>
      <w:r w:rsidRPr="00130D36">
        <w:rPr>
          <w:szCs w:val="22"/>
        </w:rPr>
        <w:t xml:space="preserve">grant of the requested waiver would be in the public interest by promoting rail safety and </w:t>
      </w:r>
      <w:r w:rsidRPr="00130D36">
        <w:rPr>
          <w:szCs w:val="22"/>
        </w:rPr>
        <w:t>the efficient use of AMTS spectrum.</w:t>
      </w:r>
      <w:r>
        <w:rPr>
          <w:rStyle w:val="FootnoteReference"/>
          <w:szCs w:val="22"/>
        </w:rPr>
        <w:footnoteReference w:id="103"/>
      </w:r>
    </w:p>
    <w:p w:rsidR="00C670E4" w:rsidRPr="008A25E7" w:rsidP="00122AE2" w14:paraId="0E343B07" w14:textId="5A6AFA3C">
      <w:pPr>
        <w:pStyle w:val="ParaNum"/>
        <w:tabs>
          <w:tab w:val="clear" w:pos="1080"/>
        </w:tabs>
        <w:jc w:val="left"/>
        <w:rPr>
          <w:szCs w:val="22"/>
        </w:rPr>
      </w:pPr>
      <w:r w:rsidRPr="008A25E7">
        <w:rPr>
          <w:iCs/>
          <w:szCs w:val="22"/>
          <w:u w:val="single"/>
        </w:rPr>
        <w:t>Section 80.105 and Section 80.123(b)</w:t>
      </w:r>
      <w:r w:rsidRPr="008A25E7">
        <w:rPr>
          <w:iCs/>
          <w:szCs w:val="22"/>
        </w:rPr>
        <w:t>.</w:t>
      </w:r>
      <w:r w:rsidRPr="008A25E7">
        <w:rPr>
          <w:szCs w:val="22"/>
        </w:rPr>
        <w:t xml:space="preserve">  PTC-220 requests waiver of the requirements that AMTS licensees receive calls from ship stations (section 80.105),</w:t>
      </w:r>
      <w:r>
        <w:rPr>
          <w:rStyle w:val="FootnoteReference"/>
          <w:szCs w:val="22"/>
        </w:rPr>
        <w:footnoteReference w:id="104"/>
      </w:r>
      <w:r w:rsidRPr="008A25E7">
        <w:rPr>
          <w:szCs w:val="22"/>
        </w:rPr>
        <w:t xml:space="preserve"> and that they afford priority to marine communications (section 80.123(b)).</w:t>
      </w:r>
      <w:r>
        <w:rPr>
          <w:rStyle w:val="FootnoteReference"/>
          <w:szCs w:val="22"/>
        </w:rPr>
        <w:footnoteReference w:id="105"/>
      </w:r>
      <w:r w:rsidRPr="008A25E7">
        <w:rPr>
          <w:szCs w:val="22"/>
        </w:rPr>
        <w:t xml:space="preserve">  In the </w:t>
      </w:r>
      <w:r w:rsidRPr="008A25E7">
        <w:rPr>
          <w:i/>
          <w:iCs/>
          <w:szCs w:val="22"/>
        </w:rPr>
        <w:t>SCRRA Waiver Order</w:t>
      </w:r>
      <w:r w:rsidRPr="008A25E7">
        <w:rPr>
          <w:szCs w:val="22"/>
        </w:rPr>
        <w:t xml:space="preserve">, the Bureau </w:t>
      </w:r>
      <w:r w:rsidRPr="008A25E7" w:rsidR="00876554">
        <w:rPr>
          <w:szCs w:val="22"/>
        </w:rPr>
        <w:t xml:space="preserve">stated </w:t>
      </w:r>
      <w:r w:rsidRPr="008A25E7">
        <w:rPr>
          <w:szCs w:val="22"/>
        </w:rPr>
        <w:t>that a waiver of section 80.105 was required to enable “necessary intercommunication between the various PTC system elements,”</w:t>
      </w:r>
      <w:r>
        <w:rPr>
          <w:rStyle w:val="FootnoteReference"/>
          <w:szCs w:val="22"/>
        </w:rPr>
        <w:footnoteReference w:id="106"/>
      </w:r>
      <w:r w:rsidRPr="008A25E7">
        <w:rPr>
          <w:szCs w:val="22"/>
        </w:rPr>
        <w:t xml:space="preserve"> and that the rule’s application would impair “PTC operation by interrupting critical information flow</w:t>
      </w:r>
      <w:r w:rsidRPr="008A25E7" w:rsidR="005049A6">
        <w:rPr>
          <w:szCs w:val="22"/>
        </w:rPr>
        <w:t>.</w:t>
      </w:r>
      <w:r w:rsidRPr="008A25E7">
        <w:rPr>
          <w:szCs w:val="22"/>
        </w:rPr>
        <w:t>”</w:t>
      </w:r>
      <w:r>
        <w:rPr>
          <w:rStyle w:val="FootnoteReference"/>
          <w:szCs w:val="22"/>
        </w:rPr>
        <w:footnoteReference w:id="107"/>
      </w:r>
      <w:r w:rsidRPr="008A25E7">
        <w:rPr>
          <w:szCs w:val="22"/>
        </w:rPr>
        <w:t xml:space="preserve">  We note that </w:t>
      </w:r>
      <w:r w:rsidRPr="008A25E7" w:rsidR="00876554">
        <w:rPr>
          <w:szCs w:val="22"/>
        </w:rPr>
        <w:t>m</w:t>
      </w:r>
      <w:r w:rsidRPr="008A25E7">
        <w:rPr>
          <w:szCs w:val="22"/>
        </w:rPr>
        <w:t>aritime users have many options to meet their communications needs, including cellular and satellite services, and find that waiver of sections 80.105 and 80.123(b) to enable PTC deployment will not jeopardize the maritime community’s ability to meet its operational, safety, and security communications needs.  We also find that</w:t>
      </w:r>
      <w:r w:rsidRPr="008A25E7" w:rsidR="002C5027">
        <w:rPr>
          <w:szCs w:val="22"/>
        </w:rPr>
        <w:t>,</w:t>
      </w:r>
      <w:r w:rsidRPr="008A25E7">
        <w:rPr>
          <w:szCs w:val="22"/>
        </w:rPr>
        <w:t xml:space="preserve"> considering the unique circumstances of PTC deployments, </w:t>
      </w:r>
      <w:r w:rsidRPr="008A25E7" w:rsidR="00413455">
        <w:rPr>
          <w:szCs w:val="22"/>
        </w:rPr>
        <w:t xml:space="preserve">strict </w:t>
      </w:r>
      <w:r w:rsidRPr="008A25E7">
        <w:rPr>
          <w:szCs w:val="22"/>
        </w:rPr>
        <w:t>application of sections 80.105 and 80.123(b) to PTC operations would be contrary to the public interest in rail safety and accordingly waive these rules.</w:t>
      </w:r>
      <w:r>
        <w:rPr>
          <w:rStyle w:val="FootnoteReference"/>
          <w:szCs w:val="22"/>
        </w:rPr>
        <w:footnoteReference w:id="108"/>
      </w:r>
    </w:p>
    <w:p w:rsidR="00C670E4" w:rsidRPr="008A25E7" w:rsidP="00122AE2" w14:paraId="04C93FCE" w14:textId="272E2849">
      <w:pPr>
        <w:pStyle w:val="ParaNum"/>
        <w:tabs>
          <w:tab w:val="clear" w:pos="1080"/>
        </w:tabs>
        <w:jc w:val="left"/>
        <w:rPr>
          <w:szCs w:val="22"/>
        </w:rPr>
      </w:pPr>
      <w:r w:rsidRPr="008A25E7">
        <w:rPr>
          <w:iCs/>
          <w:szCs w:val="22"/>
          <w:u w:val="single"/>
        </w:rPr>
        <w:t>Section 80.106</w:t>
      </w:r>
      <w:r w:rsidRPr="008A25E7">
        <w:rPr>
          <w:iCs/>
          <w:szCs w:val="22"/>
        </w:rPr>
        <w:t>.</w:t>
      </w:r>
      <w:r w:rsidRPr="008A25E7">
        <w:rPr>
          <w:i/>
          <w:szCs w:val="22"/>
        </w:rPr>
        <w:t xml:space="preserve">  </w:t>
      </w:r>
      <w:r w:rsidRPr="008A25E7">
        <w:rPr>
          <w:iCs/>
          <w:szCs w:val="22"/>
        </w:rPr>
        <w:t>PTC-220 r</w:t>
      </w:r>
      <w:r w:rsidRPr="008A25E7">
        <w:rPr>
          <w:szCs w:val="22"/>
        </w:rPr>
        <w:t xml:space="preserve">equests a waiver of the requirement that an AMTS coast station receive communications from mobile stations (that is, ship and aircraft stations at sea) and transmit communications delivered to it </w:t>
      </w:r>
      <w:r w:rsidRPr="008A25E7" w:rsidR="000A4964">
        <w:rPr>
          <w:szCs w:val="22"/>
        </w:rPr>
        <w:t xml:space="preserve">that </w:t>
      </w:r>
      <w:r w:rsidRPr="008A25E7">
        <w:rPr>
          <w:szCs w:val="22"/>
        </w:rPr>
        <w:t>are directed to mobile stations (section 80.106).</w:t>
      </w:r>
      <w:r>
        <w:rPr>
          <w:rStyle w:val="FootnoteReference"/>
          <w:szCs w:val="22"/>
        </w:rPr>
        <w:footnoteReference w:id="109"/>
      </w:r>
      <w:r w:rsidRPr="008A25E7">
        <w:rPr>
          <w:szCs w:val="22"/>
        </w:rPr>
        <w:t xml:space="preserve">  In the </w:t>
      </w:r>
      <w:r w:rsidRPr="008A25E7">
        <w:rPr>
          <w:i/>
          <w:szCs w:val="22"/>
        </w:rPr>
        <w:t>Amtrak Part 80 Waiver Order</w:t>
      </w:r>
      <w:r w:rsidRPr="008A25E7">
        <w:rPr>
          <w:szCs w:val="22"/>
        </w:rPr>
        <w:t xml:space="preserve">, the Bureau waived </w:t>
      </w:r>
      <w:r w:rsidRPr="008A25E7" w:rsidR="000A4964">
        <w:rPr>
          <w:szCs w:val="22"/>
        </w:rPr>
        <w:t>s</w:t>
      </w:r>
      <w:r w:rsidRPr="008A25E7">
        <w:rPr>
          <w:szCs w:val="22"/>
        </w:rPr>
        <w:t>ection 80.106 to enable Amtrak’s PTC deployment when it waived</w:t>
      </w:r>
      <w:r w:rsidRPr="008A25E7" w:rsidR="00FC4869">
        <w:rPr>
          <w:szCs w:val="22"/>
        </w:rPr>
        <w:t xml:space="preserve"> </w:t>
      </w:r>
      <w:r w:rsidRPr="008A25E7" w:rsidR="000A4964">
        <w:rPr>
          <w:szCs w:val="22"/>
        </w:rPr>
        <w:t>s</w:t>
      </w:r>
      <w:r w:rsidRPr="008A25E7">
        <w:rPr>
          <w:szCs w:val="22"/>
        </w:rPr>
        <w:t>ection 80.105</w:t>
      </w:r>
      <w:r w:rsidRPr="008A25E7" w:rsidR="00190A05">
        <w:rPr>
          <w:szCs w:val="22"/>
        </w:rPr>
        <w:t xml:space="preserve">’s </w:t>
      </w:r>
      <w:r w:rsidRPr="008A25E7" w:rsidR="00FC4869">
        <w:rPr>
          <w:szCs w:val="22"/>
        </w:rPr>
        <w:t xml:space="preserve">requirement </w:t>
      </w:r>
      <w:r w:rsidRPr="008A25E7">
        <w:rPr>
          <w:szCs w:val="22"/>
        </w:rPr>
        <w:t>that coast stations acknowledge and receive calls from mobile stations.</w:t>
      </w:r>
      <w:r>
        <w:rPr>
          <w:rStyle w:val="FootnoteReference"/>
          <w:szCs w:val="22"/>
        </w:rPr>
        <w:footnoteReference w:id="110"/>
      </w:r>
      <w:r w:rsidRPr="008A25E7">
        <w:rPr>
          <w:szCs w:val="22"/>
        </w:rPr>
        <w:t xml:space="preserve">  Consistent with that order, we find that waiving section 80.106 here will promote the efficient use of AMTS spectrum and serve the public interest by improving </w:t>
      </w:r>
      <w:r w:rsidRPr="008A25E7" w:rsidR="00FE5752">
        <w:rPr>
          <w:szCs w:val="22"/>
        </w:rPr>
        <w:t xml:space="preserve">the </w:t>
      </w:r>
      <w:r w:rsidRPr="008A25E7">
        <w:rPr>
          <w:szCs w:val="22"/>
        </w:rPr>
        <w:t xml:space="preserve">safety </w:t>
      </w:r>
      <w:r w:rsidRPr="008A25E7" w:rsidR="00FE5752">
        <w:rPr>
          <w:szCs w:val="22"/>
        </w:rPr>
        <w:t xml:space="preserve">of </w:t>
      </w:r>
      <w:r w:rsidRPr="008A25E7">
        <w:rPr>
          <w:szCs w:val="22"/>
        </w:rPr>
        <w:t>railroad operations, without jeopardizing the maritime community’s ability to meet its communications needs.</w:t>
      </w:r>
      <w:r>
        <w:rPr>
          <w:rStyle w:val="FootnoteReference"/>
          <w:szCs w:val="22"/>
        </w:rPr>
        <w:footnoteReference w:id="111"/>
      </w:r>
      <w:r w:rsidRPr="008A25E7">
        <w:rPr>
          <w:szCs w:val="22"/>
        </w:rPr>
        <w:t xml:space="preserve">  And consistent with the </w:t>
      </w:r>
      <w:r w:rsidRPr="008A25E7">
        <w:rPr>
          <w:i/>
          <w:iCs/>
          <w:szCs w:val="22"/>
        </w:rPr>
        <w:t>SCRRA Order</w:t>
      </w:r>
      <w:r w:rsidRPr="008A25E7">
        <w:rPr>
          <w:szCs w:val="22"/>
        </w:rPr>
        <w:t>, we find that considering the unique circumstances of U.S. railroads’ PTC deployments, application of section 80.106 to their PTC operations would be contrary to the public interest in rail safety and therefore waive this rule</w:t>
      </w:r>
      <w:r w:rsidRPr="008A25E7">
        <w:rPr>
          <w:i/>
          <w:szCs w:val="22"/>
        </w:rPr>
        <w:t>.</w:t>
      </w:r>
      <w:r>
        <w:rPr>
          <w:rStyle w:val="FootnoteReference"/>
          <w:szCs w:val="22"/>
        </w:rPr>
        <w:footnoteReference w:id="112"/>
      </w:r>
    </w:p>
    <w:p w:rsidR="00C670E4" w:rsidRPr="008A25E7" w:rsidP="003C535B" w14:paraId="4AD8D04F" w14:textId="472D222D">
      <w:pPr>
        <w:pStyle w:val="ParaNum"/>
        <w:tabs>
          <w:tab w:val="clear" w:pos="1080"/>
        </w:tabs>
        <w:jc w:val="left"/>
        <w:rPr>
          <w:szCs w:val="22"/>
        </w:rPr>
      </w:pPr>
      <w:r w:rsidRPr="008A25E7">
        <w:rPr>
          <w:iCs/>
          <w:szCs w:val="22"/>
          <w:u w:val="single"/>
        </w:rPr>
        <w:t>Section 80.123(a)</w:t>
      </w:r>
      <w:r w:rsidRPr="008A25E7">
        <w:rPr>
          <w:iCs/>
          <w:szCs w:val="22"/>
        </w:rPr>
        <w:t>.</w:t>
      </w:r>
      <w:r w:rsidRPr="008A25E7">
        <w:rPr>
          <w:szCs w:val="22"/>
        </w:rPr>
        <w:t xml:space="preserve">  PTC-220 requests waiver of the requirement that AMTS land stations secure a letter authorizing the land station to communicate with </w:t>
      </w:r>
      <w:r w:rsidRPr="008A25E7" w:rsidR="00383991">
        <w:rPr>
          <w:szCs w:val="22"/>
        </w:rPr>
        <w:t xml:space="preserve">a </w:t>
      </w:r>
      <w:r w:rsidRPr="008A25E7">
        <w:rPr>
          <w:szCs w:val="22"/>
        </w:rPr>
        <w:t>coast station (section 80.123(a)),</w:t>
      </w:r>
      <w:r>
        <w:rPr>
          <w:rStyle w:val="FootnoteReference"/>
          <w:szCs w:val="22"/>
        </w:rPr>
        <w:footnoteReference w:id="113"/>
      </w:r>
      <w:r w:rsidRPr="008A25E7">
        <w:rPr>
          <w:szCs w:val="22"/>
        </w:rPr>
        <w:t xml:space="preserve"> which enables authorities to verify that a unit on land is authorized to operate on AMTS spectrum.</w:t>
      </w:r>
      <w:r>
        <w:rPr>
          <w:rStyle w:val="FootnoteReference"/>
          <w:szCs w:val="22"/>
        </w:rPr>
        <w:footnoteReference w:id="114"/>
      </w:r>
      <w:r w:rsidRPr="008A25E7">
        <w:rPr>
          <w:szCs w:val="22"/>
        </w:rPr>
        <w:t xml:space="preserve">  PTC-220 notes that the Bureau previously waived this rule to enable Amtrak and SCRRA to deploy PTC </w:t>
      </w:r>
      <w:r w:rsidRPr="008A25E7">
        <w:rPr>
          <w:szCs w:val="22"/>
        </w:rPr>
        <w:t>using AMTS spectrum.</w:t>
      </w:r>
      <w:r>
        <w:rPr>
          <w:rStyle w:val="FootnoteReference"/>
          <w:szCs w:val="22"/>
        </w:rPr>
        <w:footnoteReference w:id="115"/>
      </w:r>
      <w:r w:rsidRPr="008A25E7">
        <w:rPr>
          <w:szCs w:val="22"/>
        </w:rPr>
        <w:t xml:space="preserve">  In the </w:t>
      </w:r>
      <w:r w:rsidRPr="008A25E7">
        <w:rPr>
          <w:i/>
          <w:iCs/>
          <w:szCs w:val="22"/>
        </w:rPr>
        <w:t>Amtrak</w:t>
      </w:r>
      <w:r w:rsidRPr="008A25E7" w:rsidR="007D7630">
        <w:rPr>
          <w:i/>
          <w:iCs/>
          <w:szCs w:val="22"/>
        </w:rPr>
        <w:t xml:space="preserve"> Part 80 Waiver Order</w:t>
      </w:r>
      <w:r w:rsidRPr="008A25E7">
        <w:rPr>
          <w:szCs w:val="22"/>
        </w:rPr>
        <w:t>, the Bureau found that because PTC “is configured to transmit only data[] and railroad operations take place in limited locations where the responsible party is easily identifiable,”</w:t>
      </w:r>
      <w:r>
        <w:rPr>
          <w:rStyle w:val="FootnoteReference"/>
          <w:szCs w:val="22"/>
        </w:rPr>
        <w:footnoteReference w:id="116"/>
      </w:r>
      <w:r w:rsidRPr="008A25E7">
        <w:rPr>
          <w:szCs w:val="22"/>
        </w:rPr>
        <w:t xml:space="preserve"> waiver would be appropriate.  And in the </w:t>
      </w:r>
      <w:r w:rsidRPr="008A25E7">
        <w:rPr>
          <w:i/>
          <w:iCs/>
          <w:szCs w:val="22"/>
        </w:rPr>
        <w:t>SCRRA Order</w:t>
      </w:r>
      <w:r w:rsidRPr="008A25E7">
        <w:rPr>
          <w:szCs w:val="22"/>
        </w:rPr>
        <w:t>, the Bureau found that the “unique circumstances . . . in complying with the federal PTC mandate” supported a finding that “application of Section 80.123(a) . . . is unnecessary and would be unduly burdensome.”</w:t>
      </w:r>
      <w:r>
        <w:rPr>
          <w:rStyle w:val="FootnoteReference"/>
          <w:szCs w:val="22"/>
        </w:rPr>
        <w:footnoteReference w:id="117"/>
      </w:r>
      <w:r w:rsidRPr="008A25E7" w:rsidR="00FC2C06">
        <w:rPr>
          <w:szCs w:val="22"/>
        </w:rPr>
        <w:t xml:space="preserve">  </w:t>
      </w:r>
      <w:r w:rsidRPr="008A25E7">
        <w:rPr>
          <w:szCs w:val="22"/>
        </w:rPr>
        <w:t xml:space="preserve">  We find that considering the unique circumstances U.S. railroads face in complying with the federal PTC mandate, application of </w:t>
      </w:r>
      <w:r w:rsidRPr="008A25E7" w:rsidR="0001417D">
        <w:rPr>
          <w:szCs w:val="22"/>
        </w:rPr>
        <w:t>s</w:t>
      </w:r>
      <w:r w:rsidRPr="008A25E7">
        <w:rPr>
          <w:szCs w:val="22"/>
        </w:rPr>
        <w:t>ection 80.123(a) to their PTC operations is unnecessary and would be unduly burdensome and therefore waive this rule.</w:t>
      </w:r>
      <w:r>
        <w:rPr>
          <w:rStyle w:val="FootnoteReference"/>
          <w:szCs w:val="22"/>
        </w:rPr>
        <w:footnoteReference w:id="118"/>
      </w:r>
    </w:p>
    <w:p w:rsidR="00C670E4" w:rsidRPr="008A25E7" w:rsidP="00122AE2" w14:paraId="7ABC3C1D" w14:textId="3248F8F4">
      <w:pPr>
        <w:pStyle w:val="ParaNum"/>
        <w:tabs>
          <w:tab w:val="clear" w:pos="1080"/>
        </w:tabs>
        <w:jc w:val="left"/>
        <w:rPr>
          <w:szCs w:val="22"/>
        </w:rPr>
      </w:pPr>
      <w:r w:rsidRPr="008A25E7">
        <w:rPr>
          <w:iCs/>
          <w:szCs w:val="22"/>
          <w:u w:val="single"/>
        </w:rPr>
        <w:t>Section 80.123(f)</w:t>
      </w:r>
      <w:r w:rsidRPr="008A25E7">
        <w:rPr>
          <w:iCs/>
          <w:szCs w:val="22"/>
        </w:rPr>
        <w:t>.</w:t>
      </w:r>
      <w:r w:rsidRPr="008A25E7">
        <w:rPr>
          <w:szCs w:val="22"/>
        </w:rPr>
        <w:t xml:space="preserve">  PTC-220 seeks </w:t>
      </w:r>
      <w:r w:rsidRPr="008A25E7" w:rsidR="006B6460">
        <w:rPr>
          <w:szCs w:val="22"/>
        </w:rPr>
        <w:t xml:space="preserve">a </w:t>
      </w:r>
      <w:r w:rsidRPr="008A25E7">
        <w:rPr>
          <w:szCs w:val="22"/>
        </w:rPr>
        <w:t>waiver of the requirement that AMTS land stations only communicate with coast stations (section 80.123(f)),</w:t>
      </w:r>
      <w:r>
        <w:rPr>
          <w:rStyle w:val="FootnoteReference"/>
          <w:szCs w:val="22"/>
        </w:rPr>
        <w:footnoteReference w:id="119"/>
      </w:r>
      <w:r w:rsidRPr="008A25E7">
        <w:rPr>
          <w:szCs w:val="22"/>
        </w:rPr>
        <w:t xml:space="preserve"> noting that in the </w:t>
      </w:r>
      <w:r w:rsidRPr="008A25E7">
        <w:rPr>
          <w:i/>
          <w:iCs/>
          <w:szCs w:val="22"/>
        </w:rPr>
        <w:t>SCRRA Order</w:t>
      </w:r>
      <w:r w:rsidRPr="008A25E7">
        <w:rPr>
          <w:szCs w:val="22"/>
        </w:rPr>
        <w:t>, the Bureau found that this operational standard is unnecessary for a private, internal-use only PTC system,</w:t>
      </w:r>
      <w:r>
        <w:rPr>
          <w:rStyle w:val="FootnoteReference"/>
          <w:szCs w:val="22"/>
        </w:rPr>
        <w:footnoteReference w:id="120"/>
      </w:r>
      <w:r w:rsidRPr="008A25E7">
        <w:rPr>
          <w:szCs w:val="22"/>
        </w:rPr>
        <w:t xml:space="preserve"> and that the Bureau granted Amtrak a waiver of this requirement to enable its PTC deployment on AMTS spectrum.</w:t>
      </w:r>
      <w:r>
        <w:rPr>
          <w:rStyle w:val="FootnoteReference"/>
          <w:szCs w:val="22"/>
        </w:rPr>
        <w:footnoteReference w:id="121"/>
      </w:r>
      <w:r w:rsidRPr="008A25E7">
        <w:rPr>
          <w:szCs w:val="22"/>
        </w:rPr>
        <w:t xml:space="preserve">  </w:t>
      </w:r>
      <w:r w:rsidRPr="008A25E7" w:rsidR="00F5613C">
        <w:rPr>
          <w:szCs w:val="22"/>
        </w:rPr>
        <w:t xml:space="preserve">Consistent with these orders, </w:t>
      </w:r>
      <w:r w:rsidRPr="008A25E7" w:rsidR="002C5027">
        <w:rPr>
          <w:szCs w:val="22"/>
        </w:rPr>
        <w:t xml:space="preserve">and </w:t>
      </w:r>
      <w:r w:rsidRPr="008A25E7">
        <w:rPr>
          <w:szCs w:val="22"/>
        </w:rPr>
        <w:t xml:space="preserve">in light of the unique circumstances U.S. railroads face in complying with the federal PTC mandate, </w:t>
      </w:r>
      <w:r w:rsidRPr="008A25E7" w:rsidR="002C5027">
        <w:rPr>
          <w:szCs w:val="22"/>
        </w:rPr>
        <w:t xml:space="preserve">we find that </w:t>
      </w:r>
      <w:r w:rsidRPr="008A25E7">
        <w:rPr>
          <w:szCs w:val="22"/>
        </w:rPr>
        <w:t>application of section 80.123(f) to their PTC operations would be contrary to the public interest in rail safety and accordingly waive this rule.</w:t>
      </w:r>
      <w:r>
        <w:rPr>
          <w:rStyle w:val="FootnoteReference"/>
          <w:szCs w:val="22"/>
        </w:rPr>
        <w:footnoteReference w:id="122"/>
      </w:r>
    </w:p>
    <w:p w:rsidR="00C670E4" w:rsidRPr="008A25E7" w:rsidP="00122AE2" w14:paraId="225B2770" w14:textId="79517EB9">
      <w:pPr>
        <w:pStyle w:val="ParaNum"/>
        <w:tabs>
          <w:tab w:val="clear" w:pos="1080"/>
        </w:tabs>
        <w:jc w:val="left"/>
        <w:rPr>
          <w:szCs w:val="22"/>
        </w:rPr>
      </w:pPr>
      <w:r w:rsidRPr="008A25E7">
        <w:rPr>
          <w:iCs/>
          <w:szCs w:val="22"/>
          <w:u w:val="single"/>
        </w:rPr>
        <w:t>Section 80.385(a)(2)</w:t>
      </w:r>
      <w:r w:rsidRPr="008A25E7">
        <w:rPr>
          <w:iCs/>
          <w:szCs w:val="22"/>
        </w:rPr>
        <w:t>.</w:t>
      </w:r>
      <w:r w:rsidRPr="008A25E7">
        <w:rPr>
          <w:szCs w:val="22"/>
        </w:rPr>
        <w:t xml:space="preserve">  PTC-220 requests waiver of Section 80.385(a)(2),</w:t>
      </w:r>
      <w:r>
        <w:rPr>
          <w:rStyle w:val="FootnoteReference"/>
          <w:szCs w:val="22"/>
        </w:rPr>
        <w:footnoteReference w:id="123"/>
      </w:r>
      <w:r w:rsidRPr="008A25E7">
        <w:rPr>
          <w:szCs w:val="22"/>
        </w:rPr>
        <w:t xml:space="preserve"> which divides the AMTS spectrum band into coast (base) station frequencies (217-218 MHz) and ship (mobile) station frequencies (219-220 MHz).</w:t>
      </w:r>
      <w:r>
        <w:rPr>
          <w:rStyle w:val="FootnoteReference"/>
          <w:szCs w:val="22"/>
        </w:rPr>
        <w:footnoteReference w:id="124"/>
      </w:r>
      <w:r w:rsidRPr="008A25E7">
        <w:rPr>
          <w:szCs w:val="22"/>
        </w:rPr>
        <w:t xml:space="preserve">  PTC-220 notes that PTC systems use Time Division Duplexing (TDD)  transmit/receive time slot separation, and that PTC base</w:t>
      </w:r>
      <w:r w:rsidRPr="008A25E7" w:rsidR="005D3BDA">
        <w:rPr>
          <w:szCs w:val="22"/>
        </w:rPr>
        <w:t xml:space="preserve"> and </w:t>
      </w:r>
      <w:r w:rsidRPr="008A25E7">
        <w:rPr>
          <w:szCs w:val="22"/>
        </w:rPr>
        <w:t xml:space="preserve">mobile stations </w:t>
      </w:r>
      <w:r w:rsidRPr="008A25E7" w:rsidR="005D3BDA">
        <w:rPr>
          <w:szCs w:val="22"/>
        </w:rPr>
        <w:t xml:space="preserve">will </w:t>
      </w:r>
      <w:r w:rsidRPr="008A25E7" w:rsidR="00811663">
        <w:rPr>
          <w:szCs w:val="22"/>
        </w:rPr>
        <w:t xml:space="preserve">need to </w:t>
      </w:r>
      <w:r w:rsidRPr="008A25E7">
        <w:rPr>
          <w:szCs w:val="22"/>
        </w:rPr>
        <w:t>transmit on both the base and mobile station frequencies.</w:t>
      </w:r>
      <w:r>
        <w:rPr>
          <w:rStyle w:val="FootnoteReference"/>
          <w:szCs w:val="22"/>
        </w:rPr>
        <w:footnoteReference w:id="125"/>
      </w:r>
      <w:r w:rsidRPr="008A25E7">
        <w:rPr>
          <w:szCs w:val="22"/>
        </w:rPr>
        <w:t xml:space="preserve">  When the Bureau granted Amtrak and SCRRA a waiver of this requirement, it </w:t>
      </w:r>
      <w:r w:rsidRPr="008A25E7" w:rsidR="00FA542A">
        <w:rPr>
          <w:szCs w:val="22"/>
        </w:rPr>
        <w:t xml:space="preserve">noted </w:t>
      </w:r>
      <w:r w:rsidRPr="008A25E7">
        <w:rPr>
          <w:szCs w:val="22"/>
        </w:rPr>
        <w:t>that the</w:t>
      </w:r>
      <w:r w:rsidRPr="008A25E7" w:rsidR="00FA542A">
        <w:rPr>
          <w:szCs w:val="22"/>
        </w:rPr>
        <w:t xml:space="preserve"> railroads </w:t>
      </w:r>
      <w:r w:rsidRPr="008A25E7">
        <w:rPr>
          <w:szCs w:val="22"/>
        </w:rPr>
        <w:t xml:space="preserve">would operate under the antenna height and radiated power levels permitted for AMTS stations </w:t>
      </w:r>
      <w:r w:rsidRPr="008A25E7" w:rsidR="0042113F">
        <w:rPr>
          <w:szCs w:val="22"/>
        </w:rPr>
        <w:t xml:space="preserve">in </w:t>
      </w:r>
      <w:r w:rsidRPr="008A25E7">
        <w:rPr>
          <w:szCs w:val="22"/>
        </w:rPr>
        <w:t>their limited geographic area of operations.</w:t>
      </w:r>
      <w:r>
        <w:rPr>
          <w:rStyle w:val="FootnoteReference"/>
          <w:szCs w:val="22"/>
        </w:rPr>
        <w:footnoteReference w:id="126"/>
      </w:r>
      <w:r w:rsidRPr="008A25E7">
        <w:rPr>
          <w:szCs w:val="22"/>
        </w:rPr>
        <w:t xml:space="preserve">  Because </w:t>
      </w:r>
      <w:r w:rsidRPr="008A25E7" w:rsidR="004F5DBD">
        <w:rPr>
          <w:szCs w:val="22"/>
        </w:rPr>
        <w:t xml:space="preserve">PTC-220’s member </w:t>
      </w:r>
      <w:r w:rsidRPr="008A25E7" w:rsidR="003E5D97">
        <w:rPr>
          <w:szCs w:val="22"/>
        </w:rPr>
        <w:t xml:space="preserve">railroads’ </w:t>
      </w:r>
      <w:r w:rsidRPr="008A25E7">
        <w:rPr>
          <w:szCs w:val="22"/>
        </w:rPr>
        <w:t xml:space="preserve">PTC operations </w:t>
      </w:r>
      <w:r w:rsidRPr="008A25E7" w:rsidR="00E16AB2">
        <w:rPr>
          <w:szCs w:val="22"/>
        </w:rPr>
        <w:t xml:space="preserve">likewise will </w:t>
      </w:r>
      <w:r w:rsidRPr="008A25E7" w:rsidR="00B9514A">
        <w:rPr>
          <w:szCs w:val="22"/>
        </w:rPr>
        <w:t xml:space="preserve">be in </w:t>
      </w:r>
      <w:r w:rsidRPr="008A25E7" w:rsidR="00E16AB2">
        <w:rPr>
          <w:szCs w:val="22"/>
        </w:rPr>
        <w:t>limited geographic areas</w:t>
      </w:r>
      <w:r w:rsidRPr="008A25E7" w:rsidR="004F5DBD">
        <w:rPr>
          <w:szCs w:val="22"/>
        </w:rPr>
        <w:t xml:space="preserve"> </w:t>
      </w:r>
      <w:r w:rsidRPr="008A25E7" w:rsidR="00B9514A">
        <w:rPr>
          <w:szCs w:val="22"/>
        </w:rPr>
        <w:t xml:space="preserve">and </w:t>
      </w:r>
      <w:r w:rsidRPr="008A25E7" w:rsidR="004F5DBD">
        <w:rPr>
          <w:szCs w:val="22"/>
        </w:rPr>
        <w:t xml:space="preserve">subject to </w:t>
      </w:r>
      <w:r w:rsidRPr="008A25E7">
        <w:rPr>
          <w:szCs w:val="22"/>
        </w:rPr>
        <w:t xml:space="preserve">the </w:t>
      </w:r>
      <w:r w:rsidRPr="008A25E7" w:rsidR="00E86166">
        <w:rPr>
          <w:szCs w:val="22"/>
        </w:rPr>
        <w:t xml:space="preserve">same </w:t>
      </w:r>
      <w:r w:rsidRPr="008A25E7" w:rsidR="00AA28F3">
        <w:rPr>
          <w:szCs w:val="22"/>
        </w:rPr>
        <w:t>restrictions</w:t>
      </w:r>
      <w:r w:rsidRPr="008A25E7">
        <w:rPr>
          <w:szCs w:val="22"/>
        </w:rPr>
        <w:t xml:space="preserve">, we conclude that a waiver of </w:t>
      </w:r>
      <w:r w:rsidRPr="008A25E7" w:rsidR="004476D6">
        <w:rPr>
          <w:szCs w:val="22"/>
        </w:rPr>
        <w:t>s</w:t>
      </w:r>
      <w:r w:rsidRPr="008A25E7">
        <w:rPr>
          <w:szCs w:val="22"/>
        </w:rPr>
        <w:t>ection 80.385(a)(2) is warranted.  We find that</w:t>
      </w:r>
      <w:r w:rsidR="002E1039">
        <w:rPr>
          <w:szCs w:val="22"/>
        </w:rPr>
        <w:t>,</w:t>
      </w:r>
      <w:r w:rsidRPr="008A25E7">
        <w:rPr>
          <w:szCs w:val="22"/>
        </w:rPr>
        <w:t xml:space="preserve"> considering the unique circumstances U.S. railroads face in complying with the federal PTC mandate, strict application of section 80.385(a)(2) to</w:t>
      </w:r>
      <w:r w:rsidRPr="008A25E7" w:rsidR="00B27DA7">
        <w:rPr>
          <w:szCs w:val="22"/>
        </w:rPr>
        <w:t xml:space="preserve"> their </w:t>
      </w:r>
      <w:r w:rsidRPr="008A25E7">
        <w:rPr>
          <w:szCs w:val="22"/>
        </w:rPr>
        <w:t>PTC operations would be contrary to the public interest and accordingly waive this rule.</w:t>
      </w:r>
      <w:r>
        <w:rPr>
          <w:rStyle w:val="FootnoteReference"/>
          <w:szCs w:val="22"/>
        </w:rPr>
        <w:footnoteReference w:id="127"/>
      </w:r>
    </w:p>
    <w:p w:rsidR="004164C3" w:rsidRPr="008A25E7" w:rsidP="003C535B" w14:paraId="0105CE66" w14:textId="6E46CC95">
      <w:pPr>
        <w:pStyle w:val="ParaNum"/>
        <w:tabs>
          <w:tab w:val="clear" w:pos="1080"/>
        </w:tabs>
        <w:jc w:val="left"/>
        <w:rPr>
          <w:szCs w:val="22"/>
        </w:rPr>
      </w:pPr>
      <w:r w:rsidRPr="008A25E7">
        <w:rPr>
          <w:szCs w:val="22"/>
          <w:u w:val="single"/>
        </w:rPr>
        <w:t>Section 80.215(h)(5)</w:t>
      </w:r>
      <w:r w:rsidRPr="008A25E7">
        <w:rPr>
          <w:szCs w:val="22"/>
        </w:rPr>
        <w:t xml:space="preserve">.  </w:t>
      </w:r>
      <w:r w:rsidRPr="008A25E7" w:rsidR="00043964">
        <w:rPr>
          <w:szCs w:val="22"/>
        </w:rPr>
        <w:t xml:space="preserve">Finally, </w:t>
      </w:r>
      <w:r w:rsidRPr="008A25E7">
        <w:rPr>
          <w:szCs w:val="22"/>
        </w:rPr>
        <w:t xml:space="preserve">PTC-220 requests a </w:t>
      </w:r>
      <w:r w:rsidRPr="008A25E7" w:rsidR="009E34C5">
        <w:rPr>
          <w:szCs w:val="22"/>
        </w:rPr>
        <w:t xml:space="preserve">limited </w:t>
      </w:r>
      <w:r w:rsidRPr="008A25E7">
        <w:rPr>
          <w:szCs w:val="22"/>
        </w:rPr>
        <w:t xml:space="preserve">waiver of </w:t>
      </w:r>
      <w:r w:rsidRPr="008A25E7" w:rsidR="00B5106E">
        <w:rPr>
          <w:szCs w:val="22"/>
        </w:rPr>
        <w:t>s</w:t>
      </w:r>
      <w:r w:rsidRPr="008A25E7" w:rsidR="00043964">
        <w:rPr>
          <w:szCs w:val="22"/>
        </w:rPr>
        <w:t xml:space="preserve">ection 80.215(h)(5), which </w:t>
      </w:r>
      <w:r w:rsidRPr="008A25E7">
        <w:rPr>
          <w:szCs w:val="22"/>
        </w:rPr>
        <w:t xml:space="preserve">requires coast stations’ </w:t>
      </w:r>
      <w:r w:rsidRPr="008A25E7" w:rsidR="00BC0D31">
        <w:rPr>
          <w:szCs w:val="22"/>
        </w:rPr>
        <w:t>“</w:t>
      </w:r>
      <w:r w:rsidRPr="008A25E7">
        <w:rPr>
          <w:szCs w:val="22"/>
        </w:rPr>
        <w:t xml:space="preserve">transmitter power, as measured at the input terminals to the </w:t>
      </w:r>
      <w:r w:rsidRPr="008A25E7">
        <w:rPr>
          <w:szCs w:val="22"/>
        </w:rPr>
        <w:t>station antenna, [to] be 50 watts or less.</w:t>
      </w:r>
      <w:r w:rsidRPr="008A25E7" w:rsidR="0043127C">
        <w:rPr>
          <w:szCs w:val="22"/>
        </w:rPr>
        <w:t>”</w:t>
      </w:r>
      <w:r>
        <w:rPr>
          <w:rStyle w:val="FootnoteReference"/>
          <w:szCs w:val="22"/>
        </w:rPr>
        <w:footnoteReference w:id="128"/>
      </w:r>
      <w:r w:rsidRPr="008A25E7">
        <w:rPr>
          <w:szCs w:val="22"/>
        </w:rPr>
        <w:t xml:space="preserve">  </w:t>
      </w:r>
      <w:r w:rsidRPr="008A25E7" w:rsidR="00B22F65">
        <w:rPr>
          <w:szCs w:val="22"/>
        </w:rPr>
        <w:t>PTC-220</w:t>
      </w:r>
      <w:r w:rsidRPr="008A25E7" w:rsidR="00CC5C24">
        <w:rPr>
          <w:szCs w:val="22"/>
        </w:rPr>
        <w:t xml:space="preserve"> </w:t>
      </w:r>
      <w:r w:rsidRPr="008A25E7" w:rsidR="00AA28F3">
        <w:rPr>
          <w:szCs w:val="22"/>
        </w:rPr>
        <w:t>state</w:t>
      </w:r>
      <w:r w:rsidRPr="008A25E7" w:rsidR="00CC5C24">
        <w:rPr>
          <w:szCs w:val="22"/>
        </w:rPr>
        <w:t xml:space="preserve">s </w:t>
      </w:r>
      <w:r w:rsidRPr="008A25E7" w:rsidR="00B22F65">
        <w:rPr>
          <w:szCs w:val="22"/>
        </w:rPr>
        <w:t xml:space="preserve">that </w:t>
      </w:r>
      <w:r w:rsidRPr="008A25E7">
        <w:rPr>
          <w:szCs w:val="22"/>
        </w:rPr>
        <w:t>thousands of existing PTC base station</w:t>
      </w:r>
      <w:r w:rsidRPr="008A25E7" w:rsidR="0028071A">
        <w:rPr>
          <w:szCs w:val="22"/>
        </w:rPr>
        <w:t>s</w:t>
      </w:r>
      <w:r w:rsidRPr="008A25E7">
        <w:rPr>
          <w:szCs w:val="22"/>
        </w:rPr>
        <w:t xml:space="preserve"> have a transmitter power output of 75 watts peak envelope power (PEP)</w:t>
      </w:r>
      <w:r w:rsidRPr="008A25E7" w:rsidR="009A1DCB">
        <w:rPr>
          <w:szCs w:val="22"/>
        </w:rPr>
        <w:t xml:space="preserve"> or less</w:t>
      </w:r>
      <w:r w:rsidRPr="008A25E7">
        <w:rPr>
          <w:szCs w:val="22"/>
        </w:rPr>
        <w:t>.</w:t>
      </w:r>
      <w:r>
        <w:rPr>
          <w:rStyle w:val="FootnoteReference"/>
          <w:szCs w:val="22"/>
        </w:rPr>
        <w:footnoteReference w:id="129"/>
      </w:r>
      <w:r w:rsidRPr="008A25E7">
        <w:rPr>
          <w:szCs w:val="22"/>
        </w:rPr>
        <w:t xml:space="preserve">  </w:t>
      </w:r>
      <w:r w:rsidRPr="008A25E7" w:rsidR="00D3358E">
        <w:rPr>
          <w:szCs w:val="22"/>
        </w:rPr>
        <w:t xml:space="preserve">It </w:t>
      </w:r>
      <w:r w:rsidRPr="008A25E7" w:rsidR="0011531E">
        <w:rPr>
          <w:szCs w:val="22"/>
        </w:rPr>
        <w:t xml:space="preserve">explains </w:t>
      </w:r>
      <w:r w:rsidRPr="008A25E7" w:rsidR="00D3358E">
        <w:rPr>
          <w:szCs w:val="22"/>
        </w:rPr>
        <w:t>that</w:t>
      </w:r>
      <w:r w:rsidRPr="008A25E7" w:rsidR="00A16332">
        <w:rPr>
          <w:szCs w:val="22"/>
        </w:rPr>
        <w:t xml:space="preserve"> because</w:t>
      </w:r>
      <w:r w:rsidRPr="008A25E7" w:rsidR="00D3358E">
        <w:rPr>
          <w:szCs w:val="22"/>
        </w:rPr>
        <w:t xml:space="preserve"> these </w:t>
      </w:r>
      <w:r w:rsidRPr="008A25E7">
        <w:rPr>
          <w:szCs w:val="22"/>
        </w:rPr>
        <w:t>stations have at least 0.6 dB of cable, connector</w:t>
      </w:r>
      <w:r w:rsidRPr="008A25E7" w:rsidR="00D42270">
        <w:rPr>
          <w:szCs w:val="22"/>
        </w:rPr>
        <w:t>,</w:t>
      </w:r>
      <w:r w:rsidRPr="008A25E7">
        <w:rPr>
          <w:szCs w:val="22"/>
        </w:rPr>
        <w:t xml:space="preserve"> and filter insertion loss between </w:t>
      </w:r>
      <w:r w:rsidRPr="008A25E7" w:rsidR="00A270EC">
        <w:rPr>
          <w:szCs w:val="22"/>
        </w:rPr>
        <w:t>a</w:t>
      </w:r>
      <w:r w:rsidRPr="008A25E7">
        <w:rPr>
          <w:szCs w:val="22"/>
        </w:rPr>
        <w:t xml:space="preserve"> </w:t>
      </w:r>
      <w:r w:rsidRPr="008A25E7" w:rsidR="00A270EC">
        <w:rPr>
          <w:szCs w:val="22"/>
        </w:rPr>
        <w:t xml:space="preserve">transmitter’s </w:t>
      </w:r>
      <w:r w:rsidRPr="008A25E7">
        <w:rPr>
          <w:szCs w:val="22"/>
        </w:rPr>
        <w:t xml:space="preserve">output and </w:t>
      </w:r>
      <w:r w:rsidRPr="008A25E7" w:rsidR="00A270EC">
        <w:rPr>
          <w:szCs w:val="22"/>
        </w:rPr>
        <w:t xml:space="preserve">an antenna’s </w:t>
      </w:r>
      <w:r w:rsidRPr="008A25E7">
        <w:rPr>
          <w:szCs w:val="22"/>
        </w:rPr>
        <w:t xml:space="preserve">input </w:t>
      </w:r>
      <w:r w:rsidRPr="008A25E7" w:rsidR="00E14D41">
        <w:rPr>
          <w:szCs w:val="22"/>
        </w:rPr>
        <w:t>terminal</w:t>
      </w:r>
      <w:r w:rsidRPr="008A25E7" w:rsidR="00071A2B">
        <w:rPr>
          <w:szCs w:val="22"/>
        </w:rPr>
        <w:t>s</w:t>
      </w:r>
      <w:r w:rsidRPr="008A25E7" w:rsidR="00A16332">
        <w:rPr>
          <w:szCs w:val="22"/>
        </w:rPr>
        <w:t xml:space="preserve">, </w:t>
      </w:r>
      <w:r w:rsidRPr="008A25E7">
        <w:rPr>
          <w:szCs w:val="22"/>
        </w:rPr>
        <w:t>power at the input terminals will not exceed 65 watts</w:t>
      </w:r>
      <w:r w:rsidRPr="008A25E7" w:rsidR="00A277B7">
        <w:rPr>
          <w:szCs w:val="22"/>
        </w:rPr>
        <w:t xml:space="preserve"> PEP</w:t>
      </w:r>
      <w:r w:rsidRPr="008A25E7">
        <w:rPr>
          <w:szCs w:val="22"/>
        </w:rPr>
        <w:t>.</w:t>
      </w:r>
      <w:r>
        <w:rPr>
          <w:rStyle w:val="FootnoteReference"/>
          <w:szCs w:val="22"/>
        </w:rPr>
        <w:footnoteReference w:id="130"/>
      </w:r>
      <w:r w:rsidRPr="008A25E7">
        <w:rPr>
          <w:szCs w:val="22"/>
        </w:rPr>
        <w:t xml:space="preserve">  PTC-220</w:t>
      </w:r>
      <w:r w:rsidRPr="008A25E7" w:rsidR="00A277B7">
        <w:rPr>
          <w:szCs w:val="22"/>
        </w:rPr>
        <w:t xml:space="preserve"> </w:t>
      </w:r>
      <w:r w:rsidRPr="008A25E7" w:rsidR="00FC456E">
        <w:rPr>
          <w:szCs w:val="22"/>
        </w:rPr>
        <w:t xml:space="preserve">therefore </w:t>
      </w:r>
      <w:r w:rsidRPr="008A25E7">
        <w:rPr>
          <w:szCs w:val="22"/>
        </w:rPr>
        <w:t xml:space="preserve">requests a waiver of </w:t>
      </w:r>
      <w:r w:rsidRPr="008A25E7" w:rsidR="00B5106E">
        <w:rPr>
          <w:szCs w:val="22"/>
        </w:rPr>
        <w:t>s</w:t>
      </w:r>
      <w:r w:rsidRPr="008A25E7">
        <w:rPr>
          <w:szCs w:val="22"/>
        </w:rPr>
        <w:t xml:space="preserve">ection 80.215(h)(5) to permit up to 65 watts PEP as measured at the input terminals to </w:t>
      </w:r>
      <w:r w:rsidRPr="008A25E7" w:rsidR="00A244EB">
        <w:rPr>
          <w:szCs w:val="22"/>
        </w:rPr>
        <w:t xml:space="preserve">a </w:t>
      </w:r>
      <w:r w:rsidRPr="008A25E7">
        <w:rPr>
          <w:szCs w:val="22"/>
        </w:rPr>
        <w:t>station antenna.</w:t>
      </w:r>
    </w:p>
    <w:p w:rsidR="00820DCE" w:rsidRPr="008A25E7" w:rsidP="003C535B" w14:paraId="384FF117" w14:textId="6F5B5095">
      <w:pPr>
        <w:pStyle w:val="ParaNum"/>
        <w:tabs>
          <w:tab w:val="clear" w:pos="1080"/>
        </w:tabs>
        <w:jc w:val="left"/>
        <w:rPr>
          <w:szCs w:val="22"/>
        </w:rPr>
      </w:pPr>
      <w:r w:rsidRPr="008A25E7">
        <w:rPr>
          <w:szCs w:val="22"/>
        </w:rPr>
        <w:t xml:space="preserve">As </w:t>
      </w:r>
      <w:r w:rsidRPr="008A25E7" w:rsidR="00A244EB">
        <w:rPr>
          <w:szCs w:val="22"/>
        </w:rPr>
        <w:t>PTC-220 explains</w:t>
      </w:r>
      <w:r w:rsidRPr="008A25E7">
        <w:rPr>
          <w:szCs w:val="22"/>
        </w:rPr>
        <w:t xml:space="preserve">, </w:t>
      </w:r>
      <w:r w:rsidRPr="008A25E7" w:rsidR="00A244EB">
        <w:rPr>
          <w:szCs w:val="22"/>
        </w:rPr>
        <w:t>p</w:t>
      </w:r>
      <w:r w:rsidRPr="008A25E7" w:rsidR="004164C3">
        <w:rPr>
          <w:szCs w:val="22"/>
        </w:rPr>
        <w:t xml:space="preserve">ower at the input to antenna terminals </w:t>
      </w:r>
      <w:r w:rsidRPr="008A25E7" w:rsidR="00F27579">
        <w:rPr>
          <w:szCs w:val="22"/>
        </w:rPr>
        <w:t xml:space="preserve">alone </w:t>
      </w:r>
      <w:r w:rsidRPr="008A25E7" w:rsidR="008E3198">
        <w:rPr>
          <w:szCs w:val="22"/>
        </w:rPr>
        <w:t xml:space="preserve">does </w:t>
      </w:r>
      <w:r w:rsidRPr="008A25E7" w:rsidR="004164C3">
        <w:rPr>
          <w:szCs w:val="22"/>
        </w:rPr>
        <w:t>not determin</w:t>
      </w:r>
      <w:r w:rsidRPr="008A25E7" w:rsidR="008E3198">
        <w:rPr>
          <w:szCs w:val="22"/>
        </w:rPr>
        <w:t>e</w:t>
      </w:r>
      <w:r w:rsidRPr="008A25E7" w:rsidR="004164C3">
        <w:rPr>
          <w:szCs w:val="22"/>
        </w:rPr>
        <w:t xml:space="preserve"> whether </w:t>
      </w:r>
      <w:r w:rsidRPr="008A25E7" w:rsidR="00D72B63">
        <w:rPr>
          <w:szCs w:val="22"/>
        </w:rPr>
        <w:t xml:space="preserve">a </w:t>
      </w:r>
      <w:r w:rsidRPr="008A25E7" w:rsidR="004164C3">
        <w:rPr>
          <w:szCs w:val="22"/>
        </w:rPr>
        <w:t xml:space="preserve">PTC </w:t>
      </w:r>
      <w:r w:rsidRPr="008A25E7">
        <w:rPr>
          <w:szCs w:val="22"/>
        </w:rPr>
        <w:t xml:space="preserve">transmitter </w:t>
      </w:r>
      <w:r w:rsidRPr="008A25E7" w:rsidR="00361D43">
        <w:rPr>
          <w:szCs w:val="22"/>
        </w:rPr>
        <w:t>has the potential to</w:t>
      </w:r>
      <w:r w:rsidRPr="008A25E7" w:rsidR="004164C3">
        <w:rPr>
          <w:szCs w:val="22"/>
        </w:rPr>
        <w:t xml:space="preserve"> interfere with other licensees’ operations</w:t>
      </w:r>
      <w:r w:rsidRPr="008A25E7" w:rsidR="0055704B">
        <w:rPr>
          <w:szCs w:val="22"/>
        </w:rPr>
        <w:t>; rather</w:t>
      </w:r>
      <w:r w:rsidRPr="008A25E7" w:rsidR="008E3198">
        <w:rPr>
          <w:szCs w:val="22"/>
        </w:rPr>
        <w:t>,</w:t>
      </w:r>
      <w:r w:rsidRPr="008A25E7" w:rsidR="0055704B">
        <w:rPr>
          <w:szCs w:val="22"/>
        </w:rPr>
        <w:t xml:space="preserve"> </w:t>
      </w:r>
      <w:r w:rsidRPr="008A25E7" w:rsidR="004164C3">
        <w:rPr>
          <w:szCs w:val="22"/>
        </w:rPr>
        <w:t xml:space="preserve">the level of radiated power </w:t>
      </w:r>
      <w:r w:rsidRPr="008A25E7" w:rsidR="00770892">
        <w:rPr>
          <w:szCs w:val="22"/>
        </w:rPr>
        <w:t xml:space="preserve">from an </w:t>
      </w:r>
      <w:r w:rsidRPr="008A25E7" w:rsidR="00BB23D2">
        <w:rPr>
          <w:szCs w:val="22"/>
        </w:rPr>
        <w:t>antenna</w:t>
      </w:r>
      <w:r w:rsidRPr="008A25E7" w:rsidR="00770892">
        <w:rPr>
          <w:szCs w:val="22"/>
        </w:rPr>
        <w:t xml:space="preserve"> </w:t>
      </w:r>
      <w:r w:rsidRPr="008A25E7" w:rsidR="00B0664C">
        <w:rPr>
          <w:szCs w:val="22"/>
        </w:rPr>
        <w:t xml:space="preserve">determines </w:t>
      </w:r>
      <w:r w:rsidRPr="008A25E7" w:rsidR="004164C3">
        <w:rPr>
          <w:szCs w:val="22"/>
        </w:rPr>
        <w:t>interference</w:t>
      </w:r>
      <w:r w:rsidRPr="008A25E7" w:rsidR="00B0664C">
        <w:rPr>
          <w:szCs w:val="22"/>
        </w:rPr>
        <w:t xml:space="preserve"> potential</w:t>
      </w:r>
      <w:r w:rsidRPr="008A25E7" w:rsidR="004164C3">
        <w:rPr>
          <w:szCs w:val="22"/>
        </w:rPr>
        <w:t>.</w:t>
      </w:r>
      <w:r>
        <w:rPr>
          <w:rStyle w:val="FootnoteReference"/>
          <w:szCs w:val="22"/>
        </w:rPr>
        <w:footnoteReference w:id="131"/>
      </w:r>
      <w:r w:rsidRPr="008A25E7" w:rsidR="0035156F">
        <w:rPr>
          <w:szCs w:val="22"/>
        </w:rPr>
        <w:t xml:space="preserve">  PTC-220 states that </w:t>
      </w:r>
      <w:r w:rsidRPr="008A25E7" w:rsidR="00164E28">
        <w:rPr>
          <w:szCs w:val="22"/>
        </w:rPr>
        <w:t xml:space="preserve">because </w:t>
      </w:r>
      <w:r w:rsidRPr="008A25E7" w:rsidR="00FC11D3">
        <w:rPr>
          <w:szCs w:val="22"/>
        </w:rPr>
        <w:t xml:space="preserve">PTC </w:t>
      </w:r>
      <w:r w:rsidRPr="008A25E7" w:rsidR="004164C3">
        <w:rPr>
          <w:szCs w:val="22"/>
        </w:rPr>
        <w:t xml:space="preserve">base stations </w:t>
      </w:r>
      <w:r w:rsidRPr="008A25E7" w:rsidR="002B6D34">
        <w:rPr>
          <w:szCs w:val="22"/>
        </w:rPr>
        <w:t xml:space="preserve">generally </w:t>
      </w:r>
      <w:r w:rsidRPr="008A25E7" w:rsidR="004164C3">
        <w:rPr>
          <w:szCs w:val="22"/>
        </w:rPr>
        <w:t>use omnidirectional</w:t>
      </w:r>
      <w:r w:rsidRPr="008A25E7" w:rsidR="00982AC0">
        <w:rPr>
          <w:szCs w:val="22"/>
        </w:rPr>
        <w:t xml:space="preserve"> (</w:t>
      </w:r>
      <w:r w:rsidRPr="008A25E7" w:rsidR="004164C3">
        <w:rPr>
          <w:szCs w:val="22"/>
        </w:rPr>
        <w:t>or nearly omnidirectional</w:t>
      </w:r>
      <w:r w:rsidRPr="008A25E7" w:rsidR="00982AC0">
        <w:rPr>
          <w:szCs w:val="22"/>
        </w:rPr>
        <w:t>)</w:t>
      </w:r>
      <w:r w:rsidRPr="008A25E7" w:rsidR="004164C3">
        <w:rPr>
          <w:szCs w:val="22"/>
        </w:rPr>
        <w:t xml:space="preserve"> antennas, most </w:t>
      </w:r>
      <w:r w:rsidRPr="008A25E7" w:rsidR="007D0093">
        <w:rPr>
          <w:szCs w:val="22"/>
        </w:rPr>
        <w:t xml:space="preserve">of an </w:t>
      </w:r>
      <w:r w:rsidRPr="008A25E7" w:rsidR="004164C3">
        <w:rPr>
          <w:szCs w:val="22"/>
        </w:rPr>
        <w:t xml:space="preserve">antenna’s gain </w:t>
      </w:r>
      <w:r w:rsidRPr="008A25E7" w:rsidR="00913D01">
        <w:rPr>
          <w:szCs w:val="22"/>
        </w:rPr>
        <w:t xml:space="preserve">results from </w:t>
      </w:r>
      <w:r w:rsidRPr="008A25E7" w:rsidR="004164C3">
        <w:rPr>
          <w:szCs w:val="22"/>
        </w:rPr>
        <w:t>focusing the power in the vertical plane.</w:t>
      </w:r>
      <w:r>
        <w:rPr>
          <w:rStyle w:val="FootnoteReference"/>
          <w:szCs w:val="22"/>
        </w:rPr>
        <w:footnoteReference w:id="132"/>
      </w:r>
      <w:r w:rsidRPr="008A25E7" w:rsidR="003C24A2">
        <w:rPr>
          <w:szCs w:val="22"/>
        </w:rPr>
        <w:t xml:space="preserve"> </w:t>
      </w:r>
      <w:r w:rsidRPr="008A25E7" w:rsidR="00500E7C">
        <w:rPr>
          <w:szCs w:val="22"/>
        </w:rPr>
        <w:t xml:space="preserve"> </w:t>
      </w:r>
      <w:r w:rsidRPr="008A25E7" w:rsidR="003C24A2">
        <w:rPr>
          <w:szCs w:val="22"/>
        </w:rPr>
        <w:t>PTC-220 states that l</w:t>
      </w:r>
      <w:r w:rsidRPr="008A25E7" w:rsidR="004164C3">
        <w:rPr>
          <w:szCs w:val="22"/>
        </w:rPr>
        <w:t xml:space="preserve">arger antennas </w:t>
      </w:r>
      <w:r w:rsidRPr="008A25E7" w:rsidR="002774CC">
        <w:rPr>
          <w:szCs w:val="22"/>
        </w:rPr>
        <w:t>c</w:t>
      </w:r>
      <w:r w:rsidRPr="008A25E7" w:rsidR="004164C3">
        <w:rPr>
          <w:szCs w:val="22"/>
        </w:rPr>
        <w:t>ould produce more gain</w:t>
      </w:r>
      <w:r w:rsidRPr="008A25E7" w:rsidR="00500E7C">
        <w:rPr>
          <w:szCs w:val="22"/>
        </w:rPr>
        <w:t xml:space="preserve"> </w:t>
      </w:r>
      <w:r w:rsidRPr="008A25E7" w:rsidR="00955A28">
        <w:rPr>
          <w:szCs w:val="22"/>
        </w:rPr>
        <w:t xml:space="preserve">so </w:t>
      </w:r>
      <w:r w:rsidRPr="008A25E7" w:rsidR="004164C3">
        <w:rPr>
          <w:szCs w:val="22"/>
        </w:rPr>
        <w:t xml:space="preserve">that the same </w:t>
      </w:r>
      <w:r w:rsidRPr="008A25E7" w:rsidR="00F949EF">
        <w:rPr>
          <w:szCs w:val="22"/>
        </w:rPr>
        <w:t xml:space="preserve">radiated power </w:t>
      </w:r>
      <w:r w:rsidRPr="008A25E7" w:rsidR="00F93033">
        <w:rPr>
          <w:szCs w:val="22"/>
        </w:rPr>
        <w:t xml:space="preserve">levels </w:t>
      </w:r>
      <w:r w:rsidRPr="008A25E7" w:rsidR="004164C3">
        <w:rPr>
          <w:szCs w:val="22"/>
        </w:rPr>
        <w:t xml:space="preserve">could be achieved with 50 watts </w:t>
      </w:r>
      <w:r w:rsidRPr="008A25E7" w:rsidR="00955A28">
        <w:rPr>
          <w:szCs w:val="22"/>
        </w:rPr>
        <w:t xml:space="preserve">at an </w:t>
      </w:r>
      <w:r w:rsidRPr="008A25E7" w:rsidR="004164C3">
        <w:rPr>
          <w:szCs w:val="22"/>
        </w:rPr>
        <w:t>antenna</w:t>
      </w:r>
      <w:r w:rsidRPr="008A25E7" w:rsidR="00955A28">
        <w:rPr>
          <w:szCs w:val="22"/>
        </w:rPr>
        <w:t>’s input terminal</w:t>
      </w:r>
      <w:r w:rsidRPr="008A25E7" w:rsidR="004164C3">
        <w:rPr>
          <w:szCs w:val="22"/>
        </w:rPr>
        <w:t>.</w:t>
      </w:r>
      <w:r>
        <w:rPr>
          <w:rStyle w:val="FootnoteReference"/>
          <w:szCs w:val="22"/>
        </w:rPr>
        <w:footnoteReference w:id="133"/>
      </w:r>
      <w:r w:rsidRPr="008A25E7" w:rsidR="00B01884">
        <w:rPr>
          <w:szCs w:val="22"/>
        </w:rPr>
        <w:t xml:space="preserve">  But</w:t>
      </w:r>
      <w:r w:rsidRPr="008A25E7" w:rsidR="004164C3">
        <w:rPr>
          <w:szCs w:val="22"/>
        </w:rPr>
        <w:t xml:space="preserve"> to achieve th</w:t>
      </w:r>
      <w:r w:rsidRPr="008A25E7" w:rsidR="00F93033">
        <w:rPr>
          <w:szCs w:val="22"/>
        </w:rPr>
        <w:t>ese</w:t>
      </w:r>
      <w:r w:rsidRPr="008A25E7" w:rsidR="004164C3">
        <w:rPr>
          <w:szCs w:val="22"/>
        </w:rPr>
        <w:t xml:space="preserve"> </w:t>
      </w:r>
      <w:r w:rsidRPr="008A25E7" w:rsidR="003272C4">
        <w:rPr>
          <w:szCs w:val="22"/>
        </w:rPr>
        <w:t xml:space="preserve">power </w:t>
      </w:r>
      <w:r w:rsidRPr="008A25E7" w:rsidR="00F93033">
        <w:rPr>
          <w:szCs w:val="22"/>
        </w:rPr>
        <w:t xml:space="preserve">levels </w:t>
      </w:r>
      <w:r w:rsidRPr="008A25E7" w:rsidR="003272C4">
        <w:rPr>
          <w:szCs w:val="22"/>
        </w:rPr>
        <w:t xml:space="preserve">while adhering to </w:t>
      </w:r>
      <w:r w:rsidRPr="008A25E7" w:rsidR="00135486">
        <w:rPr>
          <w:szCs w:val="22"/>
        </w:rPr>
        <w:t>section 80.215(h)(5)’s</w:t>
      </w:r>
      <w:r w:rsidRPr="008A25E7" w:rsidR="00512B6E">
        <w:rPr>
          <w:szCs w:val="22"/>
        </w:rPr>
        <w:t xml:space="preserve"> </w:t>
      </w:r>
      <w:r w:rsidRPr="008A25E7" w:rsidR="003272C4">
        <w:rPr>
          <w:szCs w:val="22"/>
        </w:rPr>
        <w:t xml:space="preserve">50-watt </w:t>
      </w:r>
      <w:r w:rsidRPr="008A25E7" w:rsidR="00512B6E">
        <w:rPr>
          <w:szCs w:val="22"/>
        </w:rPr>
        <w:t xml:space="preserve">limit, railroads </w:t>
      </w:r>
      <w:r w:rsidRPr="008A25E7" w:rsidR="004164C3">
        <w:rPr>
          <w:szCs w:val="22"/>
        </w:rPr>
        <w:t xml:space="preserve">would </w:t>
      </w:r>
      <w:r w:rsidRPr="008A25E7" w:rsidR="00512B6E">
        <w:rPr>
          <w:szCs w:val="22"/>
        </w:rPr>
        <w:t>have to install new</w:t>
      </w:r>
      <w:r w:rsidRPr="008A25E7" w:rsidR="004164C3">
        <w:rPr>
          <w:szCs w:val="22"/>
        </w:rPr>
        <w:t xml:space="preserve">, lower power transmitters and new antennas at </w:t>
      </w:r>
      <w:r w:rsidRPr="008A25E7" w:rsidR="00547F21">
        <w:rPr>
          <w:szCs w:val="22"/>
        </w:rPr>
        <w:t xml:space="preserve">thousands of </w:t>
      </w:r>
      <w:r w:rsidRPr="008A25E7" w:rsidR="00516DC8">
        <w:rPr>
          <w:szCs w:val="22"/>
        </w:rPr>
        <w:t xml:space="preserve">base station </w:t>
      </w:r>
      <w:r w:rsidRPr="008A25E7" w:rsidR="004164C3">
        <w:rPr>
          <w:szCs w:val="22"/>
        </w:rPr>
        <w:t>site</w:t>
      </w:r>
      <w:r w:rsidRPr="008A25E7" w:rsidR="00547F21">
        <w:rPr>
          <w:szCs w:val="22"/>
        </w:rPr>
        <w:t>s</w:t>
      </w:r>
      <w:r w:rsidRPr="008A25E7" w:rsidR="004164C3">
        <w:rPr>
          <w:szCs w:val="22"/>
        </w:rPr>
        <w:t>.</w:t>
      </w:r>
      <w:r>
        <w:rPr>
          <w:rStyle w:val="FootnoteReference"/>
          <w:szCs w:val="22"/>
        </w:rPr>
        <w:footnoteReference w:id="134"/>
      </w:r>
      <w:r w:rsidRPr="008A25E7" w:rsidR="00BC5B11">
        <w:rPr>
          <w:szCs w:val="22"/>
        </w:rPr>
        <w:t xml:space="preserve"> </w:t>
      </w:r>
      <w:r w:rsidRPr="008A25E7" w:rsidR="00A80ADD">
        <w:rPr>
          <w:szCs w:val="22"/>
        </w:rPr>
        <w:t xml:space="preserve"> </w:t>
      </w:r>
      <w:r w:rsidRPr="008A25E7" w:rsidR="00CA7C8F">
        <w:rPr>
          <w:szCs w:val="22"/>
        </w:rPr>
        <w:t xml:space="preserve"> Under </w:t>
      </w:r>
      <w:r w:rsidRPr="008A25E7" w:rsidR="000D0287">
        <w:rPr>
          <w:szCs w:val="22"/>
        </w:rPr>
        <w:t>these circumstances, w</w:t>
      </w:r>
      <w:r w:rsidRPr="008A25E7" w:rsidR="0024335F">
        <w:rPr>
          <w:szCs w:val="22"/>
        </w:rPr>
        <w:t xml:space="preserve">e find that </w:t>
      </w:r>
      <w:r w:rsidRPr="008A25E7" w:rsidR="00FE5876">
        <w:rPr>
          <w:szCs w:val="22"/>
        </w:rPr>
        <w:t xml:space="preserve">strict </w:t>
      </w:r>
      <w:r w:rsidRPr="008A25E7" w:rsidR="0024335F">
        <w:rPr>
          <w:szCs w:val="22"/>
        </w:rPr>
        <w:t>application of section 80.2</w:t>
      </w:r>
      <w:r w:rsidRPr="008A25E7" w:rsidR="00F71AFD">
        <w:rPr>
          <w:szCs w:val="22"/>
        </w:rPr>
        <w:t>15</w:t>
      </w:r>
      <w:r w:rsidRPr="008A25E7" w:rsidR="0024335F">
        <w:rPr>
          <w:szCs w:val="22"/>
        </w:rPr>
        <w:t>(</w:t>
      </w:r>
      <w:r w:rsidRPr="008A25E7" w:rsidR="00F71AFD">
        <w:rPr>
          <w:szCs w:val="22"/>
        </w:rPr>
        <w:t>h</w:t>
      </w:r>
      <w:r w:rsidRPr="008A25E7" w:rsidR="0024335F">
        <w:rPr>
          <w:szCs w:val="22"/>
        </w:rPr>
        <w:t>)</w:t>
      </w:r>
      <w:r w:rsidRPr="008A25E7" w:rsidR="00F71AFD">
        <w:rPr>
          <w:szCs w:val="22"/>
        </w:rPr>
        <w:t>(5)</w:t>
      </w:r>
      <w:r w:rsidRPr="008A25E7" w:rsidR="0024335F">
        <w:rPr>
          <w:szCs w:val="22"/>
        </w:rPr>
        <w:t xml:space="preserve"> to railroads’ PTC operations is unnecessary and would be unduly burdensome.</w:t>
      </w:r>
      <w:r>
        <w:rPr>
          <w:rStyle w:val="FootnoteReference"/>
          <w:szCs w:val="22"/>
        </w:rPr>
        <w:footnoteReference w:id="135"/>
      </w:r>
      <w:r w:rsidRPr="008A25E7" w:rsidR="0024335F">
        <w:rPr>
          <w:szCs w:val="22"/>
        </w:rPr>
        <w:t xml:space="preserve">  </w:t>
      </w:r>
      <w:r w:rsidRPr="008A25E7" w:rsidR="0001047B">
        <w:rPr>
          <w:szCs w:val="22"/>
        </w:rPr>
        <w:t>W</w:t>
      </w:r>
      <w:r w:rsidRPr="008A25E7">
        <w:rPr>
          <w:szCs w:val="22"/>
        </w:rPr>
        <w:t xml:space="preserve">e </w:t>
      </w:r>
      <w:r w:rsidRPr="008A25E7" w:rsidR="0024335F">
        <w:rPr>
          <w:szCs w:val="22"/>
        </w:rPr>
        <w:t xml:space="preserve">also </w:t>
      </w:r>
      <w:r w:rsidRPr="008A25E7">
        <w:rPr>
          <w:szCs w:val="22"/>
        </w:rPr>
        <w:t>find that considering the unique circumstances U.S. railroads face in complying with the federal PTC mandate, strict application of section 80.</w:t>
      </w:r>
      <w:r w:rsidRPr="008A25E7" w:rsidR="00CC5D83">
        <w:rPr>
          <w:szCs w:val="22"/>
        </w:rPr>
        <w:t>215</w:t>
      </w:r>
      <w:r w:rsidRPr="008A25E7">
        <w:rPr>
          <w:szCs w:val="22"/>
        </w:rPr>
        <w:t>(</w:t>
      </w:r>
      <w:r w:rsidRPr="008A25E7" w:rsidR="0089258A">
        <w:rPr>
          <w:szCs w:val="22"/>
        </w:rPr>
        <w:t>h</w:t>
      </w:r>
      <w:r w:rsidRPr="008A25E7">
        <w:rPr>
          <w:szCs w:val="22"/>
        </w:rPr>
        <w:t>)(</w:t>
      </w:r>
      <w:r w:rsidRPr="008A25E7" w:rsidR="0089258A">
        <w:rPr>
          <w:szCs w:val="22"/>
        </w:rPr>
        <w:t>5</w:t>
      </w:r>
      <w:r w:rsidRPr="008A25E7">
        <w:rPr>
          <w:szCs w:val="22"/>
        </w:rPr>
        <w:t xml:space="preserve">) to </w:t>
      </w:r>
      <w:r w:rsidRPr="008A25E7" w:rsidR="0089258A">
        <w:rPr>
          <w:szCs w:val="22"/>
        </w:rPr>
        <w:t xml:space="preserve">their </w:t>
      </w:r>
      <w:r w:rsidRPr="008A25E7">
        <w:rPr>
          <w:szCs w:val="22"/>
        </w:rPr>
        <w:t>PTC operations would be contrary to the public interest and accordingly waive this rule</w:t>
      </w:r>
      <w:r w:rsidRPr="008A25E7" w:rsidR="005227CF">
        <w:rPr>
          <w:szCs w:val="22"/>
        </w:rPr>
        <w:t xml:space="preserve"> </w:t>
      </w:r>
      <w:r w:rsidRPr="008A25E7" w:rsidR="000603EF">
        <w:rPr>
          <w:szCs w:val="22"/>
        </w:rPr>
        <w:t xml:space="preserve">to permit </w:t>
      </w:r>
      <w:r w:rsidRPr="008A25E7" w:rsidR="00DB6E03">
        <w:rPr>
          <w:szCs w:val="22"/>
        </w:rPr>
        <w:t xml:space="preserve">operations at </w:t>
      </w:r>
      <w:r w:rsidRPr="008A25E7" w:rsidR="000603EF">
        <w:rPr>
          <w:szCs w:val="22"/>
        </w:rPr>
        <w:t>up to 65 watts PEP as measured at the input terminals to a base station antenna.</w:t>
      </w:r>
      <w:r>
        <w:rPr>
          <w:rStyle w:val="FootnoteReference"/>
          <w:szCs w:val="22"/>
        </w:rPr>
        <w:footnoteReference w:id="136"/>
      </w:r>
      <w:r w:rsidRPr="008A25E7" w:rsidR="0060033D">
        <w:rPr>
          <w:szCs w:val="22"/>
        </w:rPr>
        <w:t xml:space="preserve">  </w:t>
      </w:r>
    </w:p>
    <w:p w:rsidR="00B745D4" w:rsidRPr="008A25E7" w:rsidP="00B745D4" w14:paraId="612E5D24" w14:textId="56CE74B3">
      <w:pPr>
        <w:pStyle w:val="Heading2"/>
        <w:rPr>
          <w:szCs w:val="22"/>
        </w:rPr>
      </w:pPr>
      <w:r w:rsidRPr="008A25E7">
        <w:rPr>
          <w:szCs w:val="22"/>
        </w:rPr>
        <w:t>Conclusion and Ordering Clauses</w:t>
      </w:r>
    </w:p>
    <w:p w:rsidR="00D453B8" w:rsidRPr="008A25E7" w:rsidP="009379F8" w14:paraId="09E3F378" w14:textId="65716D51">
      <w:pPr>
        <w:pStyle w:val="ParaNum"/>
        <w:tabs>
          <w:tab w:val="clear" w:pos="1080"/>
        </w:tabs>
        <w:jc w:val="left"/>
        <w:rPr>
          <w:szCs w:val="22"/>
        </w:rPr>
      </w:pPr>
      <w:r w:rsidRPr="008A25E7">
        <w:rPr>
          <w:szCs w:val="22"/>
        </w:rPr>
        <w:t xml:space="preserve">Petitioners have not demonstrated that the </w:t>
      </w:r>
      <w:r w:rsidRPr="008A25E7" w:rsidR="002D03BA">
        <w:rPr>
          <w:szCs w:val="22"/>
        </w:rPr>
        <w:t>A</w:t>
      </w:r>
      <w:r w:rsidRPr="008A25E7">
        <w:rPr>
          <w:szCs w:val="22"/>
        </w:rPr>
        <w:t xml:space="preserve">pplication should be denied.  </w:t>
      </w:r>
      <w:r w:rsidRPr="008A25E7" w:rsidR="009379F8">
        <w:rPr>
          <w:szCs w:val="22"/>
        </w:rPr>
        <w:t xml:space="preserve">Moreover, in addition to the reasons discussed above for granting PTC-220 a waiver of certain AMTS rules to facilitate </w:t>
      </w:r>
      <w:r w:rsidRPr="008A25E7" w:rsidR="00C50359">
        <w:rPr>
          <w:szCs w:val="22"/>
        </w:rPr>
        <w:t xml:space="preserve">railroads’ </w:t>
      </w:r>
      <w:r w:rsidRPr="008A25E7" w:rsidR="009379F8">
        <w:rPr>
          <w:szCs w:val="22"/>
        </w:rPr>
        <w:t>compliance with the federal PTC mandate, we find good cause under section 1.3 of the Commission’s rules to waive these rules,</w:t>
      </w:r>
      <w:r>
        <w:rPr>
          <w:rStyle w:val="FootnoteReference"/>
          <w:szCs w:val="22"/>
        </w:rPr>
        <w:footnoteReference w:id="137"/>
      </w:r>
      <w:r w:rsidRPr="008A25E7" w:rsidR="009379F8">
        <w:rPr>
          <w:szCs w:val="22"/>
        </w:rPr>
        <w:t xml:space="preserve"> because doing so will serve the public interest in rail safety in </w:t>
      </w:r>
      <w:r w:rsidRPr="008A25E7">
        <w:rPr>
          <w:szCs w:val="22"/>
        </w:rPr>
        <w:t>the W</w:t>
      </w:r>
      <w:r w:rsidRPr="008A25E7" w:rsidR="009379F8">
        <w:rPr>
          <w:szCs w:val="22"/>
        </w:rPr>
        <w:t xml:space="preserve">estern </w:t>
      </w:r>
      <w:r w:rsidRPr="008A25E7">
        <w:rPr>
          <w:szCs w:val="22"/>
        </w:rPr>
        <w:t>United S</w:t>
      </w:r>
      <w:r w:rsidRPr="008A25E7" w:rsidR="009379F8">
        <w:rPr>
          <w:szCs w:val="22"/>
        </w:rPr>
        <w:t>tates.</w:t>
      </w:r>
      <w:r>
        <w:rPr>
          <w:rStyle w:val="FootnoteReference"/>
          <w:szCs w:val="22"/>
        </w:rPr>
        <w:footnoteReference w:id="138"/>
      </w:r>
    </w:p>
    <w:p w:rsidR="00BF3315" w:rsidRPr="008A25E7" w:rsidP="003C535B" w14:paraId="204EA575" w14:textId="2989FB3B">
      <w:pPr>
        <w:pStyle w:val="ParaNum"/>
        <w:tabs>
          <w:tab w:val="clear" w:pos="1080"/>
        </w:tabs>
        <w:jc w:val="left"/>
        <w:rPr>
          <w:szCs w:val="22"/>
        </w:rPr>
      </w:pPr>
      <w:r w:rsidRPr="008A25E7">
        <w:rPr>
          <w:szCs w:val="22"/>
        </w:rPr>
        <w:t>We emphasize that the waiver relief we grant today will only apply to use of the AMTS spectrum to deploy PTC and related rail safety applications in defined rail corridors, thereby limiting the area of potential interference.  If PTC-220 assigns, partitions, disaggregates, or leases any spectrum to be assigned from Kurian under Station WQCP809 to a third party, the waivers would only apply if that spectrum is used for PTC or related rail safety applications.</w:t>
      </w:r>
    </w:p>
    <w:p w:rsidR="00BF3315" w:rsidRPr="008A25E7" w:rsidP="003C535B" w14:paraId="042E3EAB" w14:textId="531C38EE">
      <w:pPr>
        <w:pStyle w:val="ParaNum"/>
        <w:tabs>
          <w:tab w:val="clear" w:pos="1080"/>
        </w:tabs>
        <w:jc w:val="left"/>
        <w:rPr>
          <w:szCs w:val="22"/>
        </w:rPr>
      </w:pPr>
      <w:r w:rsidRPr="008A25E7">
        <w:rPr>
          <w:szCs w:val="22"/>
        </w:rPr>
        <w:t>Accordingly, IT IS ORDERED, pursuant to Section</w:t>
      </w:r>
      <w:r w:rsidRPr="008A25E7" w:rsidR="00F84453">
        <w:rPr>
          <w:szCs w:val="22"/>
        </w:rPr>
        <w:t>s</w:t>
      </w:r>
      <w:r w:rsidRPr="008A25E7">
        <w:rPr>
          <w:szCs w:val="22"/>
        </w:rPr>
        <w:t xml:space="preserve"> 4(i) </w:t>
      </w:r>
      <w:r w:rsidRPr="008A25E7" w:rsidR="00F84453">
        <w:rPr>
          <w:szCs w:val="22"/>
        </w:rPr>
        <w:t xml:space="preserve">and 309 </w:t>
      </w:r>
      <w:r w:rsidRPr="008A25E7">
        <w:rPr>
          <w:szCs w:val="22"/>
        </w:rPr>
        <w:t>of the Communications Act of 1934, as amended, 47 U.S.C. § 154(i),</w:t>
      </w:r>
      <w:r w:rsidRPr="008A25E7" w:rsidR="00F84453">
        <w:rPr>
          <w:szCs w:val="22"/>
        </w:rPr>
        <w:t xml:space="preserve"> 309,</w:t>
      </w:r>
      <w:r w:rsidRPr="008A25E7">
        <w:rPr>
          <w:szCs w:val="22"/>
        </w:rPr>
        <w:t xml:space="preserve"> and </w:t>
      </w:r>
      <w:r w:rsidRPr="008A25E7" w:rsidR="00A312D7">
        <w:rPr>
          <w:szCs w:val="22"/>
        </w:rPr>
        <w:t>s</w:t>
      </w:r>
      <w:r w:rsidRPr="008A25E7">
        <w:rPr>
          <w:szCs w:val="22"/>
        </w:rPr>
        <w:t>ection 1.939</w:t>
      </w:r>
      <w:r w:rsidRPr="008A25E7" w:rsidR="00AB268C">
        <w:rPr>
          <w:szCs w:val="22"/>
        </w:rPr>
        <w:t xml:space="preserve"> </w:t>
      </w:r>
      <w:r w:rsidRPr="008A25E7">
        <w:rPr>
          <w:szCs w:val="22"/>
        </w:rPr>
        <w:t>of the Commission’s Rules, 47 CFR § 1.939, that</w:t>
      </w:r>
      <w:r w:rsidRPr="008A25E7" w:rsidR="00820029">
        <w:rPr>
          <w:szCs w:val="22"/>
        </w:rPr>
        <w:t xml:space="preserve"> the (Errata Copy) Petition to Deny Under 47 USC § 309(d) (and associated FCC rules) or in the Alternative Informal Request Under 47 CFR § 1.41,</w:t>
      </w:r>
      <w:r w:rsidRPr="008A25E7">
        <w:rPr>
          <w:szCs w:val="22"/>
        </w:rPr>
        <w:t xml:space="preserve"> filed by Warren Havens</w:t>
      </w:r>
      <w:r w:rsidRPr="008A25E7" w:rsidR="00B974F8">
        <w:rPr>
          <w:szCs w:val="22"/>
        </w:rPr>
        <w:t xml:space="preserve"> and the Polaris PNT Group </w:t>
      </w:r>
      <w:r w:rsidRPr="008A25E7">
        <w:rPr>
          <w:szCs w:val="22"/>
        </w:rPr>
        <w:t xml:space="preserve">on </w:t>
      </w:r>
      <w:r w:rsidRPr="008A25E7" w:rsidR="00B974F8">
        <w:rPr>
          <w:szCs w:val="22"/>
        </w:rPr>
        <w:t>August 7</w:t>
      </w:r>
      <w:r w:rsidRPr="008A25E7">
        <w:rPr>
          <w:szCs w:val="22"/>
        </w:rPr>
        <w:t>, 201</w:t>
      </w:r>
      <w:r w:rsidRPr="008A25E7" w:rsidR="00B974F8">
        <w:rPr>
          <w:szCs w:val="22"/>
        </w:rPr>
        <w:t>9</w:t>
      </w:r>
      <w:r w:rsidRPr="008A25E7" w:rsidR="00D95205">
        <w:rPr>
          <w:szCs w:val="22"/>
        </w:rPr>
        <w:t>,</w:t>
      </w:r>
      <w:r w:rsidRPr="008A25E7">
        <w:rPr>
          <w:szCs w:val="22"/>
        </w:rPr>
        <w:t xml:space="preserve"> IS DENIED, and application FCC File No. </w:t>
      </w:r>
      <w:r w:rsidRPr="008A25E7" w:rsidR="00B974F8">
        <w:rPr>
          <w:szCs w:val="22"/>
        </w:rPr>
        <w:t>000869437</w:t>
      </w:r>
      <w:r w:rsidRPr="008A25E7" w:rsidR="00473CAA">
        <w:rPr>
          <w:szCs w:val="22"/>
        </w:rPr>
        <w:t>,</w:t>
      </w:r>
      <w:r w:rsidRPr="008A25E7">
        <w:rPr>
          <w:szCs w:val="22"/>
        </w:rPr>
        <w:t xml:space="preserve"> filed on</w:t>
      </w:r>
      <w:r w:rsidRPr="008A25E7" w:rsidR="00B974F8">
        <w:rPr>
          <w:szCs w:val="22"/>
        </w:rPr>
        <w:t xml:space="preserve"> July 16, 2019,</w:t>
      </w:r>
      <w:r w:rsidRPr="008A25E7">
        <w:rPr>
          <w:szCs w:val="22"/>
        </w:rPr>
        <w:t xml:space="preserve"> SHALL BE PROCESSED in accordance with this </w:t>
      </w:r>
      <w:r w:rsidRPr="008A25E7">
        <w:rPr>
          <w:i/>
          <w:szCs w:val="22"/>
        </w:rPr>
        <w:t>Order</w:t>
      </w:r>
      <w:r w:rsidRPr="008A25E7">
        <w:rPr>
          <w:szCs w:val="22"/>
        </w:rPr>
        <w:t xml:space="preserve"> and the Commission’s Rules.</w:t>
      </w:r>
    </w:p>
    <w:p w:rsidR="00C23A8D" w:rsidRPr="008A25E7" w:rsidP="00B974F8" w14:paraId="1ED4EA6A" w14:textId="13688578">
      <w:pPr>
        <w:pStyle w:val="ParaNum"/>
        <w:tabs>
          <w:tab w:val="clear" w:pos="1080"/>
        </w:tabs>
        <w:jc w:val="left"/>
        <w:rPr>
          <w:szCs w:val="22"/>
        </w:rPr>
      </w:pPr>
      <w:r w:rsidRPr="008A25E7">
        <w:rPr>
          <w:szCs w:val="22"/>
        </w:rPr>
        <w:t xml:space="preserve">And, IT IS FURTHER ORDERED, </w:t>
      </w:r>
      <w:r w:rsidRPr="008A25E7" w:rsidR="009329F7">
        <w:rPr>
          <w:szCs w:val="22"/>
        </w:rPr>
        <w:t xml:space="preserve">pursuant to </w:t>
      </w:r>
      <w:r w:rsidRPr="008A25E7" w:rsidR="00F84453">
        <w:rPr>
          <w:szCs w:val="22"/>
        </w:rPr>
        <w:t xml:space="preserve">Sections 4(i) and 309 of the Communications Act of 1934, as amended, 47 U.S.C. § 154(i), 309, </w:t>
      </w:r>
      <w:r w:rsidRPr="008A25E7" w:rsidR="00A312D7">
        <w:rPr>
          <w:szCs w:val="22"/>
        </w:rPr>
        <w:t>and s</w:t>
      </w:r>
      <w:r w:rsidRPr="008A25E7" w:rsidR="009329F7">
        <w:rPr>
          <w:szCs w:val="22"/>
        </w:rPr>
        <w:t xml:space="preserve">ections </w:t>
      </w:r>
      <w:r w:rsidRPr="008A25E7" w:rsidR="00F84453">
        <w:rPr>
          <w:szCs w:val="22"/>
        </w:rPr>
        <w:t xml:space="preserve">1.3, </w:t>
      </w:r>
      <w:r w:rsidRPr="008A25E7" w:rsidR="00A312D7">
        <w:rPr>
          <w:szCs w:val="22"/>
        </w:rPr>
        <w:t>1.9</w:t>
      </w:r>
      <w:r w:rsidRPr="008A25E7" w:rsidR="009329F7">
        <w:rPr>
          <w:szCs w:val="22"/>
        </w:rPr>
        <w:t xml:space="preserve">25(b)(3) of the Commission’s rules, 47 CFR §§ </w:t>
      </w:r>
      <w:r w:rsidRPr="008A25E7" w:rsidR="00F84453">
        <w:rPr>
          <w:szCs w:val="22"/>
        </w:rPr>
        <w:t xml:space="preserve">1.3, </w:t>
      </w:r>
      <w:r w:rsidRPr="008A25E7" w:rsidR="009329F7">
        <w:rPr>
          <w:szCs w:val="22"/>
        </w:rPr>
        <w:t>1.925(b)(3)</w:t>
      </w:r>
      <w:r w:rsidRPr="008A25E7" w:rsidR="00A51A58">
        <w:rPr>
          <w:szCs w:val="22"/>
        </w:rPr>
        <w:t>,</w:t>
      </w:r>
      <w:r w:rsidRPr="008A25E7" w:rsidR="009329F7">
        <w:rPr>
          <w:szCs w:val="22"/>
        </w:rPr>
        <w:t xml:space="preserve"> </w:t>
      </w:r>
      <w:r w:rsidRPr="008A25E7" w:rsidR="009F6B34">
        <w:rPr>
          <w:szCs w:val="22"/>
        </w:rPr>
        <w:t xml:space="preserve">that </w:t>
      </w:r>
      <w:r w:rsidRPr="008A25E7" w:rsidR="00A835F0">
        <w:rPr>
          <w:szCs w:val="22"/>
        </w:rPr>
        <w:t xml:space="preserve">the Request for Waivers for AMTS Spectrum to be Partitioned &amp; Disaggregated from Call Sign WQCP809, </w:t>
      </w:r>
      <w:r w:rsidRPr="008A25E7" w:rsidR="00594765">
        <w:rPr>
          <w:szCs w:val="22"/>
        </w:rPr>
        <w:t xml:space="preserve">FCC </w:t>
      </w:r>
      <w:r w:rsidRPr="008A25E7" w:rsidR="00A835F0">
        <w:rPr>
          <w:szCs w:val="22"/>
        </w:rPr>
        <w:t>File No. 0008694347, filed by PTC-220 LLC on July 16, 2019</w:t>
      </w:r>
      <w:r w:rsidRPr="008A25E7" w:rsidR="00D94B7F">
        <w:rPr>
          <w:szCs w:val="22"/>
        </w:rPr>
        <w:t xml:space="preserve"> and amended on </w:t>
      </w:r>
      <w:r w:rsidRPr="008A25E7" w:rsidR="004464EE">
        <w:rPr>
          <w:szCs w:val="22"/>
        </w:rPr>
        <w:t xml:space="preserve">November </w:t>
      </w:r>
      <w:r w:rsidRPr="008A25E7" w:rsidR="00AE77F6">
        <w:rPr>
          <w:szCs w:val="22"/>
        </w:rPr>
        <w:t>17</w:t>
      </w:r>
      <w:r w:rsidRPr="008A25E7" w:rsidR="004464EE">
        <w:rPr>
          <w:szCs w:val="22"/>
        </w:rPr>
        <w:t>, 2020</w:t>
      </w:r>
      <w:r w:rsidRPr="008A25E7" w:rsidR="00A835F0">
        <w:rPr>
          <w:szCs w:val="22"/>
        </w:rPr>
        <w:t>, IS GRANTED</w:t>
      </w:r>
      <w:r w:rsidRPr="008A25E7" w:rsidR="00816C06">
        <w:rPr>
          <w:szCs w:val="22"/>
        </w:rPr>
        <w:t xml:space="preserve"> to the extent provided above</w:t>
      </w:r>
      <w:r w:rsidRPr="008A25E7" w:rsidR="00A835F0">
        <w:rPr>
          <w:szCs w:val="22"/>
        </w:rPr>
        <w:t>.</w:t>
      </w:r>
    </w:p>
    <w:p w:rsidR="00BF3315" w:rsidRPr="008A25E7" w14:paraId="7D26CC55" w14:textId="438EC6EA">
      <w:pPr>
        <w:pStyle w:val="ParaNum"/>
        <w:tabs>
          <w:tab w:val="clear" w:pos="1080"/>
        </w:tabs>
        <w:jc w:val="left"/>
        <w:rPr>
          <w:szCs w:val="22"/>
        </w:rPr>
      </w:pPr>
      <w:r w:rsidRPr="008A25E7">
        <w:rPr>
          <w:szCs w:val="22"/>
        </w:rPr>
        <w:t xml:space="preserve">This action is taken under delegated authority pursuant to </w:t>
      </w:r>
      <w:r w:rsidRPr="008A25E7" w:rsidR="0072365F">
        <w:rPr>
          <w:szCs w:val="22"/>
        </w:rPr>
        <w:t>s</w:t>
      </w:r>
      <w:r w:rsidRPr="008A25E7">
        <w:rPr>
          <w:szCs w:val="22"/>
        </w:rPr>
        <w:t>ections 0.131 and 0.331 of the Commission’s Rules, 47 CFR §§ 0.131, 0.331.</w:t>
      </w:r>
    </w:p>
    <w:p w:rsidR="00BF3315" w:rsidRPr="008A25E7" w14:paraId="5479CB25" w14:textId="77777777">
      <w:pPr>
        <w:tabs>
          <w:tab w:val="left" w:pos="4752"/>
        </w:tabs>
        <w:rPr>
          <w:szCs w:val="22"/>
        </w:rPr>
      </w:pPr>
      <w:r w:rsidRPr="008A25E7">
        <w:rPr>
          <w:szCs w:val="22"/>
        </w:rPr>
        <w:tab/>
        <w:t>FEDERAL COMMUNICATIONS</w:t>
      </w:r>
      <w:r w:rsidRPr="008A25E7">
        <w:rPr>
          <w:b/>
          <w:szCs w:val="22"/>
        </w:rPr>
        <w:t xml:space="preserve"> </w:t>
      </w:r>
      <w:r w:rsidRPr="008A25E7">
        <w:rPr>
          <w:szCs w:val="22"/>
        </w:rPr>
        <w:t>COMMISSION</w:t>
      </w:r>
    </w:p>
    <w:p w:rsidR="00BF3315" w:rsidRPr="008A25E7" w14:paraId="5F73246E" w14:textId="77777777">
      <w:pPr>
        <w:tabs>
          <w:tab w:val="left" w:pos="5760"/>
        </w:tabs>
        <w:rPr>
          <w:b/>
          <w:szCs w:val="22"/>
        </w:rPr>
      </w:pPr>
    </w:p>
    <w:p w:rsidR="00BF3315" w:rsidRPr="008A25E7" w14:paraId="5F496F91" w14:textId="77777777">
      <w:pPr>
        <w:tabs>
          <w:tab w:val="left" w:pos="5760"/>
        </w:tabs>
        <w:rPr>
          <w:b/>
          <w:szCs w:val="22"/>
        </w:rPr>
      </w:pPr>
    </w:p>
    <w:p w:rsidR="00BF3315" w:rsidRPr="008A25E7" w14:paraId="1F4A0530" w14:textId="77777777">
      <w:pPr>
        <w:tabs>
          <w:tab w:val="left" w:pos="5760"/>
        </w:tabs>
        <w:rPr>
          <w:b/>
          <w:szCs w:val="22"/>
        </w:rPr>
      </w:pPr>
    </w:p>
    <w:p w:rsidR="00BF3315" w:rsidRPr="008A25E7" w14:paraId="75B5D169" w14:textId="77777777">
      <w:pPr>
        <w:tabs>
          <w:tab w:val="left" w:pos="5760"/>
        </w:tabs>
        <w:rPr>
          <w:b/>
          <w:szCs w:val="22"/>
        </w:rPr>
      </w:pPr>
    </w:p>
    <w:p w:rsidR="00BF3315" w:rsidRPr="008A25E7" w14:paraId="5B2F9437" w14:textId="310F9667">
      <w:pPr>
        <w:tabs>
          <w:tab w:val="left" w:pos="4752"/>
        </w:tabs>
        <w:rPr>
          <w:szCs w:val="22"/>
        </w:rPr>
      </w:pPr>
      <w:r w:rsidRPr="008A25E7">
        <w:rPr>
          <w:szCs w:val="22"/>
        </w:rPr>
        <w:tab/>
      </w:r>
      <w:r w:rsidRPr="008A25E7" w:rsidR="00B974F8">
        <w:rPr>
          <w:szCs w:val="22"/>
        </w:rPr>
        <w:t xml:space="preserve">Roger S. Noel </w:t>
      </w:r>
    </w:p>
    <w:p w:rsidR="00BF3315" w:rsidRPr="008A25E7" w14:paraId="4B55F18C" w14:textId="356069E8">
      <w:pPr>
        <w:tabs>
          <w:tab w:val="left" w:pos="4752"/>
        </w:tabs>
        <w:rPr>
          <w:szCs w:val="22"/>
        </w:rPr>
      </w:pPr>
      <w:r w:rsidRPr="008A25E7">
        <w:rPr>
          <w:szCs w:val="22"/>
        </w:rPr>
        <w:tab/>
        <w:t>Chief, Mobility Division</w:t>
      </w:r>
    </w:p>
    <w:p w:rsidR="00A616FC" w:rsidRPr="008A25E7" w14:paraId="503DFF2C" w14:textId="1D1F4C91">
      <w:pPr>
        <w:tabs>
          <w:tab w:val="left" w:pos="4752"/>
        </w:tabs>
        <w:rPr>
          <w:szCs w:val="22"/>
        </w:rPr>
      </w:pPr>
      <w:r w:rsidRPr="008A25E7">
        <w:rPr>
          <w:szCs w:val="22"/>
        </w:rPr>
        <w:tab/>
        <w:t>Wireless Telecommunications Bureau</w:t>
      </w:r>
      <w:r w:rsidRPr="008A25E7">
        <w:rPr>
          <w:szCs w:val="22"/>
        </w:rPr>
        <w:t xml:space="preserve"> </w:t>
      </w: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35B" w14:paraId="20664CA7"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41B6" w14:paraId="35C3B6CB" w14:textId="77777777">
      <w:pPr>
        <w:rPr>
          <w:sz w:val="20"/>
        </w:rPr>
      </w:pPr>
      <w:r>
        <w:rPr>
          <w:sz w:val="20"/>
        </w:rPr>
        <w:separator/>
      </w:r>
    </w:p>
  </w:footnote>
  <w:footnote w:type="continuationSeparator" w:id="1">
    <w:p w:rsidR="006141B6" w14:paraId="642CC2A5" w14:textId="77777777">
      <w:pPr>
        <w:rPr>
          <w:sz w:val="20"/>
        </w:rPr>
      </w:pPr>
      <w:r>
        <w:rPr>
          <w:sz w:val="20"/>
        </w:rPr>
        <w:separator/>
      </w:r>
    </w:p>
    <w:p w:rsidR="006141B6" w14:paraId="24342336" w14:textId="77777777">
      <w:pPr>
        <w:rPr>
          <w:sz w:val="20"/>
        </w:rPr>
      </w:pPr>
      <w:r>
        <w:rPr>
          <w:sz w:val="20"/>
        </w:rPr>
        <w:t>(...continued from previous page)</w:t>
      </w:r>
    </w:p>
  </w:footnote>
  <w:footnote w:type="continuationNotice" w:id="2">
    <w:p w:rsidR="006141B6" w14:paraId="13C253A3" w14:textId="77777777">
      <w:pPr>
        <w:jc w:val="right"/>
        <w:rPr>
          <w:sz w:val="20"/>
        </w:rPr>
      </w:pPr>
      <w:r>
        <w:rPr>
          <w:sz w:val="20"/>
        </w:rPr>
        <w:t>(continued....)</w:t>
      </w:r>
    </w:p>
  </w:footnote>
  <w:footnote w:id="3">
    <w:p w:rsidR="003C535B" w:rsidRPr="00004845" w:rsidP="00004845" w14:paraId="6DF8E411" w14:textId="6A235977">
      <w:pPr>
        <w:pStyle w:val="FootnoteText"/>
        <w:jc w:val="left"/>
      </w:pPr>
      <w:r w:rsidRPr="00004845">
        <w:rPr>
          <w:rStyle w:val="FootnoteReference"/>
        </w:rPr>
        <w:footnoteRef/>
      </w:r>
      <w:r w:rsidRPr="00004845">
        <w:t xml:space="preserve"> File No. 0008694347 (filed July 16, 2019) (Application).  The Polaris PNT Group’s members include Polaris PNT PBC; Polaris PNT1, PB LLC; Polaris PNT 2, PB LLC; and Polaris PNT 3, PB LLC.  (Errata Copy) Petition to Deny Under 47 USC § 309(d) (and associated FCC rules) or in the Alternative Informal Request Under 47 CFR § 1.41, File No. 0008694347, at 1 (filed Aug. 7, 2019) (Petition to Deny).</w:t>
      </w:r>
    </w:p>
  </w:footnote>
  <w:footnote w:id="4">
    <w:p w:rsidR="003C535B" w:rsidRPr="00004845" w:rsidP="00004845" w14:paraId="124B7243" w14:textId="66BB12D6">
      <w:pPr>
        <w:pStyle w:val="FootnoteText"/>
        <w:jc w:val="left"/>
      </w:pPr>
      <w:r w:rsidRPr="00004845">
        <w:rPr>
          <w:rStyle w:val="FootnoteReference"/>
        </w:rPr>
        <w:footnoteRef/>
      </w:r>
      <w:r w:rsidRPr="00004845">
        <w:t xml:space="preserve"> Request for Waivers for AMTS Spectrum to be Partitioned &amp; Disaggregated from Call Sign WQCP809, File No. 0008694347 (filed July 16, 2019, amended Nov. </w:t>
      </w:r>
      <w:r w:rsidRPr="00004845" w:rsidR="004F2808">
        <w:t>17</w:t>
      </w:r>
      <w:r w:rsidRPr="00004845">
        <w:t>, 2020</w:t>
      </w:r>
      <w:r w:rsidRPr="00004845" w:rsidR="00C339DF">
        <w:t>)</w:t>
      </w:r>
      <w:r w:rsidRPr="00004845">
        <w:t xml:space="preserve"> (Waiver Request).  PTC-220’s members include BNSF Railway Company, CSX Corporation, Norfolk Southern Corporation, Union Pacific Corporation, Kansas City Southern, Canadian National, and Canadian Pacific.  Description of the Transaction and Public Interest Statement, File No. 0008694347, at n.2 (filed July 16, 2019) (Public Interest Statement).</w:t>
      </w:r>
    </w:p>
  </w:footnote>
  <w:footnote w:id="5">
    <w:p w:rsidR="003C535B" w:rsidRPr="00004845" w:rsidP="00004845" w14:paraId="3C3B1E97" w14:textId="579874D8">
      <w:pPr>
        <w:pStyle w:val="FootnoteText"/>
        <w:jc w:val="left"/>
      </w:pPr>
      <w:r w:rsidRPr="00004845">
        <w:rPr>
          <w:rStyle w:val="FootnoteReference"/>
        </w:rPr>
        <w:footnoteRef/>
      </w:r>
      <w:r w:rsidRPr="00004845">
        <w:t xml:space="preserve"> </w:t>
      </w:r>
      <w:r w:rsidRPr="00004845">
        <w:rPr>
          <w:i/>
          <w:iCs/>
        </w:rPr>
        <w:t>Amendment of Parts 2, 81 and 83 of the Commission's Rules to Allocate Spectrum for an Automated Inland Waterways Communications System (IWCS) along the Mississippi River and Connecting Waterways</w:t>
      </w:r>
      <w:r w:rsidRPr="00004845">
        <w:t xml:space="preserve">, GEN Docket No. 80-1, Report and Order, 84 F.C.C. 2d 875 (1981). </w:t>
      </w:r>
    </w:p>
  </w:footnote>
  <w:footnote w:id="6">
    <w:p w:rsidR="003C535B" w:rsidRPr="00004845" w:rsidP="00004845" w14:paraId="62882463" w14:textId="1FD91F93">
      <w:pPr>
        <w:pStyle w:val="FootnoteText"/>
        <w:jc w:val="left"/>
      </w:pPr>
      <w:r w:rsidRPr="00004845">
        <w:rPr>
          <w:rStyle w:val="FootnoteReference"/>
        </w:rPr>
        <w:footnoteRef/>
      </w:r>
      <w:r w:rsidRPr="00004845">
        <w:t xml:space="preserve"> </w:t>
      </w:r>
      <w:r w:rsidRPr="00004845">
        <w:rPr>
          <w:i/>
          <w:iCs/>
          <w:color w:val="3D3D3D"/>
          <w:shd w:val="clear" w:color="auto" w:fill="FFFFFF"/>
        </w:rPr>
        <w:t>Amendment of the Commission's Rules Concerning Maritime Communications</w:t>
      </w:r>
      <w:r w:rsidRPr="00004845">
        <w:rPr>
          <w:color w:val="3D3D3D"/>
          <w:shd w:val="clear" w:color="auto" w:fill="FFFFFF"/>
        </w:rPr>
        <w:t xml:space="preserve">, </w:t>
      </w:r>
      <w:r w:rsidRPr="00004845">
        <w:rPr>
          <w:iCs/>
        </w:rPr>
        <w:t>PR Docket No. 92-257</w:t>
      </w:r>
      <w:r w:rsidRPr="00004845">
        <w:rPr>
          <w:color w:val="3D3D3D"/>
          <w:shd w:val="clear" w:color="auto" w:fill="FFFFFF"/>
        </w:rPr>
        <w:t xml:space="preserve">, </w:t>
      </w:r>
      <w:r w:rsidRPr="00004845">
        <w:rPr>
          <w:rStyle w:val="Emphasis"/>
          <w:i w:val="0"/>
          <w:iCs w:val="0"/>
          <w:color w:val="3D3D3D"/>
          <w:bdr w:val="none" w:sz="0" w:space="0" w:color="auto" w:frame="1"/>
          <w:shd w:val="clear" w:color="auto" w:fill="FFFFFF"/>
        </w:rPr>
        <w:t>Second Report and Order</w:t>
      </w:r>
      <w:r w:rsidRPr="00004845">
        <w:rPr>
          <w:i/>
          <w:iCs/>
          <w:color w:val="3D3D3D"/>
          <w:shd w:val="clear" w:color="auto" w:fill="FFFFFF"/>
        </w:rPr>
        <w:t>,</w:t>
      </w:r>
      <w:r w:rsidRPr="00004845">
        <w:rPr>
          <w:color w:val="3D3D3D"/>
          <w:shd w:val="clear" w:color="auto" w:fill="FFFFFF"/>
        </w:rPr>
        <w:t xml:space="preserve"> </w:t>
      </w:r>
      <w:r w:rsidRPr="00004845">
        <w:rPr>
          <w:bdr w:val="none" w:sz="0" w:space="0" w:color="auto" w:frame="1"/>
          <w:shd w:val="clear" w:color="auto" w:fill="FFFFFF"/>
        </w:rPr>
        <w:t>12 FCC Rcd 16949, 16964-65 paras. 24-25 (1997) (</w:t>
      </w:r>
      <w:r w:rsidRPr="00004845">
        <w:rPr>
          <w:i/>
          <w:iCs/>
          <w:bdr w:val="none" w:sz="0" w:space="0" w:color="auto" w:frame="1"/>
          <w:shd w:val="clear" w:color="auto" w:fill="FFFFFF"/>
        </w:rPr>
        <w:t>AMTS Second Report and Order</w:t>
      </w:r>
      <w:r w:rsidRPr="00004845">
        <w:rPr>
          <w:bdr w:val="none" w:sz="0" w:space="0" w:color="auto" w:frame="1"/>
          <w:shd w:val="clear" w:color="auto" w:fill="FFFFFF"/>
        </w:rPr>
        <w:t>)</w:t>
      </w:r>
      <w:r w:rsidRPr="00004845">
        <w:t xml:space="preserve">.  </w:t>
      </w:r>
    </w:p>
  </w:footnote>
  <w:footnote w:id="7">
    <w:p w:rsidR="003C535B" w:rsidRPr="00004845" w:rsidP="00004845" w14:paraId="43115010" w14:textId="24917E5F">
      <w:pPr>
        <w:pStyle w:val="FootnoteText"/>
        <w:jc w:val="left"/>
      </w:pPr>
      <w:r w:rsidRPr="00004845">
        <w:rPr>
          <w:rStyle w:val="FootnoteReference"/>
        </w:rPr>
        <w:footnoteRef/>
      </w:r>
      <w:r w:rsidRPr="00004845">
        <w:t xml:space="preserve"> </w:t>
      </w:r>
      <w:r w:rsidRPr="00004845">
        <w:rPr>
          <w:i/>
          <w:iCs/>
        </w:rPr>
        <w:t>Amendment of the Commission’s Rules Concerning Maritime Communications</w:t>
      </w:r>
      <w:r w:rsidRPr="00004845">
        <w:t>, PR Docket No. 92-257, Second Memorandum Opinion and Order and Fifth Report and Order, 17 FCC Rcd 6685, 6696</w:t>
      </w:r>
      <w:r w:rsidR="00B0754E">
        <w:t>,</w:t>
      </w:r>
      <w:r w:rsidRPr="00004845">
        <w:t xml:space="preserve"> para. 24 (2002).  Incumbent site-based stations are grandfathered and are entitled to protection from a geographic licensee.</w:t>
      </w:r>
    </w:p>
  </w:footnote>
  <w:footnote w:id="8">
    <w:p w:rsidR="003C535B" w:rsidRPr="00004845" w:rsidP="00004845" w14:paraId="369B97C9" w14:textId="14D607A6">
      <w:pPr>
        <w:pStyle w:val="FootnoteText"/>
        <w:jc w:val="left"/>
      </w:pPr>
      <w:r w:rsidRPr="00004845">
        <w:rPr>
          <w:rStyle w:val="FootnoteReference"/>
        </w:rPr>
        <w:footnoteRef/>
      </w:r>
      <w:r w:rsidRPr="00004845">
        <w:t xml:space="preserve"> 47 CFR § 80.385 (frequencies for AMTS systems).  </w:t>
      </w:r>
    </w:p>
  </w:footnote>
  <w:footnote w:id="9">
    <w:p w:rsidR="003C535B" w:rsidRPr="00004845" w:rsidP="00004845" w14:paraId="59C32C90" w14:textId="3D0F8FF2">
      <w:pPr>
        <w:pStyle w:val="FootnoteText"/>
        <w:jc w:val="left"/>
      </w:pPr>
      <w:r w:rsidRPr="00004845">
        <w:rPr>
          <w:rStyle w:val="FootnoteReference"/>
        </w:rPr>
        <w:footnoteRef/>
      </w:r>
      <w:r w:rsidRPr="00004845">
        <w:t xml:space="preserve"> File No. 0008694347.</w:t>
      </w:r>
    </w:p>
  </w:footnote>
  <w:footnote w:id="10">
    <w:p w:rsidR="003C535B" w:rsidRPr="00004845" w:rsidP="00004845" w14:paraId="2F917757" w14:textId="315A0AB7">
      <w:pPr>
        <w:pStyle w:val="FootnoteText"/>
        <w:jc w:val="left"/>
      </w:pPr>
      <w:r w:rsidRPr="00004845">
        <w:rPr>
          <w:rStyle w:val="FootnoteReference"/>
        </w:rPr>
        <w:footnoteRef/>
      </w:r>
      <w:r w:rsidRPr="00004845">
        <w:t xml:space="preserve"> </w:t>
      </w:r>
      <w:r w:rsidRPr="00004845">
        <w:rPr>
          <w:i/>
          <w:iCs/>
        </w:rPr>
        <w:t>Wireless Telecommunications Bureau Assignment of License Authorization Applications, Transfer of Control of Licensee Applications, and De Facto Transfer Lease Applications, and Designated Entity Reportable Eligibility Event Applications Accepted for Filing</w:t>
      </w:r>
      <w:r w:rsidRPr="00004845">
        <w:t xml:space="preserve">, </w:t>
      </w:r>
      <w:r w:rsidRPr="00004845">
        <w:rPr>
          <w:iCs/>
        </w:rPr>
        <w:t>Public Notice,</w:t>
      </w:r>
      <w:r w:rsidRPr="00004845">
        <w:rPr>
          <w:i/>
        </w:rPr>
        <w:t xml:space="preserve"> </w:t>
      </w:r>
      <w:r w:rsidRPr="00004845">
        <w:t>Report No. 14227 (WTB rel. July 24, 2019).</w:t>
      </w:r>
    </w:p>
  </w:footnote>
  <w:footnote w:id="11">
    <w:p w:rsidR="003C535B" w:rsidRPr="00004845" w:rsidP="00004845" w14:paraId="225862C0" w14:textId="6E6DDF1D">
      <w:pPr>
        <w:pStyle w:val="FootnoteText"/>
        <w:jc w:val="left"/>
        <w:rPr>
          <w:iCs/>
        </w:rPr>
      </w:pPr>
      <w:r w:rsidRPr="00004845">
        <w:rPr>
          <w:rStyle w:val="FootnoteReference"/>
        </w:rPr>
        <w:footnoteRef/>
      </w:r>
      <w:r w:rsidRPr="00004845">
        <w:t xml:space="preserve"> Petition to Deny.</w:t>
      </w:r>
    </w:p>
  </w:footnote>
  <w:footnote w:id="12">
    <w:p w:rsidR="003C535B" w:rsidRPr="00004845" w:rsidP="00004845" w14:paraId="741D353D" w14:textId="4A262655">
      <w:pPr>
        <w:pStyle w:val="FootnoteText"/>
        <w:jc w:val="left"/>
      </w:pPr>
      <w:r w:rsidRPr="00004845">
        <w:rPr>
          <w:rStyle w:val="FootnoteReference"/>
        </w:rPr>
        <w:footnoteRef/>
      </w:r>
      <w:r w:rsidRPr="00004845">
        <w:t xml:space="preserve"> PTC-220 Opposition to Petition to Deny, File No. 0008694347 (filed Aug. 19, 2019) (Opposition).</w:t>
      </w:r>
    </w:p>
  </w:footnote>
  <w:footnote w:id="13">
    <w:p w:rsidR="003C535B" w:rsidRPr="00004845" w:rsidP="00004845" w14:paraId="523F5EBD" w14:textId="5C54C2D0">
      <w:pPr>
        <w:pStyle w:val="FootnoteText"/>
        <w:jc w:val="left"/>
      </w:pPr>
      <w:r w:rsidRPr="00004845">
        <w:rPr>
          <w:rStyle w:val="FootnoteReference"/>
        </w:rPr>
        <w:footnoteRef/>
      </w:r>
      <w:r w:rsidRPr="00004845">
        <w:t xml:space="preserve"> (Errata Copy) Reply to Opposition to Petition to Deny Under 47 USC § 309(d) (and associated FCC rules) or in the Alternative Informal Request Under 47 CFR § 1.41, and Reply to Opposition to Supplemental Filings, at 2, File No. 0008694347 (filed Sept. 14, 2019) (Reply).</w:t>
      </w:r>
    </w:p>
  </w:footnote>
  <w:footnote w:id="14">
    <w:p w:rsidR="003C535B" w:rsidRPr="00004845" w:rsidP="00004845" w14:paraId="7DF3EAAF" w14:textId="0D0FC9D0">
      <w:pPr>
        <w:pStyle w:val="FootnoteText"/>
        <w:jc w:val="left"/>
      </w:pPr>
      <w:r w:rsidRPr="00004845">
        <w:rPr>
          <w:rStyle w:val="FootnoteReference"/>
        </w:rPr>
        <w:footnoteRef/>
      </w:r>
      <w:r w:rsidRPr="00004845">
        <w:t xml:space="preserve"> </w:t>
      </w:r>
      <w:r w:rsidRPr="00004845">
        <w:rPr>
          <w:i/>
          <w:iCs/>
        </w:rPr>
        <w:t>Id.</w:t>
      </w:r>
      <w:r w:rsidRPr="00004845">
        <w:t xml:space="preserve"> at 6.</w:t>
      </w:r>
    </w:p>
  </w:footnote>
  <w:footnote w:id="15">
    <w:p w:rsidR="003C535B" w:rsidRPr="00004845" w:rsidP="00004845" w14:paraId="383BBAA0" w14:textId="3CC39C69">
      <w:pPr>
        <w:pStyle w:val="FootnoteText"/>
        <w:jc w:val="left"/>
      </w:pPr>
      <w:r w:rsidRPr="00004845">
        <w:rPr>
          <w:rStyle w:val="FootnoteReference"/>
        </w:rPr>
        <w:footnoteRef/>
      </w:r>
      <w:r w:rsidRPr="00004845">
        <w:t xml:space="preserve"> Havens Supplement of 8-14-2019 to (Errata Copy) Petition to Deny Under 47 USC § 309(d) (and associated FCC rules) or in the Alternative Informal Request Under 47 CFR § 1.41, File No. 0008694347 (filed Aug. 14, 2019).</w:t>
      </w:r>
    </w:p>
  </w:footnote>
  <w:footnote w:id="16">
    <w:p w:rsidR="003C535B" w:rsidRPr="00004845" w:rsidP="00004845" w14:paraId="23B03CB0" w14:textId="1766B824">
      <w:pPr>
        <w:pStyle w:val="FootnoteText"/>
        <w:jc w:val="left"/>
      </w:pPr>
      <w:r w:rsidRPr="00004845">
        <w:rPr>
          <w:rStyle w:val="FootnoteReference"/>
        </w:rPr>
        <w:footnoteRef/>
      </w:r>
      <w:r w:rsidRPr="00004845">
        <w:t xml:space="preserve"> Petition Supplement, With Request to Accept Copy of Relevant Court Filing, 8-20-2019 Filed Motion for Stay and Injunction Before the Nevada Supreme Court by Appellant Havens, File No. 0008694347 (filed Aug. 21, 2019).</w:t>
      </w:r>
    </w:p>
  </w:footnote>
  <w:footnote w:id="17">
    <w:p w:rsidR="003C535B" w:rsidRPr="00004845" w:rsidP="00004845" w14:paraId="0651A315" w14:textId="36E62FC0">
      <w:pPr>
        <w:pStyle w:val="FootnoteText"/>
        <w:jc w:val="left"/>
      </w:pPr>
      <w:r w:rsidRPr="00004845">
        <w:rPr>
          <w:rStyle w:val="FootnoteReference"/>
        </w:rPr>
        <w:footnoteRef/>
      </w:r>
      <w:r w:rsidRPr="00004845">
        <w:t xml:space="preserve"> Opposition to Late Filings or, Alternatively, Informal Filings, File No. 0008694347 (filed Aug. 28, 2019).</w:t>
      </w:r>
    </w:p>
  </w:footnote>
  <w:footnote w:id="18">
    <w:p w:rsidR="003C535B" w:rsidRPr="00004845" w:rsidP="00004845" w14:paraId="2F9F7C16" w14:textId="71FFDA70">
      <w:pPr>
        <w:pStyle w:val="FootnoteText"/>
        <w:jc w:val="left"/>
      </w:pPr>
      <w:r w:rsidRPr="00004845">
        <w:rPr>
          <w:rStyle w:val="FootnoteReference"/>
        </w:rPr>
        <w:footnoteRef/>
      </w:r>
      <w:r w:rsidRPr="00004845">
        <w:t xml:space="preserve"> 47 CFR § 1.41 (the rule provides that “[e]xcept where formal procedures are required” under the Commission’s rules “requests for action may be submitted informally”).</w:t>
      </w:r>
    </w:p>
  </w:footnote>
  <w:footnote w:id="19">
    <w:p w:rsidR="003C535B" w:rsidRPr="00004845" w:rsidP="00004845" w14:paraId="6C9A1BAE" w14:textId="61D3F880">
      <w:pPr>
        <w:pStyle w:val="FootnoteText"/>
        <w:jc w:val="left"/>
      </w:pPr>
      <w:r w:rsidRPr="00004845">
        <w:rPr>
          <w:rStyle w:val="FootnoteReference"/>
        </w:rPr>
        <w:footnoteRef/>
      </w:r>
      <w:r w:rsidRPr="00004845">
        <w:t xml:space="preserve"> 47 CFR § 1.65 (the rule requires applicants to advise the Commission of substantial changes of matters that may be of decisional significance).</w:t>
      </w:r>
    </w:p>
  </w:footnote>
  <w:footnote w:id="20">
    <w:p w:rsidR="003C535B" w:rsidRPr="00004845" w:rsidP="00004845" w14:paraId="1993B987" w14:textId="21BCDB7B">
      <w:pPr>
        <w:pStyle w:val="FootnoteText"/>
        <w:jc w:val="left"/>
      </w:pPr>
      <w:r w:rsidRPr="00004845">
        <w:rPr>
          <w:rStyle w:val="FootnoteReference"/>
        </w:rPr>
        <w:footnoteRef/>
      </w:r>
      <w:r w:rsidRPr="00004845">
        <w:t xml:space="preserve"> Section 1.65 Update Supplement, File No. 0008694347 (filed Jan. 28, 2020).</w:t>
      </w:r>
    </w:p>
  </w:footnote>
  <w:footnote w:id="21">
    <w:p w:rsidR="003C535B" w:rsidRPr="00004845" w:rsidP="00004845" w14:paraId="5EA865AF" w14:textId="77E2050D">
      <w:pPr>
        <w:pStyle w:val="FootnoteText"/>
        <w:jc w:val="left"/>
      </w:pPr>
      <w:r w:rsidRPr="00004845">
        <w:rPr>
          <w:rStyle w:val="FootnoteReference"/>
        </w:rPr>
        <w:footnoteRef/>
      </w:r>
      <w:r w:rsidRPr="00004845">
        <w:t xml:space="preserve"> Warren Havens Response to Section 1.65 Update Supplement by PTC-220, File No. 0008694347 (filed Jan. 28, 2020) (Havens January 28, 2020, Response).</w:t>
      </w:r>
    </w:p>
  </w:footnote>
  <w:footnote w:id="22">
    <w:p w:rsidR="003C535B" w:rsidRPr="00004845" w:rsidP="00004845" w14:paraId="5CC446E3" w14:textId="6A8DBA3F">
      <w:pPr>
        <w:pStyle w:val="FootnoteText"/>
        <w:jc w:val="left"/>
      </w:pPr>
      <w:r w:rsidRPr="00004845">
        <w:rPr>
          <w:rStyle w:val="FootnoteReference"/>
        </w:rPr>
        <w:footnoteRef/>
      </w:r>
      <w:r w:rsidRPr="00004845">
        <w:t xml:space="preserve"> Supplement to Warren Havens Response to Section 1.65 Update Supplement by PTC-220, File No. 0008694347 (filed Feb. 29, 2020) (Havens February 29, 2020, Supplement).</w:t>
      </w:r>
    </w:p>
  </w:footnote>
  <w:footnote w:id="23">
    <w:p w:rsidR="003C535B" w:rsidRPr="00004845" w:rsidP="00004845" w14:paraId="2679769F" w14:textId="6C38573E">
      <w:pPr>
        <w:pStyle w:val="FootnoteText"/>
        <w:jc w:val="left"/>
      </w:pPr>
      <w:r w:rsidRPr="00004845">
        <w:rPr>
          <w:rStyle w:val="FootnoteReference"/>
        </w:rPr>
        <w:footnoteRef/>
      </w:r>
      <w:r w:rsidRPr="00004845">
        <w:t xml:space="preserve"> </w:t>
      </w:r>
      <w:r w:rsidRPr="00004845">
        <w:rPr>
          <w:i/>
          <w:iCs/>
        </w:rPr>
        <w:t>Id.</w:t>
      </w:r>
      <w:r w:rsidRPr="00004845">
        <w:t xml:space="preserve"> at. 2-3</w:t>
      </w:r>
      <w:r w:rsidRPr="00004845" w:rsidR="0072142F">
        <w:t>.</w:t>
      </w:r>
      <w:r w:rsidRPr="00004845">
        <w:t xml:space="preserve"> </w:t>
      </w:r>
    </w:p>
  </w:footnote>
  <w:footnote w:id="24">
    <w:p w:rsidR="003C535B" w:rsidRPr="00004845" w:rsidP="00004845" w14:paraId="3AC287B8" w14:textId="07FAB5C8">
      <w:pPr>
        <w:pStyle w:val="FootnoteText"/>
        <w:jc w:val="left"/>
      </w:pPr>
      <w:r w:rsidRPr="00004845">
        <w:rPr>
          <w:rStyle w:val="FootnoteReference"/>
        </w:rPr>
        <w:footnoteRef/>
      </w:r>
      <w:r w:rsidRPr="00004845">
        <w:t xml:space="preserve"> 47 CFR § 1.65.</w:t>
      </w:r>
    </w:p>
  </w:footnote>
  <w:footnote w:id="25">
    <w:p w:rsidR="003C535B" w:rsidRPr="00004845" w:rsidP="00004845" w14:paraId="568D9980" w14:textId="2319A992">
      <w:pPr>
        <w:pStyle w:val="FootnoteText"/>
        <w:jc w:val="left"/>
      </w:pPr>
      <w:r w:rsidRPr="00004845">
        <w:rPr>
          <w:rStyle w:val="FootnoteReference"/>
        </w:rPr>
        <w:footnoteRef/>
      </w:r>
      <w:r w:rsidRPr="00004845">
        <w:t xml:space="preserve"> Section 1.65 Update and Response to Informal Filings, File No. 0008694347 (filed May 8, 2020) (PTC-220 May 8, 2020, Update).</w:t>
      </w:r>
    </w:p>
  </w:footnote>
  <w:footnote w:id="26">
    <w:p w:rsidR="003C535B" w:rsidRPr="00004845" w:rsidP="00004845" w14:paraId="2ED31946" w14:textId="7B590748">
      <w:pPr>
        <w:pStyle w:val="FootnoteText"/>
        <w:jc w:val="left"/>
      </w:pPr>
      <w:r w:rsidRPr="00004845">
        <w:rPr>
          <w:rStyle w:val="FootnoteReference"/>
        </w:rPr>
        <w:footnoteRef/>
      </w:r>
      <w:r w:rsidRPr="00004845">
        <w:t xml:space="preserve"> </w:t>
      </w:r>
      <w:r w:rsidRPr="00004845">
        <w:rPr>
          <w:i/>
          <w:iCs/>
        </w:rPr>
        <w:t>Id.</w:t>
      </w:r>
      <w:r w:rsidRPr="00004845">
        <w:t xml:space="preserve"> at 3.</w:t>
      </w:r>
    </w:p>
  </w:footnote>
  <w:footnote w:id="27">
    <w:p w:rsidR="003C535B" w:rsidRPr="00004845" w:rsidP="00004845" w14:paraId="16AA19A9" w14:textId="38CDD4BE">
      <w:pPr>
        <w:pStyle w:val="FootnoteText"/>
        <w:jc w:val="left"/>
      </w:pPr>
      <w:r w:rsidRPr="00004845">
        <w:rPr>
          <w:rStyle w:val="FootnoteReference"/>
        </w:rPr>
        <w:footnoteRef/>
      </w:r>
      <w:r w:rsidRPr="00004845">
        <w:t xml:space="preserve"> Havens Response to PTC-220’s May 8, 2020 “Section 1.65 Update and Response to ‘Informal Filings’,” and Further Submission Including New Court Order, File No. 0008694347 (filed May 21, 2020).</w:t>
      </w:r>
    </w:p>
  </w:footnote>
  <w:footnote w:id="28">
    <w:p w:rsidR="003C535B" w:rsidRPr="00004845" w:rsidP="00004845" w14:paraId="343C5C2B" w14:textId="3853F2B7">
      <w:pPr>
        <w:pStyle w:val="FootnoteText"/>
        <w:jc w:val="left"/>
      </w:pPr>
      <w:r w:rsidRPr="00004845">
        <w:rPr>
          <w:rStyle w:val="FootnoteReference"/>
        </w:rPr>
        <w:footnoteRef/>
      </w:r>
      <w:r w:rsidRPr="00004845">
        <w:t xml:space="preserve"> Havens July 15, 2020 Informational Filing and Update and Petition for Leave to Supplement Record, File No. 0008694347 (filed July 15, 2020).</w:t>
      </w:r>
    </w:p>
  </w:footnote>
  <w:footnote w:id="29">
    <w:p w:rsidR="003C535B" w:rsidRPr="00004845" w:rsidP="00004845" w14:paraId="072BDDCE" w14:textId="4ADC7ED6">
      <w:pPr>
        <w:pStyle w:val="FootnoteText"/>
        <w:jc w:val="left"/>
      </w:pPr>
      <w:r w:rsidRPr="00004845">
        <w:rPr>
          <w:rStyle w:val="FootnoteReference"/>
        </w:rPr>
        <w:footnoteRef/>
      </w:r>
      <w:r w:rsidRPr="00004845">
        <w:t xml:space="preserve"> 47 CFR § 1.65.</w:t>
      </w:r>
    </w:p>
  </w:footnote>
  <w:footnote w:id="30">
    <w:p w:rsidR="003C535B" w:rsidRPr="00004845" w:rsidP="00004845" w14:paraId="678B4F35" w14:textId="7247DF96">
      <w:pPr>
        <w:pStyle w:val="FootnoteText"/>
        <w:jc w:val="left"/>
      </w:pPr>
      <w:r w:rsidRPr="00004845">
        <w:rPr>
          <w:rStyle w:val="FootnoteReference"/>
        </w:rPr>
        <w:footnoteRef/>
      </w:r>
      <w:r w:rsidRPr="00004845">
        <w:t xml:space="preserve"> Section 1.65 Update, File No. 0008694347 (filed Sept. 25, 2020) (PTC-220 September 25, 2020, Update).</w:t>
      </w:r>
    </w:p>
  </w:footnote>
  <w:footnote w:id="31">
    <w:p w:rsidR="003C535B" w:rsidRPr="00004845" w:rsidP="00004845" w14:paraId="00C1D36D" w14:textId="27961995">
      <w:pPr>
        <w:pStyle w:val="FootnoteText"/>
        <w:jc w:val="left"/>
      </w:pPr>
      <w:r w:rsidRPr="00004845">
        <w:rPr>
          <w:rStyle w:val="FootnoteReference"/>
        </w:rPr>
        <w:footnoteRef/>
      </w:r>
      <w:r w:rsidRPr="00004845">
        <w:t xml:space="preserve"> Petition to Deny at 2.</w:t>
      </w:r>
    </w:p>
  </w:footnote>
  <w:footnote w:id="32">
    <w:p w:rsidR="003C535B" w:rsidRPr="00004845" w:rsidP="00004845" w14:paraId="5743EB8A" w14:textId="7AE6BC4F">
      <w:pPr>
        <w:pStyle w:val="FootnoteText"/>
        <w:jc w:val="left"/>
      </w:pPr>
      <w:r w:rsidRPr="00004845">
        <w:rPr>
          <w:rStyle w:val="FootnoteReference"/>
        </w:rPr>
        <w:footnoteRef/>
      </w:r>
      <w:r w:rsidRPr="00004845" w:rsidR="00A52D1E">
        <w:t xml:space="preserve"> </w:t>
      </w:r>
      <w:r w:rsidRPr="00004845" w:rsidR="00A52D1E">
        <w:rPr>
          <w:i/>
          <w:iCs/>
        </w:rPr>
        <w:t>Id.</w:t>
      </w:r>
      <w:r w:rsidRPr="00004845">
        <w:t xml:space="preserve"> at 4.</w:t>
      </w:r>
    </w:p>
  </w:footnote>
  <w:footnote w:id="33">
    <w:p w:rsidR="003C535B" w:rsidRPr="00004845" w:rsidP="00004845" w14:paraId="76685561" w14:textId="57BA1E0C">
      <w:pPr>
        <w:pStyle w:val="FootnoteText"/>
        <w:jc w:val="left"/>
      </w:pPr>
      <w:r w:rsidRPr="00004845">
        <w:rPr>
          <w:rStyle w:val="FootnoteReference"/>
        </w:rPr>
        <w:footnoteRef/>
      </w:r>
      <w:r w:rsidRPr="00004845">
        <w:t xml:space="preserve"> </w:t>
      </w:r>
      <w:r w:rsidRPr="00004845" w:rsidR="00A52D1E">
        <w:rPr>
          <w:i/>
          <w:iCs/>
        </w:rPr>
        <w:t>Id.</w:t>
      </w:r>
    </w:p>
  </w:footnote>
  <w:footnote w:id="34">
    <w:p w:rsidR="003C535B" w:rsidRPr="00004845" w:rsidP="00004845" w14:paraId="2C8C7FAB" w14:textId="01058051">
      <w:pPr>
        <w:pStyle w:val="FootnoteText"/>
        <w:jc w:val="left"/>
      </w:pPr>
      <w:r w:rsidRPr="00004845">
        <w:rPr>
          <w:rStyle w:val="FootnoteReference"/>
        </w:rPr>
        <w:footnoteRef/>
      </w:r>
      <w:r w:rsidRPr="00004845">
        <w:t xml:space="preserve"> PTC-220 September 25, 2020, Update.</w:t>
      </w:r>
    </w:p>
  </w:footnote>
  <w:footnote w:id="35">
    <w:p w:rsidR="003C535B" w:rsidRPr="00004845" w:rsidP="00004845" w14:paraId="2A5F5B3A" w14:textId="3613192E">
      <w:pPr>
        <w:pStyle w:val="FootnoteText"/>
        <w:jc w:val="left"/>
      </w:pPr>
      <w:r w:rsidRPr="00004845">
        <w:rPr>
          <w:rStyle w:val="FootnoteReference"/>
        </w:rPr>
        <w:footnoteRef/>
      </w:r>
      <w:r w:rsidRPr="00004845">
        <w:t xml:space="preserve"> </w:t>
      </w:r>
      <w:r w:rsidRPr="00004845">
        <w:rPr>
          <w:i/>
          <w:iCs/>
        </w:rPr>
        <w:t>Applications of Verestar, Inc. (Debtor-In-Possession) for Consent to Assignment of Licenses to SES Americom, Inc.</w:t>
      </w:r>
      <w:r w:rsidRPr="00004845">
        <w:t xml:space="preserve">, Memorandum Opinion, Order, and Authorization, 19 FCC Rcd 22750, para. 16 (IB &amp; WTB 2004) (it is “long-standing Commission policy not to involve itself with private contract disputes”); </w:t>
      </w:r>
      <w:r w:rsidRPr="00004845">
        <w:rPr>
          <w:i/>
          <w:iCs/>
        </w:rPr>
        <w:t>Chief Washakie TV</w:t>
      </w:r>
      <w:r w:rsidRPr="00004845">
        <w:t>, 46 Rad. Reg. 2d 1594, n.7 (P&amp;F) (1980) (pendency of ongoing litigation does not preclude Commission action on an application).</w:t>
      </w:r>
    </w:p>
  </w:footnote>
  <w:footnote w:id="36">
    <w:p w:rsidR="003C535B" w:rsidRPr="00004845" w:rsidP="00004845" w14:paraId="717FE363" w14:textId="4EB496BC">
      <w:pPr>
        <w:spacing w:after="120"/>
        <w:rPr>
          <w:sz w:val="20"/>
        </w:rPr>
      </w:pPr>
      <w:r w:rsidRPr="00004845">
        <w:rPr>
          <w:rStyle w:val="FootnoteReference"/>
          <w:sz w:val="20"/>
        </w:rPr>
        <w:footnoteRef/>
      </w:r>
      <w:r w:rsidRPr="00004845">
        <w:rPr>
          <w:sz w:val="20"/>
        </w:rPr>
        <w:t xml:space="preserve"> </w:t>
      </w:r>
      <w:r w:rsidRPr="00004845">
        <w:rPr>
          <w:i/>
          <w:iCs/>
          <w:sz w:val="20"/>
        </w:rPr>
        <w:t>Thomas K. Kurian</w:t>
      </w:r>
      <w:r w:rsidRPr="00004845">
        <w:rPr>
          <w:sz w:val="20"/>
        </w:rPr>
        <w:t>, Order, 24 FCC Rcd 4849, 4852</w:t>
      </w:r>
      <w:r w:rsidR="00B0754E">
        <w:rPr>
          <w:sz w:val="20"/>
        </w:rPr>
        <w:t>,</w:t>
      </w:r>
      <w:r w:rsidRPr="00004845">
        <w:rPr>
          <w:sz w:val="20"/>
        </w:rPr>
        <w:t xml:space="preserve"> para. 9 (WTB MD 2009).</w:t>
      </w:r>
    </w:p>
  </w:footnote>
  <w:footnote w:id="37">
    <w:p w:rsidR="003C535B" w:rsidRPr="00004845" w:rsidP="00004845" w14:paraId="0740C3E9" w14:textId="77777777">
      <w:pPr>
        <w:spacing w:after="120"/>
        <w:rPr>
          <w:sz w:val="20"/>
        </w:rPr>
      </w:pPr>
      <w:r w:rsidRPr="00004845">
        <w:rPr>
          <w:rStyle w:val="FootnoteReference"/>
          <w:sz w:val="20"/>
        </w:rPr>
        <w:footnoteRef/>
      </w:r>
      <w:r w:rsidRPr="00004845">
        <w:rPr>
          <w:sz w:val="20"/>
        </w:rPr>
        <w:t xml:space="preserve"> </w:t>
      </w:r>
      <w:r w:rsidRPr="00004845">
        <w:rPr>
          <w:i/>
          <w:iCs/>
          <w:sz w:val="20"/>
        </w:rPr>
        <w:t>Thomas K. Kurian</w:t>
      </w:r>
      <w:r w:rsidRPr="00004845">
        <w:rPr>
          <w:sz w:val="20"/>
        </w:rPr>
        <w:t>, Memorandum of Opinion and Order, 25 FCC Rcd 13863 (WTB MD 2010).</w:t>
      </w:r>
    </w:p>
  </w:footnote>
  <w:footnote w:id="38">
    <w:p w:rsidR="003C535B" w:rsidRPr="00004845" w:rsidP="00004845" w14:paraId="5AA87A70" w14:textId="7A5463D9">
      <w:pPr>
        <w:pStyle w:val="FootnoteText"/>
        <w:jc w:val="left"/>
      </w:pPr>
      <w:r w:rsidRPr="00004845">
        <w:rPr>
          <w:rStyle w:val="FootnoteReference"/>
        </w:rPr>
        <w:footnoteRef/>
      </w:r>
      <w:r w:rsidRPr="00004845">
        <w:t xml:space="preserve"> Environmental, LLC v. FCC, 661 F.3d 80 (D.C. Cir. 2011).</w:t>
      </w:r>
    </w:p>
  </w:footnote>
  <w:footnote w:id="39">
    <w:p w:rsidR="003C535B" w:rsidRPr="00004845" w:rsidP="00004845" w14:paraId="34F53492" w14:textId="259FFF48">
      <w:pPr>
        <w:pStyle w:val="FootnoteText"/>
        <w:jc w:val="left"/>
      </w:pPr>
      <w:r w:rsidRPr="00004845">
        <w:rPr>
          <w:rStyle w:val="FootnoteReference"/>
        </w:rPr>
        <w:footnoteRef/>
      </w:r>
      <w:r w:rsidRPr="00004845">
        <w:t xml:space="preserve"> </w:t>
      </w:r>
      <w:r w:rsidRPr="00004845">
        <w:rPr>
          <w:i/>
          <w:iCs/>
        </w:rPr>
        <w:t>Regents of University System of Georgia v. Carroll</w:t>
      </w:r>
      <w:r w:rsidRPr="00004845">
        <w:t xml:space="preserve">, 338 U.S. 586, 602 (1950) (holding that the Commission is not the proper forum to litigate contract disputes between licensees and others); Listeners' Guild v. FCC, 813 F.2d 465, 569 (D.C. Cir. 1987) (endorsing “the Commission's longstanding policy of refusing to adjudicate private contract law questions”); </w:t>
      </w:r>
      <w:r w:rsidRPr="00004845">
        <w:rPr>
          <w:i/>
          <w:iCs/>
        </w:rPr>
        <w:t>Applications of AT&amp;T Inc. and Cellco Partnership d/b/a Verizon Wireless for Consent to Assign or Transfer Control of Licenses and Authorizations and Modify a Spectrum Leasing Arrangement</w:t>
      </w:r>
      <w:r w:rsidRPr="00004845">
        <w:t xml:space="preserve">, Memorandum Opinion and Order, 25 FCC Rcd 8704, para. 139 (2010) (concluding that, “consistent with past practice, . . . the pendency of these legal proceedings should not cause us to delay our action on the pending AT&amp;T-Verizon Wireless applications”); </w:t>
      </w:r>
      <w:r w:rsidRPr="00004845">
        <w:rPr>
          <w:i/>
          <w:iCs/>
        </w:rPr>
        <w:t>PCS 2000, L.P.</w:t>
      </w:r>
      <w:r w:rsidRPr="00004845">
        <w:t>, Memorandum Opinion and Order, 12 FCC Rcd 1681, 1691</w:t>
      </w:r>
      <w:r w:rsidR="00B0754E">
        <w:t>,</w:t>
      </w:r>
      <w:r w:rsidRPr="00004845">
        <w:t xml:space="preserve"> para. 23 (1997) (deferring to the courts to adjudicate matters involving private rights). </w:t>
      </w:r>
      <w:r w:rsidRPr="00004845">
        <w:rPr>
          <w:i/>
          <w:iCs/>
        </w:rPr>
        <w:t xml:space="preserve"> </w:t>
      </w:r>
    </w:p>
  </w:footnote>
  <w:footnote w:id="40">
    <w:p w:rsidR="003C535B" w:rsidRPr="00004845" w:rsidP="00004845" w14:paraId="0FB91A12" w14:textId="061127A4">
      <w:pPr>
        <w:pStyle w:val="FootnoteText"/>
        <w:jc w:val="left"/>
      </w:pPr>
      <w:r w:rsidRPr="00004845">
        <w:rPr>
          <w:rStyle w:val="FootnoteReference"/>
        </w:rPr>
        <w:footnoteRef/>
      </w:r>
      <w:r w:rsidRPr="00004845">
        <w:t xml:space="preserve"> </w:t>
      </w:r>
      <w:r w:rsidRPr="00004845">
        <w:rPr>
          <w:i/>
          <w:iCs/>
        </w:rPr>
        <w:t>Spanish International Communications Corporation</w:t>
      </w:r>
      <w:r w:rsidRPr="00004845">
        <w:t xml:space="preserve">, </w:t>
      </w:r>
      <w:r w:rsidRPr="00004845">
        <w:rPr>
          <w:iCs/>
        </w:rPr>
        <w:t>Memorandum Opinion and Order,</w:t>
      </w:r>
      <w:r w:rsidRPr="00004845">
        <w:t xml:space="preserve"> 3 FCC Rcd 4319, 4321</w:t>
      </w:r>
      <w:r w:rsidR="00B0754E">
        <w:t>,</w:t>
      </w:r>
      <w:r w:rsidRPr="00004845">
        <w:t xml:space="preserve"> para. 11 (1988) (“[T]</w:t>
      </w:r>
      <w:r w:rsidRPr="00004845">
        <w:rPr>
          <w:color w:val="000000"/>
        </w:rPr>
        <w:t>he Bureau's grant of a transfer or assignment amounts only to consent to the specific transaction proposed.  In the absence of the issuance of a stay or injunction by a tribunal with proper jurisdiction, the parties to such applications are free to consummate</w:t>
      </w:r>
      <w:bookmarkStart w:id="2" w:name="SR;2296"/>
      <w:bookmarkStart w:id="3" w:name="SearchTerm"/>
      <w:bookmarkEnd w:id="2"/>
      <w:r w:rsidRPr="00004845">
        <w:rPr>
          <w:color w:val="000000"/>
        </w:rPr>
        <w:t xml:space="preserve"> the transaction at their own </w:t>
      </w:r>
      <w:bookmarkStart w:id="4" w:name="SR;2302"/>
      <w:bookmarkEnd w:id="3"/>
      <w:bookmarkEnd w:id="4"/>
      <w:r w:rsidRPr="00004845">
        <w:rPr>
          <w:color w:val="000000"/>
        </w:rPr>
        <w:t>risk where matters are pending in other forums which may ultimately result in an unfavorable outcome for them.</w:t>
      </w:r>
      <w:r w:rsidRPr="00004845">
        <w:t>”).</w:t>
      </w:r>
    </w:p>
  </w:footnote>
  <w:footnote w:id="41">
    <w:p w:rsidR="003C535B" w:rsidRPr="00004845" w:rsidP="00004845" w14:paraId="48F8033E" w14:textId="1C11C26D">
      <w:pPr>
        <w:pStyle w:val="FootnoteText"/>
        <w:jc w:val="left"/>
      </w:pPr>
      <w:r w:rsidRPr="00004845">
        <w:rPr>
          <w:rStyle w:val="FootnoteReference"/>
        </w:rPr>
        <w:footnoteRef/>
      </w:r>
      <w:r w:rsidRPr="00004845">
        <w:t xml:space="preserve"> Petition to Deny at 2-3.</w:t>
      </w:r>
    </w:p>
  </w:footnote>
  <w:footnote w:id="42">
    <w:p w:rsidR="003C535B" w:rsidRPr="00004845" w:rsidP="00004845" w14:paraId="73DB8818" w14:textId="157F2EFF">
      <w:pPr>
        <w:pStyle w:val="FootnoteText"/>
        <w:jc w:val="left"/>
      </w:pPr>
      <w:r w:rsidRPr="00004845">
        <w:rPr>
          <w:rStyle w:val="FootnoteReference"/>
        </w:rPr>
        <w:footnoteRef/>
      </w:r>
      <w:r w:rsidRPr="00004845">
        <w:t xml:space="preserve"> </w:t>
      </w:r>
      <w:r w:rsidRPr="00004845" w:rsidR="00A52D1E">
        <w:rPr>
          <w:i/>
          <w:iCs/>
        </w:rPr>
        <w:t>Id.</w:t>
      </w:r>
      <w:r w:rsidRPr="00004845">
        <w:t xml:space="preserve"> at 3.</w:t>
      </w:r>
    </w:p>
  </w:footnote>
  <w:footnote w:id="43">
    <w:p w:rsidR="00B72C2D" w:rsidRPr="00004845" w:rsidP="00004845" w14:paraId="6852EE6B" w14:textId="22DE7666">
      <w:pPr>
        <w:pStyle w:val="FootnoteText"/>
        <w:jc w:val="left"/>
      </w:pPr>
      <w:r w:rsidRPr="00004845">
        <w:rPr>
          <w:rStyle w:val="FootnoteReference"/>
        </w:rPr>
        <w:footnoteRef/>
      </w:r>
      <w:r w:rsidRPr="00004845">
        <w:t xml:space="preserve"> Opposition at </w:t>
      </w:r>
      <w:r w:rsidRPr="00004845" w:rsidR="006A0387">
        <w:t>3-4</w:t>
      </w:r>
      <w:r w:rsidRPr="00004845">
        <w:t>.</w:t>
      </w:r>
    </w:p>
  </w:footnote>
  <w:footnote w:id="44">
    <w:p w:rsidR="003C535B" w:rsidRPr="00004845" w:rsidP="00004845" w14:paraId="44308CE6" w14:textId="322E2BA7">
      <w:pPr>
        <w:pStyle w:val="FootnoteText"/>
        <w:jc w:val="left"/>
      </w:pPr>
      <w:r w:rsidRPr="00004845">
        <w:rPr>
          <w:rStyle w:val="FootnoteReference"/>
        </w:rPr>
        <w:footnoteRef/>
      </w:r>
      <w:r w:rsidRPr="00004845">
        <w:t xml:space="preserve"> Reply at 5.</w:t>
      </w:r>
    </w:p>
  </w:footnote>
  <w:footnote w:id="45">
    <w:p w:rsidR="003C535B" w:rsidRPr="00004845" w:rsidP="00004845" w14:paraId="52CF3924" w14:textId="6FEA5DE5">
      <w:pPr>
        <w:pStyle w:val="FootnoteText"/>
        <w:jc w:val="left"/>
      </w:pPr>
      <w:r w:rsidRPr="00004845">
        <w:rPr>
          <w:rStyle w:val="FootnoteReference"/>
        </w:rPr>
        <w:footnoteRef/>
      </w:r>
      <w:r w:rsidRPr="00004845">
        <w:t xml:space="preserve"> </w:t>
      </w:r>
      <w:r w:rsidRPr="00004845" w:rsidR="00216E82">
        <w:rPr>
          <w:i/>
          <w:iCs/>
        </w:rPr>
        <w:t>Id.</w:t>
      </w:r>
      <w:r w:rsidRPr="00004845" w:rsidR="00216E82">
        <w:t xml:space="preserve"> </w:t>
      </w:r>
      <w:r w:rsidRPr="00004845">
        <w:t>at 6.</w:t>
      </w:r>
    </w:p>
  </w:footnote>
  <w:footnote w:id="46">
    <w:p w:rsidR="003C535B" w:rsidRPr="00004845" w:rsidP="00004845" w14:paraId="0BC4224F" w14:textId="0D785797">
      <w:pPr>
        <w:pStyle w:val="FootnoteText"/>
        <w:jc w:val="left"/>
      </w:pPr>
      <w:r w:rsidRPr="00004845">
        <w:rPr>
          <w:rStyle w:val="FootnoteReference"/>
        </w:rPr>
        <w:footnoteRef/>
      </w:r>
      <w:r w:rsidRPr="00004845">
        <w:t xml:space="preserve"> 329 U.S. 223 (1946) (</w:t>
      </w:r>
      <w:r w:rsidRPr="00004845">
        <w:rPr>
          <w:i/>
          <w:iCs/>
        </w:rPr>
        <w:t>WOKO</w:t>
      </w:r>
      <w:r w:rsidRPr="00004845">
        <w:t>).</w:t>
      </w:r>
    </w:p>
  </w:footnote>
  <w:footnote w:id="47">
    <w:p w:rsidR="003C535B" w:rsidRPr="00004845" w:rsidP="00004845" w14:paraId="4A5C88BE" w14:textId="77777777">
      <w:pPr>
        <w:pStyle w:val="FootnoteText"/>
        <w:jc w:val="left"/>
      </w:pPr>
      <w:r w:rsidRPr="00004845">
        <w:rPr>
          <w:rStyle w:val="FootnoteReference"/>
        </w:rPr>
        <w:footnoteRef/>
      </w:r>
      <w:r w:rsidRPr="00004845">
        <w:t xml:space="preserve"> </w:t>
      </w:r>
      <w:r w:rsidRPr="00004845">
        <w:rPr>
          <w:i/>
        </w:rPr>
        <w:t>Id.</w:t>
      </w:r>
      <w:r w:rsidRPr="00004845">
        <w:t xml:space="preserve"> at 225.</w:t>
      </w:r>
    </w:p>
  </w:footnote>
  <w:footnote w:id="48">
    <w:p w:rsidR="003C535B" w:rsidRPr="00004845" w:rsidP="00004845" w14:paraId="12AB1BB8" w14:textId="1A564DE2">
      <w:pPr>
        <w:pStyle w:val="FootnoteText"/>
        <w:jc w:val="left"/>
      </w:pPr>
      <w:r w:rsidRPr="00004845">
        <w:rPr>
          <w:rStyle w:val="FootnoteReference"/>
        </w:rPr>
        <w:footnoteRef/>
      </w:r>
      <w:r w:rsidRPr="00004845">
        <w:t xml:space="preserve"> 47 U.S.C. § 308(b) (“All applications for station licenses . . . shall set forth such facts as the Commission by regulation may prescribe.”).</w:t>
      </w:r>
    </w:p>
  </w:footnote>
  <w:footnote w:id="49">
    <w:p w:rsidR="003C535B" w:rsidRPr="00004845" w:rsidP="00004845" w14:paraId="5AF6C128" w14:textId="7BF685A1">
      <w:pPr>
        <w:pStyle w:val="FootnoteText"/>
        <w:jc w:val="left"/>
      </w:pPr>
      <w:r w:rsidRPr="00004845">
        <w:rPr>
          <w:rStyle w:val="FootnoteReference"/>
        </w:rPr>
        <w:footnoteRef/>
      </w:r>
      <w:r w:rsidRPr="00004845">
        <w:t xml:space="preserve"> 47 CFR § 1.948(c) (“In the case of an assignment of authorization[,] . . . the assignor must file an application for approval of the assignment on FCC Form 603.”).</w:t>
      </w:r>
    </w:p>
  </w:footnote>
  <w:footnote w:id="50">
    <w:p w:rsidR="003C535B" w:rsidRPr="00004845" w:rsidP="00004845" w14:paraId="6A1E7740" w14:textId="06E7E8DD">
      <w:pPr>
        <w:pStyle w:val="FootnoteText"/>
        <w:jc w:val="left"/>
      </w:pPr>
      <w:r w:rsidRPr="00004845">
        <w:rPr>
          <w:rStyle w:val="FootnoteReference"/>
        </w:rPr>
        <w:footnoteRef/>
      </w:r>
      <w:r w:rsidRPr="00004845">
        <w:t xml:space="preserve"> PTC-220 May 8, 2020, Update at 2-3.</w:t>
      </w:r>
    </w:p>
  </w:footnote>
  <w:footnote w:id="51">
    <w:p w:rsidR="003C535B" w:rsidRPr="00004845" w:rsidP="00004845" w14:paraId="1661DEEE" w14:textId="6970B2EE">
      <w:pPr>
        <w:pStyle w:val="FootnoteText"/>
        <w:jc w:val="left"/>
      </w:pPr>
      <w:r w:rsidRPr="00004845">
        <w:rPr>
          <w:rStyle w:val="FootnoteReference"/>
        </w:rPr>
        <w:footnoteRef/>
      </w:r>
      <w:r w:rsidRPr="00004845">
        <w:t xml:space="preserve"> Petition to Deny at 3.</w:t>
      </w:r>
    </w:p>
  </w:footnote>
  <w:footnote w:id="52">
    <w:p w:rsidR="003C535B" w:rsidRPr="00004845" w:rsidP="00004845" w14:paraId="77F7A3DD" w14:textId="0D2119B9">
      <w:pPr>
        <w:pStyle w:val="FootnoteText"/>
        <w:jc w:val="left"/>
      </w:pPr>
      <w:r w:rsidRPr="00004845">
        <w:rPr>
          <w:rStyle w:val="FootnoteReference"/>
        </w:rPr>
        <w:footnoteRef/>
      </w:r>
      <w:r w:rsidRPr="00004845">
        <w:t xml:space="preserve"> </w:t>
      </w:r>
      <w:r w:rsidRPr="00004845" w:rsidR="00EF6BDB">
        <w:rPr>
          <w:i/>
          <w:iCs/>
        </w:rPr>
        <w:t>Id.</w:t>
      </w:r>
    </w:p>
  </w:footnote>
  <w:footnote w:id="53">
    <w:p w:rsidR="003C535B" w:rsidRPr="00004845" w:rsidP="00004845" w14:paraId="5944FB7A" w14:textId="49E487AD">
      <w:pPr>
        <w:pStyle w:val="FootnoteText"/>
        <w:jc w:val="left"/>
      </w:pPr>
      <w:r w:rsidRPr="00004845">
        <w:rPr>
          <w:rStyle w:val="FootnoteReference"/>
        </w:rPr>
        <w:footnoteRef/>
      </w:r>
      <w:r w:rsidRPr="00004845">
        <w:t xml:space="preserve"> </w:t>
      </w:r>
      <w:r w:rsidRPr="00004845" w:rsidR="00EF6BDB">
        <w:rPr>
          <w:i/>
          <w:iCs/>
        </w:rPr>
        <w:t>Id.</w:t>
      </w:r>
    </w:p>
  </w:footnote>
  <w:footnote w:id="54">
    <w:p w:rsidR="00DC41A5" w:rsidRPr="00004845" w:rsidP="00004845" w14:paraId="1E978239" w14:textId="6B9C2F1D">
      <w:pPr>
        <w:pStyle w:val="FootnoteText"/>
        <w:jc w:val="left"/>
      </w:pPr>
      <w:r w:rsidRPr="00004845">
        <w:rPr>
          <w:rStyle w:val="FootnoteReference"/>
        </w:rPr>
        <w:footnoteRef/>
      </w:r>
      <w:r w:rsidRPr="00004845">
        <w:t xml:space="preserve"> </w:t>
      </w:r>
      <w:r w:rsidRPr="00004845" w:rsidR="00094949">
        <w:rPr>
          <w:i/>
          <w:iCs/>
        </w:rPr>
        <w:t>Id.</w:t>
      </w:r>
      <w:r w:rsidRPr="00004845">
        <w:t xml:space="preserve">  </w:t>
      </w:r>
    </w:p>
  </w:footnote>
  <w:footnote w:id="55">
    <w:p w:rsidR="00E73DC8" w:rsidRPr="00004845" w:rsidP="00004845" w14:paraId="51CAC278" w14:textId="7EF47605">
      <w:pPr>
        <w:pStyle w:val="FootnoteText"/>
        <w:jc w:val="left"/>
      </w:pPr>
      <w:r w:rsidRPr="00004845">
        <w:rPr>
          <w:rStyle w:val="FootnoteReference"/>
        </w:rPr>
        <w:footnoteRef/>
      </w:r>
      <w:r w:rsidRPr="00004845">
        <w:t xml:space="preserve"> </w:t>
      </w:r>
      <w:r w:rsidRPr="00004845">
        <w:rPr>
          <w:i/>
          <w:iCs/>
        </w:rPr>
        <w:t>National Railroad Passenger Corporation (d/b/a Amtrak)</w:t>
      </w:r>
      <w:r w:rsidRPr="00004845">
        <w:t>, WT Docket No. 11-27, Order, 30 FCC Rcd 2038 (WTB MD 2015).</w:t>
      </w:r>
    </w:p>
  </w:footnote>
  <w:footnote w:id="56">
    <w:p w:rsidR="003C535B" w:rsidRPr="00004845" w:rsidP="00004845" w14:paraId="144150AE" w14:textId="03191155">
      <w:pPr>
        <w:pStyle w:val="FootnoteText"/>
        <w:jc w:val="left"/>
      </w:pPr>
      <w:r w:rsidRPr="00004845">
        <w:rPr>
          <w:rStyle w:val="FootnoteReference"/>
        </w:rPr>
        <w:footnoteRef/>
      </w:r>
      <w:r w:rsidRPr="00004845">
        <w:t xml:space="preserve"> Public Interest Statement at 1 and n.2, citing Rail Safety Improvement Act of 2008, Pub. L. No. 110-432, § 104, 122 Stat. 4848 (2008), amended by the Positive Train Control Enforcement and Implementation Act of 2015, Pub. L. No. 114-73, § 1302, 129 Stat. 568, 576 (2015).</w:t>
      </w:r>
    </w:p>
  </w:footnote>
  <w:footnote w:id="57">
    <w:p w:rsidR="003C535B" w:rsidRPr="00004845" w:rsidP="00004845" w14:paraId="28C0E287" w14:textId="77777777">
      <w:pPr>
        <w:pStyle w:val="FootnoteText"/>
        <w:jc w:val="left"/>
      </w:pPr>
      <w:r w:rsidRPr="00004845">
        <w:rPr>
          <w:rStyle w:val="FootnoteReference"/>
        </w:rPr>
        <w:footnoteRef/>
      </w:r>
      <w:r w:rsidRPr="00004845">
        <w:t xml:space="preserve"> 49 U.S.C. § 20157(i)(5).</w:t>
      </w:r>
    </w:p>
  </w:footnote>
  <w:footnote w:id="58">
    <w:p w:rsidR="003C535B" w:rsidRPr="00004845" w:rsidP="00004845" w14:paraId="4A7EAA0B" w14:textId="77777777">
      <w:pPr>
        <w:pStyle w:val="FootnoteText"/>
        <w:jc w:val="left"/>
      </w:pPr>
      <w:r w:rsidRPr="00004845">
        <w:rPr>
          <w:rStyle w:val="FootnoteReference"/>
        </w:rPr>
        <w:footnoteRef/>
      </w:r>
      <w:r w:rsidRPr="00004845">
        <w:t xml:space="preserve"> Public Interest Statement at 1-2.</w:t>
      </w:r>
    </w:p>
  </w:footnote>
  <w:footnote w:id="59">
    <w:p w:rsidR="003C535B" w:rsidRPr="00004845" w:rsidP="00004845" w14:paraId="1B1CDF33" w14:textId="77777777">
      <w:pPr>
        <w:pStyle w:val="FootnoteText"/>
        <w:jc w:val="left"/>
      </w:pPr>
      <w:r w:rsidRPr="00004845">
        <w:rPr>
          <w:rStyle w:val="FootnoteReference"/>
        </w:rPr>
        <w:footnoteRef/>
      </w:r>
      <w:r w:rsidRPr="00004845">
        <w:t xml:space="preserve"> Waiver Request at 3.</w:t>
      </w:r>
    </w:p>
  </w:footnote>
  <w:footnote w:id="60">
    <w:p w:rsidR="003C535B" w:rsidRPr="00004845" w:rsidP="00004845" w14:paraId="3DAB6A97" w14:textId="248E91CB">
      <w:pPr>
        <w:pStyle w:val="FootnoteText"/>
        <w:jc w:val="left"/>
      </w:pPr>
      <w:r w:rsidRPr="00004845">
        <w:rPr>
          <w:rStyle w:val="FootnoteReference"/>
        </w:rPr>
        <w:footnoteRef/>
      </w:r>
      <w:r w:rsidRPr="00004845">
        <w:t xml:space="preserve"> Waiver Request at 4-5.  EOT “deployments typically consist of two units – one located at the rear of the train, which transmits the brake line air pressure information to the locomotive, and one at the front of the train, where the locomotive engineer receives such information.”  </w:t>
      </w:r>
      <w:r w:rsidRPr="00004845">
        <w:rPr>
          <w:i/>
          <w:iCs/>
        </w:rPr>
        <w:t>Id.</w:t>
      </w:r>
      <w:r w:rsidRPr="00004845">
        <w:t xml:space="preserve"> at 4.  PTC-220 explains that “[t]he radio link enables the engineer to apply the brakes from both ends of the train simultaneously in an emergency.”  </w:t>
      </w:r>
      <w:r w:rsidRPr="00004845">
        <w:rPr>
          <w:i/>
          <w:iCs/>
        </w:rPr>
        <w:t>Id.</w:t>
      </w:r>
      <w:r w:rsidRPr="00004845">
        <w:t xml:space="preserve">  Distributed power systems involve “placing one or more locomotives within or at the end of a train to reduce in-train stresses related to braking and pulling.”  </w:t>
      </w:r>
      <w:r w:rsidRPr="00004845">
        <w:rPr>
          <w:i/>
          <w:iCs/>
        </w:rPr>
        <w:t>Id.</w:t>
      </w:r>
      <w:r w:rsidRPr="00004845">
        <w:t xml:space="preserve"> at 5.  Railroads currently use 450 MHz band spectrum for EOT deployments and distributed power systems, but the railroads have found that as trains have become longer, this spectrum does not provide a reliable radio link.  </w:t>
      </w:r>
      <w:r w:rsidRPr="00004845">
        <w:rPr>
          <w:i/>
          <w:iCs/>
        </w:rPr>
        <w:t>Id.</w:t>
      </w:r>
      <w:r w:rsidRPr="00004845">
        <w:t xml:space="preserve"> at 4-5.   PTC-220 seeks AMTS spectrum to provide reliable radio links for these vital safety systems.  </w:t>
      </w:r>
      <w:r w:rsidRPr="00004845">
        <w:rPr>
          <w:i/>
          <w:iCs/>
        </w:rPr>
        <w:t>Id.</w:t>
      </w:r>
      <w:r w:rsidRPr="00004845">
        <w:t xml:space="preserve"> </w:t>
      </w:r>
    </w:p>
  </w:footnote>
  <w:footnote w:id="61">
    <w:p w:rsidR="003C535B" w:rsidRPr="00004845" w:rsidP="00004845" w14:paraId="33A4B3C9" w14:textId="4050026A">
      <w:pPr>
        <w:pStyle w:val="FootnoteText"/>
        <w:jc w:val="left"/>
      </w:pPr>
      <w:r w:rsidRPr="00004845">
        <w:rPr>
          <w:rStyle w:val="FootnoteReference"/>
        </w:rPr>
        <w:footnoteRef/>
      </w:r>
      <w:r w:rsidRPr="00004845">
        <w:t xml:space="preserve"> </w:t>
      </w:r>
      <w:r w:rsidRPr="00004845">
        <w:rPr>
          <w:i/>
          <w:iCs/>
        </w:rPr>
        <w:t>Maritime Communications/Land Mobile, LLC</w:t>
      </w:r>
      <w:r w:rsidRPr="00004845">
        <w:t>, Memorandum Opinion and Order, 29 FCC Rcd 10871, 10882, para. 29 (2014) (</w:t>
      </w:r>
      <w:r w:rsidRPr="00004845">
        <w:rPr>
          <w:i/>
          <w:iCs/>
        </w:rPr>
        <w:t>MCLM Order</w:t>
      </w:r>
      <w:r w:rsidRPr="00004845">
        <w:t>).</w:t>
      </w:r>
    </w:p>
  </w:footnote>
  <w:footnote w:id="62">
    <w:p w:rsidR="003C535B" w:rsidRPr="00004845" w:rsidP="00004845" w14:paraId="1BB449AA" w14:textId="49C9DEB1">
      <w:pPr>
        <w:pStyle w:val="FootnoteText"/>
        <w:jc w:val="left"/>
      </w:pPr>
      <w:r w:rsidRPr="00004845">
        <w:rPr>
          <w:rStyle w:val="FootnoteReference"/>
        </w:rPr>
        <w:footnoteRef/>
      </w:r>
      <w:r w:rsidRPr="00004845">
        <w:t xml:space="preserve"> </w:t>
      </w:r>
      <w:r w:rsidRPr="00004845">
        <w:rPr>
          <w:i/>
          <w:iCs/>
        </w:rPr>
        <w:t>MCLM Order</w:t>
      </w:r>
      <w:r w:rsidRPr="00004845">
        <w:t xml:space="preserve">, 29 FCC Rcd at 10880, para. 25 (removing from a contested hearing, an application to assign AMTS spectrum for the Southern California Regional Rail Authority to implement PTC) and </w:t>
      </w:r>
      <w:bookmarkStart w:id="5" w:name="_Hlk55819579"/>
      <w:r w:rsidRPr="00004845">
        <w:rPr>
          <w:i/>
        </w:rPr>
        <w:t>Southern California Regional Rail Authority</w:t>
      </w:r>
      <w:bookmarkEnd w:id="5"/>
      <w:r w:rsidRPr="00004845">
        <w:rPr>
          <w:i/>
        </w:rPr>
        <w:t>, Call Sign WQYR421</w:t>
      </w:r>
      <w:r w:rsidRPr="00004845">
        <w:rPr>
          <w:iCs/>
        </w:rPr>
        <w:t xml:space="preserve">, Letter Order, DA 20-1259, 2020 WL 6305894 (WTB MD Oct. 23, 2020) (granting that application so that SCRRA and three railroads that operate as tenants on its rail network—Amtrak, the BNSF Railway, and the Union Pacific Railroad—could deploy PTC using AMTS spectrum).  </w:t>
      </w:r>
      <w:r w:rsidRPr="00004845">
        <w:rPr>
          <w:i/>
          <w:iCs/>
        </w:rPr>
        <w:t>See also Metropolitan Transportation Authority</w:t>
      </w:r>
      <w:r w:rsidRPr="00004845">
        <w:t xml:space="preserve">, Proposed Order of Modification, 31 FCC Rcd 1436, at 1437-38, para. 3 (2016) (proposing modification of license to include spectrum in areas where MTA was unable to obtain suitable spectrum to implement PTC) and </w:t>
      </w:r>
      <w:r w:rsidRPr="00004845">
        <w:rPr>
          <w:i/>
          <w:iCs/>
        </w:rPr>
        <w:t>Metropolitan Transportation Authority</w:t>
      </w:r>
      <w:r w:rsidRPr="00004845">
        <w:t xml:space="preserve">, Order of Modification, 31 FCC Rcd 8862 (WTB MD 2016) (modification of license to include spectrum in areas of Connecticut and New York where MTA was unable to obtain suitable spectrum to implement PTC). </w:t>
      </w:r>
    </w:p>
  </w:footnote>
  <w:footnote w:id="63">
    <w:p w:rsidR="003C535B" w:rsidRPr="00004845" w:rsidP="00004845" w14:paraId="0C5C3EC9" w14:textId="3EE0A980">
      <w:pPr>
        <w:pStyle w:val="FootnoteText"/>
        <w:jc w:val="left"/>
      </w:pPr>
      <w:r w:rsidRPr="00004845">
        <w:rPr>
          <w:rStyle w:val="FootnoteReference"/>
        </w:rPr>
        <w:footnoteRef/>
      </w:r>
      <w:r w:rsidRPr="00004845">
        <w:t xml:space="preserve"> 47 U.S.C. § 309(a).</w:t>
      </w:r>
    </w:p>
  </w:footnote>
  <w:footnote w:id="64">
    <w:p w:rsidR="003C535B" w:rsidRPr="00004845" w:rsidP="00004845" w14:paraId="39B10998" w14:textId="2CF76FA0">
      <w:pPr>
        <w:pStyle w:val="FootnoteText"/>
        <w:jc w:val="left"/>
      </w:pPr>
      <w:r w:rsidRPr="00004845">
        <w:rPr>
          <w:rStyle w:val="FootnoteReference"/>
        </w:rPr>
        <w:footnoteRef/>
      </w:r>
      <w:r w:rsidRPr="00004845">
        <w:t xml:space="preserve"> Reply at 6 (citing DC Bar Rule 1.9).</w:t>
      </w:r>
    </w:p>
  </w:footnote>
  <w:footnote w:id="65">
    <w:p w:rsidR="003C535B" w:rsidRPr="00004845" w:rsidP="00004845" w14:paraId="77D81072" w14:textId="77777777">
      <w:pPr>
        <w:pStyle w:val="FootnoteText"/>
        <w:jc w:val="left"/>
      </w:pPr>
      <w:r w:rsidRPr="00004845">
        <w:rPr>
          <w:rStyle w:val="FootnoteReference"/>
        </w:rPr>
        <w:footnoteRef/>
      </w:r>
      <w:r w:rsidRPr="00004845">
        <w:t xml:space="preserve"> Havens January 28, 2020, Response at 2.</w:t>
      </w:r>
    </w:p>
  </w:footnote>
  <w:footnote w:id="66">
    <w:p w:rsidR="003C535B" w:rsidRPr="00004845" w:rsidP="00004845" w14:paraId="43C21573" w14:textId="0DCC07D5">
      <w:pPr>
        <w:pStyle w:val="FootnoteText"/>
        <w:jc w:val="left"/>
      </w:pPr>
      <w:r w:rsidRPr="00004845">
        <w:rPr>
          <w:rStyle w:val="FootnoteReference"/>
        </w:rPr>
        <w:footnoteRef/>
      </w:r>
      <w:r w:rsidRPr="00004845">
        <w:t xml:space="preserve"> </w:t>
      </w:r>
      <w:r w:rsidRPr="00004845" w:rsidR="00A52D1E">
        <w:rPr>
          <w:i/>
          <w:iCs/>
        </w:rPr>
        <w:t>Id.</w:t>
      </w:r>
    </w:p>
  </w:footnote>
  <w:footnote w:id="67">
    <w:p w:rsidR="003C535B" w:rsidRPr="00004845" w:rsidP="00004845" w14:paraId="1734E403" w14:textId="77B504AA">
      <w:pPr>
        <w:pStyle w:val="FootnoteText"/>
        <w:jc w:val="left"/>
      </w:pPr>
      <w:r w:rsidRPr="00004845">
        <w:rPr>
          <w:rStyle w:val="FootnoteReference"/>
        </w:rPr>
        <w:footnoteRef/>
      </w:r>
      <w:r w:rsidRPr="00004845">
        <w:t xml:space="preserve"> 47 CFR § 1.948(j)(1)(iii) (requiring that petitions to deny “be filed no later than 14 days following the date of the Public Notice listing the application as accepted for filing”).</w:t>
      </w:r>
    </w:p>
  </w:footnote>
  <w:footnote w:id="68">
    <w:p w:rsidR="003C535B" w:rsidRPr="00004845" w:rsidP="00004845" w14:paraId="2E0C5088" w14:textId="77777777">
      <w:pPr>
        <w:pStyle w:val="FootnoteText"/>
        <w:jc w:val="left"/>
      </w:pPr>
      <w:r w:rsidRPr="00004845">
        <w:rPr>
          <w:rStyle w:val="FootnoteReference"/>
        </w:rPr>
        <w:footnoteRef/>
      </w:r>
      <w:r w:rsidRPr="00004845">
        <w:t xml:space="preserve"> 47 CFR §1.41 (the rule provides that “[e]xcept where formal procedures are required” under the Commission’s rules “requests for action may be submitted informally”).</w:t>
      </w:r>
    </w:p>
  </w:footnote>
  <w:footnote w:id="69">
    <w:p w:rsidR="003C535B" w:rsidRPr="00004845" w:rsidP="00004845" w14:paraId="66F56F55" w14:textId="140F4AD4">
      <w:pPr>
        <w:pStyle w:val="FootnoteText"/>
        <w:jc w:val="left"/>
      </w:pPr>
      <w:r w:rsidRPr="00004845">
        <w:rPr>
          <w:rStyle w:val="FootnoteReference"/>
        </w:rPr>
        <w:footnoteRef/>
      </w:r>
      <w:r w:rsidRPr="00004845">
        <w:t xml:space="preserve"> PTC-220 May 8, 2020, Update at 3.</w:t>
      </w:r>
    </w:p>
  </w:footnote>
  <w:footnote w:id="70">
    <w:p w:rsidR="003C535B" w:rsidRPr="00004845" w:rsidP="00004845" w14:paraId="118BAE62" w14:textId="22B89059">
      <w:pPr>
        <w:pStyle w:val="FootnoteText"/>
        <w:jc w:val="left"/>
      </w:pPr>
      <w:r w:rsidRPr="00004845">
        <w:rPr>
          <w:rStyle w:val="FootnoteReference"/>
        </w:rPr>
        <w:footnoteRef/>
      </w:r>
      <w:r w:rsidRPr="00004845">
        <w:t xml:space="preserve"> Declaration attached to PTC-220 May 8, 2020, Update.</w:t>
      </w:r>
    </w:p>
  </w:footnote>
  <w:footnote w:id="71">
    <w:p w:rsidR="003C535B" w:rsidRPr="00004845" w:rsidP="00004845" w14:paraId="47191B04" w14:textId="77777777">
      <w:pPr>
        <w:pStyle w:val="FootnoteText"/>
        <w:jc w:val="left"/>
      </w:pPr>
      <w:r w:rsidRPr="00004845">
        <w:rPr>
          <w:rStyle w:val="FootnoteReference"/>
        </w:rPr>
        <w:footnoteRef/>
      </w:r>
      <w:r w:rsidRPr="00004845">
        <w:t xml:space="preserve"> PTC-220 May 8, 2020, Update at 3.</w:t>
      </w:r>
    </w:p>
  </w:footnote>
  <w:footnote w:id="72">
    <w:p w:rsidR="003C535B" w:rsidRPr="00004845" w:rsidP="00004845" w14:paraId="2D648D5D" w14:textId="58632F5F">
      <w:pPr>
        <w:pStyle w:val="FootnoteText"/>
        <w:jc w:val="left"/>
      </w:pPr>
      <w:r w:rsidRPr="00004845">
        <w:rPr>
          <w:rStyle w:val="FootnoteReference"/>
        </w:rPr>
        <w:footnoteRef/>
      </w:r>
      <w:r w:rsidRPr="00004845">
        <w:t xml:space="preserve"> </w:t>
      </w:r>
      <w:r w:rsidRPr="00004845" w:rsidR="00BF6380">
        <w:rPr>
          <w:i/>
          <w:iCs/>
        </w:rPr>
        <w:t>Id.</w:t>
      </w:r>
      <w:r w:rsidRPr="00004845" w:rsidR="00BF6380">
        <w:t xml:space="preserve"> at n.</w:t>
      </w:r>
      <w:r w:rsidRPr="00004845" w:rsidR="003C1836">
        <w:t xml:space="preserve">12, citing </w:t>
      </w:r>
      <w:r w:rsidRPr="00004845">
        <w:rPr>
          <w:i/>
          <w:iCs/>
        </w:rPr>
        <w:t>Applications of TGE Communications, Inc.,</w:t>
      </w:r>
      <w:r w:rsidRPr="00004845">
        <w:t xml:space="preserve"> </w:t>
      </w:r>
      <w:r w:rsidRPr="00004845">
        <w:rPr>
          <w:i/>
        </w:rPr>
        <w:t>et al</w:t>
      </w:r>
      <w:r w:rsidRPr="00004845">
        <w:t xml:space="preserve">., </w:t>
      </w:r>
      <w:r w:rsidRPr="00004845">
        <w:rPr>
          <w:iCs/>
        </w:rPr>
        <w:t>Memorandum Opinion and Order,</w:t>
      </w:r>
      <w:r w:rsidRPr="00004845">
        <w:t xml:space="preserve"> 3 FCC Rcd 2122, n.1 (1988). </w:t>
      </w:r>
    </w:p>
  </w:footnote>
  <w:footnote w:id="73">
    <w:p w:rsidR="003C535B" w:rsidRPr="00004845" w:rsidP="00004845" w14:paraId="0CC3C4CA" w14:textId="715981FD">
      <w:pPr>
        <w:pStyle w:val="FootnoteText"/>
        <w:jc w:val="left"/>
      </w:pPr>
      <w:r w:rsidRPr="00004845">
        <w:rPr>
          <w:rStyle w:val="FootnoteReference"/>
        </w:rPr>
        <w:footnoteRef/>
      </w:r>
      <w:r w:rsidRPr="00004845">
        <w:t xml:space="preserve"> Reply at 2.</w:t>
      </w:r>
    </w:p>
  </w:footnote>
  <w:footnote w:id="74">
    <w:p w:rsidR="003C535B" w:rsidRPr="00004845" w:rsidP="00004845" w14:paraId="5A316A28" w14:textId="4976CEDD">
      <w:pPr>
        <w:pStyle w:val="FootnoteText"/>
        <w:jc w:val="left"/>
      </w:pPr>
      <w:r w:rsidRPr="00004845">
        <w:rPr>
          <w:rStyle w:val="FootnoteReference"/>
        </w:rPr>
        <w:footnoteRef/>
      </w:r>
      <w:r w:rsidRPr="00004845">
        <w:t xml:space="preserve"> </w:t>
      </w:r>
      <w:r w:rsidRPr="00004845">
        <w:rPr>
          <w:i/>
          <w:iCs/>
        </w:rPr>
        <w:t>Id.</w:t>
      </w:r>
    </w:p>
  </w:footnote>
  <w:footnote w:id="75">
    <w:p w:rsidR="003C535B" w:rsidRPr="00004845" w:rsidP="00004845" w14:paraId="0A8197C4" w14:textId="21C76989">
      <w:pPr>
        <w:pStyle w:val="FootnoteText"/>
        <w:jc w:val="left"/>
      </w:pPr>
      <w:r w:rsidRPr="00004845">
        <w:rPr>
          <w:rStyle w:val="FootnoteReference"/>
        </w:rPr>
        <w:footnoteRef/>
      </w:r>
      <w:r w:rsidRPr="00004845">
        <w:t xml:space="preserve"> Havens February 29, 2020, Supplement at 2-3.  The Act of July 1, 1862 is titled “An Act to aid in the Construction of a Railroad and Telegraph Line from the Missouri River to the Pacific Ocean, and to secure to the Government the Use of the same for Postal, Military, and Other Purposes.”</w:t>
      </w:r>
    </w:p>
  </w:footnote>
  <w:footnote w:id="76">
    <w:p w:rsidR="003C535B" w:rsidRPr="00004845" w:rsidP="00004845" w14:paraId="4888C68F" w14:textId="786CA9AF">
      <w:pPr>
        <w:pStyle w:val="FootnoteText"/>
        <w:jc w:val="left"/>
      </w:pPr>
      <w:r w:rsidRPr="00004845">
        <w:rPr>
          <w:rStyle w:val="FootnoteReference"/>
        </w:rPr>
        <w:footnoteRef/>
      </w:r>
      <w:r w:rsidRPr="00004845">
        <w:t xml:space="preserve"> </w:t>
      </w:r>
      <w:r w:rsidRPr="00004845">
        <w:rPr>
          <w:i/>
          <w:iCs/>
        </w:rPr>
        <w:t>Id.</w:t>
      </w:r>
      <w:r w:rsidRPr="00004845">
        <w:t xml:space="preserve"> at 2.</w:t>
      </w:r>
    </w:p>
  </w:footnote>
  <w:footnote w:id="77">
    <w:p w:rsidR="00F4143D" w:rsidRPr="00004845" w:rsidP="00004845" w14:paraId="216E84DA" w14:textId="24C410C5">
      <w:pPr>
        <w:pStyle w:val="FootnoteText"/>
        <w:jc w:val="left"/>
      </w:pPr>
      <w:r w:rsidRPr="00004845">
        <w:rPr>
          <w:rStyle w:val="FootnoteReference"/>
        </w:rPr>
        <w:footnoteRef/>
      </w:r>
      <w:r w:rsidRPr="00004845">
        <w:t xml:space="preserve"> </w:t>
      </w:r>
      <w:r w:rsidRPr="00004845" w:rsidR="00AE5F4B">
        <w:t xml:space="preserve">PTC-220 May 8, 2020, Update at </w:t>
      </w:r>
      <w:r w:rsidRPr="00004845" w:rsidR="00BC390F">
        <w:t>3-</w:t>
      </w:r>
      <w:r w:rsidRPr="00004845" w:rsidR="00AE5F4B">
        <w:t>4.</w:t>
      </w:r>
    </w:p>
  </w:footnote>
  <w:footnote w:id="78">
    <w:p w:rsidR="009D422D" w:rsidRPr="00004845" w:rsidP="00004845" w14:paraId="29E3F515" w14:textId="448C02C1">
      <w:pPr>
        <w:pStyle w:val="FootnoteText"/>
        <w:jc w:val="left"/>
      </w:pPr>
      <w:r w:rsidRPr="00004845">
        <w:rPr>
          <w:rStyle w:val="FootnoteReference"/>
        </w:rPr>
        <w:footnoteRef/>
      </w:r>
      <w:r w:rsidRPr="00004845">
        <w:t xml:space="preserve"> </w:t>
      </w:r>
      <w:r w:rsidRPr="00004845">
        <w:rPr>
          <w:i/>
          <w:iCs/>
        </w:rPr>
        <w:t>Id.</w:t>
      </w:r>
      <w:r w:rsidRPr="00004845">
        <w:t xml:space="preserve"> at 4.</w:t>
      </w:r>
    </w:p>
  </w:footnote>
  <w:footnote w:id="79">
    <w:p w:rsidR="003C535B" w:rsidRPr="00004845" w:rsidP="00004845" w14:paraId="359C7FBC" w14:textId="77777777">
      <w:pPr>
        <w:pStyle w:val="FootnoteText"/>
        <w:jc w:val="left"/>
      </w:pPr>
      <w:r w:rsidRPr="00004845">
        <w:rPr>
          <w:rStyle w:val="FootnoteReference"/>
        </w:rPr>
        <w:footnoteRef/>
      </w:r>
      <w:r w:rsidRPr="00004845">
        <w:t xml:space="preserve"> 47 CFR § 1.948(j)(1)(iii) (requiring that petitions to deny “be filed no later than 14 days following the date of the Public Notice listing the application as accepted for filing”).</w:t>
      </w:r>
    </w:p>
  </w:footnote>
  <w:footnote w:id="80">
    <w:p w:rsidR="00DD3187" w:rsidRPr="00004845" w:rsidP="00004845" w14:paraId="6367959C" w14:textId="77777777">
      <w:pPr>
        <w:pStyle w:val="FootnoteText"/>
        <w:jc w:val="left"/>
      </w:pPr>
      <w:r w:rsidRPr="00004845">
        <w:rPr>
          <w:rStyle w:val="FootnoteReference"/>
        </w:rPr>
        <w:footnoteRef/>
      </w:r>
      <w:r w:rsidRPr="00004845">
        <w:t xml:space="preserve"> 47 CFR § 1.41 (the rule provides that “[e]xcept where formal procedures are required” under the Commission’s rules “requests for action may be submitted informally”).</w:t>
      </w:r>
    </w:p>
  </w:footnote>
  <w:footnote w:id="81">
    <w:p w:rsidR="00817346" w:rsidRPr="00004845" w:rsidP="00004845" w14:paraId="7B9A9A3C" w14:textId="34FC1F51">
      <w:pPr>
        <w:pStyle w:val="FootnoteText"/>
        <w:jc w:val="left"/>
      </w:pPr>
      <w:r w:rsidRPr="00004845">
        <w:rPr>
          <w:rStyle w:val="FootnoteReference"/>
        </w:rPr>
        <w:footnoteRef/>
      </w:r>
      <w:r w:rsidRPr="00004845">
        <w:t xml:space="preserve"> </w:t>
      </w:r>
      <w:bookmarkStart w:id="6" w:name="_Hlk56592329"/>
      <w:r w:rsidRPr="00004845" w:rsidR="005846B0">
        <w:t xml:space="preserve">Rail Safety Improvement Act of 2008, </w:t>
      </w:r>
      <w:bookmarkEnd w:id="6"/>
      <w:r w:rsidRPr="00004845" w:rsidR="005846B0">
        <w:t>Pub. L. No. 110-432, § 104, 122 Stat. 4848 (2008), amended by the Positive Train Control Enforcement and Implementation Act of 2015, Pub. L. No. 114-73, § 1302, 129 Stat. 568, 576 (2015).</w:t>
      </w:r>
    </w:p>
  </w:footnote>
  <w:footnote w:id="82">
    <w:p w:rsidR="003C535B" w:rsidRPr="00004845" w:rsidP="00004845" w14:paraId="0AA6DDE5" w14:textId="77777777">
      <w:pPr>
        <w:pStyle w:val="FootnoteText"/>
        <w:jc w:val="left"/>
      </w:pPr>
      <w:r w:rsidRPr="00004845">
        <w:rPr>
          <w:rStyle w:val="FootnoteReference"/>
        </w:rPr>
        <w:footnoteRef/>
      </w:r>
      <w:r w:rsidRPr="00004845">
        <w:t xml:space="preserve"> 47 U.S.C. § 309(a).</w:t>
      </w:r>
    </w:p>
  </w:footnote>
  <w:footnote w:id="83">
    <w:p w:rsidR="003C535B" w:rsidRPr="00004845" w:rsidP="00004845" w14:paraId="131A78BA" w14:textId="4375B899">
      <w:pPr>
        <w:pStyle w:val="FootnoteText"/>
        <w:jc w:val="left"/>
      </w:pPr>
      <w:r w:rsidRPr="00004845">
        <w:rPr>
          <w:rStyle w:val="FootnoteReference"/>
        </w:rPr>
        <w:footnoteRef/>
      </w:r>
      <w:r w:rsidRPr="00004845">
        <w:t xml:space="preserve"> Waiver Request.</w:t>
      </w:r>
    </w:p>
  </w:footnote>
  <w:footnote w:id="84">
    <w:p w:rsidR="003C535B" w:rsidRPr="00004845" w:rsidP="00004845" w14:paraId="01607A3F" w14:textId="77777777">
      <w:pPr>
        <w:pStyle w:val="FootnoteText"/>
        <w:jc w:val="left"/>
      </w:pPr>
      <w:r w:rsidRPr="00004845">
        <w:rPr>
          <w:rStyle w:val="FootnoteReference"/>
        </w:rPr>
        <w:footnoteRef/>
      </w:r>
      <w:r w:rsidRPr="00004845">
        <w:t xml:space="preserve"> 47 CFR § 80.92(a).</w:t>
      </w:r>
    </w:p>
  </w:footnote>
  <w:footnote w:id="85">
    <w:p w:rsidR="003C535B" w:rsidRPr="00004845" w:rsidP="00004845" w14:paraId="362E2AE7" w14:textId="4A9157D6">
      <w:pPr>
        <w:pStyle w:val="FootnoteText"/>
        <w:jc w:val="left"/>
        <w:rPr>
          <w:b/>
        </w:rPr>
      </w:pPr>
      <w:r w:rsidRPr="00004845">
        <w:rPr>
          <w:rStyle w:val="FootnoteReference"/>
        </w:rPr>
        <w:footnoteRef/>
      </w:r>
      <w:r w:rsidRPr="00004845">
        <w:t xml:space="preserve"> The AMTS rules define two station classes: coast stations and ship stations.  47 CFR § 80.5 (defining a coast station as a “land station in the maritime mobile service” and a ship station as a “mobile station in the maritime mobile service located on-board a vessel which is not permanently moored”).  The Commission amended the AMTS rules in 1997 to permit AMTS stations to serve fixed, mobile, and handheld units on land, in addition to marine vessels.  </w:t>
      </w:r>
      <w:r w:rsidRPr="00004845">
        <w:rPr>
          <w:rStyle w:val="Emphasis"/>
          <w:color w:val="3D3D3D"/>
          <w:bdr w:val="none" w:sz="0" w:space="0" w:color="auto" w:frame="1"/>
          <w:shd w:val="clear" w:color="auto" w:fill="FFFFFF"/>
        </w:rPr>
        <w:t>AMTS Second Report</w:t>
      </w:r>
      <w:r w:rsidRPr="00004845" w:rsidR="006277B5">
        <w:rPr>
          <w:rStyle w:val="Emphasis"/>
          <w:color w:val="3D3D3D"/>
          <w:bdr w:val="none" w:sz="0" w:space="0" w:color="auto" w:frame="1"/>
          <w:shd w:val="clear" w:color="auto" w:fill="FFFFFF"/>
        </w:rPr>
        <w:t xml:space="preserve"> and Order</w:t>
      </w:r>
      <w:r w:rsidRPr="00004845">
        <w:rPr>
          <w:color w:val="3D3D3D"/>
          <w:shd w:val="clear" w:color="auto" w:fill="FFFFFF"/>
        </w:rPr>
        <w:t xml:space="preserve">, </w:t>
      </w:r>
      <w:r w:rsidRPr="00004845">
        <w:rPr>
          <w:bdr w:val="none" w:sz="0" w:space="0" w:color="auto" w:frame="1"/>
          <w:shd w:val="clear" w:color="auto" w:fill="FFFFFF"/>
        </w:rPr>
        <w:t>12 FCC Rcd 16949, 16964-65 paras. 24-25</w:t>
      </w:r>
      <w:r w:rsidRPr="00004845">
        <w:t xml:space="preserve">.  Because they are both fixed stations, we regulate PTC base and wayside stations as AMTS coast stations for licensing purposes.  And because they are mobile, we regulate locomotive stations as AMTS ship stations for licensing purposes.   </w:t>
      </w:r>
    </w:p>
  </w:footnote>
  <w:footnote w:id="86">
    <w:p w:rsidR="003C535B" w:rsidRPr="00004845" w:rsidP="00004845" w14:paraId="6D3E734A" w14:textId="77777777">
      <w:pPr>
        <w:pStyle w:val="FootnoteText"/>
        <w:jc w:val="left"/>
      </w:pPr>
      <w:r w:rsidRPr="00004845">
        <w:rPr>
          <w:rStyle w:val="FootnoteReference"/>
        </w:rPr>
        <w:footnoteRef/>
      </w:r>
      <w:r w:rsidRPr="00004845">
        <w:t xml:space="preserve"> 47 CFR § 80.105.</w:t>
      </w:r>
    </w:p>
  </w:footnote>
  <w:footnote w:id="87">
    <w:p w:rsidR="003C535B" w:rsidRPr="00004845" w:rsidP="00004845" w14:paraId="17F4A404" w14:textId="1736F5A9">
      <w:pPr>
        <w:pStyle w:val="FootnoteText"/>
        <w:jc w:val="left"/>
      </w:pPr>
      <w:r w:rsidRPr="00004845">
        <w:rPr>
          <w:rStyle w:val="FootnoteReference"/>
        </w:rPr>
        <w:footnoteRef/>
      </w:r>
      <w:r w:rsidRPr="00004845">
        <w:t xml:space="preserve"> </w:t>
      </w:r>
      <w:r w:rsidRPr="00004845" w:rsidR="00965C44">
        <w:rPr>
          <w:i/>
          <w:iCs/>
        </w:rPr>
        <w:t xml:space="preserve">Id. </w:t>
      </w:r>
      <w:r w:rsidRPr="00004845">
        <w:t>§ 80.106.</w:t>
      </w:r>
    </w:p>
  </w:footnote>
  <w:footnote w:id="88">
    <w:p w:rsidR="003C535B" w:rsidRPr="00004845" w:rsidP="00004845" w14:paraId="0FD9C4C4" w14:textId="7120DB8F">
      <w:pPr>
        <w:pStyle w:val="FootnoteText"/>
        <w:jc w:val="left"/>
      </w:pPr>
      <w:r w:rsidRPr="00004845">
        <w:rPr>
          <w:rStyle w:val="FootnoteReference"/>
        </w:rPr>
        <w:footnoteRef/>
      </w:r>
      <w:r w:rsidRPr="00004845">
        <w:t xml:space="preserve"> </w:t>
      </w:r>
      <w:r w:rsidRPr="00004845" w:rsidR="00EF0846">
        <w:rPr>
          <w:i/>
          <w:iCs/>
        </w:rPr>
        <w:t xml:space="preserve">Id. </w:t>
      </w:r>
      <w:r w:rsidRPr="00004845">
        <w:t>§ 80.123(a).</w:t>
      </w:r>
    </w:p>
  </w:footnote>
  <w:footnote w:id="89">
    <w:p w:rsidR="003C535B" w:rsidRPr="00004845" w:rsidP="00004845" w14:paraId="305E3AFE" w14:textId="01D0DAFD">
      <w:pPr>
        <w:pStyle w:val="FootnoteText"/>
        <w:jc w:val="left"/>
      </w:pPr>
      <w:r w:rsidRPr="00004845">
        <w:rPr>
          <w:rStyle w:val="FootnoteReference"/>
        </w:rPr>
        <w:footnoteRef/>
      </w:r>
      <w:r w:rsidRPr="00004845">
        <w:t xml:space="preserve"> </w:t>
      </w:r>
      <w:r w:rsidRPr="00004845" w:rsidR="00EF0846">
        <w:rPr>
          <w:i/>
          <w:iCs/>
        </w:rPr>
        <w:t xml:space="preserve">Id. </w:t>
      </w:r>
      <w:r w:rsidRPr="00004845">
        <w:t>§ 80.123(b).</w:t>
      </w:r>
    </w:p>
  </w:footnote>
  <w:footnote w:id="90">
    <w:p w:rsidR="003C535B" w:rsidRPr="00004845" w:rsidP="00004845" w14:paraId="58F1FA8C" w14:textId="446DD0BC">
      <w:pPr>
        <w:pStyle w:val="FootnoteText"/>
        <w:jc w:val="left"/>
      </w:pPr>
      <w:r w:rsidRPr="00004845">
        <w:rPr>
          <w:rStyle w:val="FootnoteReference"/>
        </w:rPr>
        <w:footnoteRef/>
      </w:r>
      <w:r w:rsidRPr="00004845">
        <w:t xml:space="preserve"> </w:t>
      </w:r>
      <w:r w:rsidRPr="00004845" w:rsidR="00E024EA">
        <w:rPr>
          <w:i/>
          <w:iCs/>
        </w:rPr>
        <w:t xml:space="preserve">Id. </w:t>
      </w:r>
      <w:r w:rsidRPr="00004845">
        <w:t>§ 80.123(f).</w:t>
      </w:r>
    </w:p>
  </w:footnote>
  <w:footnote w:id="91">
    <w:p w:rsidR="00AB5F27" w:rsidRPr="00004845" w:rsidP="00004845" w14:paraId="5564913C" w14:textId="3255A58E">
      <w:pPr>
        <w:pStyle w:val="FootnoteText"/>
        <w:jc w:val="left"/>
      </w:pPr>
      <w:r w:rsidRPr="00004845">
        <w:rPr>
          <w:rStyle w:val="FootnoteReference"/>
        </w:rPr>
        <w:footnoteRef/>
      </w:r>
      <w:r w:rsidRPr="00004845">
        <w:t xml:space="preserve"> </w:t>
      </w:r>
      <w:r w:rsidRPr="00004845">
        <w:rPr>
          <w:i/>
          <w:iCs/>
        </w:rPr>
        <w:t>Id.</w:t>
      </w:r>
      <w:r w:rsidRPr="00004845">
        <w:t xml:space="preserve"> § 80.215(h)(5).</w:t>
      </w:r>
    </w:p>
  </w:footnote>
  <w:footnote w:id="92">
    <w:p w:rsidR="003C535B" w:rsidRPr="00004845" w:rsidP="00004845" w14:paraId="5625AD5E" w14:textId="43EDA3CF">
      <w:pPr>
        <w:pStyle w:val="FootnoteText"/>
        <w:jc w:val="left"/>
      </w:pPr>
      <w:r w:rsidRPr="00004845">
        <w:rPr>
          <w:rStyle w:val="FootnoteReference"/>
        </w:rPr>
        <w:footnoteRef/>
      </w:r>
      <w:r w:rsidRPr="00004845">
        <w:t xml:space="preserve"> </w:t>
      </w:r>
      <w:r w:rsidRPr="00004845" w:rsidR="00E024EA">
        <w:rPr>
          <w:i/>
          <w:iCs/>
        </w:rPr>
        <w:t xml:space="preserve">Id. </w:t>
      </w:r>
      <w:r w:rsidRPr="00004845">
        <w:t>§ 80.385(a)(2).</w:t>
      </w:r>
    </w:p>
  </w:footnote>
  <w:footnote w:id="93">
    <w:p w:rsidR="003C535B" w:rsidRPr="00004845" w:rsidP="00004845" w14:paraId="48C3CD8C" w14:textId="1E06D800">
      <w:pPr>
        <w:pStyle w:val="FootnoteText"/>
        <w:jc w:val="left"/>
      </w:pPr>
      <w:r w:rsidRPr="00004845">
        <w:rPr>
          <w:rStyle w:val="FootnoteReference"/>
        </w:rPr>
        <w:footnoteRef/>
      </w:r>
      <w:r w:rsidRPr="00004845">
        <w:t xml:space="preserve"> Petition to Deny at 3.</w:t>
      </w:r>
    </w:p>
  </w:footnote>
  <w:footnote w:id="94">
    <w:p w:rsidR="003C535B" w:rsidRPr="00004845" w:rsidP="00004845" w14:paraId="7F0FF51A" w14:textId="77777777">
      <w:pPr>
        <w:pStyle w:val="FootnoteText"/>
        <w:jc w:val="left"/>
      </w:pPr>
      <w:r w:rsidRPr="00004845">
        <w:rPr>
          <w:rStyle w:val="FootnoteReference"/>
        </w:rPr>
        <w:footnoteRef/>
      </w:r>
      <w:r w:rsidRPr="00004845">
        <w:t xml:space="preserve"> Waiver Request at 3.</w:t>
      </w:r>
    </w:p>
  </w:footnote>
  <w:footnote w:id="95">
    <w:p w:rsidR="003C535B" w:rsidRPr="00004845" w:rsidP="00004845" w14:paraId="223AE72D" w14:textId="4EC450D2">
      <w:pPr>
        <w:pStyle w:val="FootnoteText"/>
        <w:jc w:val="left"/>
      </w:pPr>
      <w:r w:rsidRPr="00004845">
        <w:rPr>
          <w:rStyle w:val="FootnoteReference"/>
        </w:rPr>
        <w:footnoteRef/>
      </w:r>
      <w:r w:rsidRPr="00004845">
        <w:t xml:space="preserve"> Railroads currently use 450 MHz band spectrum for EOT deployments and distributed power systems, but the railroads have found that as trains have become longer, this spectrum does not provide a reliable radio link.  </w:t>
      </w:r>
      <w:r w:rsidRPr="00004845">
        <w:rPr>
          <w:i/>
          <w:iCs/>
        </w:rPr>
        <w:t>Id.</w:t>
      </w:r>
      <w:r w:rsidRPr="00004845">
        <w:t xml:space="preserve"> at 4-5.  PTC-220 seeks AMTS spectrum to provide reliable radio links for these vital safety systems.  </w:t>
      </w:r>
      <w:r w:rsidRPr="00004845">
        <w:rPr>
          <w:i/>
          <w:iCs/>
        </w:rPr>
        <w:t xml:space="preserve">Id. </w:t>
      </w:r>
      <w:r w:rsidRPr="00004845">
        <w:t xml:space="preserve"> </w:t>
      </w:r>
    </w:p>
  </w:footnote>
  <w:footnote w:id="96">
    <w:p w:rsidR="003C535B" w:rsidRPr="00004845" w:rsidP="00004845" w14:paraId="347B17C4" w14:textId="4D4B7C5F">
      <w:pPr>
        <w:pStyle w:val="FootnoteText"/>
        <w:jc w:val="left"/>
      </w:pPr>
      <w:r w:rsidRPr="00004845">
        <w:rPr>
          <w:rStyle w:val="FootnoteReference"/>
        </w:rPr>
        <w:footnoteRef/>
      </w:r>
      <w:r w:rsidRPr="00004845">
        <w:t xml:space="preserve"> </w:t>
      </w:r>
      <w:r w:rsidRPr="00004845">
        <w:rPr>
          <w:i/>
        </w:rPr>
        <w:t>National Railroad Passenger Corporation (d/b/a Amtrak), Request for Waiver of Certain Part 80 Automated Maritime Telecommunications System Rules to Implement Positive Train Control</w:t>
      </w:r>
      <w:r w:rsidRPr="00004845">
        <w:t>, Order, 30 FCC Rcd 2038, 2041, para. 11 (WTB MD 2015) (</w:t>
      </w:r>
      <w:r w:rsidRPr="00004845">
        <w:rPr>
          <w:i/>
        </w:rPr>
        <w:t>Amtrak Part 80 Waiver Order</w:t>
      </w:r>
      <w:r w:rsidRPr="00004845">
        <w:t xml:space="preserve">) and </w:t>
      </w:r>
      <w:r w:rsidRPr="00004845">
        <w:rPr>
          <w:i/>
          <w:iCs/>
        </w:rPr>
        <w:t>Maritime Communications/Land Mobile, LLC and Southern California Regional Rail Authority File Applications to Modify License and Assign Spectrum for Positive Train Control Use, and Request Part 80 Waivers</w:t>
      </w:r>
      <w:r w:rsidRPr="00004845">
        <w:t>, WT Docket No. 10-83, Order, 31 FCC Rcd 9826 (WTB 2016) (</w:t>
      </w:r>
      <w:r w:rsidRPr="00004845">
        <w:rPr>
          <w:i/>
          <w:iCs/>
        </w:rPr>
        <w:t>SCRRA Waiver Order</w:t>
      </w:r>
      <w:r w:rsidRPr="00004845">
        <w:t xml:space="preserve">).  </w:t>
      </w:r>
    </w:p>
  </w:footnote>
  <w:footnote w:id="97">
    <w:p w:rsidR="003C535B" w:rsidRPr="00004845" w:rsidP="00004845" w14:paraId="13F6A330" w14:textId="77777777">
      <w:pPr>
        <w:pStyle w:val="FootnoteText"/>
        <w:jc w:val="left"/>
        <w:rPr>
          <w:i/>
        </w:rPr>
      </w:pPr>
      <w:r w:rsidRPr="00004845">
        <w:rPr>
          <w:rStyle w:val="FootnoteReference"/>
        </w:rPr>
        <w:footnoteRef/>
      </w:r>
      <w:r w:rsidRPr="00004845">
        <w:t xml:space="preserve"> 47 CFR § 1.925(b)(3); </w:t>
      </w:r>
      <w:r w:rsidRPr="00004845">
        <w:rPr>
          <w:i/>
        </w:rPr>
        <w:t>see also WAIT Radio v FCC</w:t>
      </w:r>
      <w:r w:rsidRPr="00004845">
        <w:t xml:space="preserve">, 418 F. 2d 1153, 1159 (D.C. Cir. 1969).  </w:t>
      </w:r>
    </w:p>
  </w:footnote>
  <w:footnote w:id="98">
    <w:p w:rsidR="003C535B" w:rsidRPr="00004845" w:rsidP="00004845" w14:paraId="16A68DA2" w14:textId="77777777">
      <w:pPr>
        <w:pStyle w:val="FootnoteText"/>
        <w:jc w:val="left"/>
      </w:pPr>
      <w:r w:rsidRPr="00004845">
        <w:rPr>
          <w:rStyle w:val="FootnoteReference"/>
        </w:rPr>
        <w:footnoteRef/>
      </w:r>
      <w:r w:rsidRPr="00004845">
        <w:t xml:space="preserve"> 47 CFR § 1.3.</w:t>
      </w:r>
    </w:p>
  </w:footnote>
  <w:footnote w:id="99">
    <w:p w:rsidR="003C535B" w:rsidRPr="00004845" w:rsidP="00004845" w14:paraId="38E390D4" w14:textId="7E4C71CC">
      <w:pPr>
        <w:pStyle w:val="FootnoteText"/>
        <w:jc w:val="left"/>
      </w:pPr>
      <w:r w:rsidRPr="00004845">
        <w:rPr>
          <w:rStyle w:val="FootnoteReference"/>
        </w:rPr>
        <w:footnoteRef/>
      </w:r>
      <w:r w:rsidRPr="00004845">
        <w:t xml:space="preserve"> </w:t>
      </w:r>
      <w:r w:rsidRPr="00004845">
        <w:rPr>
          <w:i/>
        </w:rPr>
        <w:t>Maritel, Inc. and Mobex Network Services, LLC</w:t>
      </w:r>
      <w:r w:rsidRPr="00004845">
        <w:t>, Report and Order, 22 FCC Rcd 8971, 8986-87, para. 26 (2007) (</w:t>
      </w:r>
      <w:r w:rsidRPr="00004845">
        <w:rPr>
          <w:i/>
        </w:rPr>
        <w:t>Flexibility Order</w:t>
      </w:r>
      <w:r w:rsidRPr="00004845">
        <w:t>).</w:t>
      </w:r>
    </w:p>
  </w:footnote>
  <w:footnote w:id="100">
    <w:p w:rsidR="003C535B" w:rsidRPr="00004845" w:rsidP="00004845" w14:paraId="3F714C7B" w14:textId="77777777">
      <w:pPr>
        <w:pStyle w:val="FootnoteText"/>
        <w:jc w:val="left"/>
      </w:pPr>
      <w:r w:rsidRPr="00004845">
        <w:rPr>
          <w:rStyle w:val="FootnoteReference"/>
        </w:rPr>
        <w:footnoteRef/>
      </w:r>
      <w:r w:rsidRPr="00004845">
        <w:t xml:space="preserve"> 47 CFR § 80.92(a).</w:t>
      </w:r>
    </w:p>
  </w:footnote>
  <w:footnote w:id="101">
    <w:p w:rsidR="003C535B" w:rsidRPr="00004845" w:rsidP="00004845" w14:paraId="788FF17B" w14:textId="77777777">
      <w:pPr>
        <w:pStyle w:val="FootnoteText"/>
        <w:jc w:val="left"/>
      </w:pPr>
      <w:r w:rsidRPr="00004845">
        <w:rPr>
          <w:rStyle w:val="FootnoteReference"/>
        </w:rPr>
        <w:footnoteRef/>
      </w:r>
      <w:r w:rsidRPr="00004845">
        <w:t xml:space="preserve"> Waiver Request at 8.</w:t>
      </w:r>
    </w:p>
  </w:footnote>
  <w:footnote w:id="102">
    <w:p w:rsidR="003C535B" w:rsidRPr="00004845" w:rsidP="00004845" w14:paraId="453003FA" w14:textId="77777777">
      <w:pPr>
        <w:pStyle w:val="FootnoteText"/>
        <w:jc w:val="left"/>
      </w:pPr>
      <w:r w:rsidRPr="00004845">
        <w:rPr>
          <w:rStyle w:val="FootnoteReference"/>
        </w:rPr>
        <w:footnoteRef/>
      </w:r>
      <w:r w:rsidRPr="00004845">
        <w:t xml:space="preserve"> </w:t>
      </w:r>
      <w:r w:rsidRPr="00004845">
        <w:rPr>
          <w:i/>
        </w:rPr>
        <w:t>National Railroad Passenger Corporation (d/b/a Amtrak), Request for Waiver of Certain Part 80 Automated Maritime Telecommunications System Rules to Implement Positive Train Control</w:t>
      </w:r>
      <w:r w:rsidRPr="00004845">
        <w:t>, Order, 30 FCC Rcd 2038, 2041, para. 11 (WTB MD 2015) (</w:t>
      </w:r>
      <w:r w:rsidRPr="00004845">
        <w:rPr>
          <w:i/>
        </w:rPr>
        <w:t>Amtrak Part 80 Waiver Order</w:t>
      </w:r>
      <w:r w:rsidRPr="00004845">
        <w:t>).</w:t>
      </w:r>
    </w:p>
  </w:footnote>
  <w:footnote w:id="103">
    <w:p w:rsidR="003C535B" w:rsidRPr="00004845" w:rsidP="00004845" w14:paraId="5E15773E" w14:textId="77777777">
      <w:pPr>
        <w:pStyle w:val="FootnoteText"/>
        <w:jc w:val="left"/>
      </w:pPr>
      <w:r w:rsidRPr="00004845">
        <w:rPr>
          <w:rStyle w:val="FootnoteReference"/>
        </w:rPr>
        <w:footnoteRef/>
      </w:r>
      <w:r w:rsidRPr="00004845">
        <w:t xml:space="preserve"> 47 CFR § 1.925(b)(3)(i).</w:t>
      </w:r>
    </w:p>
  </w:footnote>
  <w:footnote w:id="104">
    <w:p w:rsidR="003C535B" w:rsidRPr="00004845" w:rsidP="00004845" w14:paraId="788C752A" w14:textId="77777777">
      <w:pPr>
        <w:pStyle w:val="FootnoteText"/>
        <w:jc w:val="left"/>
      </w:pPr>
      <w:r w:rsidRPr="00004845">
        <w:rPr>
          <w:rStyle w:val="FootnoteReference"/>
        </w:rPr>
        <w:footnoteRef/>
      </w:r>
      <w:r w:rsidRPr="00004845">
        <w:t xml:space="preserve"> Waiver Request at 8, citing 47 CFR § 80.105.</w:t>
      </w:r>
    </w:p>
  </w:footnote>
  <w:footnote w:id="105">
    <w:p w:rsidR="003C535B" w:rsidRPr="00004845" w:rsidP="00004845" w14:paraId="3F77BED3" w14:textId="584DB509">
      <w:pPr>
        <w:pStyle w:val="FootnoteText"/>
        <w:jc w:val="left"/>
      </w:pPr>
      <w:r w:rsidRPr="00004845">
        <w:rPr>
          <w:rStyle w:val="FootnoteReference"/>
        </w:rPr>
        <w:footnoteRef/>
      </w:r>
      <w:r w:rsidRPr="00004845">
        <w:t xml:space="preserve"> </w:t>
      </w:r>
      <w:r w:rsidRPr="00004845" w:rsidR="005A2EA9">
        <w:rPr>
          <w:i/>
          <w:iCs/>
        </w:rPr>
        <w:t>Id.</w:t>
      </w:r>
      <w:r w:rsidRPr="00004845" w:rsidR="005A2EA9">
        <w:t xml:space="preserve"> </w:t>
      </w:r>
      <w:r w:rsidRPr="00004845">
        <w:t>at 10, citing 47 CFR § 80.123(b).</w:t>
      </w:r>
    </w:p>
  </w:footnote>
  <w:footnote w:id="106">
    <w:p w:rsidR="003C535B" w:rsidRPr="00004845" w:rsidP="00004845" w14:paraId="10D4CB4C" w14:textId="77777777">
      <w:pPr>
        <w:pStyle w:val="FootnoteText"/>
        <w:jc w:val="left"/>
      </w:pPr>
      <w:r w:rsidRPr="00004845">
        <w:rPr>
          <w:rStyle w:val="FootnoteReference"/>
        </w:rPr>
        <w:footnoteRef/>
      </w:r>
      <w:r w:rsidRPr="00004845">
        <w:t xml:space="preserve"> </w:t>
      </w:r>
      <w:r w:rsidRPr="00004845">
        <w:rPr>
          <w:i/>
          <w:iCs/>
        </w:rPr>
        <w:t>SCRRA Waiver Order</w:t>
      </w:r>
      <w:r w:rsidRPr="00004845">
        <w:t>, 31 FCC Rcd at 9837, para. 31 &amp; n.106, citing Letter from Joseph C. Szabo, Administrator, Federal Railroad Administration, to Ruth Milkman, Chief, Wireless Telecommunications Bureau, FCC, WT Docket No. 10-83, at 2 (May 3, 2010).</w:t>
      </w:r>
    </w:p>
  </w:footnote>
  <w:footnote w:id="107">
    <w:p w:rsidR="003C535B" w:rsidRPr="00004845" w:rsidP="00004845" w14:paraId="4E87CEE4" w14:textId="0F3E3D9F">
      <w:pPr>
        <w:pStyle w:val="FootnoteText"/>
        <w:jc w:val="left"/>
      </w:pPr>
      <w:r w:rsidRPr="00004845">
        <w:rPr>
          <w:rStyle w:val="FootnoteReference"/>
        </w:rPr>
        <w:footnoteRef/>
      </w:r>
      <w:r w:rsidRPr="00004845">
        <w:t xml:space="preserve"> </w:t>
      </w:r>
      <w:r w:rsidRPr="00004845">
        <w:rPr>
          <w:i/>
          <w:iCs/>
        </w:rPr>
        <w:t>Id.</w:t>
      </w:r>
    </w:p>
  </w:footnote>
  <w:footnote w:id="108">
    <w:p w:rsidR="003C535B" w:rsidRPr="00004845" w:rsidP="00004845" w14:paraId="4B18E814" w14:textId="77777777">
      <w:pPr>
        <w:pStyle w:val="FootnoteText"/>
        <w:jc w:val="left"/>
      </w:pPr>
      <w:r w:rsidRPr="00004845">
        <w:rPr>
          <w:rStyle w:val="FootnoteReference"/>
        </w:rPr>
        <w:footnoteRef/>
      </w:r>
      <w:r w:rsidRPr="00004845">
        <w:t xml:space="preserve"> 47 CFR § 1.925(b)(3)(ii).  </w:t>
      </w:r>
      <w:r w:rsidRPr="00004845">
        <w:rPr>
          <w:i/>
        </w:rPr>
        <w:t>See also County of Silverbow, Montana</w:t>
      </w:r>
      <w:r w:rsidRPr="00004845">
        <w:t>, Order, 24 FCC Rcd 12547, 12565, para. 41 (PSHSB PD 2009) (</w:t>
      </w:r>
      <w:r w:rsidRPr="00004845">
        <w:rPr>
          <w:i/>
        </w:rPr>
        <w:t>Silverbow Order</w:t>
      </w:r>
      <w:r w:rsidRPr="00004845">
        <w:t>) (waiving Sections 80.105 and 80.106 to permit use of VHF Public Coast station frequencies in a Public Safety PLMR system).</w:t>
      </w:r>
    </w:p>
  </w:footnote>
  <w:footnote w:id="109">
    <w:p w:rsidR="003C535B" w:rsidRPr="00004845" w:rsidP="00004845" w14:paraId="158C2CA6" w14:textId="77777777">
      <w:pPr>
        <w:pStyle w:val="FootnoteText"/>
        <w:jc w:val="left"/>
      </w:pPr>
      <w:r w:rsidRPr="00004845">
        <w:rPr>
          <w:rStyle w:val="FootnoteReference"/>
        </w:rPr>
        <w:footnoteRef/>
      </w:r>
      <w:r w:rsidRPr="00004845">
        <w:t xml:space="preserve"> Waiver Request at 8-9, citing 47 CFR § 80.106.</w:t>
      </w:r>
    </w:p>
  </w:footnote>
  <w:footnote w:id="110">
    <w:p w:rsidR="003C535B" w:rsidRPr="00004845" w:rsidP="00004845" w14:paraId="3D998691" w14:textId="77777777">
      <w:pPr>
        <w:pStyle w:val="FootnoteText"/>
        <w:jc w:val="left"/>
      </w:pPr>
      <w:r w:rsidRPr="00004845">
        <w:rPr>
          <w:rStyle w:val="FootnoteReference"/>
        </w:rPr>
        <w:footnoteRef/>
      </w:r>
      <w:r w:rsidRPr="00004845">
        <w:t xml:space="preserve"> </w:t>
      </w:r>
      <w:r w:rsidRPr="00004845">
        <w:rPr>
          <w:i/>
        </w:rPr>
        <w:t>Amtrak Part 80 Waiver Order</w:t>
      </w:r>
      <w:r w:rsidRPr="00004845">
        <w:t xml:space="preserve">, 30 FCC Rcd at 2042, para. 13.  </w:t>
      </w:r>
    </w:p>
  </w:footnote>
  <w:footnote w:id="111">
    <w:p w:rsidR="003C535B" w:rsidRPr="00004845" w:rsidP="00004845" w14:paraId="45CC2D3C" w14:textId="77777777">
      <w:pPr>
        <w:pStyle w:val="FootnoteText"/>
        <w:jc w:val="left"/>
      </w:pPr>
      <w:r w:rsidRPr="00004845">
        <w:rPr>
          <w:rStyle w:val="FootnoteReference"/>
        </w:rPr>
        <w:footnoteRef/>
      </w:r>
      <w:r w:rsidRPr="00004845">
        <w:t xml:space="preserve"> </w:t>
      </w:r>
      <w:r w:rsidRPr="00004845">
        <w:rPr>
          <w:i/>
        </w:rPr>
        <w:t>Id</w:t>
      </w:r>
      <w:r w:rsidRPr="00004845">
        <w:t xml:space="preserve">.  </w:t>
      </w:r>
    </w:p>
  </w:footnote>
  <w:footnote w:id="112">
    <w:p w:rsidR="003C535B" w:rsidRPr="00004845" w:rsidP="00004845" w14:paraId="44F0385B" w14:textId="77777777">
      <w:pPr>
        <w:pStyle w:val="FootnoteText"/>
        <w:jc w:val="left"/>
      </w:pPr>
      <w:r w:rsidRPr="00004845">
        <w:rPr>
          <w:rStyle w:val="FootnoteReference"/>
        </w:rPr>
        <w:footnoteRef/>
      </w:r>
      <w:r w:rsidRPr="00004845">
        <w:t xml:space="preserve"> 47 CFR § 1.925(b)(3)(ii).  </w:t>
      </w:r>
      <w:r w:rsidRPr="00004845">
        <w:rPr>
          <w:i/>
        </w:rPr>
        <w:t>See also Silverbow Order</w:t>
      </w:r>
      <w:r w:rsidRPr="00004845">
        <w:t>, 24 FCC Rcd at 12565, para. 41 (waiving sections 80.105 and 80.106 to permit use of VHF Public Coast station frequencies in a Public Safety PLMR system).</w:t>
      </w:r>
    </w:p>
  </w:footnote>
  <w:footnote w:id="113">
    <w:p w:rsidR="003C535B" w:rsidRPr="00004845" w:rsidP="00004845" w14:paraId="4EAEC191" w14:textId="77777777">
      <w:pPr>
        <w:pStyle w:val="FootnoteText"/>
        <w:jc w:val="left"/>
      </w:pPr>
      <w:r w:rsidRPr="00004845">
        <w:rPr>
          <w:rStyle w:val="FootnoteReference"/>
        </w:rPr>
        <w:footnoteRef/>
      </w:r>
      <w:r w:rsidRPr="00004845">
        <w:t xml:space="preserve"> 47 CFR § 80.123(a).</w:t>
      </w:r>
    </w:p>
  </w:footnote>
  <w:footnote w:id="114">
    <w:p w:rsidR="003C535B" w:rsidRPr="00004845" w:rsidP="00004845" w14:paraId="2144AE98" w14:textId="77777777">
      <w:pPr>
        <w:pStyle w:val="FootnoteText"/>
        <w:jc w:val="left"/>
      </w:pPr>
      <w:r w:rsidRPr="00004845">
        <w:rPr>
          <w:rStyle w:val="FootnoteReference"/>
        </w:rPr>
        <w:footnoteRef/>
      </w:r>
      <w:r w:rsidRPr="00004845">
        <w:t xml:space="preserve"> Waiver Request at 9-10.</w:t>
      </w:r>
    </w:p>
  </w:footnote>
  <w:footnote w:id="115">
    <w:p w:rsidR="003C535B" w:rsidRPr="00004845" w:rsidP="00004845" w14:paraId="62EACBAB" w14:textId="5F044F02">
      <w:pPr>
        <w:pStyle w:val="FootnoteText"/>
        <w:jc w:val="left"/>
      </w:pPr>
      <w:r w:rsidRPr="00004845">
        <w:rPr>
          <w:rStyle w:val="FootnoteReference"/>
        </w:rPr>
        <w:footnoteRef/>
      </w:r>
      <w:r w:rsidRPr="00004845">
        <w:t xml:space="preserve"> </w:t>
      </w:r>
      <w:r w:rsidRPr="00004845" w:rsidR="00032717">
        <w:rPr>
          <w:i/>
          <w:iCs/>
        </w:rPr>
        <w:t>Id.</w:t>
      </w:r>
      <w:r w:rsidRPr="00004845" w:rsidR="00032717">
        <w:t xml:space="preserve"> </w:t>
      </w:r>
      <w:r w:rsidRPr="00004845">
        <w:t xml:space="preserve">at 9, citing </w:t>
      </w:r>
      <w:r w:rsidRPr="00004845">
        <w:rPr>
          <w:i/>
        </w:rPr>
        <w:t>Amtrak Part 80 Waiver Order</w:t>
      </w:r>
      <w:r w:rsidRPr="00004845">
        <w:t xml:space="preserve">, 30 FCC Rcd at 2042, para. 12. and </w:t>
      </w:r>
      <w:r w:rsidRPr="00004845">
        <w:rPr>
          <w:i/>
        </w:rPr>
        <w:t>SCRRA Waiver Order</w:t>
      </w:r>
      <w:r w:rsidRPr="00004845">
        <w:rPr>
          <w:iCs/>
        </w:rPr>
        <w:t>,</w:t>
      </w:r>
      <w:r w:rsidRPr="00004845">
        <w:t xml:space="preserve"> 31 FCC Rcd at 9838, para. 34.</w:t>
      </w:r>
    </w:p>
  </w:footnote>
  <w:footnote w:id="116">
    <w:p w:rsidR="003C535B" w:rsidRPr="00004845" w:rsidP="00004845" w14:paraId="64943FC7" w14:textId="77777777">
      <w:pPr>
        <w:pStyle w:val="FootnoteText"/>
        <w:jc w:val="left"/>
      </w:pPr>
      <w:r w:rsidRPr="00004845">
        <w:rPr>
          <w:rStyle w:val="FootnoteReference"/>
        </w:rPr>
        <w:footnoteRef/>
      </w:r>
      <w:r w:rsidRPr="00004845">
        <w:t xml:space="preserve"> </w:t>
      </w:r>
      <w:r w:rsidRPr="00004845">
        <w:rPr>
          <w:i/>
        </w:rPr>
        <w:t>Amtrak Part 80 Waiver Order</w:t>
      </w:r>
      <w:r w:rsidRPr="00004845">
        <w:t xml:space="preserve">, 30 FCC Rcd at 2042, para. 12.  </w:t>
      </w:r>
    </w:p>
  </w:footnote>
  <w:footnote w:id="117">
    <w:p w:rsidR="003C535B" w:rsidRPr="00004845" w:rsidP="00004845" w14:paraId="265F9B46" w14:textId="5B2A7C6E">
      <w:pPr>
        <w:pStyle w:val="FootnoteText"/>
        <w:jc w:val="left"/>
      </w:pPr>
      <w:r w:rsidRPr="00004845">
        <w:rPr>
          <w:rStyle w:val="FootnoteReference"/>
        </w:rPr>
        <w:footnoteRef/>
      </w:r>
      <w:r w:rsidRPr="00004845">
        <w:t xml:space="preserve"> </w:t>
      </w:r>
      <w:r w:rsidRPr="00004845">
        <w:rPr>
          <w:i/>
        </w:rPr>
        <w:t>SCRRA Waiver Order</w:t>
      </w:r>
      <w:r w:rsidRPr="00004845">
        <w:t>, 31 FCC Rcd at 9838, para</w:t>
      </w:r>
      <w:r w:rsidR="00B0754E">
        <w:t>.</w:t>
      </w:r>
      <w:r w:rsidRPr="00004845">
        <w:t xml:space="preserve"> 34.</w:t>
      </w:r>
    </w:p>
  </w:footnote>
  <w:footnote w:id="118">
    <w:p w:rsidR="003C535B" w:rsidRPr="00004845" w:rsidP="00004845" w14:paraId="40750ADB" w14:textId="77777777">
      <w:pPr>
        <w:pStyle w:val="FootnoteText"/>
        <w:jc w:val="left"/>
      </w:pPr>
      <w:r w:rsidRPr="00004845">
        <w:rPr>
          <w:rStyle w:val="FootnoteReference"/>
        </w:rPr>
        <w:footnoteRef/>
      </w:r>
      <w:r w:rsidRPr="00004845">
        <w:t xml:space="preserve"> 47 CFR § 1.925(b)(3)(ii).</w:t>
      </w:r>
    </w:p>
  </w:footnote>
  <w:footnote w:id="119">
    <w:p w:rsidR="003C535B" w:rsidRPr="00004845" w:rsidP="00004845" w14:paraId="652E581C" w14:textId="2A8BE019">
      <w:pPr>
        <w:pStyle w:val="FootnoteText"/>
        <w:jc w:val="left"/>
      </w:pPr>
      <w:r w:rsidRPr="00004845">
        <w:rPr>
          <w:rStyle w:val="FootnoteReference"/>
        </w:rPr>
        <w:footnoteRef/>
      </w:r>
      <w:r w:rsidRPr="00004845">
        <w:t xml:space="preserve"> </w:t>
      </w:r>
      <w:r w:rsidRPr="00004845" w:rsidR="00DE5BA0">
        <w:rPr>
          <w:i/>
          <w:iCs/>
        </w:rPr>
        <w:t>Id.</w:t>
      </w:r>
      <w:r w:rsidRPr="00004845">
        <w:rPr>
          <w:color w:val="FF0000"/>
        </w:rPr>
        <w:t xml:space="preserve"> </w:t>
      </w:r>
      <w:r w:rsidRPr="00004845">
        <w:t>§ 80.123(f).</w:t>
      </w:r>
    </w:p>
  </w:footnote>
  <w:footnote w:id="120">
    <w:p w:rsidR="003C535B" w:rsidRPr="00004845" w:rsidP="00004845" w14:paraId="3DF7213C" w14:textId="77777777">
      <w:pPr>
        <w:pStyle w:val="FootnoteText"/>
        <w:jc w:val="left"/>
      </w:pPr>
      <w:r w:rsidRPr="00004845">
        <w:rPr>
          <w:rStyle w:val="FootnoteReference"/>
        </w:rPr>
        <w:footnoteRef/>
      </w:r>
      <w:r w:rsidRPr="00004845">
        <w:t xml:space="preserve"> Waiver Request at 10 and n.45, citing </w:t>
      </w:r>
      <w:r w:rsidRPr="00004845">
        <w:rPr>
          <w:i/>
          <w:iCs/>
        </w:rPr>
        <w:t>SCRRA Waiver Order</w:t>
      </w:r>
      <w:r w:rsidRPr="00004845">
        <w:t xml:space="preserve">, 31 FCC Rcd at 9839, para 36. </w:t>
      </w:r>
    </w:p>
  </w:footnote>
  <w:footnote w:id="121">
    <w:p w:rsidR="003C535B" w:rsidRPr="00004845" w:rsidP="00004845" w14:paraId="4CC2C653" w14:textId="7637B668">
      <w:pPr>
        <w:pStyle w:val="FootnoteText"/>
        <w:jc w:val="left"/>
      </w:pPr>
      <w:r w:rsidRPr="00004845">
        <w:rPr>
          <w:rStyle w:val="FootnoteReference"/>
        </w:rPr>
        <w:footnoteRef/>
      </w:r>
      <w:r w:rsidRPr="00004845">
        <w:t xml:space="preserve"> </w:t>
      </w:r>
      <w:r w:rsidRPr="00004845" w:rsidR="002A3055">
        <w:rPr>
          <w:i/>
          <w:iCs/>
        </w:rPr>
        <w:t>Id.</w:t>
      </w:r>
      <w:r w:rsidRPr="00004845">
        <w:t xml:space="preserve">, citing </w:t>
      </w:r>
      <w:r w:rsidRPr="00004845">
        <w:rPr>
          <w:i/>
        </w:rPr>
        <w:t>Amtrak Part 80 Waiver Order</w:t>
      </w:r>
      <w:r w:rsidRPr="00004845">
        <w:t>, 30 FCC Rcd at 2042, para. 13.</w:t>
      </w:r>
    </w:p>
  </w:footnote>
  <w:footnote w:id="122">
    <w:p w:rsidR="003C535B" w:rsidRPr="00004845" w:rsidP="00004845" w14:paraId="673F3B96" w14:textId="77777777">
      <w:pPr>
        <w:pStyle w:val="FootnoteText"/>
        <w:jc w:val="left"/>
      </w:pPr>
      <w:r w:rsidRPr="00004845">
        <w:rPr>
          <w:rStyle w:val="FootnoteReference"/>
        </w:rPr>
        <w:footnoteRef/>
      </w:r>
      <w:r w:rsidRPr="00004845">
        <w:t xml:space="preserve"> 47 CFR § 1.925(b)(3)(ii).</w:t>
      </w:r>
    </w:p>
  </w:footnote>
  <w:footnote w:id="123">
    <w:p w:rsidR="003C535B" w:rsidRPr="00004845" w:rsidP="00004845" w14:paraId="7FDDD6BC" w14:textId="672D6942">
      <w:pPr>
        <w:pStyle w:val="FootnoteText"/>
        <w:jc w:val="left"/>
      </w:pPr>
      <w:r w:rsidRPr="00004845">
        <w:rPr>
          <w:rStyle w:val="FootnoteReference"/>
        </w:rPr>
        <w:footnoteRef/>
      </w:r>
      <w:r w:rsidRPr="00004845">
        <w:t xml:space="preserve"> </w:t>
      </w:r>
      <w:r w:rsidRPr="00004845" w:rsidR="002A3055">
        <w:rPr>
          <w:i/>
          <w:iCs/>
        </w:rPr>
        <w:t>Id.</w:t>
      </w:r>
      <w:r w:rsidRPr="00004845">
        <w:t xml:space="preserve"> § 80.385(a)(2).</w:t>
      </w:r>
    </w:p>
  </w:footnote>
  <w:footnote w:id="124">
    <w:p w:rsidR="003C535B" w:rsidRPr="00004845" w:rsidP="00004845" w14:paraId="7C83E40D" w14:textId="77777777">
      <w:pPr>
        <w:pStyle w:val="FootnoteText"/>
        <w:jc w:val="left"/>
      </w:pPr>
      <w:r w:rsidRPr="00004845">
        <w:rPr>
          <w:rStyle w:val="FootnoteReference"/>
        </w:rPr>
        <w:footnoteRef/>
      </w:r>
      <w:r w:rsidRPr="00004845">
        <w:t xml:space="preserve"> Waiver Request at 10-11.</w:t>
      </w:r>
    </w:p>
  </w:footnote>
  <w:footnote w:id="125">
    <w:p w:rsidR="003C535B" w:rsidRPr="00004845" w:rsidP="00004845" w14:paraId="6AD0CD5E" w14:textId="552DBD92">
      <w:pPr>
        <w:pStyle w:val="FootnoteText"/>
        <w:jc w:val="left"/>
      </w:pPr>
      <w:r w:rsidRPr="00004845">
        <w:rPr>
          <w:rStyle w:val="FootnoteReference"/>
        </w:rPr>
        <w:footnoteRef/>
      </w:r>
      <w:r w:rsidRPr="00004845">
        <w:t xml:space="preserve"> </w:t>
      </w:r>
      <w:r w:rsidRPr="00004845" w:rsidR="00572DA9">
        <w:rPr>
          <w:i/>
          <w:iCs/>
        </w:rPr>
        <w:t>Id.</w:t>
      </w:r>
      <w:r w:rsidRPr="00004845" w:rsidR="00572DA9">
        <w:t xml:space="preserve"> </w:t>
      </w:r>
      <w:r w:rsidRPr="00004845">
        <w:t>at 9.</w:t>
      </w:r>
    </w:p>
  </w:footnote>
  <w:footnote w:id="126">
    <w:p w:rsidR="003C535B" w:rsidRPr="00004845" w:rsidP="00004845" w14:paraId="676378B8" w14:textId="77777777">
      <w:pPr>
        <w:pStyle w:val="FootnoteText"/>
        <w:jc w:val="left"/>
      </w:pPr>
      <w:r w:rsidRPr="00004845">
        <w:rPr>
          <w:rStyle w:val="FootnoteReference"/>
        </w:rPr>
        <w:footnoteRef/>
      </w:r>
      <w:r w:rsidRPr="00004845">
        <w:t xml:space="preserve"> </w:t>
      </w:r>
      <w:r w:rsidRPr="00004845">
        <w:rPr>
          <w:i/>
        </w:rPr>
        <w:t>Amtrak Part 80 Waiver Order</w:t>
      </w:r>
      <w:r w:rsidRPr="00004845">
        <w:t xml:space="preserve">, 30 FCC Rcd at 2042-43, para. 14; </w:t>
      </w:r>
      <w:r w:rsidRPr="00004845">
        <w:rPr>
          <w:i/>
          <w:iCs/>
        </w:rPr>
        <w:t>SCRRA Waiver Order</w:t>
      </w:r>
      <w:r w:rsidRPr="00004845">
        <w:t>, 31 FCC Rcd at 9839, para. 37.</w:t>
      </w:r>
    </w:p>
  </w:footnote>
  <w:footnote w:id="127">
    <w:p w:rsidR="003C535B" w:rsidRPr="00004845" w:rsidP="00004845" w14:paraId="6E1B287F" w14:textId="77777777">
      <w:pPr>
        <w:pStyle w:val="FootnoteText"/>
        <w:tabs>
          <w:tab w:val="left" w:pos="3120"/>
        </w:tabs>
        <w:jc w:val="left"/>
      </w:pPr>
      <w:r w:rsidRPr="00004845">
        <w:rPr>
          <w:rStyle w:val="FootnoteReference"/>
        </w:rPr>
        <w:footnoteRef/>
      </w:r>
      <w:r w:rsidRPr="00004845">
        <w:t xml:space="preserve"> 47 CFR § 1.925(b)(3)(ii).</w:t>
      </w:r>
      <w:r w:rsidRPr="00004845">
        <w:tab/>
      </w:r>
    </w:p>
  </w:footnote>
  <w:footnote w:id="128">
    <w:p w:rsidR="003C535B" w:rsidRPr="00004845" w:rsidP="00004845" w14:paraId="13D8E490" w14:textId="01819CE1">
      <w:pPr>
        <w:pStyle w:val="FootnoteText"/>
        <w:jc w:val="left"/>
      </w:pPr>
      <w:r w:rsidRPr="00004845">
        <w:rPr>
          <w:rStyle w:val="FootnoteReference"/>
        </w:rPr>
        <w:footnoteRef/>
      </w:r>
      <w:r w:rsidRPr="00004845">
        <w:t xml:space="preserve"> Waiver Request at 11-12, citing 47 CFR § 80.215(h)(5).</w:t>
      </w:r>
    </w:p>
  </w:footnote>
  <w:footnote w:id="129">
    <w:p w:rsidR="003C535B" w:rsidRPr="00004845" w:rsidP="00004845" w14:paraId="5C141993" w14:textId="57E3F7A6">
      <w:pPr>
        <w:pStyle w:val="FootnoteText"/>
        <w:jc w:val="left"/>
      </w:pPr>
      <w:r w:rsidRPr="00004845">
        <w:rPr>
          <w:rStyle w:val="FootnoteReference"/>
        </w:rPr>
        <w:footnoteRef/>
      </w:r>
      <w:r w:rsidRPr="00004845">
        <w:t xml:space="preserve"> </w:t>
      </w:r>
      <w:r w:rsidRPr="00004845" w:rsidR="002A3055">
        <w:rPr>
          <w:i/>
          <w:iCs/>
        </w:rPr>
        <w:t>Id.</w:t>
      </w:r>
      <w:r w:rsidRPr="00004845" w:rsidR="002A3055">
        <w:t xml:space="preserve"> </w:t>
      </w:r>
      <w:r w:rsidRPr="00004845">
        <w:t>at 12.</w:t>
      </w:r>
    </w:p>
  </w:footnote>
  <w:footnote w:id="130">
    <w:p w:rsidR="003C535B" w:rsidRPr="00004845" w:rsidP="00004845" w14:paraId="21DA8986" w14:textId="718FAC1D">
      <w:pPr>
        <w:pStyle w:val="FootnoteText"/>
        <w:jc w:val="left"/>
      </w:pPr>
      <w:r w:rsidRPr="00004845">
        <w:rPr>
          <w:rStyle w:val="FootnoteReference"/>
        </w:rPr>
        <w:footnoteRef/>
      </w:r>
      <w:r w:rsidRPr="00004845">
        <w:t xml:space="preserve"> </w:t>
      </w:r>
      <w:r w:rsidRPr="00004845">
        <w:rPr>
          <w:i/>
          <w:iCs/>
        </w:rPr>
        <w:t>Id.</w:t>
      </w:r>
    </w:p>
  </w:footnote>
  <w:footnote w:id="131">
    <w:p w:rsidR="003C535B" w:rsidRPr="00004845" w:rsidP="00004845" w14:paraId="4A5EB2D4" w14:textId="51C35D54">
      <w:pPr>
        <w:pStyle w:val="FootnoteText"/>
        <w:jc w:val="left"/>
      </w:pPr>
      <w:r w:rsidRPr="00004845">
        <w:rPr>
          <w:rStyle w:val="FootnoteReference"/>
        </w:rPr>
        <w:footnoteRef/>
      </w:r>
      <w:r w:rsidRPr="00004845">
        <w:t xml:space="preserve"> </w:t>
      </w:r>
      <w:r w:rsidRPr="00004845">
        <w:rPr>
          <w:i/>
          <w:iCs/>
        </w:rPr>
        <w:t xml:space="preserve">Id. </w:t>
      </w:r>
      <w:r w:rsidRPr="00004845">
        <w:t>(noting “it is the gain of the antenna and the input power that determine the magnitude, direction and breadth of the radiated power, but ultimately only radiated power can cause interference”).</w:t>
      </w:r>
    </w:p>
  </w:footnote>
  <w:footnote w:id="132">
    <w:p w:rsidR="003C535B" w:rsidRPr="00004845" w:rsidP="00004845" w14:paraId="7D6F1D99" w14:textId="289AA6EF">
      <w:pPr>
        <w:pStyle w:val="FootnoteText"/>
        <w:jc w:val="left"/>
      </w:pPr>
      <w:r w:rsidRPr="00004845">
        <w:rPr>
          <w:rStyle w:val="FootnoteReference"/>
        </w:rPr>
        <w:footnoteRef/>
      </w:r>
      <w:r w:rsidRPr="00004845">
        <w:t xml:space="preserve"> </w:t>
      </w:r>
      <w:r w:rsidRPr="00004845">
        <w:rPr>
          <w:i/>
          <w:iCs/>
        </w:rPr>
        <w:t>Id.</w:t>
      </w:r>
      <w:r w:rsidRPr="00004845">
        <w:t xml:space="preserve"> </w:t>
      </w:r>
    </w:p>
  </w:footnote>
  <w:footnote w:id="133">
    <w:p w:rsidR="003C535B" w:rsidRPr="00004845" w:rsidP="00004845" w14:paraId="0A12F188" w14:textId="7786A650">
      <w:pPr>
        <w:pStyle w:val="FootnoteText"/>
        <w:jc w:val="left"/>
      </w:pPr>
      <w:r w:rsidRPr="00004845">
        <w:rPr>
          <w:rStyle w:val="FootnoteReference"/>
        </w:rPr>
        <w:footnoteRef/>
      </w:r>
      <w:r w:rsidRPr="00004845">
        <w:t xml:space="preserve"> </w:t>
      </w:r>
      <w:r w:rsidRPr="00004845">
        <w:rPr>
          <w:i/>
          <w:iCs/>
        </w:rPr>
        <w:t>Id.</w:t>
      </w:r>
    </w:p>
  </w:footnote>
  <w:footnote w:id="134">
    <w:p w:rsidR="003C535B" w:rsidRPr="00004845" w:rsidP="00004845" w14:paraId="1A5CBD91" w14:textId="77777777">
      <w:pPr>
        <w:pStyle w:val="FootnoteText"/>
        <w:jc w:val="left"/>
      </w:pPr>
      <w:r w:rsidRPr="00004845">
        <w:rPr>
          <w:rStyle w:val="FootnoteReference"/>
        </w:rPr>
        <w:footnoteRef/>
      </w:r>
      <w:r w:rsidRPr="00004845">
        <w:t xml:space="preserve"> </w:t>
      </w:r>
      <w:r w:rsidRPr="00004845">
        <w:rPr>
          <w:i/>
          <w:iCs/>
        </w:rPr>
        <w:t>Id.</w:t>
      </w:r>
    </w:p>
  </w:footnote>
  <w:footnote w:id="135">
    <w:p w:rsidR="003C535B" w:rsidRPr="00004845" w:rsidP="00004845" w14:paraId="6125F55B" w14:textId="77777777">
      <w:pPr>
        <w:pStyle w:val="FootnoteText"/>
        <w:jc w:val="left"/>
      </w:pPr>
      <w:r w:rsidRPr="00004845">
        <w:rPr>
          <w:rStyle w:val="FootnoteReference"/>
        </w:rPr>
        <w:footnoteRef/>
      </w:r>
      <w:r w:rsidRPr="00004845">
        <w:t xml:space="preserve"> 47 CFR § 1.925(b)(3)(ii).</w:t>
      </w:r>
    </w:p>
  </w:footnote>
  <w:footnote w:id="136">
    <w:p w:rsidR="003C535B" w:rsidRPr="00004845" w:rsidP="00004845" w14:paraId="650A8F91" w14:textId="72601619">
      <w:pPr>
        <w:pStyle w:val="FootnoteText"/>
        <w:tabs>
          <w:tab w:val="left" w:pos="3120"/>
        </w:tabs>
        <w:jc w:val="left"/>
      </w:pPr>
      <w:r w:rsidRPr="00004845">
        <w:rPr>
          <w:rStyle w:val="FootnoteReference"/>
        </w:rPr>
        <w:footnoteRef/>
      </w:r>
      <w:r w:rsidRPr="00004845">
        <w:t xml:space="preserve"> </w:t>
      </w:r>
      <w:r w:rsidRPr="00004845" w:rsidR="00DE5BA0">
        <w:rPr>
          <w:i/>
          <w:iCs/>
        </w:rPr>
        <w:t>Id.</w:t>
      </w:r>
      <w:r w:rsidRPr="00004845">
        <w:t xml:space="preserve"> § 1.925(b)(3)(ii).</w:t>
      </w:r>
      <w:r w:rsidRPr="00004845">
        <w:tab/>
      </w:r>
    </w:p>
  </w:footnote>
  <w:footnote w:id="137">
    <w:p w:rsidR="003C535B" w:rsidRPr="00004845" w:rsidP="00004845" w14:paraId="088D63FC" w14:textId="77777777">
      <w:pPr>
        <w:pStyle w:val="FootnoteText"/>
        <w:jc w:val="left"/>
      </w:pPr>
      <w:r w:rsidRPr="00004845">
        <w:rPr>
          <w:rStyle w:val="FootnoteReference"/>
        </w:rPr>
        <w:footnoteRef/>
      </w:r>
      <w:r w:rsidRPr="00004845">
        <w:t xml:space="preserve"> This includes all rules discussed above.   </w:t>
      </w:r>
    </w:p>
  </w:footnote>
  <w:footnote w:id="138">
    <w:p w:rsidR="003C535B" w:rsidRPr="00004845" w:rsidP="00004845" w14:paraId="33417DD5" w14:textId="77777777">
      <w:pPr>
        <w:pStyle w:val="FootnoteText"/>
        <w:jc w:val="left"/>
      </w:pPr>
      <w:r w:rsidRPr="00004845">
        <w:rPr>
          <w:rStyle w:val="FootnoteReference"/>
        </w:rPr>
        <w:footnoteRef/>
      </w:r>
      <w:r w:rsidRPr="00004845">
        <w:t xml:space="preserve"> 47 CFR § 1.3.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35B" w14:paraId="269B266C" w14:textId="29AF0E58">
    <w:pPr>
      <w:pStyle w:val="Header"/>
      <w:tabs>
        <w:tab w:val="clear" w:pos="4320"/>
        <w:tab w:val="center" w:pos="4680"/>
        <w:tab w:val="clear" w:pos="8640"/>
        <w:tab w:val="right" w:pos="9360"/>
      </w:tabs>
      <w:rPr>
        <w:b/>
      </w:rPr>
    </w:pPr>
    <w:r>
      <w:rPr>
        <w:b/>
      </w:rPr>
      <w:tab/>
      <w:t>Federal Communications Commission</w:t>
    </w:r>
    <w:r>
      <w:rPr>
        <w:b/>
      </w:rPr>
      <w:tab/>
      <w:t>DA 20-</w:t>
    </w:r>
    <w:r w:rsidR="0079182C">
      <w:rPr>
        <w:b/>
      </w:rPr>
      <w:t>1391</w:t>
    </w:r>
  </w:p>
  <w:p w:rsidR="003C535B" w14:paraId="291DB9B4" w14:textId="67B29D31">
    <w:pPr>
      <w:pStyle w:val="Header"/>
      <w:tabs>
        <w:tab w:val="clear" w:pos="8640"/>
        <w:tab w:val="right" w:pos="9360"/>
      </w:tabs>
    </w:pPr>
    <w:r>
      <w:rPr>
        <w:b/>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2049" style="mso-height-percent:0;mso-height-relative:page;mso-width-percent:0;mso-width-relative:page;mso-wrap-distance-bottom:0;mso-wrap-distance-left:9pt;mso-wrap-distance-right:9pt;mso-wrap-distance-top:0;mso-wrap-style:square;position:absolute;visibility:visible;z-index:251663360" from="0,1.75pt" to="468pt,1.75pt" o:allowincell="f" strokeweight="1.5p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535B" w14:paraId="40D2A16F" w14:textId="1C4865CE">
    <w:pPr>
      <w:pStyle w:val="Header"/>
      <w:tabs>
        <w:tab w:val="clear" w:pos="4320"/>
        <w:tab w:val="center" w:pos="4680"/>
        <w:tab w:val="clear" w:pos="8640"/>
        <w:tab w:val="right" w:pos="9360"/>
      </w:tabs>
      <w:rPr>
        <w:b/>
      </w:rPr>
    </w:pPr>
    <w:r>
      <w:rPr>
        <w:b/>
      </w:rPr>
      <w:tab/>
      <w:t>Federal Communications Commission</w:t>
    </w:r>
    <w:r>
      <w:rPr>
        <w:b/>
      </w:rPr>
      <w:tab/>
      <w:t>DA 20-</w:t>
    </w:r>
    <w:r w:rsidR="0079182C">
      <w:rPr>
        <w:b/>
      </w:rPr>
      <w:t>1391</w:t>
    </w:r>
  </w:p>
  <w:p w:rsidR="003C535B" w14:paraId="6B87FC28" w14:textId="24DF71BB">
    <w:pPr>
      <w:pStyle w:val="Header"/>
      <w:tabs>
        <w:tab w:val="clear" w:pos="8640"/>
        <w:tab w:val="right" w:pos="9360"/>
      </w:tabs>
      <w:rPr>
        <w:b/>
      </w:rPr>
    </w:pPr>
    <w:r>
      <w:rPr>
        <w:b/>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2E6ADE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64514311"/>
    <w:multiLevelType w:val="hybridMultilevel"/>
    <w:tmpl w:val="D2EE714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1"/>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FE"/>
    <w:rsid w:val="00000195"/>
    <w:rsid w:val="00001282"/>
    <w:rsid w:val="00003716"/>
    <w:rsid w:val="00004845"/>
    <w:rsid w:val="0000726F"/>
    <w:rsid w:val="0001047B"/>
    <w:rsid w:val="00013069"/>
    <w:rsid w:val="0001417D"/>
    <w:rsid w:val="000165EC"/>
    <w:rsid w:val="000217E8"/>
    <w:rsid w:val="000227B7"/>
    <w:rsid w:val="00022AFB"/>
    <w:rsid w:val="000245D6"/>
    <w:rsid w:val="00026A04"/>
    <w:rsid w:val="00027447"/>
    <w:rsid w:val="00030E69"/>
    <w:rsid w:val="000322E1"/>
    <w:rsid w:val="000323F9"/>
    <w:rsid w:val="00032717"/>
    <w:rsid w:val="000343FA"/>
    <w:rsid w:val="0003447A"/>
    <w:rsid w:val="00037180"/>
    <w:rsid w:val="00037AE1"/>
    <w:rsid w:val="000434D9"/>
    <w:rsid w:val="00043964"/>
    <w:rsid w:val="00043F03"/>
    <w:rsid w:val="00046019"/>
    <w:rsid w:val="00047376"/>
    <w:rsid w:val="000507C7"/>
    <w:rsid w:val="00052904"/>
    <w:rsid w:val="00053098"/>
    <w:rsid w:val="00053609"/>
    <w:rsid w:val="00053CA5"/>
    <w:rsid w:val="00054927"/>
    <w:rsid w:val="00054B3A"/>
    <w:rsid w:val="000562C8"/>
    <w:rsid w:val="000603EF"/>
    <w:rsid w:val="00062DA9"/>
    <w:rsid w:val="000656A4"/>
    <w:rsid w:val="00065A03"/>
    <w:rsid w:val="00071A2B"/>
    <w:rsid w:val="0007404A"/>
    <w:rsid w:val="000752EB"/>
    <w:rsid w:val="00075836"/>
    <w:rsid w:val="00076047"/>
    <w:rsid w:val="000778F6"/>
    <w:rsid w:val="00082266"/>
    <w:rsid w:val="000856A8"/>
    <w:rsid w:val="00093306"/>
    <w:rsid w:val="00094949"/>
    <w:rsid w:val="00095AF4"/>
    <w:rsid w:val="000967AF"/>
    <w:rsid w:val="000973F2"/>
    <w:rsid w:val="000A0429"/>
    <w:rsid w:val="000A07A7"/>
    <w:rsid w:val="000A07B7"/>
    <w:rsid w:val="000A1180"/>
    <w:rsid w:val="000A1847"/>
    <w:rsid w:val="000A1FDA"/>
    <w:rsid w:val="000A4964"/>
    <w:rsid w:val="000A5A4D"/>
    <w:rsid w:val="000A6999"/>
    <w:rsid w:val="000A71E3"/>
    <w:rsid w:val="000A7DBE"/>
    <w:rsid w:val="000B3280"/>
    <w:rsid w:val="000B52BE"/>
    <w:rsid w:val="000B599A"/>
    <w:rsid w:val="000B6134"/>
    <w:rsid w:val="000B64C2"/>
    <w:rsid w:val="000B6895"/>
    <w:rsid w:val="000B72DC"/>
    <w:rsid w:val="000B7D4D"/>
    <w:rsid w:val="000C4D77"/>
    <w:rsid w:val="000D0287"/>
    <w:rsid w:val="000D1EC7"/>
    <w:rsid w:val="000D234B"/>
    <w:rsid w:val="000D26AD"/>
    <w:rsid w:val="000D3847"/>
    <w:rsid w:val="000D4A49"/>
    <w:rsid w:val="000D5E60"/>
    <w:rsid w:val="000D6691"/>
    <w:rsid w:val="000D6E39"/>
    <w:rsid w:val="000D7AE8"/>
    <w:rsid w:val="000E0C48"/>
    <w:rsid w:val="000E2389"/>
    <w:rsid w:val="000E23DB"/>
    <w:rsid w:val="000E2DE0"/>
    <w:rsid w:val="000E465F"/>
    <w:rsid w:val="000E5992"/>
    <w:rsid w:val="000E5D0B"/>
    <w:rsid w:val="000E7568"/>
    <w:rsid w:val="000F0225"/>
    <w:rsid w:val="000F1207"/>
    <w:rsid w:val="000F1D91"/>
    <w:rsid w:val="000F2A0B"/>
    <w:rsid w:val="000F44B0"/>
    <w:rsid w:val="001012A4"/>
    <w:rsid w:val="00101613"/>
    <w:rsid w:val="0010263F"/>
    <w:rsid w:val="00103257"/>
    <w:rsid w:val="00103609"/>
    <w:rsid w:val="00103650"/>
    <w:rsid w:val="001056BD"/>
    <w:rsid w:val="00105CA3"/>
    <w:rsid w:val="00105E6E"/>
    <w:rsid w:val="0010730E"/>
    <w:rsid w:val="00110935"/>
    <w:rsid w:val="001114A2"/>
    <w:rsid w:val="0011176B"/>
    <w:rsid w:val="00111D74"/>
    <w:rsid w:val="001128D1"/>
    <w:rsid w:val="001131C6"/>
    <w:rsid w:val="0011531E"/>
    <w:rsid w:val="00115C06"/>
    <w:rsid w:val="00116E1C"/>
    <w:rsid w:val="00121903"/>
    <w:rsid w:val="00121FE9"/>
    <w:rsid w:val="00122AE2"/>
    <w:rsid w:val="001233B1"/>
    <w:rsid w:val="00123C27"/>
    <w:rsid w:val="00124A5D"/>
    <w:rsid w:val="00126CEA"/>
    <w:rsid w:val="00127870"/>
    <w:rsid w:val="00127C92"/>
    <w:rsid w:val="00130D36"/>
    <w:rsid w:val="001319E3"/>
    <w:rsid w:val="001336AD"/>
    <w:rsid w:val="00135486"/>
    <w:rsid w:val="0013649A"/>
    <w:rsid w:val="00136AB7"/>
    <w:rsid w:val="00137096"/>
    <w:rsid w:val="0013740E"/>
    <w:rsid w:val="001375B5"/>
    <w:rsid w:val="00142113"/>
    <w:rsid w:val="00146D00"/>
    <w:rsid w:val="00151796"/>
    <w:rsid w:val="00152339"/>
    <w:rsid w:val="00153469"/>
    <w:rsid w:val="001601DD"/>
    <w:rsid w:val="001628B5"/>
    <w:rsid w:val="00164E28"/>
    <w:rsid w:val="00165557"/>
    <w:rsid w:val="00165A35"/>
    <w:rsid w:val="00165C45"/>
    <w:rsid w:val="0017061C"/>
    <w:rsid w:val="00170923"/>
    <w:rsid w:val="00170D12"/>
    <w:rsid w:val="00171F21"/>
    <w:rsid w:val="001720EB"/>
    <w:rsid w:val="0017376A"/>
    <w:rsid w:val="001754C8"/>
    <w:rsid w:val="00180041"/>
    <w:rsid w:val="00181A8F"/>
    <w:rsid w:val="00181A9C"/>
    <w:rsid w:val="00181EDC"/>
    <w:rsid w:val="00182870"/>
    <w:rsid w:val="00185504"/>
    <w:rsid w:val="00186AB4"/>
    <w:rsid w:val="00186C89"/>
    <w:rsid w:val="00190A05"/>
    <w:rsid w:val="001932CF"/>
    <w:rsid w:val="00193BD9"/>
    <w:rsid w:val="00194FD1"/>
    <w:rsid w:val="001957FD"/>
    <w:rsid w:val="00196060"/>
    <w:rsid w:val="0019619B"/>
    <w:rsid w:val="001A07EB"/>
    <w:rsid w:val="001A0C0B"/>
    <w:rsid w:val="001A0EAA"/>
    <w:rsid w:val="001A1DFB"/>
    <w:rsid w:val="001A2329"/>
    <w:rsid w:val="001A5442"/>
    <w:rsid w:val="001B1410"/>
    <w:rsid w:val="001B14A3"/>
    <w:rsid w:val="001B37C5"/>
    <w:rsid w:val="001B5A34"/>
    <w:rsid w:val="001B6C49"/>
    <w:rsid w:val="001C00FA"/>
    <w:rsid w:val="001C0E03"/>
    <w:rsid w:val="001C7801"/>
    <w:rsid w:val="001D06CE"/>
    <w:rsid w:val="001D154A"/>
    <w:rsid w:val="001D1A48"/>
    <w:rsid w:val="001D473B"/>
    <w:rsid w:val="001D6B01"/>
    <w:rsid w:val="001D6C0C"/>
    <w:rsid w:val="001E1AE9"/>
    <w:rsid w:val="001E2289"/>
    <w:rsid w:val="001E37F8"/>
    <w:rsid w:val="001E5184"/>
    <w:rsid w:val="001E55A9"/>
    <w:rsid w:val="001E6AAF"/>
    <w:rsid w:val="001F2C62"/>
    <w:rsid w:val="001F3286"/>
    <w:rsid w:val="001F3EE5"/>
    <w:rsid w:val="001F4263"/>
    <w:rsid w:val="001F5AEA"/>
    <w:rsid w:val="001F6D37"/>
    <w:rsid w:val="0020023E"/>
    <w:rsid w:val="00200CE0"/>
    <w:rsid w:val="0020154A"/>
    <w:rsid w:val="00201776"/>
    <w:rsid w:val="002024BB"/>
    <w:rsid w:val="002033BF"/>
    <w:rsid w:val="00203AF3"/>
    <w:rsid w:val="0020445D"/>
    <w:rsid w:val="0020491F"/>
    <w:rsid w:val="00204A53"/>
    <w:rsid w:val="00204ACA"/>
    <w:rsid w:val="0020575C"/>
    <w:rsid w:val="002059FC"/>
    <w:rsid w:val="0020714B"/>
    <w:rsid w:val="00207F1A"/>
    <w:rsid w:val="0021012E"/>
    <w:rsid w:val="002132BB"/>
    <w:rsid w:val="00215ADE"/>
    <w:rsid w:val="00216E82"/>
    <w:rsid w:val="00217CCE"/>
    <w:rsid w:val="00220A92"/>
    <w:rsid w:val="00222560"/>
    <w:rsid w:val="002259AD"/>
    <w:rsid w:val="00231038"/>
    <w:rsid w:val="002322C5"/>
    <w:rsid w:val="00232AC3"/>
    <w:rsid w:val="002330BD"/>
    <w:rsid w:val="00235B0C"/>
    <w:rsid w:val="00240C18"/>
    <w:rsid w:val="0024269A"/>
    <w:rsid w:val="00242E9A"/>
    <w:rsid w:val="0024335F"/>
    <w:rsid w:val="002443C3"/>
    <w:rsid w:val="002465A9"/>
    <w:rsid w:val="00246D47"/>
    <w:rsid w:val="002528C5"/>
    <w:rsid w:val="002533ED"/>
    <w:rsid w:val="00255507"/>
    <w:rsid w:val="00257904"/>
    <w:rsid w:val="00257935"/>
    <w:rsid w:val="00260097"/>
    <w:rsid w:val="0026061E"/>
    <w:rsid w:val="00260B9C"/>
    <w:rsid w:val="002614FE"/>
    <w:rsid w:val="00263315"/>
    <w:rsid w:val="00265DA7"/>
    <w:rsid w:val="00266DF1"/>
    <w:rsid w:val="00272553"/>
    <w:rsid w:val="002730D6"/>
    <w:rsid w:val="00275021"/>
    <w:rsid w:val="002772AB"/>
    <w:rsid w:val="002774CC"/>
    <w:rsid w:val="0028071A"/>
    <w:rsid w:val="00282142"/>
    <w:rsid w:val="002829EE"/>
    <w:rsid w:val="002832E2"/>
    <w:rsid w:val="002871FF"/>
    <w:rsid w:val="00287B2A"/>
    <w:rsid w:val="0029041A"/>
    <w:rsid w:val="00291296"/>
    <w:rsid w:val="002914AF"/>
    <w:rsid w:val="00292855"/>
    <w:rsid w:val="0029676B"/>
    <w:rsid w:val="002977B3"/>
    <w:rsid w:val="002A0983"/>
    <w:rsid w:val="002A1781"/>
    <w:rsid w:val="002A17CE"/>
    <w:rsid w:val="002A3055"/>
    <w:rsid w:val="002A3E70"/>
    <w:rsid w:val="002A41C5"/>
    <w:rsid w:val="002A41D9"/>
    <w:rsid w:val="002A47DA"/>
    <w:rsid w:val="002A489B"/>
    <w:rsid w:val="002A4E99"/>
    <w:rsid w:val="002A6932"/>
    <w:rsid w:val="002B0C07"/>
    <w:rsid w:val="002B15A0"/>
    <w:rsid w:val="002B1E2F"/>
    <w:rsid w:val="002B1F8B"/>
    <w:rsid w:val="002B3B1F"/>
    <w:rsid w:val="002B6D34"/>
    <w:rsid w:val="002C4EC7"/>
    <w:rsid w:val="002C5027"/>
    <w:rsid w:val="002C5DD6"/>
    <w:rsid w:val="002C6933"/>
    <w:rsid w:val="002C6C60"/>
    <w:rsid w:val="002C6DDE"/>
    <w:rsid w:val="002C722E"/>
    <w:rsid w:val="002C7754"/>
    <w:rsid w:val="002C7D78"/>
    <w:rsid w:val="002D03BA"/>
    <w:rsid w:val="002D2E7A"/>
    <w:rsid w:val="002D4786"/>
    <w:rsid w:val="002D6ACF"/>
    <w:rsid w:val="002D7240"/>
    <w:rsid w:val="002D7771"/>
    <w:rsid w:val="002E0117"/>
    <w:rsid w:val="002E1039"/>
    <w:rsid w:val="002E2AA3"/>
    <w:rsid w:val="002E2B37"/>
    <w:rsid w:val="002E4998"/>
    <w:rsid w:val="002E6F62"/>
    <w:rsid w:val="002E752C"/>
    <w:rsid w:val="002F22E4"/>
    <w:rsid w:val="002F2CAC"/>
    <w:rsid w:val="002F350A"/>
    <w:rsid w:val="002F3E9F"/>
    <w:rsid w:val="002F4AA9"/>
    <w:rsid w:val="002F4CB6"/>
    <w:rsid w:val="00300B65"/>
    <w:rsid w:val="00300BA5"/>
    <w:rsid w:val="00301395"/>
    <w:rsid w:val="0030546C"/>
    <w:rsid w:val="00305B98"/>
    <w:rsid w:val="003067F4"/>
    <w:rsid w:val="003068B2"/>
    <w:rsid w:val="0030720C"/>
    <w:rsid w:val="00312337"/>
    <w:rsid w:val="00313809"/>
    <w:rsid w:val="00314CCC"/>
    <w:rsid w:val="00314D6D"/>
    <w:rsid w:val="00314F00"/>
    <w:rsid w:val="00316250"/>
    <w:rsid w:val="003166C7"/>
    <w:rsid w:val="00322702"/>
    <w:rsid w:val="003236DA"/>
    <w:rsid w:val="00323E4B"/>
    <w:rsid w:val="00326EC5"/>
    <w:rsid w:val="003272C4"/>
    <w:rsid w:val="0033146D"/>
    <w:rsid w:val="00333F39"/>
    <w:rsid w:val="003349A3"/>
    <w:rsid w:val="00336F7F"/>
    <w:rsid w:val="00340451"/>
    <w:rsid w:val="00342D90"/>
    <w:rsid w:val="00342DD7"/>
    <w:rsid w:val="003440E9"/>
    <w:rsid w:val="00345F44"/>
    <w:rsid w:val="00350BD0"/>
    <w:rsid w:val="0035156F"/>
    <w:rsid w:val="003540B3"/>
    <w:rsid w:val="00354181"/>
    <w:rsid w:val="00354477"/>
    <w:rsid w:val="003551DA"/>
    <w:rsid w:val="0036042F"/>
    <w:rsid w:val="00361D43"/>
    <w:rsid w:val="00363F3E"/>
    <w:rsid w:val="003657B8"/>
    <w:rsid w:val="00367CA9"/>
    <w:rsid w:val="00370D18"/>
    <w:rsid w:val="00371271"/>
    <w:rsid w:val="00374106"/>
    <w:rsid w:val="00374464"/>
    <w:rsid w:val="003747E1"/>
    <w:rsid w:val="0037553C"/>
    <w:rsid w:val="003755BF"/>
    <w:rsid w:val="003763D7"/>
    <w:rsid w:val="0038155E"/>
    <w:rsid w:val="00383991"/>
    <w:rsid w:val="00383B49"/>
    <w:rsid w:val="00383F8D"/>
    <w:rsid w:val="003842E1"/>
    <w:rsid w:val="00385AAA"/>
    <w:rsid w:val="0039409D"/>
    <w:rsid w:val="003956CA"/>
    <w:rsid w:val="0039615E"/>
    <w:rsid w:val="0039634D"/>
    <w:rsid w:val="003972FD"/>
    <w:rsid w:val="003A16D7"/>
    <w:rsid w:val="003A2B66"/>
    <w:rsid w:val="003A2F2F"/>
    <w:rsid w:val="003A32E5"/>
    <w:rsid w:val="003A39E1"/>
    <w:rsid w:val="003A3E87"/>
    <w:rsid w:val="003A76DB"/>
    <w:rsid w:val="003A7840"/>
    <w:rsid w:val="003B04D9"/>
    <w:rsid w:val="003B12A8"/>
    <w:rsid w:val="003B769B"/>
    <w:rsid w:val="003C1836"/>
    <w:rsid w:val="003C24A2"/>
    <w:rsid w:val="003C26C0"/>
    <w:rsid w:val="003C4100"/>
    <w:rsid w:val="003C4B85"/>
    <w:rsid w:val="003C4C44"/>
    <w:rsid w:val="003C5033"/>
    <w:rsid w:val="003C535B"/>
    <w:rsid w:val="003C53FE"/>
    <w:rsid w:val="003C55C8"/>
    <w:rsid w:val="003C6ECC"/>
    <w:rsid w:val="003C7F0E"/>
    <w:rsid w:val="003D05CF"/>
    <w:rsid w:val="003D090F"/>
    <w:rsid w:val="003D0FF5"/>
    <w:rsid w:val="003D27CC"/>
    <w:rsid w:val="003D5B41"/>
    <w:rsid w:val="003D7544"/>
    <w:rsid w:val="003D76AA"/>
    <w:rsid w:val="003E4086"/>
    <w:rsid w:val="003E4F9D"/>
    <w:rsid w:val="003E5D97"/>
    <w:rsid w:val="003E7710"/>
    <w:rsid w:val="003F010B"/>
    <w:rsid w:val="003F09A1"/>
    <w:rsid w:val="003F1EC6"/>
    <w:rsid w:val="003F3303"/>
    <w:rsid w:val="003F4162"/>
    <w:rsid w:val="003F4C9F"/>
    <w:rsid w:val="003F5715"/>
    <w:rsid w:val="003F6EF5"/>
    <w:rsid w:val="003F6EFB"/>
    <w:rsid w:val="004014D8"/>
    <w:rsid w:val="00403216"/>
    <w:rsid w:val="004053F8"/>
    <w:rsid w:val="00405532"/>
    <w:rsid w:val="00406071"/>
    <w:rsid w:val="00406CF7"/>
    <w:rsid w:val="0040713C"/>
    <w:rsid w:val="0041064B"/>
    <w:rsid w:val="00413455"/>
    <w:rsid w:val="004136EA"/>
    <w:rsid w:val="004138F8"/>
    <w:rsid w:val="004164C3"/>
    <w:rsid w:val="00417AC6"/>
    <w:rsid w:val="0042113F"/>
    <w:rsid w:val="004214D0"/>
    <w:rsid w:val="004238C8"/>
    <w:rsid w:val="00423DF8"/>
    <w:rsid w:val="00424185"/>
    <w:rsid w:val="00424393"/>
    <w:rsid w:val="00424E9C"/>
    <w:rsid w:val="00426F32"/>
    <w:rsid w:val="0043127C"/>
    <w:rsid w:val="00431459"/>
    <w:rsid w:val="0043198A"/>
    <w:rsid w:val="00433212"/>
    <w:rsid w:val="00433B7A"/>
    <w:rsid w:val="00433D11"/>
    <w:rsid w:val="004356A1"/>
    <w:rsid w:val="0043659E"/>
    <w:rsid w:val="004401A1"/>
    <w:rsid w:val="00440D9F"/>
    <w:rsid w:val="0044206F"/>
    <w:rsid w:val="00443708"/>
    <w:rsid w:val="00444B26"/>
    <w:rsid w:val="00444BB7"/>
    <w:rsid w:val="00444C39"/>
    <w:rsid w:val="004455FC"/>
    <w:rsid w:val="004464EE"/>
    <w:rsid w:val="004476D6"/>
    <w:rsid w:val="00447B71"/>
    <w:rsid w:val="00447F0E"/>
    <w:rsid w:val="00450DAE"/>
    <w:rsid w:val="00450E71"/>
    <w:rsid w:val="00451415"/>
    <w:rsid w:val="0045334A"/>
    <w:rsid w:val="00454AC1"/>
    <w:rsid w:val="0045619C"/>
    <w:rsid w:val="00460D50"/>
    <w:rsid w:val="00461B36"/>
    <w:rsid w:val="00462160"/>
    <w:rsid w:val="00462A9C"/>
    <w:rsid w:val="00463D52"/>
    <w:rsid w:val="00463ECF"/>
    <w:rsid w:val="00464792"/>
    <w:rsid w:val="004654CC"/>
    <w:rsid w:val="00465F70"/>
    <w:rsid w:val="00466491"/>
    <w:rsid w:val="00466D21"/>
    <w:rsid w:val="00466FA3"/>
    <w:rsid w:val="004700D7"/>
    <w:rsid w:val="00470A68"/>
    <w:rsid w:val="00473176"/>
    <w:rsid w:val="00473B81"/>
    <w:rsid w:val="00473CAA"/>
    <w:rsid w:val="004748A3"/>
    <w:rsid w:val="00480322"/>
    <w:rsid w:val="004813E1"/>
    <w:rsid w:val="0048164B"/>
    <w:rsid w:val="0048491F"/>
    <w:rsid w:val="00487132"/>
    <w:rsid w:val="00487DB3"/>
    <w:rsid w:val="00491292"/>
    <w:rsid w:val="00491639"/>
    <w:rsid w:val="0049308D"/>
    <w:rsid w:val="00497BA3"/>
    <w:rsid w:val="00497D2E"/>
    <w:rsid w:val="004A1677"/>
    <w:rsid w:val="004A1D48"/>
    <w:rsid w:val="004B0209"/>
    <w:rsid w:val="004B1117"/>
    <w:rsid w:val="004B133E"/>
    <w:rsid w:val="004B1343"/>
    <w:rsid w:val="004B5061"/>
    <w:rsid w:val="004B5FAD"/>
    <w:rsid w:val="004B7350"/>
    <w:rsid w:val="004B747A"/>
    <w:rsid w:val="004B781C"/>
    <w:rsid w:val="004C019D"/>
    <w:rsid w:val="004C0DFF"/>
    <w:rsid w:val="004C1032"/>
    <w:rsid w:val="004C217F"/>
    <w:rsid w:val="004C3F29"/>
    <w:rsid w:val="004C4D4E"/>
    <w:rsid w:val="004C6C18"/>
    <w:rsid w:val="004C6FB0"/>
    <w:rsid w:val="004C7FEF"/>
    <w:rsid w:val="004D20B6"/>
    <w:rsid w:val="004D4ABB"/>
    <w:rsid w:val="004D4ACF"/>
    <w:rsid w:val="004E094C"/>
    <w:rsid w:val="004E142F"/>
    <w:rsid w:val="004E267D"/>
    <w:rsid w:val="004E2DF1"/>
    <w:rsid w:val="004E3CB7"/>
    <w:rsid w:val="004E5F79"/>
    <w:rsid w:val="004E6E81"/>
    <w:rsid w:val="004F0793"/>
    <w:rsid w:val="004F2808"/>
    <w:rsid w:val="004F5B8E"/>
    <w:rsid w:val="004F5DBD"/>
    <w:rsid w:val="004F663C"/>
    <w:rsid w:val="00500E7C"/>
    <w:rsid w:val="005015D8"/>
    <w:rsid w:val="00503773"/>
    <w:rsid w:val="005049A6"/>
    <w:rsid w:val="0050778A"/>
    <w:rsid w:val="00512B6E"/>
    <w:rsid w:val="005153D0"/>
    <w:rsid w:val="00516DC8"/>
    <w:rsid w:val="005176D1"/>
    <w:rsid w:val="005227CF"/>
    <w:rsid w:val="005227F3"/>
    <w:rsid w:val="00522AA4"/>
    <w:rsid w:val="005254FD"/>
    <w:rsid w:val="00525D1C"/>
    <w:rsid w:val="00526BE2"/>
    <w:rsid w:val="00531C80"/>
    <w:rsid w:val="00531DE3"/>
    <w:rsid w:val="0053277D"/>
    <w:rsid w:val="0053299D"/>
    <w:rsid w:val="0053494D"/>
    <w:rsid w:val="005414D2"/>
    <w:rsid w:val="005418A5"/>
    <w:rsid w:val="0054450B"/>
    <w:rsid w:val="00547B7E"/>
    <w:rsid w:val="00547F21"/>
    <w:rsid w:val="00551016"/>
    <w:rsid w:val="005512D3"/>
    <w:rsid w:val="00552FEB"/>
    <w:rsid w:val="00553BA3"/>
    <w:rsid w:val="00554C4C"/>
    <w:rsid w:val="0055508D"/>
    <w:rsid w:val="00555912"/>
    <w:rsid w:val="0055704B"/>
    <w:rsid w:val="0055728E"/>
    <w:rsid w:val="00557E89"/>
    <w:rsid w:val="005635BA"/>
    <w:rsid w:val="00563BFA"/>
    <w:rsid w:val="00566A36"/>
    <w:rsid w:val="005701FF"/>
    <w:rsid w:val="0057037C"/>
    <w:rsid w:val="00571A5C"/>
    <w:rsid w:val="00571BC7"/>
    <w:rsid w:val="00572629"/>
    <w:rsid w:val="00572DA9"/>
    <w:rsid w:val="00573CD2"/>
    <w:rsid w:val="00573FB1"/>
    <w:rsid w:val="00580517"/>
    <w:rsid w:val="00581578"/>
    <w:rsid w:val="00581ED9"/>
    <w:rsid w:val="00582FFB"/>
    <w:rsid w:val="00583259"/>
    <w:rsid w:val="005846B0"/>
    <w:rsid w:val="00586F93"/>
    <w:rsid w:val="00587C53"/>
    <w:rsid w:val="00591E1B"/>
    <w:rsid w:val="0059391D"/>
    <w:rsid w:val="00594765"/>
    <w:rsid w:val="00595039"/>
    <w:rsid w:val="00595634"/>
    <w:rsid w:val="00595AC0"/>
    <w:rsid w:val="00597759"/>
    <w:rsid w:val="005A071D"/>
    <w:rsid w:val="005A2EA9"/>
    <w:rsid w:val="005A3275"/>
    <w:rsid w:val="005A42D1"/>
    <w:rsid w:val="005A659C"/>
    <w:rsid w:val="005A76CD"/>
    <w:rsid w:val="005A76CF"/>
    <w:rsid w:val="005B052C"/>
    <w:rsid w:val="005B054B"/>
    <w:rsid w:val="005B08F9"/>
    <w:rsid w:val="005B136A"/>
    <w:rsid w:val="005B4768"/>
    <w:rsid w:val="005B4CF9"/>
    <w:rsid w:val="005B7086"/>
    <w:rsid w:val="005C3CE0"/>
    <w:rsid w:val="005C518C"/>
    <w:rsid w:val="005C5AA8"/>
    <w:rsid w:val="005C7FE6"/>
    <w:rsid w:val="005D0B38"/>
    <w:rsid w:val="005D13C3"/>
    <w:rsid w:val="005D228A"/>
    <w:rsid w:val="005D3537"/>
    <w:rsid w:val="005D3956"/>
    <w:rsid w:val="005D3BDA"/>
    <w:rsid w:val="005D5233"/>
    <w:rsid w:val="005D5A5D"/>
    <w:rsid w:val="005D65AC"/>
    <w:rsid w:val="005D7111"/>
    <w:rsid w:val="005E120D"/>
    <w:rsid w:val="005E2286"/>
    <w:rsid w:val="005E292B"/>
    <w:rsid w:val="005E2B2B"/>
    <w:rsid w:val="005E32EF"/>
    <w:rsid w:val="005E37BC"/>
    <w:rsid w:val="005E4F42"/>
    <w:rsid w:val="005E51AA"/>
    <w:rsid w:val="005E582A"/>
    <w:rsid w:val="005E5C0F"/>
    <w:rsid w:val="005E617A"/>
    <w:rsid w:val="005F0324"/>
    <w:rsid w:val="005F06C6"/>
    <w:rsid w:val="005F10B7"/>
    <w:rsid w:val="0060033D"/>
    <w:rsid w:val="00604BC5"/>
    <w:rsid w:val="00605CA5"/>
    <w:rsid w:val="006104B5"/>
    <w:rsid w:val="00610581"/>
    <w:rsid w:val="0061099E"/>
    <w:rsid w:val="00611A98"/>
    <w:rsid w:val="006133B5"/>
    <w:rsid w:val="00613A17"/>
    <w:rsid w:val="006141B6"/>
    <w:rsid w:val="0061536B"/>
    <w:rsid w:val="006154C5"/>
    <w:rsid w:val="00616C6B"/>
    <w:rsid w:val="00617862"/>
    <w:rsid w:val="00626FC8"/>
    <w:rsid w:val="006277B5"/>
    <w:rsid w:val="006326E4"/>
    <w:rsid w:val="006331FC"/>
    <w:rsid w:val="00635419"/>
    <w:rsid w:val="0063620E"/>
    <w:rsid w:val="0063769C"/>
    <w:rsid w:val="0064469B"/>
    <w:rsid w:val="006448C7"/>
    <w:rsid w:val="00645BBC"/>
    <w:rsid w:val="006463CF"/>
    <w:rsid w:val="00652102"/>
    <w:rsid w:val="006561D6"/>
    <w:rsid w:val="00656522"/>
    <w:rsid w:val="006569F7"/>
    <w:rsid w:val="00657ABF"/>
    <w:rsid w:val="0066057E"/>
    <w:rsid w:val="00665FE5"/>
    <w:rsid w:val="00670671"/>
    <w:rsid w:val="00676389"/>
    <w:rsid w:val="00676FBB"/>
    <w:rsid w:val="00677861"/>
    <w:rsid w:val="00677C28"/>
    <w:rsid w:val="00680E3D"/>
    <w:rsid w:val="006812EF"/>
    <w:rsid w:val="006823FD"/>
    <w:rsid w:val="00683710"/>
    <w:rsid w:val="00684124"/>
    <w:rsid w:val="006861FF"/>
    <w:rsid w:val="00691B9B"/>
    <w:rsid w:val="00694E3C"/>
    <w:rsid w:val="006A0387"/>
    <w:rsid w:val="006A3CEA"/>
    <w:rsid w:val="006A51E4"/>
    <w:rsid w:val="006A5AAD"/>
    <w:rsid w:val="006A634E"/>
    <w:rsid w:val="006A7BDF"/>
    <w:rsid w:val="006A7D6E"/>
    <w:rsid w:val="006B6460"/>
    <w:rsid w:val="006C0A11"/>
    <w:rsid w:val="006C11E3"/>
    <w:rsid w:val="006C1F6E"/>
    <w:rsid w:val="006D02C3"/>
    <w:rsid w:val="006D0798"/>
    <w:rsid w:val="006D5253"/>
    <w:rsid w:val="006D5F90"/>
    <w:rsid w:val="006E0488"/>
    <w:rsid w:val="006E23A0"/>
    <w:rsid w:val="006F042A"/>
    <w:rsid w:val="006F094F"/>
    <w:rsid w:val="006F1354"/>
    <w:rsid w:val="006F217A"/>
    <w:rsid w:val="006F26AE"/>
    <w:rsid w:val="006F688D"/>
    <w:rsid w:val="00700A77"/>
    <w:rsid w:val="00700E54"/>
    <w:rsid w:val="0070302D"/>
    <w:rsid w:val="007042E8"/>
    <w:rsid w:val="00710601"/>
    <w:rsid w:val="00712A35"/>
    <w:rsid w:val="00714199"/>
    <w:rsid w:val="00714C9F"/>
    <w:rsid w:val="00715068"/>
    <w:rsid w:val="007154E8"/>
    <w:rsid w:val="0072142F"/>
    <w:rsid w:val="00721AF7"/>
    <w:rsid w:val="00722390"/>
    <w:rsid w:val="00722CBD"/>
    <w:rsid w:val="0072365F"/>
    <w:rsid w:val="00723742"/>
    <w:rsid w:val="007266E9"/>
    <w:rsid w:val="00726C17"/>
    <w:rsid w:val="00730678"/>
    <w:rsid w:val="00730D06"/>
    <w:rsid w:val="00731EBF"/>
    <w:rsid w:val="00736280"/>
    <w:rsid w:val="007365AE"/>
    <w:rsid w:val="00737114"/>
    <w:rsid w:val="00737348"/>
    <w:rsid w:val="00741716"/>
    <w:rsid w:val="00742933"/>
    <w:rsid w:val="00743382"/>
    <w:rsid w:val="00743624"/>
    <w:rsid w:val="007438F3"/>
    <w:rsid w:val="0074768A"/>
    <w:rsid w:val="0075042C"/>
    <w:rsid w:val="00750DC4"/>
    <w:rsid w:val="00751516"/>
    <w:rsid w:val="0075239F"/>
    <w:rsid w:val="007541CD"/>
    <w:rsid w:val="00755582"/>
    <w:rsid w:val="0075672F"/>
    <w:rsid w:val="007569DC"/>
    <w:rsid w:val="00756E3F"/>
    <w:rsid w:val="00757C1F"/>
    <w:rsid w:val="00760AC3"/>
    <w:rsid w:val="0076545F"/>
    <w:rsid w:val="007672B7"/>
    <w:rsid w:val="00767873"/>
    <w:rsid w:val="00770892"/>
    <w:rsid w:val="00770CB9"/>
    <w:rsid w:val="007731C1"/>
    <w:rsid w:val="007732C7"/>
    <w:rsid w:val="0077347A"/>
    <w:rsid w:val="007737F4"/>
    <w:rsid w:val="00773F96"/>
    <w:rsid w:val="00782A02"/>
    <w:rsid w:val="00782D4C"/>
    <w:rsid w:val="00786C61"/>
    <w:rsid w:val="0079182C"/>
    <w:rsid w:val="0079570E"/>
    <w:rsid w:val="007A31F3"/>
    <w:rsid w:val="007A375D"/>
    <w:rsid w:val="007A5896"/>
    <w:rsid w:val="007B11BD"/>
    <w:rsid w:val="007B1FF5"/>
    <w:rsid w:val="007B2022"/>
    <w:rsid w:val="007B6A40"/>
    <w:rsid w:val="007B7789"/>
    <w:rsid w:val="007B7A88"/>
    <w:rsid w:val="007C33EF"/>
    <w:rsid w:val="007C34F3"/>
    <w:rsid w:val="007C3512"/>
    <w:rsid w:val="007C39D5"/>
    <w:rsid w:val="007D0093"/>
    <w:rsid w:val="007D0D95"/>
    <w:rsid w:val="007D2CF0"/>
    <w:rsid w:val="007D4226"/>
    <w:rsid w:val="007D4566"/>
    <w:rsid w:val="007D48CC"/>
    <w:rsid w:val="007D5745"/>
    <w:rsid w:val="007D64B7"/>
    <w:rsid w:val="007D746F"/>
    <w:rsid w:val="007D7630"/>
    <w:rsid w:val="007E156F"/>
    <w:rsid w:val="007E2556"/>
    <w:rsid w:val="007E3B25"/>
    <w:rsid w:val="007E5CA7"/>
    <w:rsid w:val="007E6CBE"/>
    <w:rsid w:val="007F08AB"/>
    <w:rsid w:val="007F2EA0"/>
    <w:rsid w:val="007F35C3"/>
    <w:rsid w:val="007F473A"/>
    <w:rsid w:val="007F5146"/>
    <w:rsid w:val="007F7C34"/>
    <w:rsid w:val="00802079"/>
    <w:rsid w:val="00804287"/>
    <w:rsid w:val="008070CC"/>
    <w:rsid w:val="00810646"/>
    <w:rsid w:val="00810DA3"/>
    <w:rsid w:val="00811663"/>
    <w:rsid w:val="008138E9"/>
    <w:rsid w:val="00813E1F"/>
    <w:rsid w:val="00816C06"/>
    <w:rsid w:val="00817346"/>
    <w:rsid w:val="00820029"/>
    <w:rsid w:val="00820DCE"/>
    <w:rsid w:val="008258AB"/>
    <w:rsid w:val="00826EAF"/>
    <w:rsid w:val="00831568"/>
    <w:rsid w:val="0083246B"/>
    <w:rsid w:val="00834212"/>
    <w:rsid w:val="0083510E"/>
    <w:rsid w:val="0083589A"/>
    <w:rsid w:val="00842AEB"/>
    <w:rsid w:val="00843CC4"/>
    <w:rsid w:val="00845394"/>
    <w:rsid w:val="00847619"/>
    <w:rsid w:val="00847EDA"/>
    <w:rsid w:val="008522BC"/>
    <w:rsid w:val="00852C84"/>
    <w:rsid w:val="00854BFF"/>
    <w:rsid w:val="00854E71"/>
    <w:rsid w:val="00856878"/>
    <w:rsid w:val="00857AF6"/>
    <w:rsid w:val="008605B1"/>
    <w:rsid w:val="008618B7"/>
    <w:rsid w:val="0086336C"/>
    <w:rsid w:val="00863932"/>
    <w:rsid w:val="00866906"/>
    <w:rsid w:val="00866D49"/>
    <w:rsid w:val="00867747"/>
    <w:rsid w:val="0086778A"/>
    <w:rsid w:val="00871122"/>
    <w:rsid w:val="008715DE"/>
    <w:rsid w:val="008727E9"/>
    <w:rsid w:val="00872AEB"/>
    <w:rsid w:val="00876554"/>
    <w:rsid w:val="00880A99"/>
    <w:rsid w:val="0088428F"/>
    <w:rsid w:val="00887F26"/>
    <w:rsid w:val="00891977"/>
    <w:rsid w:val="0089258A"/>
    <w:rsid w:val="00895285"/>
    <w:rsid w:val="008953AD"/>
    <w:rsid w:val="00896351"/>
    <w:rsid w:val="008A0299"/>
    <w:rsid w:val="008A25E7"/>
    <w:rsid w:val="008A319D"/>
    <w:rsid w:val="008A4C4D"/>
    <w:rsid w:val="008A62CE"/>
    <w:rsid w:val="008A65AF"/>
    <w:rsid w:val="008B0BF4"/>
    <w:rsid w:val="008B1C7B"/>
    <w:rsid w:val="008B26EB"/>
    <w:rsid w:val="008B3673"/>
    <w:rsid w:val="008B7CD7"/>
    <w:rsid w:val="008C0245"/>
    <w:rsid w:val="008C08B1"/>
    <w:rsid w:val="008C3456"/>
    <w:rsid w:val="008C5AB0"/>
    <w:rsid w:val="008D2765"/>
    <w:rsid w:val="008D309D"/>
    <w:rsid w:val="008D4042"/>
    <w:rsid w:val="008D45D9"/>
    <w:rsid w:val="008D5404"/>
    <w:rsid w:val="008D70C3"/>
    <w:rsid w:val="008E2018"/>
    <w:rsid w:val="008E2128"/>
    <w:rsid w:val="008E2134"/>
    <w:rsid w:val="008E3198"/>
    <w:rsid w:val="008E3CD2"/>
    <w:rsid w:val="008E48C0"/>
    <w:rsid w:val="008E4EA2"/>
    <w:rsid w:val="008E570E"/>
    <w:rsid w:val="008E5BC6"/>
    <w:rsid w:val="008E5BFE"/>
    <w:rsid w:val="008E63B6"/>
    <w:rsid w:val="008E692A"/>
    <w:rsid w:val="008E7577"/>
    <w:rsid w:val="008F1A15"/>
    <w:rsid w:val="008F5B75"/>
    <w:rsid w:val="008F6EE4"/>
    <w:rsid w:val="009000A0"/>
    <w:rsid w:val="009020F7"/>
    <w:rsid w:val="00903588"/>
    <w:rsid w:val="00905807"/>
    <w:rsid w:val="00907278"/>
    <w:rsid w:val="00907734"/>
    <w:rsid w:val="009127D3"/>
    <w:rsid w:val="00913D01"/>
    <w:rsid w:val="00914402"/>
    <w:rsid w:val="00915273"/>
    <w:rsid w:val="00915EC5"/>
    <w:rsid w:val="009162C5"/>
    <w:rsid w:val="009164BF"/>
    <w:rsid w:val="00920ADC"/>
    <w:rsid w:val="009213E2"/>
    <w:rsid w:val="0093103C"/>
    <w:rsid w:val="00931373"/>
    <w:rsid w:val="009329F7"/>
    <w:rsid w:val="009330E4"/>
    <w:rsid w:val="00936228"/>
    <w:rsid w:val="009379F8"/>
    <w:rsid w:val="00944F83"/>
    <w:rsid w:val="0095210C"/>
    <w:rsid w:val="00953000"/>
    <w:rsid w:val="00955A28"/>
    <w:rsid w:val="0095779F"/>
    <w:rsid w:val="00960F2B"/>
    <w:rsid w:val="00961EA1"/>
    <w:rsid w:val="00962854"/>
    <w:rsid w:val="00964CEE"/>
    <w:rsid w:val="00964D8D"/>
    <w:rsid w:val="00965C44"/>
    <w:rsid w:val="00967885"/>
    <w:rsid w:val="00971AD1"/>
    <w:rsid w:val="0097576D"/>
    <w:rsid w:val="009757E2"/>
    <w:rsid w:val="00977028"/>
    <w:rsid w:val="009805F8"/>
    <w:rsid w:val="009807FE"/>
    <w:rsid w:val="0098124A"/>
    <w:rsid w:val="009814B6"/>
    <w:rsid w:val="009819C6"/>
    <w:rsid w:val="0098298C"/>
    <w:rsid w:val="00982AC0"/>
    <w:rsid w:val="0098430C"/>
    <w:rsid w:val="00985B05"/>
    <w:rsid w:val="00986375"/>
    <w:rsid w:val="009873BC"/>
    <w:rsid w:val="0099043E"/>
    <w:rsid w:val="0099049F"/>
    <w:rsid w:val="00991372"/>
    <w:rsid w:val="0099405F"/>
    <w:rsid w:val="00994095"/>
    <w:rsid w:val="009954BD"/>
    <w:rsid w:val="009A14B9"/>
    <w:rsid w:val="009A184E"/>
    <w:rsid w:val="009A1DCB"/>
    <w:rsid w:val="009A2412"/>
    <w:rsid w:val="009A32A5"/>
    <w:rsid w:val="009A4BB4"/>
    <w:rsid w:val="009A517D"/>
    <w:rsid w:val="009A5A82"/>
    <w:rsid w:val="009A62F5"/>
    <w:rsid w:val="009A6D40"/>
    <w:rsid w:val="009B0EB0"/>
    <w:rsid w:val="009B2C03"/>
    <w:rsid w:val="009B5C4E"/>
    <w:rsid w:val="009B5FCF"/>
    <w:rsid w:val="009B64EA"/>
    <w:rsid w:val="009B65D1"/>
    <w:rsid w:val="009C1242"/>
    <w:rsid w:val="009C5A3D"/>
    <w:rsid w:val="009D0688"/>
    <w:rsid w:val="009D313F"/>
    <w:rsid w:val="009D3C09"/>
    <w:rsid w:val="009D422D"/>
    <w:rsid w:val="009D4CE5"/>
    <w:rsid w:val="009D4F70"/>
    <w:rsid w:val="009E005F"/>
    <w:rsid w:val="009E27B4"/>
    <w:rsid w:val="009E34C5"/>
    <w:rsid w:val="009E3672"/>
    <w:rsid w:val="009E5614"/>
    <w:rsid w:val="009E7587"/>
    <w:rsid w:val="009F0683"/>
    <w:rsid w:val="009F0FA8"/>
    <w:rsid w:val="009F257D"/>
    <w:rsid w:val="009F5710"/>
    <w:rsid w:val="009F6B34"/>
    <w:rsid w:val="00A0253B"/>
    <w:rsid w:val="00A0331A"/>
    <w:rsid w:val="00A04F8A"/>
    <w:rsid w:val="00A0630E"/>
    <w:rsid w:val="00A06C29"/>
    <w:rsid w:val="00A1140A"/>
    <w:rsid w:val="00A16332"/>
    <w:rsid w:val="00A1699C"/>
    <w:rsid w:val="00A23D35"/>
    <w:rsid w:val="00A23EA7"/>
    <w:rsid w:val="00A244EB"/>
    <w:rsid w:val="00A24C76"/>
    <w:rsid w:val="00A255F5"/>
    <w:rsid w:val="00A25D51"/>
    <w:rsid w:val="00A26353"/>
    <w:rsid w:val="00A270EC"/>
    <w:rsid w:val="00A277B7"/>
    <w:rsid w:val="00A312D7"/>
    <w:rsid w:val="00A40E2A"/>
    <w:rsid w:val="00A42F6D"/>
    <w:rsid w:val="00A434A3"/>
    <w:rsid w:val="00A4371F"/>
    <w:rsid w:val="00A44A23"/>
    <w:rsid w:val="00A4752A"/>
    <w:rsid w:val="00A5011D"/>
    <w:rsid w:val="00A505C2"/>
    <w:rsid w:val="00A51A58"/>
    <w:rsid w:val="00A52D1E"/>
    <w:rsid w:val="00A53100"/>
    <w:rsid w:val="00A5510E"/>
    <w:rsid w:val="00A55E67"/>
    <w:rsid w:val="00A616FC"/>
    <w:rsid w:val="00A61A7F"/>
    <w:rsid w:val="00A63A34"/>
    <w:rsid w:val="00A647A1"/>
    <w:rsid w:val="00A6786B"/>
    <w:rsid w:val="00A7198E"/>
    <w:rsid w:val="00A71BD4"/>
    <w:rsid w:val="00A71C74"/>
    <w:rsid w:val="00A7208A"/>
    <w:rsid w:val="00A731F5"/>
    <w:rsid w:val="00A74314"/>
    <w:rsid w:val="00A7598B"/>
    <w:rsid w:val="00A80ADD"/>
    <w:rsid w:val="00A82EEE"/>
    <w:rsid w:val="00A835F0"/>
    <w:rsid w:val="00A84D24"/>
    <w:rsid w:val="00A86610"/>
    <w:rsid w:val="00A877C0"/>
    <w:rsid w:val="00A879DA"/>
    <w:rsid w:val="00A9082E"/>
    <w:rsid w:val="00A908B1"/>
    <w:rsid w:val="00A91B50"/>
    <w:rsid w:val="00A94A10"/>
    <w:rsid w:val="00A96EA2"/>
    <w:rsid w:val="00AA0507"/>
    <w:rsid w:val="00AA2874"/>
    <w:rsid w:val="00AA28F3"/>
    <w:rsid w:val="00AA369C"/>
    <w:rsid w:val="00AA46B0"/>
    <w:rsid w:val="00AA600F"/>
    <w:rsid w:val="00AA63C8"/>
    <w:rsid w:val="00AA654B"/>
    <w:rsid w:val="00AA6E46"/>
    <w:rsid w:val="00AA7568"/>
    <w:rsid w:val="00AB06B6"/>
    <w:rsid w:val="00AB08D0"/>
    <w:rsid w:val="00AB1C51"/>
    <w:rsid w:val="00AB2034"/>
    <w:rsid w:val="00AB2203"/>
    <w:rsid w:val="00AB268C"/>
    <w:rsid w:val="00AB5471"/>
    <w:rsid w:val="00AB5F27"/>
    <w:rsid w:val="00AB796F"/>
    <w:rsid w:val="00AC13A0"/>
    <w:rsid w:val="00AC345D"/>
    <w:rsid w:val="00AC38E9"/>
    <w:rsid w:val="00AC39F2"/>
    <w:rsid w:val="00AC4B8A"/>
    <w:rsid w:val="00AC7851"/>
    <w:rsid w:val="00AD0952"/>
    <w:rsid w:val="00AD0973"/>
    <w:rsid w:val="00AD0EDE"/>
    <w:rsid w:val="00AD1D6F"/>
    <w:rsid w:val="00AD200B"/>
    <w:rsid w:val="00AD21A0"/>
    <w:rsid w:val="00AD3A3B"/>
    <w:rsid w:val="00AE22E5"/>
    <w:rsid w:val="00AE2722"/>
    <w:rsid w:val="00AE3D48"/>
    <w:rsid w:val="00AE59B0"/>
    <w:rsid w:val="00AE5F4B"/>
    <w:rsid w:val="00AE62D7"/>
    <w:rsid w:val="00AE77F6"/>
    <w:rsid w:val="00AF10E6"/>
    <w:rsid w:val="00AF1B0F"/>
    <w:rsid w:val="00AF29C8"/>
    <w:rsid w:val="00AF2A61"/>
    <w:rsid w:val="00AF2BF0"/>
    <w:rsid w:val="00AF2F27"/>
    <w:rsid w:val="00AF33B5"/>
    <w:rsid w:val="00B004B5"/>
    <w:rsid w:val="00B01884"/>
    <w:rsid w:val="00B0357C"/>
    <w:rsid w:val="00B04334"/>
    <w:rsid w:val="00B0637C"/>
    <w:rsid w:val="00B0664C"/>
    <w:rsid w:val="00B071AF"/>
    <w:rsid w:val="00B074B2"/>
    <w:rsid w:val="00B0754E"/>
    <w:rsid w:val="00B103CC"/>
    <w:rsid w:val="00B106C4"/>
    <w:rsid w:val="00B10B67"/>
    <w:rsid w:val="00B10D07"/>
    <w:rsid w:val="00B117FD"/>
    <w:rsid w:val="00B1546E"/>
    <w:rsid w:val="00B15A06"/>
    <w:rsid w:val="00B15B3E"/>
    <w:rsid w:val="00B16B40"/>
    <w:rsid w:val="00B170BE"/>
    <w:rsid w:val="00B21564"/>
    <w:rsid w:val="00B22607"/>
    <w:rsid w:val="00B22F65"/>
    <w:rsid w:val="00B24A3D"/>
    <w:rsid w:val="00B256A8"/>
    <w:rsid w:val="00B25EDA"/>
    <w:rsid w:val="00B2651C"/>
    <w:rsid w:val="00B277C4"/>
    <w:rsid w:val="00B27DA7"/>
    <w:rsid w:val="00B30C9C"/>
    <w:rsid w:val="00B311A8"/>
    <w:rsid w:val="00B317AC"/>
    <w:rsid w:val="00B33F57"/>
    <w:rsid w:val="00B34EAB"/>
    <w:rsid w:val="00B36AA7"/>
    <w:rsid w:val="00B36B20"/>
    <w:rsid w:val="00B4018D"/>
    <w:rsid w:val="00B40ADC"/>
    <w:rsid w:val="00B40C25"/>
    <w:rsid w:val="00B42038"/>
    <w:rsid w:val="00B43E22"/>
    <w:rsid w:val="00B44821"/>
    <w:rsid w:val="00B45EAB"/>
    <w:rsid w:val="00B462AA"/>
    <w:rsid w:val="00B5106E"/>
    <w:rsid w:val="00B516B7"/>
    <w:rsid w:val="00B541F7"/>
    <w:rsid w:val="00B5499B"/>
    <w:rsid w:val="00B61FC9"/>
    <w:rsid w:val="00B631CC"/>
    <w:rsid w:val="00B647B0"/>
    <w:rsid w:val="00B6621C"/>
    <w:rsid w:val="00B67462"/>
    <w:rsid w:val="00B675D2"/>
    <w:rsid w:val="00B67E25"/>
    <w:rsid w:val="00B70742"/>
    <w:rsid w:val="00B71D61"/>
    <w:rsid w:val="00B72601"/>
    <w:rsid w:val="00B72C2D"/>
    <w:rsid w:val="00B745D4"/>
    <w:rsid w:val="00B74E4E"/>
    <w:rsid w:val="00B82A06"/>
    <w:rsid w:val="00B8555F"/>
    <w:rsid w:val="00B86B6F"/>
    <w:rsid w:val="00B910CB"/>
    <w:rsid w:val="00B93303"/>
    <w:rsid w:val="00B9376D"/>
    <w:rsid w:val="00B94055"/>
    <w:rsid w:val="00B9514A"/>
    <w:rsid w:val="00B95E6D"/>
    <w:rsid w:val="00B974F8"/>
    <w:rsid w:val="00BA5510"/>
    <w:rsid w:val="00BA67A1"/>
    <w:rsid w:val="00BB16D5"/>
    <w:rsid w:val="00BB23D2"/>
    <w:rsid w:val="00BB588E"/>
    <w:rsid w:val="00BB5FEF"/>
    <w:rsid w:val="00BB632B"/>
    <w:rsid w:val="00BB67FF"/>
    <w:rsid w:val="00BC0D31"/>
    <w:rsid w:val="00BC219C"/>
    <w:rsid w:val="00BC22CE"/>
    <w:rsid w:val="00BC390F"/>
    <w:rsid w:val="00BC3F4E"/>
    <w:rsid w:val="00BC4FD9"/>
    <w:rsid w:val="00BC5B11"/>
    <w:rsid w:val="00BC674E"/>
    <w:rsid w:val="00BC7A01"/>
    <w:rsid w:val="00BC7D8C"/>
    <w:rsid w:val="00BD0A25"/>
    <w:rsid w:val="00BD2903"/>
    <w:rsid w:val="00BD3395"/>
    <w:rsid w:val="00BD388E"/>
    <w:rsid w:val="00BD46AE"/>
    <w:rsid w:val="00BD4F95"/>
    <w:rsid w:val="00BD5645"/>
    <w:rsid w:val="00BD5D1F"/>
    <w:rsid w:val="00BD75B5"/>
    <w:rsid w:val="00BE22C6"/>
    <w:rsid w:val="00BE5300"/>
    <w:rsid w:val="00BE53C5"/>
    <w:rsid w:val="00BE6F99"/>
    <w:rsid w:val="00BE7823"/>
    <w:rsid w:val="00BE7907"/>
    <w:rsid w:val="00BF3315"/>
    <w:rsid w:val="00BF3582"/>
    <w:rsid w:val="00BF3C51"/>
    <w:rsid w:val="00BF4021"/>
    <w:rsid w:val="00BF4F55"/>
    <w:rsid w:val="00BF53FB"/>
    <w:rsid w:val="00BF6380"/>
    <w:rsid w:val="00BF7E63"/>
    <w:rsid w:val="00C02485"/>
    <w:rsid w:val="00C03D3B"/>
    <w:rsid w:val="00C054EF"/>
    <w:rsid w:val="00C057F5"/>
    <w:rsid w:val="00C05B37"/>
    <w:rsid w:val="00C06B73"/>
    <w:rsid w:val="00C10F63"/>
    <w:rsid w:val="00C160DD"/>
    <w:rsid w:val="00C166B3"/>
    <w:rsid w:val="00C20FB8"/>
    <w:rsid w:val="00C22DDF"/>
    <w:rsid w:val="00C23A8D"/>
    <w:rsid w:val="00C24F35"/>
    <w:rsid w:val="00C25C84"/>
    <w:rsid w:val="00C2640F"/>
    <w:rsid w:val="00C30CAC"/>
    <w:rsid w:val="00C32EE0"/>
    <w:rsid w:val="00C339DF"/>
    <w:rsid w:val="00C34472"/>
    <w:rsid w:val="00C34E7E"/>
    <w:rsid w:val="00C34E8B"/>
    <w:rsid w:val="00C35288"/>
    <w:rsid w:val="00C36147"/>
    <w:rsid w:val="00C42A3A"/>
    <w:rsid w:val="00C4338C"/>
    <w:rsid w:val="00C43CC8"/>
    <w:rsid w:val="00C4690B"/>
    <w:rsid w:val="00C47382"/>
    <w:rsid w:val="00C50359"/>
    <w:rsid w:val="00C53827"/>
    <w:rsid w:val="00C541B2"/>
    <w:rsid w:val="00C60314"/>
    <w:rsid w:val="00C62444"/>
    <w:rsid w:val="00C62871"/>
    <w:rsid w:val="00C62E78"/>
    <w:rsid w:val="00C63E54"/>
    <w:rsid w:val="00C64483"/>
    <w:rsid w:val="00C670E4"/>
    <w:rsid w:val="00C67AD5"/>
    <w:rsid w:val="00C701FE"/>
    <w:rsid w:val="00C708FA"/>
    <w:rsid w:val="00C7239A"/>
    <w:rsid w:val="00C72B17"/>
    <w:rsid w:val="00C7355C"/>
    <w:rsid w:val="00C735DE"/>
    <w:rsid w:val="00C738FF"/>
    <w:rsid w:val="00C74ACB"/>
    <w:rsid w:val="00C74CA9"/>
    <w:rsid w:val="00C7575A"/>
    <w:rsid w:val="00C7791E"/>
    <w:rsid w:val="00C80E5D"/>
    <w:rsid w:val="00C81E89"/>
    <w:rsid w:val="00C8375E"/>
    <w:rsid w:val="00C85429"/>
    <w:rsid w:val="00C85D3A"/>
    <w:rsid w:val="00C86846"/>
    <w:rsid w:val="00C86DB3"/>
    <w:rsid w:val="00C87DF6"/>
    <w:rsid w:val="00C90032"/>
    <w:rsid w:val="00C9049D"/>
    <w:rsid w:val="00C905E7"/>
    <w:rsid w:val="00C91652"/>
    <w:rsid w:val="00C92EF7"/>
    <w:rsid w:val="00C93899"/>
    <w:rsid w:val="00C94496"/>
    <w:rsid w:val="00C97D59"/>
    <w:rsid w:val="00CA4A96"/>
    <w:rsid w:val="00CA5B59"/>
    <w:rsid w:val="00CA65BD"/>
    <w:rsid w:val="00CA713B"/>
    <w:rsid w:val="00CA7C8F"/>
    <w:rsid w:val="00CB0519"/>
    <w:rsid w:val="00CB12CC"/>
    <w:rsid w:val="00CB142D"/>
    <w:rsid w:val="00CB1D47"/>
    <w:rsid w:val="00CB2CFF"/>
    <w:rsid w:val="00CB6027"/>
    <w:rsid w:val="00CB65E1"/>
    <w:rsid w:val="00CB7791"/>
    <w:rsid w:val="00CC1439"/>
    <w:rsid w:val="00CC1AAC"/>
    <w:rsid w:val="00CC5C24"/>
    <w:rsid w:val="00CC5D83"/>
    <w:rsid w:val="00CD0249"/>
    <w:rsid w:val="00CD311A"/>
    <w:rsid w:val="00CD3797"/>
    <w:rsid w:val="00CD4A90"/>
    <w:rsid w:val="00CD522E"/>
    <w:rsid w:val="00CD7B98"/>
    <w:rsid w:val="00CE0019"/>
    <w:rsid w:val="00CE0477"/>
    <w:rsid w:val="00CE0F9D"/>
    <w:rsid w:val="00CE2608"/>
    <w:rsid w:val="00CE34BB"/>
    <w:rsid w:val="00CE4868"/>
    <w:rsid w:val="00CE5700"/>
    <w:rsid w:val="00CF08C9"/>
    <w:rsid w:val="00CF0ED9"/>
    <w:rsid w:val="00CF3F13"/>
    <w:rsid w:val="00CF468F"/>
    <w:rsid w:val="00CF60A9"/>
    <w:rsid w:val="00D02305"/>
    <w:rsid w:val="00D02F67"/>
    <w:rsid w:val="00D030AB"/>
    <w:rsid w:val="00D05F64"/>
    <w:rsid w:val="00D11163"/>
    <w:rsid w:val="00D13D4C"/>
    <w:rsid w:val="00D13F84"/>
    <w:rsid w:val="00D16A1E"/>
    <w:rsid w:val="00D16F17"/>
    <w:rsid w:val="00D20551"/>
    <w:rsid w:val="00D20DAA"/>
    <w:rsid w:val="00D249CB"/>
    <w:rsid w:val="00D27EDE"/>
    <w:rsid w:val="00D30B9F"/>
    <w:rsid w:val="00D3166B"/>
    <w:rsid w:val="00D3227A"/>
    <w:rsid w:val="00D3358E"/>
    <w:rsid w:val="00D33E9F"/>
    <w:rsid w:val="00D346E8"/>
    <w:rsid w:val="00D42270"/>
    <w:rsid w:val="00D433F7"/>
    <w:rsid w:val="00D43649"/>
    <w:rsid w:val="00D43A40"/>
    <w:rsid w:val="00D44767"/>
    <w:rsid w:val="00D453B8"/>
    <w:rsid w:val="00D47192"/>
    <w:rsid w:val="00D471F3"/>
    <w:rsid w:val="00D52C89"/>
    <w:rsid w:val="00D53CFA"/>
    <w:rsid w:val="00D54905"/>
    <w:rsid w:val="00D558FD"/>
    <w:rsid w:val="00D55E56"/>
    <w:rsid w:val="00D56439"/>
    <w:rsid w:val="00D56D9B"/>
    <w:rsid w:val="00D57BF7"/>
    <w:rsid w:val="00D63D26"/>
    <w:rsid w:val="00D6501D"/>
    <w:rsid w:val="00D66922"/>
    <w:rsid w:val="00D67C52"/>
    <w:rsid w:val="00D7280B"/>
    <w:rsid w:val="00D72B63"/>
    <w:rsid w:val="00D747A1"/>
    <w:rsid w:val="00D76FE6"/>
    <w:rsid w:val="00D77425"/>
    <w:rsid w:val="00D77B05"/>
    <w:rsid w:val="00D80AB0"/>
    <w:rsid w:val="00D81A2A"/>
    <w:rsid w:val="00D81E9C"/>
    <w:rsid w:val="00D81FDB"/>
    <w:rsid w:val="00D83813"/>
    <w:rsid w:val="00D83A92"/>
    <w:rsid w:val="00D844A8"/>
    <w:rsid w:val="00D84CFC"/>
    <w:rsid w:val="00D861E1"/>
    <w:rsid w:val="00D9081F"/>
    <w:rsid w:val="00D9191A"/>
    <w:rsid w:val="00D91E60"/>
    <w:rsid w:val="00D93F27"/>
    <w:rsid w:val="00D94B7F"/>
    <w:rsid w:val="00D95205"/>
    <w:rsid w:val="00D95712"/>
    <w:rsid w:val="00D95E4F"/>
    <w:rsid w:val="00D9710B"/>
    <w:rsid w:val="00D972E3"/>
    <w:rsid w:val="00DA1FD9"/>
    <w:rsid w:val="00DA2BF8"/>
    <w:rsid w:val="00DA5D09"/>
    <w:rsid w:val="00DA6F8C"/>
    <w:rsid w:val="00DA7E6E"/>
    <w:rsid w:val="00DB1391"/>
    <w:rsid w:val="00DB2A50"/>
    <w:rsid w:val="00DB2B7D"/>
    <w:rsid w:val="00DB3BC2"/>
    <w:rsid w:val="00DB6E03"/>
    <w:rsid w:val="00DC0323"/>
    <w:rsid w:val="00DC2558"/>
    <w:rsid w:val="00DC29C7"/>
    <w:rsid w:val="00DC2EF4"/>
    <w:rsid w:val="00DC41A5"/>
    <w:rsid w:val="00DC4CCC"/>
    <w:rsid w:val="00DC78E2"/>
    <w:rsid w:val="00DD130C"/>
    <w:rsid w:val="00DD1B5F"/>
    <w:rsid w:val="00DD3187"/>
    <w:rsid w:val="00DD51C4"/>
    <w:rsid w:val="00DD5DA0"/>
    <w:rsid w:val="00DE3DFD"/>
    <w:rsid w:val="00DE43FE"/>
    <w:rsid w:val="00DE5BA0"/>
    <w:rsid w:val="00DE5EF3"/>
    <w:rsid w:val="00DF283B"/>
    <w:rsid w:val="00DF4156"/>
    <w:rsid w:val="00DF5E73"/>
    <w:rsid w:val="00E024D0"/>
    <w:rsid w:val="00E024EA"/>
    <w:rsid w:val="00E03348"/>
    <w:rsid w:val="00E04B9B"/>
    <w:rsid w:val="00E07D45"/>
    <w:rsid w:val="00E10319"/>
    <w:rsid w:val="00E106ED"/>
    <w:rsid w:val="00E109D6"/>
    <w:rsid w:val="00E12090"/>
    <w:rsid w:val="00E14D41"/>
    <w:rsid w:val="00E15572"/>
    <w:rsid w:val="00E159AB"/>
    <w:rsid w:val="00E15ACD"/>
    <w:rsid w:val="00E1675F"/>
    <w:rsid w:val="00E16AB2"/>
    <w:rsid w:val="00E20257"/>
    <w:rsid w:val="00E23BC0"/>
    <w:rsid w:val="00E242CB"/>
    <w:rsid w:val="00E2638E"/>
    <w:rsid w:val="00E277F4"/>
    <w:rsid w:val="00E30F4C"/>
    <w:rsid w:val="00E32291"/>
    <w:rsid w:val="00E32301"/>
    <w:rsid w:val="00E327BD"/>
    <w:rsid w:val="00E33BF3"/>
    <w:rsid w:val="00E35C14"/>
    <w:rsid w:val="00E36C5C"/>
    <w:rsid w:val="00E36CB9"/>
    <w:rsid w:val="00E37616"/>
    <w:rsid w:val="00E3779E"/>
    <w:rsid w:val="00E40925"/>
    <w:rsid w:val="00E40B92"/>
    <w:rsid w:val="00E465AA"/>
    <w:rsid w:val="00E47EE3"/>
    <w:rsid w:val="00E50128"/>
    <w:rsid w:val="00E53F73"/>
    <w:rsid w:val="00E54186"/>
    <w:rsid w:val="00E55909"/>
    <w:rsid w:val="00E561BA"/>
    <w:rsid w:val="00E56588"/>
    <w:rsid w:val="00E578B9"/>
    <w:rsid w:val="00E60DFF"/>
    <w:rsid w:val="00E6186D"/>
    <w:rsid w:val="00E62B7A"/>
    <w:rsid w:val="00E62DD8"/>
    <w:rsid w:val="00E632C0"/>
    <w:rsid w:val="00E66406"/>
    <w:rsid w:val="00E66B03"/>
    <w:rsid w:val="00E67711"/>
    <w:rsid w:val="00E67AEB"/>
    <w:rsid w:val="00E724E1"/>
    <w:rsid w:val="00E7323D"/>
    <w:rsid w:val="00E73DC8"/>
    <w:rsid w:val="00E7464F"/>
    <w:rsid w:val="00E75A6E"/>
    <w:rsid w:val="00E76881"/>
    <w:rsid w:val="00E8309C"/>
    <w:rsid w:val="00E846C1"/>
    <w:rsid w:val="00E85EDC"/>
    <w:rsid w:val="00E86166"/>
    <w:rsid w:val="00E8685C"/>
    <w:rsid w:val="00E87392"/>
    <w:rsid w:val="00E876CC"/>
    <w:rsid w:val="00E94A37"/>
    <w:rsid w:val="00E95B82"/>
    <w:rsid w:val="00EA04A6"/>
    <w:rsid w:val="00EA0E9D"/>
    <w:rsid w:val="00EA61AC"/>
    <w:rsid w:val="00EA640D"/>
    <w:rsid w:val="00EA6FE5"/>
    <w:rsid w:val="00EB3159"/>
    <w:rsid w:val="00EB7B9E"/>
    <w:rsid w:val="00EC0C1B"/>
    <w:rsid w:val="00EC2706"/>
    <w:rsid w:val="00EC33EE"/>
    <w:rsid w:val="00EC4AC7"/>
    <w:rsid w:val="00EC640E"/>
    <w:rsid w:val="00EC7095"/>
    <w:rsid w:val="00EC70D1"/>
    <w:rsid w:val="00ED182B"/>
    <w:rsid w:val="00ED1915"/>
    <w:rsid w:val="00ED2EA3"/>
    <w:rsid w:val="00ED3806"/>
    <w:rsid w:val="00ED6971"/>
    <w:rsid w:val="00ED7A70"/>
    <w:rsid w:val="00EE0E90"/>
    <w:rsid w:val="00EE1641"/>
    <w:rsid w:val="00EE17C6"/>
    <w:rsid w:val="00EE2778"/>
    <w:rsid w:val="00EE36EA"/>
    <w:rsid w:val="00EE4E18"/>
    <w:rsid w:val="00EE74E2"/>
    <w:rsid w:val="00EE78B4"/>
    <w:rsid w:val="00EF0846"/>
    <w:rsid w:val="00EF244A"/>
    <w:rsid w:val="00EF4530"/>
    <w:rsid w:val="00EF5661"/>
    <w:rsid w:val="00EF5E4E"/>
    <w:rsid w:val="00EF6BDB"/>
    <w:rsid w:val="00EF7D11"/>
    <w:rsid w:val="00F02A3D"/>
    <w:rsid w:val="00F03AD8"/>
    <w:rsid w:val="00F03D77"/>
    <w:rsid w:val="00F03E7E"/>
    <w:rsid w:val="00F05BD5"/>
    <w:rsid w:val="00F05C80"/>
    <w:rsid w:val="00F06379"/>
    <w:rsid w:val="00F07491"/>
    <w:rsid w:val="00F100E0"/>
    <w:rsid w:val="00F1327C"/>
    <w:rsid w:val="00F14CB8"/>
    <w:rsid w:val="00F17EC4"/>
    <w:rsid w:val="00F17F9E"/>
    <w:rsid w:val="00F2437F"/>
    <w:rsid w:val="00F24D7C"/>
    <w:rsid w:val="00F255C4"/>
    <w:rsid w:val="00F269EF"/>
    <w:rsid w:val="00F27579"/>
    <w:rsid w:val="00F27E16"/>
    <w:rsid w:val="00F30345"/>
    <w:rsid w:val="00F3098C"/>
    <w:rsid w:val="00F30AD1"/>
    <w:rsid w:val="00F32C89"/>
    <w:rsid w:val="00F3576B"/>
    <w:rsid w:val="00F361DA"/>
    <w:rsid w:val="00F369BF"/>
    <w:rsid w:val="00F371B9"/>
    <w:rsid w:val="00F37209"/>
    <w:rsid w:val="00F37CF7"/>
    <w:rsid w:val="00F4143D"/>
    <w:rsid w:val="00F427B1"/>
    <w:rsid w:val="00F44166"/>
    <w:rsid w:val="00F44742"/>
    <w:rsid w:val="00F44C55"/>
    <w:rsid w:val="00F4573F"/>
    <w:rsid w:val="00F462FB"/>
    <w:rsid w:val="00F46D95"/>
    <w:rsid w:val="00F47AB8"/>
    <w:rsid w:val="00F501A8"/>
    <w:rsid w:val="00F504A2"/>
    <w:rsid w:val="00F53BC9"/>
    <w:rsid w:val="00F53DFE"/>
    <w:rsid w:val="00F5460B"/>
    <w:rsid w:val="00F54911"/>
    <w:rsid w:val="00F54B87"/>
    <w:rsid w:val="00F5613C"/>
    <w:rsid w:val="00F56B8D"/>
    <w:rsid w:val="00F56DBD"/>
    <w:rsid w:val="00F57A08"/>
    <w:rsid w:val="00F604E5"/>
    <w:rsid w:val="00F62D84"/>
    <w:rsid w:val="00F63055"/>
    <w:rsid w:val="00F639E4"/>
    <w:rsid w:val="00F654E7"/>
    <w:rsid w:val="00F658C6"/>
    <w:rsid w:val="00F672F3"/>
    <w:rsid w:val="00F67F4B"/>
    <w:rsid w:val="00F705BC"/>
    <w:rsid w:val="00F71AFD"/>
    <w:rsid w:val="00F72F7B"/>
    <w:rsid w:val="00F7379C"/>
    <w:rsid w:val="00F74068"/>
    <w:rsid w:val="00F748A6"/>
    <w:rsid w:val="00F76281"/>
    <w:rsid w:val="00F76A63"/>
    <w:rsid w:val="00F77DF1"/>
    <w:rsid w:val="00F80C7D"/>
    <w:rsid w:val="00F81F59"/>
    <w:rsid w:val="00F83AC9"/>
    <w:rsid w:val="00F84453"/>
    <w:rsid w:val="00F865CF"/>
    <w:rsid w:val="00F9053A"/>
    <w:rsid w:val="00F93033"/>
    <w:rsid w:val="00F942FC"/>
    <w:rsid w:val="00F949EF"/>
    <w:rsid w:val="00F94B9E"/>
    <w:rsid w:val="00F94BFF"/>
    <w:rsid w:val="00F976CA"/>
    <w:rsid w:val="00FA1469"/>
    <w:rsid w:val="00FA3009"/>
    <w:rsid w:val="00FA4FD9"/>
    <w:rsid w:val="00FA542A"/>
    <w:rsid w:val="00FA6673"/>
    <w:rsid w:val="00FA734B"/>
    <w:rsid w:val="00FB0178"/>
    <w:rsid w:val="00FB0D03"/>
    <w:rsid w:val="00FB1077"/>
    <w:rsid w:val="00FB165F"/>
    <w:rsid w:val="00FB3237"/>
    <w:rsid w:val="00FB5745"/>
    <w:rsid w:val="00FB5CB1"/>
    <w:rsid w:val="00FC06E4"/>
    <w:rsid w:val="00FC11D3"/>
    <w:rsid w:val="00FC20D2"/>
    <w:rsid w:val="00FC21D4"/>
    <w:rsid w:val="00FC2C06"/>
    <w:rsid w:val="00FC3537"/>
    <w:rsid w:val="00FC391E"/>
    <w:rsid w:val="00FC456E"/>
    <w:rsid w:val="00FC469A"/>
    <w:rsid w:val="00FC4869"/>
    <w:rsid w:val="00FC7B48"/>
    <w:rsid w:val="00FC7CCD"/>
    <w:rsid w:val="00FD3AE7"/>
    <w:rsid w:val="00FD6D96"/>
    <w:rsid w:val="00FE5752"/>
    <w:rsid w:val="00FE5876"/>
    <w:rsid w:val="00FE5B5A"/>
    <w:rsid w:val="00FE7103"/>
    <w:rsid w:val="00FF0555"/>
    <w:rsid w:val="00FF2FA0"/>
    <w:rsid w:val="00FF39E2"/>
    <w:rsid w:val="00FF4855"/>
    <w:rsid w:val="00FF4CEB"/>
    <w:rsid w:val="00FF50BD"/>
    <w:rsid w:val="00FF52C1"/>
    <w:rsid w:val="00FF5931"/>
    <w:rsid w:val="00FF598E"/>
    <w:rsid w:val="00FF654E"/>
    <w:rsid w:val="00FF721E"/>
    <w:rsid w:val="00FF76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qFormat="1"/>
    <w:lsdException w:name="Title" w:qFormat="1"/>
    <w:lsdException w:name="Body Text"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qFormat/>
    <w:pPr>
      <w:keepNext/>
      <w:widowControl w:val="0"/>
      <w:numPr>
        <w:numId w:val="1"/>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1"/>
      </w:numPr>
      <w:spacing w:after="220"/>
      <w:jc w:val="both"/>
      <w:outlineLvl w:val="1"/>
    </w:pPr>
    <w:rPr>
      <w:b/>
    </w:rPr>
  </w:style>
  <w:style w:type="paragraph" w:styleId="Heading3">
    <w:name w:val="heading 3"/>
    <w:basedOn w:val="Normal"/>
    <w:next w:val="ParaNum"/>
    <w:qFormat/>
    <w:pPr>
      <w:keepNext/>
      <w:widowControl w:val="0"/>
      <w:numPr>
        <w:ilvl w:val="2"/>
        <w:numId w:val="1"/>
      </w:numPr>
      <w:spacing w:after="220"/>
      <w:jc w:val="both"/>
      <w:outlineLvl w:val="2"/>
    </w:pPr>
    <w:rPr>
      <w:b/>
    </w:rPr>
  </w:style>
  <w:style w:type="paragraph" w:styleId="Heading4">
    <w:name w:val="heading 4"/>
    <w:basedOn w:val="Normal"/>
    <w:next w:val="ParaNum"/>
    <w:qFormat/>
    <w:pPr>
      <w:keepNext/>
      <w:widowControl w:val="0"/>
      <w:numPr>
        <w:ilvl w:val="3"/>
        <w:numId w:val="1"/>
      </w:numPr>
      <w:spacing w:after="220"/>
      <w:jc w:val="both"/>
      <w:outlineLvl w:val="3"/>
    </w:pPr>
    <w:rPr>
      <w:b/>
    </w:rPr>
  </w:style>
  <w:style w:type="paragraph" w:styleId="Heading5">
    <w:name w:val="heading 5"/>
    <w:basedOn w:val="Normal"/>
    <w:next w:val="ParaNum"/>
    <w:qFormat/>
    <w:pPr>
      <w:keepNext/>
      <w:widowControl w:val="0"/>
      <w:numPr>
        <w:ilvl w:val="4"/>
        <w:numId w:val="1"/>
      </w:numPr>
      <w:suppressAutoHyphens/>
      <w:spacing w:after="220"/>
      <w:jc w:val="both"/>
      <w:outlineLvl w:val="4"/>
    </w:pPr>
    <w:rPr>
      <w:b/>
    </w:rPr>
  </w:style>
  <w:style w:type="paragraph" w:styleId="Heading6">
    <w:name w:val="heading 6"/>
    <w:basedOn w:val="Normal"/>
    <w:next w:val="ParaNum"/>
    <w:qFormat/>
    <w:pPr>
      <w:widowControl w:val="0"/>
      <w:numPr>
        <w:ilvl w:val="5"/>
        <w:numId w:val="1"/>
      </w:numPr>
      <w:spacing w:after="220"/>
      <w:jc w:val="both"/>
      <w:outlineLvl w:val="5"/>
    </w:pPr>
    <w:rPr>
      <w:b/>
    </w:rPr>
  </w:style>
  <w:style w:type="paragraph" w:styleId="Heading7">
    <w:name w:val="heading 7"/>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3"/>
      </w:numPr>
      <w:tabs>
        <w:tab w:val="left" w:pos="1440"/>
      </w:tabs>
      <w:spacing w:after="220"/>
      <w:jc w:val="both"/>
    </w:pPr>
  </w:style>
  <w:style w:type="paragraph" w:styleId="FootnoteText">
    <w:name w:val="footnote text"/>
    <w:aliases w:val="Footnote Text Char,Footnote Text Char Char Char,Footnote Text Char Char Char Char1 Char,Footnote Text Char Char2,Footnote Text Char1 Char,Footnote Text Char1 Char Char Char,Footnote Text Char1 Char Char Char Char Char,Footnote Text Char6"/>
    <w:basedOn w:val="Normal"/>
    <w:link w:val="FootnoteTextChar1"/>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FR,Footnote Reference/,Style 12,Style 124,Style 13,Style 17,Style 3,Style 4,Style 6,fr,o"/>
    <w:qForma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FF"/>
      <w:u w:val="single"/>
    </w:rPr>
  </w:style>
  <w:style w:type="paragraph" w:styleId="NormalWeb">
    <w:name w:val="Normal (Web)"/>
    <w:basedOn w:val="Normal"/>
    <w:rPr>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 Char Char Char Char Char"/>
    <w:link w:val="FootnoteText"/>
    <w:uiPriority w:val="99"/>
  </w:style>
  <w:style w:type="character" w:styleId="Emphasis">
    <w:name w:val="Emphasis"/>
    <w:basedOn w:val="DefaultParagraphFont"/>
    <w:uiPriority w:val="20"/>
    <w:qFormat/>
    <w:rsid w:val="00AC38E9"/>
    <w:rPr>
      <w:i/>
      <w:iCs/>
    </w:rPr>
  </w:style>
  <w:style w:type="character" w:customStyle="1" w:styleId="FootnoteTextCharCharChar4CharChar">
    <w:name w:val="Footnote Text Char Char Char4 Char Char"/>
    <w:aliases w:val="ALTS FOOTNOTE Char,Car Char,Footnote Text Char Char Char1,Footnote Text Char3 Char,Footnote Text Char4 Char1 Char Char,Footnote Text Char4 Char1 Char Char Char Char Char,Footnote Text Char7 Char Char,fn Char"/>
    <w:basedOn w:val="DefaultParagraphFont"/>
    <w:rsid w:val="00826EAF"/>
  </w:style>
  <w:style w:type="paragraph" w:styleId="BodyText">
    <w:name w:val="Body Text"/>
    <w:basedOn w:val="Normal"/>
    <w:link w:val="BodyTextChar"/>
    <w:unhideWhenUsed/>
    <w:qFormat/>
    <w:rsid w:val="00E7464F"/>
    <w:pPr>
      <w:spacing w:after="240"/>
      <w:ind w:firstLine="720"/>
    </w:pPr>
    <w:rPr>
      <w:rFonts w:eastAsia="MS Mincho" w:cstheme="minorBidi"/>
      <w:sz w:val="24"/>
      <w:szCs w:val="22"/>
    </w:rPr>
  </w:style>
  <w:style w:type="character" w:customStyle="1" w:styleId="BodyTextChar">
    <w:name w:val="Body Text Char"/>
    <w:basedOn w:val="DefaultParagraphFont"/>
    <w:link w:val="BodyText"/>
    <w:rsid w:val="00E7464F"/>
    <w:rPr>
      <w:rFonts w:eastAsia="MS Mincho" w:cstheme="minorBidi"/>
      <w:sz w:val="24"/>
      <w:szCs w:val="22"/>
    </w:rPr>
  </w:style>
  <w:style w:type="paragraph" w:styleId="ListBullet">
    <w:name w:val="List Bullet"/>
    <w:basedOn w:val="Normal"/>
    <w:rsid w:val="00095AF4"/>
    <w:pPr>
      <w:numPr>
        <w:numId w:val="5"/>
      </w:numPr>
      <w:contextualSpacing/>
    </w:pPr>
  </w:style>
  <w:style w:type="character" w:customStyle="1" w:styleId="FootnoteTextCharCharCharCharChar">
    <w:name w:val="Footnote Text Char Char Char Char Char"/>
    <w:aliases w:val="Footnote Text Char2 Char,Footnote Text Char2 Char Char Char,Footnote Text Char3 Char Char Char1 Char"/>
    <w:uiPriority w:val="99"/>
    <w:rsid w:val="004C3F29"/>
  </w:style>
  <w:style w:type="character" w:customStyle="1" w:styleId="ParaNumChar">
    <w:name w:val="ParaNum Char"/>
    <w:link w:val="ParaNum"/>
    <w:rsid w:val="004C3F29"/>
    <w:rPr>
      <w:sz w:val="22"/>
    </w:rPr>
  </w:style>
  <w:style w:type="paragraph" w:styleId="ListParagraph">
    <w:name w:val="List Paragraph"/>
    <w:basedOn w:val="Normal"/>
    <w:uiPriority w:val="34"/>
    <w:qFormat/>
    <w:rsid w:val="00736280"/>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