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017D0" w:rsidRPr="00B03AAA" w:rsidP="006748AA" w14:paraId="71A47263" w14:textId="77777777">
      <w:pPr>
        <w:pStyle w:val="Title"/>
        <w:widowControl/>
        <w:rPr>
          <w:sz w:val="22"/>
          <w:szCs w:val="22"/>
        </w:rPr>
      </w:pPr>
      <w:r w:rsidRPr="00B03AAA">
        <w:rPr>
          <w:sz w:val="22"/>
          <w:szCs w:val="22"/>
        </w:rPr>
        <w:t>Before the</w:t>
      </w:r>
    </w:p>
    <w:p w:rsidR="008017D0" w:rsidRPr="00B03AAA" w:rsidP="006748AA" w14:paraId="4CC5215F" w14:textId="77777777">
      <w:pPr>
        <w:widowControl/>
        <w:jc w:val="center"/>
        <w:rPr>
          <w:b/>
          <w:sz w:val="22"/>
          <w:szCs w:val="22"/>
        </w:rPr>
      </w:pPr>
      <w:r w:rsidRPr="00B03AAA">
        <w:rPr>
          <w:b/>
          <w:sz w:val="22"/>
          <w:szCs w:val="22"/>
        </w:rPr>
        <w:t>Federal Communications Commission</w:t>
      </w:r>
    </w:p>
    <w:p w:rsidR="008017D0" w:rsidRPr="00B03AAA" w:rsidP="006748AA" w14:paraId="419E1872" w14:textId="77777777">
      <w:pPr>
        <w:widowControl/>
        <w:jc w:val="center"/>
        <w:rPr>
          <w:b/>
          <w:sz w:val="22"/>
          <w:szCs w:val="22"/>
        </w:rPr>
      </w:pPr>
      <w:r w:rsidRPr="00B03AAA">
        <w:rPr>
          <w:b/>
          <w:sz w:val="22"/>
          <w:szCs w:val="22"/>
        </w:rPr>
        <w:t>Washington, D.C. 20554</w:t>
      </w:r>
    </w:p>
    <w:p w:rsidR="008017D0" w:rsidRPr="00B03AAA" w:rsidP="006748AA" w14:paraId="691CAC92" w14:textId="77777777">
      <w:pPr>
        <w:widowControl/>
        <w:tabs>
          <w:tab w:val="left" w:pos="-720"/>
        </w:tabs>
        <w:suppressAutoHyphens/>
        <w:spacing w:line="227" w:lineRule="auto"/>
        <w:rPr>
          <w:spacing w:val="-2"/>
          <w:sz w:val="22"/>
          <w:szCs w:val="22"/>
        </w:rPr>
      </w:pPr>
    </w:p>
    <w:p w:rsidR="008017D0" w:rsidRPr="00B03AAA" w:rsidP="006748AA" w14:paraId="0C15511B" w14:textId="77777777">
      <w:pPr>
        <w:widowControl/>
        <w:tabs>
          <w:tab w:val="left" w:pos="-720"/>
        </w:tabs>
        <w:suppressAutoHyphens/>
        <w:spacing w:line="227" w:lineRule="auto"/>
        <w:rPr>
          <w:spacing w:val="-2"/>
          <w:sz w:val="22"/>
          <w:szCs w:val="22"/>
        </w:rPr>
      </w:pPr>
    </w:p>
    <w:tbl>
      <w:tblPr>
        <w:tblW w:w="0" w:type="auto"/>
        <w:tblLayout w:type="fixed"/>
        <w:tblLook w:val="0000"/>
      </w:tblPr>
      <w:tblGrid>
        <w:gridCol w:w="4698"/>
        <w:gridCol w:w="630"/>
        <w:gridCol w:w="4248"/>
      </w:tblGrid>
      <w:tr w14:paraId="2D9B63DA" w14:textId="77777777">
        <w:tblPrEx>
          <w:tblW w:w="0" w:type="auto"/>
          <w:tblLayout w:type="fixed"/>
          <w:tblLook w:val="0000"/>
        </w:tblPrEx>
        <w:trPr>
          <w:trHeight w:val="1782"/>
        </w:trPr>
        <w:tc>
          <w:tcPr>
            <w:tcW w:w="4698" w:type="dxa"/>
          </w:tcPr>
          <w:p w:rsidR="008017D0" w:rsidRPr="00B03AAA" w:rsidP="006748AA" w14:paraId="28D53A26" w14:textId="77777777">
            <w:pPr>
              <w:widowControl/>
              <w:tabs>
                <w:tab w:val="center" w:pos="4680"/>
              </w:tabs>
              <w:suppressAutoHyphens/>
              <w:rPr>
                <w:spacing w:val="-2"/>
                <w:sz w:val="22"/>
                <w:szCs w:val="22"/>
              </w:rPr>
            </w:pPr>
            <w:r w:rsidRPr="00B03AAA">
              <w:rPr>
                <w:spacing w:val="-2"/>
                <w:sz w:val="22"/>
                <w:szCs w:val="22"/>
              </w:rPr>
              <w:t xml:space="preserve">In the Matter of </w:t>
            </w:r>
          </w:p>
          <w:p w:rsidR="008017D0" w:rsidRPr="00B03AAA" w:rsidP="006748AA" w14:paraId="17248645" w14:textId="77777777">
            <w:pPr>
              <w:widowControl/>
              <w:tabs>
                <w:tab w:val="center" w:pos="4680"/>
              </w:tabs>
              <w:suppressAutoHyphens/>
              <w:rPr>
                <w:spacing w:val="-2"/>
                <w:sz w:val="22"/>
                <w:szCs w:val="22"/>
              </w:rPr>
            </w:pPr>
          </w:p>
          <w:p w:rsidR="008017D0" w:rsidRPr="00B03AAA" w:rsidP="009472BE" w14:paraId="6F3FBCF6" w14:textId="77777777">
            <w:pPr>
              <w:widowControl/>
              <w:tabs>
                <w:tab w:val="center" w:pos="4680"/>
              </w:tabs>
              <w:suppressAutoHyphens/>
              <w:jc w:val="left"/>
              <w:rPr>
                <w:spacing w:val="-2"/>
                <w:sz w:val="22"/>
                <w:szCs w:val="22"/>
              </w:rPr>
            </w:pPr>
            <w:r>
              <w:rPr>
                <w:spacing w:val="-2"/>
                <w:sz w:val="22"/>
                <w:szCs w:val="22"/>
              </w:rPr>
              <w:t xml:space="preserve">Section 63.63 Application of </w:t>
            </w:r>
            <w:r w:rsidRPr="00A24F92" w:rsidR="00A24F92">
              <w:rPr>
                <w:spacing w:val="-2"/>
                <w:sz w:val="22"/>
                <w:szCs w:val="22"/>
              </w:rPr>
              <w:t>CenturyTel of Michigan, Inc. d/b/a CenturyLink</w:t>
            </w:r>
            <w:r w:rsidR="00A24F92">
              <w:rPr>
                <w:spacing w:val="-2"/>
                <w:sz w:val="22"/>
                <w:szCs w:val="22"/>
              </w:rPr>
              <w:t xml:space="preserve"> </w:t>
            </w:r>
          </w:p>
        </w:tc>
        <w:tc>
          <w:tcPr>
            <w:tcW w:w="630" w:type="dxa"/>
          </w:tcPr>
          <w:p w:rsidR="008017D0" w:rsidRPr="00B03AAA" w:rsidP="006748AA" w14:paraId="7B411689" w14:textId="77777777">
            <w:pPr>
              <w:widowControl/>
              <w:tabs>
                <w:tab w:val="center" w:pos="4680"/>
              </w:tabs>
              <w:suppressAutoHyphens/>
              <w:rPr>
                <w:b/>
                <w:spacing w:val="-2"/>
                <w:sz w:val="22"/>
                <w:szCs w:val="22"/>
              </w:rPr>
            </w:pPr>
            <w:r w:rsidRPr="00B03AAA">
              <w:rPr>
                <w:b/>
                <w:spacing w:val="-2"/>
                <w:sz w:val="22"/>
                <w:szCs w:val="22"/>
              </w:rPr>
              <w:t>)</w:t>
            </w:r>
          </w:p>
          <w:p w:rsidR="008017D0" w:rsidRPr="00B03AAA" w:rsidP="006748AA" w14:paraId="0B0A78A3" w14:textId="77777777">
            <w:pPr>
              <w:widowControl/>
              <w:tabs>
                <w:tab w:val="center" w:pos="4680"/>
              </w:tabs>
              <w:suppressAutoHyphens/>
              <w:rPr>
                <w:b/>
                <w:spacing w:val="-2"/>
                <w:sz w:val="22"/>
                <w:szCs w:val="22"/>
              </w:rPr>
            </w:pPr>
            <w:r w:rsidRPr="00B03AAA">
              <w:rPr>
                <w:b/>
                <w:spacing w:val="-2"/>
                <w:sz w:val="22"/>
                <w:szCs w:val="22"/>
              </w:rPr>
              <w:t>)</w:t>
            </w:r>
          </w:p>
          <w:p w:rsidR="008017D0" w:rsidRPr="00B03AAA" w:rsidP="006748AA" w14:paraId="2BC2CA3A" w14:textId="77777777">
            <w:pPr>
              <w:widowControl/>
              <w:tabs>
                <w:tab w:val="center" w:pos="4680"/>
              </w:tabs>
              <w:suppressAutoHyphens/>
              <w:rPr>
                <w:b/>
                <w:spacing w:val="-2"/>
                <w:sz w:val="22"/>
                <w:szCs w:val="22"/>
              </w:rPr>
            </w:pPr>
            <w:r w:rsidRPr="00B03AAA">
              <w:rPr>
                <w:b/>
                <w:spacing w:val="-2"/>
                <w:sz w:val="22"/>
                <w:szCs w:val="22"/>
              </w:rPr>
              <w:t>)</w:t>
            </w:r>
          </w:p>
          <w:p w:rsidR="008017D0" w:rsidRPr="00B03AAA" w:rsidP="006748AA" w14:paraId="6AD4D1B5" w14:textId="77777777">
            <w:pPr>
              <w:widowControl/>
              <w:tabs>
                <w:tab w:val="center" w:pos="4680"/>
              </w:tabs>
              <w:suppressAutoHyphens/>
              <w:rPr>
                <w:b/>
                <w:spacing w:val="-2"/>
                <w:sz w:val="22"/>
                <w:szCs w:val="22"/>
              </w:rPr>
            </w:pPr>
            <w:r w:rsidRPr="00B03AAA">
              <w:rPr>
                <w:b/>
                <w:spacing w:val="-2"/>
                <w:sz w:val="22"/>
                <w:szCs w:val="22"/>
              </w:rPr>
              <w:t>)</w:t>
            </w:r>
          </w:p>
          <w:p w:rsidR="008017D0" w:rsidRPr="00B03AAA" w:rsidP="006748AA" w14:paraId="017E0744" w14:textId="77777777">
            <w:pPr>
              <w:widowControl/>
              <w:tabs>
                <w:tab w:val="center" w:pos="4680"/>
              </w:tabs>
              <w:suppressAutoHyphens/>
              <w:rPr>
                <w:b/>
                <w:spacing w:val="-2"/>
                <w:sz w:val="22"/>
                <w:szCs w:val="22"/>
              </w:rPr>
            </w:pPr>
            <w:r w:rsidRPr="00B03AAA">
              <w:rPr>
                <w:b/>
                <w:spacing w:val="-2"/>
                <w:sz w:val="22"/>
                <w:szCs w:val="22"/>
              </w:rPr>
              <w:t>)</w:t>
            </w:r>
          </w:p>
          <w:p w:rsidR="008017D0" w:rsidRPr="00B03AAA" w:rsidP="006748AA" w14:paraId="5AE96E94" w14:textId="77777777">
            <w:pPr>
              <w:widowControl/>
              <w:tabs>
                <w:tab w:val="center" w:pos="4680"/>
              </w:tabs>
              <w:suppressAutoHyphens/>
              <w:rPr>
                <w:b/>
                <w:spacing w:val="-2"/>
                <w:sz w:val="22"/>
                <w:szCs w:val="22"/>
              </w:rPr>
            </w:pPr>
            <w:r w:rsidRPr="00B03AAA">
              <w:rPr>
                <w:b/>
                <w:spacing w:val="-2"/>
                <w:sz w:val="22"/>
                <w:szCs w:val="22"/>
              </w:rPr>
              <w:t>)</w:t>
            </w:r>
          </w:p>
        </w:tc>
        <w:tc>
          <w:tcPr>
            <w:tcW w:w="4248" w:type="dxa"/>
          </w:tcPr>
          <w:p w:rsidR="008017D0" w:rsidRPr="00B03AAA" w:rsidP="006748AA" w14:paraId="48440A6B" w14:textId="77777777">
            <w:pPr>
              <w:widowControl/>
              <w:tabs>
                <w:tab w:val="center" w:pos="4680"/>
              </w:tabs>
              <w:suppressAutoHyphens/>
              <w:rPr>
                <w:spacing w:val="-2"/>
                <w:sz w:val="22"/>
                <w:szCs w:val="22"/>
              </w:rPr>
            </w:pPr>
          </w:p>
          <w:p w:rsidR="008017D0" w:rsidRPr="00B03AAA" w:rsidP="006748AA" w14:paraId="75508A54" w14:textId="77777777">
            <w:pPr>
              <w:widowControl/>
              <w:tabs>
                <w:tab w:val="center" w:pos="4680"/>
              </w:tabs>
              <w:suppressAutoHyphens/>
              <w:rPr>
                <w:spacing w:val="-2"/>
                <w:sz w:val="22"/>
                <w:szCs w:val="22"/>
              </w:rPr>
            </w:pPr>
          </w:p>
          <w:p w:rsidR="009472BE" w:rsidRPr="00B03AAA" w:rsidP="009472BE" w14:paraId="2DD7A217" w14:textId="77777777">
            <w:pPr>
              <w:widowControl/>
              <w:tabs>
                <w:tab w:val="center" w:pos="4680"/>
              </w:tabs>
              <w:suppressAutoHyphens/>
              <w:rPr>
                <w:spacing w:val="-2"/>
                <w:sz w:val="22"/>
                <w:szCs w:val="22"/>
              </w:rPr>
            </w:pPr>
            <w:r>
              <w:rPr>
                <w:spacing w:val="-2"/>
                <w:sz w:val="22"/>
                <w:szCs w:val="22"/>
              </w:rPr>
              <w:t xml:space="preserve">WC Docket No. </w:t>
            </w:r>
            <w:r w:rsidR="00A24F92">
              <w:rPr>
                <w:spacing w:val="-2"/>
                <w:sz w:val="22"/>
                <w:szCs w:val="22"/>
              </w:rPr>
              <w:t>20</w:t>
            </w:r>
            <w:r>
              <w:rPr>
                <w:spacing w:val="-2"/>
                <w:sz w:val="22"/>
                <w:szCs w:val="22"/>
              </w:rPr>
              <w:t>-</w:t>
            </w:r>
            <w:r w:rsidR="00701889">
              <w:rPr>
                <w:spacing w:val="-2"/>
                <w:sz w:val="22"/>
                <w:szCs w:val="22"/>
              </w:rPr>
              <w:t>2</w:t>
            </w:r>
            <w:r w:rsidR="00A24F92">
              <w:rPr>
                <w:spacing w:val="-2"/>
                <w:sz w:val="22"/>
                <w:szCs w:val="22"/>
              </w:rPr>
              <w:t>78</w:t>
            </w:r>
          </w:p>
          <w:p w:rsidR="008017D0" w:rsidRPr="00B03AAA" w:rsidP="009472BE" w14:paraId="447223A6" w14:textId="77777777">
            <w:pPr>
              <w:pStyle w:val="TOAHeading"/>
              <w:widowControl/>
              <w:tabs>
                <w:tab w:val="center" w:pos="4680"/>
                <w:tab w:val="clear" w:pos="9360"/>
              </w:tabs>
              <w:rPr>
                <w:spacing w:val="-2"/>
                <w:sz w:val="22"/>
                <w:szCs w:val="22"/>
              </w:rPr>
            </w:pPr>
            <w:r w:rsidRPr="00B820D2">
              <w:rPr>
                <w:spacing w:val="-2"/>
                <w:sz w:val="22"/>
                <w:szCs w:val="22"/>
              </w:rPr>
              <w:t xml:space="preserve">Comp. Pol. File No. </w:t>
            </w:r>
            <w:r w:rsidR="00A24F92">
              <w:rPr>
                <w:spacing w:val="-2"/>
                <w:sz w:val="22"/>
                <w:szCs w:val="22"/>
              </w:rPr>
              <w:t>1639</w:t>
            </w:r>
          </w:p>
          <w:p w:rsidR="008017D0" w:rsidRPr="00B03AAA" w:rsidP="006748AA" w14:paraId="69CE623B" w14:textId="77777777">
            <w:pPr>
              <w:widowControl/>
              <w:tabs>
                <w:tab w:val="center" w:pos="4680"/>
              </w:tabs>
              <w:suppressAutoHyphens/>
              <w:rPr>
                <w:spacing w:val="-2"/>
                <w:sz w:val="22"/>
                <w:szCs w:val="22"/>
              </w:rPr>
            </w:pPr>
          </w:p>
        </w:tc>
      </w:tr>
    </w:tbl>
    <w:p w:rsidR="008017D0" w:rsidRPr="00B03AAA" w:rsidP="006748AA" w14:paraId="3D5263AF" w14:textId="77777777">
      <w:pPr>
        <w:widowControl/>
        <w:tabs>
          <w:tab w:val="left" w:pos="-720"/>
        </w:tabs>
        <w:suppressAutoHyphens/>
        <w:spacing w:line="227" w:lineRule="auto"/>
        <w:rPr>
          <w:spacing w:val="-2"/>
          <w:sz w:val="22"/>
          <w:szCs w:val="22"/>
        </w:rPr>
      </w:pPr>
    </w:p>
    <w:p w:rsidR="008017D0" w:rsidRPr="00B03AAA" w:rsidP="006748AA" w14:paraId="1CC700FA" w14:textId="77777777">
      <w:pPr>
        <w:widowControl/>
        <w:jc w:val="center"/>
        <w:rPr>
          <w:b/>
          <w:sz w:val="22"/>
          <w:szCs w:val="22"/>
        </w:rPr>
      </w:pPr>
      <w:r w:rsidRPr="00B03AAA">
        <w:rPr>
          <w:b/>
          <w:sz w:val="22"/>
          <w:szCs w:val="22"/>
        </w:rPr>
        <w:t>ORDER</w:t>
      </w:r>
      <w:r w:rsidRPr="00B03AAA" w:rsidR="008A45E3">
        <w:rPr>
          <w:b/>
          <w:sz w:val="22"/>
          <w:szCs w:val="22"/>
        </w:rPr>
        <w:t xml:space="preserve"> </w:t>
      </w:r>
    </w:p>
    <w:p w:rsidR="008017D0" w:rsidRPr="00B03AAA" w:rsidP="006748AA" w14:paraId="197D267A" w14:textId="77777777">
      <w:pPr>
        <w:widowControl/>
        <w:tabs>
          <w:tab w:val="left" w:pos="-720"/>
        </w:tabs>
        <w:suppressAutoHyphens/>
        <w:spacing w:line="227" w:lineRule="auto"/>
        <w:rPr>
          <w:spacing w:val="-2"/>
          <w:sz w:val="22"/>
          <w:szCs w:val="22"/>
        </w:rPr>
      </w:pPr>
    </w:p>
    <w:p w:rsidR="008017D0" w:rsidRPr="00B03AAA" w:rsidP="006748AA" w14:paraId="7139DDE0" w14:textId="0E5D56B6">
      <w:pPr>
        <w:widowControl/>
        <w:tabs>
          <w:tab w:val="left" w:pos="720"/>
          <w:tab w:val="left" w:pos="5760"/>
        </w:tabs>
        <w:suppressAutoHyphens/>
        <w:spacing w:line="227" w:lineRule="auto"/>
        <w:rPr>
          <w:spacing w:val="-2"/>
          <w:sz w:val="22"/>
          <w:szCs w:val="22"/>
        </w:rPr>
      </w:pPr>
      <w:r w:rsidRPr="00B03AAA">
        <w:rPr>
          <w:b/>
          <w:spacing w:val="-2"/>
          <w:sz w:val="22"/>
          <w:szCs w:val="22"/>
        </w:rPr>
        <w:t xml:space="preserve">Adopted:  </w:t>
      </w:r>
      <w:r w:rsidR="00931897">
        <w:rPr>
          <w:b/>
          <w:spacing w:val="-2"/>
          <w:sz w:val="22"/>
          <w:szCs w:val="22"/>
        </w:rPr>
        <w:t xml:space="preserve">November </w:t>
      </w:r>
      <w:r w:rsidR="00AF615F">
        <w:rPr>
          <w:b/>
          <w:spacing w:val="-2"/>
          <w:sz w:val="22"/>
          <w:szCs w:val="22"/>
        </w:rPr>
        <w:t>23</w:t>
      </w:r>
      <w:r w:rsidR="00A24F92">
        <w:rPr>
          <w:b/>
          <w:spacing w:val="-2"/>
          <w:sz w:val="22"/>
          <w:szCs w:val="22"/>
        </w:rPr>
        <w:t>, 2020</w:t>
      </w:r>
      <w:r w:rsidRPr="00B03AAA">
        <w:rPr>
          <w:b/>
          <w:spacing w:val="-2"/>
          <w:sz w:val="22"/>
          <w:szCs w:val="22"/>
        </w:rPr>
        <w:tab/>
      </w:r>
      <w:r w:rsidR="00D247E3">
        <w:rPr>
          <w:b/>
          <w:spacing w:val="-2"/>
          <w:sz w:val="22"/>
          <w:szCs w:val="22"/>
        </w:rPr>
        <w:tab/>
      </w:r>
      <w:r w:rsidRPr="00B03AAA">
        <w:rPr>
          <w:b/>
          <w:spacing w:val="-2"/>
          <w:sz w:val="22"/>
          <w:szCs w:val="22"/>
        </w:rPr>
        <w:t xml:space="preserve">Released:  </w:t>
      </w:r>
      <w:r w:rsidR="00931897">
        <w:rPr>
          <w:b/>
          <w:spacing w:val="-2"/>
          <w:sz w:val="22"/>
          <w:szCs w:val="22"/>
        </w:rPr>
        <w:t xml:space="preserve">November </w:t>
      </w:r>
      <w:r w:rsidR="00AF615F">
        <w:rPr>
          <w:b/>
          <w:spacing w:val="-2"/>
          <w:sz w:val="22"/>
          <w:szCs w:val="22"/>
        </w:rPr>
        <w:t>23</w:t>
      </w:r>
      <w:r w:rsidRPr="00B03AAA" w:rsidR="00F94CB9">
        <w:rPr>
          <w:b/>
          <w:spacing w:val="-2"/>
          <w:sz w:val="22"/>
          <w:szCs w:val="22"/>
        </w:rPr>
        <w:t>, 20</w:t>
      </w:r>
      <w:r w:rsidR="00F50994">
        <w:rPr>
          <w:b/>
          <w:spacing w:val="-2"/>
          <w:sz w:val="22"/>
          <w:szCs w:val="22"/>
        </w:rPr>
        <w:t>20</w:t>
      </w:r>
    </w:p>
    <w:p w:rsidR="008017D0" w:rsidRPr="00B03AAA" w:rsidP="006748AA" w14:paraId="5401C61F" w14:textId="77777777">
      <w:pPr>
        <w:widowControl/>
        <w:rPr>
          <w:sz w:val="22"/>
          <w:szCs w:val="22"/>
        </w:rPr>
      </w:pPr>
      <w:r>
        <w:rPr>
          <w:sz w:val="22"/>
          <w:szCs w:val="22"/>
        </w:rPr>
        <w:t xml:space="preserve"> </w:t>
      </w:r>
    </w:p>
    <w:p w:rsidR="00C751CC" w:rsidRPr="00B03AAA" w:rsidP="006748AA" w14:paraId="631A74E4" w14:textId="77777777">
      <w:pPr>
        <w:widowControl/>
        <w:rPr>
          <w:spacing w:val="-2"/>
          <w:sz w:val="22"/>
          <w:szCs w:val="22"/>
        </w:rPr>
      </w:pPr>
      <w:r w:rsidRPr="00B03AAA">
        <w:rPr>
          <w:sz w:val="22"/>
          <w:szCs w:val="22"/>
        </w:rPr>
        <w:t xml:space="preserve">By the </w:t>
      </w:r>
      <w:r w:rsidRPr="00B03AAA" w:rsidR="00E9332F">
        <w:rPr>
          <w:sz w:val="22"/>
          <w:szCs w:val="22"/>
        </w:rPr>
        <w:t>C</w:t>
      </w:r>
      <w:r w:rsidRPr="00B03AAA" w:rsidR="00766FF2">
        <w:rPr>
          <w:sz w:val="22"/>
          <w:szCs w:val="22"/>
        </w:rPr>
        <w:t xml:space="preserve">hief, </w:t>
      </w:r>
      <w:r w:rsidRPr="00B03AAA" w:rsidR="007A2A52">
        <w:rPr>
          <w:sz w:val="22"/>
          <w:szCs w:val="22"/>
        </w:rPr>
        <w:t xml:space="preserve">Competition Policy Division, </w:t>
      </w:r>
      <w:r w:rsidRPr="00B03AAA" w:rsidR="00776D07">
        <w:rPr>
          <w:sz w:val="22"/>
          <w:szCs w:val="22"/>
        </w:rPr>
        <w:t>Wireline Competition Bureau</w:t>
      </w:r>
      <w:r w:rsidRPr="00B03AAA">
        <w:rPr>
          <w:sz w:val="22"/>
          <w:szCs w:val="22"/>
        </w:rPr>
        <w:t>:</w:t>
      </w:r>
    </w:p>
    <w:p w:rsidR="00C751CC" w:rsidRPr="00B03AAA" w:rsidP="006748AA" w14:paraId="090342AC" w14:textId="77777777">
      <w:pPr>
        <w:widowControl/>
        <w:rPr>
          <w:spacing w:val="-2"/>
          <w:sz w:val="22"/>
          <w:szCs w:val="22"/>
        </w:rPr>
      </w:pPr>
    </w:p>
    <w:p w:rsidR="008017D0" w:rsidRPr="00B03AAA" w:rsidP="007141AA" w14:paraId="5D216CEA" w14:textId="77777777">
      <w:pPr>
        <w:pStyle w:val="Heading1"/>
        <w:widowControl/>
        <w:rPr>
          <w:sz w:val="22"/>
          <w:szCs w:val="22"/>
        </w:rPr>
      </w:pPr>
      <w:r w:rsidRPr="00B03AAA">
        <w:rPr>
          <w:sz w:val="22"/>
          <w:szCs w:val="22"/>
        </w:rPr>
        <w:t>INTRODUCTION</w:t>
      </w:r>
    </w:p>
    <w:p w:rsidR="00C96EBD" w:rsidRPr="001B2714" w:rsidP="00A7109A" w14:paraId="665C4232" w14:textId="14D30230">
      <w:pPr>
        <w:pStyle w:val="ParaNum"/>
        <w:widowControl/>
        <w:numPr>
          <w:ilvl w:val="0"/>
          <w:numId w:val="2"/>
        </w:numPr>
        <w:jc w:val="left"/>
        <w:rPr>
          <w:sz w:val="22"/>
          <w:szCs w:val="22"/>
        </w:rPr>
      </w:pPr>
      <w:r w:rsidRPr="001B2714">
        <w:rPr>
          <w:sz w:val="22"/>
          <w:szCs w:val="22"/>
        </w:rPr>
        <w:t xml:space="preserve">In this Order, we </w:t>
      </w:r>
      <w:r w:rsidR="00AD692D">
        <w:rPr>
          <w:sz w:val="22"/>
          <w:szCs w:val="22"/>
        </w:rPr>
        <w:t xml:space="preserve">resolve </w:t>
      </w:r>
      <w:r w:rsidR="00432623">
        <w:rPr>
          <w:sz w:val="22"/>
          <w:szCs w:val="22"/>
        </w:rPr>
        <w:t>a</w:t>
      </w:r>
      <w:r w:rsidRPr="001B2714" w:rsidR="00432623">
        <w:rPr>
          <w:sz w:val="22"/>
          <w:szCs w:val="22"/>
        </w:rPr>
        <w:t xml:space="preserve"> </w:t>
      </w:r>
      <w:r w:rsidRPr="001B2714" w:rsidR="00B11C90">
        <w:rPr>
          <w:sz w:val="22"/>
          <w:szCs w:val="22"/>
        </w:rPr>
        <w:t xml:space="preserve">request </w:t>
      </w:r>
      <w:r w:rsidR="00CC0515">
        <w:rPr>
          <w:sz w:val="22"/>
          <w:szCs w:val="22"/>
        </w:rPr>
        <w:t xml:space="preserve">from </w:t>
      </w:r>
      <w:r w:rsidRPr="00A24F92" w:rsidR="00CC0515">
        <w:rPr>
          <w:sz w:val="22"/>
          <w:szCs w:val="22"/>
        </w:rPr>
        <w:t xml:space="preserve">CenturyTel of Michigan, Inc. d/b/a CenturyLink </w:t>
      </w:r>
      <w:r w:rsidRPr="001B2714" w:rsidR="00CC0515">
        <w:rPr>
          <w:sz w:val="22"/>
          <w:szCs w:val="22"/>
        </w:rPr>
        <w:t>(</w:t>
      </w:r>
      <w:r w:rsidR="00CC0515">
        <w:rPr>
          <w:sz w:val="22"/>
          <w:szCs w:val="22"/>
        </w:rPr>
        <w:t>CenturyLink</w:t>
      </w:r>
      <w:r w:rsidRPr="001B2714" w:rsidR="00CC0515">
        <w:rPr>
          <w:sz w:val="22"/>
          <w:szCs w:val="22"/>
        </w:rPr>
        <w:t xml:space="preserve"> or Applicant)</w:t>
      </w:r>
      <w:r w:rsidR="00CC0515">
        <w:rPr>
          <w:sz w:val="22"/>
          <w:szCs w:val="22"/>
        </w:rPr>
        <w:t xml:space="preserve"> </w:t>
      </w:r>
      <w:r w:rsidRPr="001B2714" w:rsidR="00B11C90">
        <w:rPr>
          <w:sz w:val="22"/>
          <w:szCs w:val="22"/>
        </w:rPr>
        <w:t xml:space="preserve">for </w:t>
      </w:r>
      <w:r w:rsidR="00A24F92">
        <w:rPr>
          <w:sz w:val="22"/>
          <w:szCs w:val="22"/>
        </w:rPr>
        <w:t xml:space="preserve">waiver of the </w:t>
      </w:r>
      <w:r w:rsidR="00CC0515">
        <w:rPr>
          <w:sz w:val="22"/>
          <w:szCs w:val="22"/>
        </w:rPr>
        <w:t xml:space="preserve">filing deadline requirement for </w:t>
      </w:r>
      <w:r w:rsidR="00CE1EFF">
        <w:rPr>
          <w:sz w:val="22"/>
          <w:szCs w:val="22"/>
        </w:rPr>
        <w:t xml:space="preserve">emergency discontinuance </w:t>
      </w:r>
      <w:r w:rsidR="00CC0515">
        <w:rPr>
          <w:sz w:val="22"/>
          <w:szCs w:val="22"/>
        </w:rPr>
        <w:t xml:space="preserve">applications filed </w:t>
      </w:r>
      <w:r w:rsidRPr="001B2714" w:rsidR="0068141D">
        <w:rPr>
          <w:sz w:val="22"/>
          <w:szCs w:val="22"/>
        </w:rPr>
        <w:t>pursuant to section 214(a) of the Communications Act of 1934, as amende</w:t>
      </w:r>
      <w:r w:rsidRPr="001B2714" w:rsidR="00AD3314">
        <w:rPr>
          <w:sz w:val="22"/>
          <w:szCs w:val="22"/>
        </w:rPr>
        <w:t>d (the Act),</w:t>
      </w:r>
      <w:r>
        <w:rPr>
          <w:rStyle w:val="FootnoteReference"/>
          <w:spacing w:val="-3"/>
          <w:sz w:val="22"/>
          <w:szCs w:val="22"/>
        </w:rPr>
        <w:footnoteReference w:id="3"/>
      </w:r>
      <w:r w:rsidRPr="001B2714" w:rsidR="00AD3314">
        <w:rPr>
          <w:sz w:val="22"/>
          <w:szCs w:val="22"/>
        </w:rPr>
        <w:t xml:space="preserve"> </w:t>
      </w:r>
      <w:r w:rsidRPr="001B2714" w:rsidR="0068141D">
        <w:rPr>
          <w:sz w:val="22"/>
          <w:szCs w:val="22"/>
        </w:rPr>
        <w:t>and section 63.</w:t>
      </w:r>
      <w:r w:rsidRPr="001B2714" w:rsidR="00F45497">
        <w:rPr>
          <w:sz w:val="22"/>
          <w:szCs w:val="22"/>
        </w:rPr>
        <w:t>63</w:t>
      </w:r>
      <w:r w:rsidRPr="001B2714" w:rsidR="0068141D">
        <w:rPr>
          <w:sz w:val="22"/>
          <w:szCs w:val="22"/>
        </w:rPr>
        <w:t xml:space="preserve"> of the Federal Communications Commission</w:t>
      </w:r>
      <w:r w:rsidRPr="001B2714" w:rsidR="009A1F92">
        <w:rPr>
          <w:sz w:val="22"/>
          <w:szCs w:val="22"/>
        </w:rPr>
        <w:t>’</w:t>
      </w:r>
      <w:r w:rsidRPr="001B2714" w:rsidR="0068141D">
        <w:rPr>
          <w:sz w:val="22"/>
          <w:szCs w:val="22"/>
        </w:rPr>
        <w:t>s (Commission) rules.</w:t>
      </w:r>
      <w:r>
        <w:rPr>
          <w:rStyle w:val="FootnoteReference"/>
          <w:spacing w:val="-3"/>
          <w:sz w:val="22"/>
          <w:szCs w:val="22"/>
        </w:rPr>
        <w:footnoteReference w:id="4"/>
      </w:r>
      <w:r w:rsidR="00F97FFA">
        <w:rPr>
          <w:sz w:val="22"/>
          <w:szCs w:val="22"/>
        </w:rPr>
        <w:t xml:space="preserve">  </w:t>
      </w:r>
      <w:r w:rsidR="00992C21">
        <w:rPr>
          <w:sz w:val="22"/>
          <w:szCs w:val="22"/>
        </w:rPr>
        <w:t>Although</w:t>
      </w:r>
      <w:r w:rsidR="00354D8D">
        <w:rPr>
          <w:sz w:val="22"/>
          <w:szCs w:val="22"/>
        </w:rPr>
        <w:t xml:space="preserve"> CenturyLink failed to file its application </w:t>
      </w:r>
      <w:r w:rsidRPr="00A24F92" w:rsidR="005D034C">
        <w:rPr>
          <w:sz w:val="22"/>
          <w:szCs w:val="22"/>
        </w:rPr>
        <w:t xml:space="preserve">within 65 days of the event that caused the discontinuance, reduction or impairment of </w:t>
      </w:r>
      <w:r w:rsidR="00D75632">
        <w:rPr>
          <w:sz w:val="22"/>
          <w:szCs w:val="22"/>
        </w:rPr>
        <w:t xml:space="preserve">its </w:t>
      </w:r>
      <w:r w:rsidRPr="00A24F92" w:rsidR="005D034C">
        <w:rPr>
          <w:sz w:val="22"/>
          <w:szCs w:val="22"/>
        </w:rPr>
        <w:t>services</w:t>
      </w:r>
      <w:r w:rsidR="005D034C">
        <w:rPr>
          <w:sz w:val="22"/>
          <w:szCs w:val="22"/>
        </w:rPr>
        <w:t xml:space="preserve"> </w:t>
      </w:r>
      <w:r w:rsidR="00354D8D">
        <w:rPr>
          <w:sz w:val="22"/>
          <w:szCs w:val="22"/>
        </w:rPr>
        <w:t>in full compliance with the Commission’s rules</w:t>
      </w:r>
      <w:r w:rsidR="00F97FFA">
        <w:rPr>
          <w:sz w:val="22"/>
          <w:szCs w:val="22"/>
        </w:rPr>
        <w:t>,</w:t>
      </w:r>
      <w:r>
        <w:rPr>
          <w:rStyle w:val="FootnoteReference"/>
          <w:szCs w:val="22"/>
        </w:rPr>
        <w:footnoteReference w:id="5"/>
      </w:r>
      <w:r w:rsidR="00F97FFA">
        <w:rPr>
          <w:sz w:val="22"/>
          <w:szCs w:val="22"/>
        </w:rPr>
        <w:t xml:space="preserve"> we find</w:t>
      </w:r>
      <w:r w:rsidR="00DD4C92">
        <w:rPr>
          <w:sz w:val="22"/>
          <w:szCs w:val="22"/>
        </w:rPr>
        <w:t xml:space="preserve"> that </w:t>
      </w:r>
      <w:r w:rsidR="00184D57">
        <w:rPr>
          <w:sz w:val="22"/>
          <w:szCs w:val="22"/>
        </w:rPr>
        <w:t xml:space="preserve"> good cause</w:t>
      </w:r>
      <w:r w:rsidR="0099235D">
        <w:rPr>
          <w:sz w:val="22"/>
          <w:szCs w:val="22"/>
        </w:rPr>
        <w:t xml:space="preserve"> exists</w:t>
      </w:r>
      <w:r w:rsidR="00184D57">
        <w:rPr>
          <w:sz w:val="22"/>
          <w:szCs w:val="22"/>
        </w:rPr>
        <w:t xml:space="preserve"> </w:t>
      </w:r>
      <w:r w:rsidR="003D533C">
        <w:rPr>
          <w:sz w:val="22"/>
          <w:szCs w:val="22"/>
        </w:rPr>
        <w:t xml:space="preserve">to </w:t>
      </w:r>
      <w:r w:rsidR="00184D57">
        <w:rPr>
          <w:sz w:val="22"/>
          <w:szCs w:val="22"/>
        </w:rPr>
        <w:t xml:space="preserve">grant CenturyLink’s </w:t>
      </w:r>
      <w:r w:rsidR="003D533C">
        <w:rPr>
          <w:sz w:val="22"/>
          <w:szCs w:val="22"/>
        </w:rPr>
        <w:t xml:space="preserve">waiver </w:t>
      </w:r>
      <w:r w:rsidR="00184D57">
        <w:rPr>
          <w:sz w:val="22"/>
          <w:szCs w:val="22"/>
        </w:rPr>
        <w:t>request</w:t>
      </w:r>
      <w:r w:rsidR="00992D04">
        <w:rPr>
          <w:sz w:val="22"/>
          <w:szCs w:val="22"/>
        </w:rPr>
        <w:t>.</w:t>
      </w:r>
      <w:r w:rsidR="00184D57">
        <w:rPr>
          <w:sz w:val="22"/>
          <w:szCs w:val="22"/>
        </w:rPr>
        <w:t xml:space="preserve"> </w:t>
      </w:r>
      <w:r w:rsidR="00F97FFA">
        <w:rPr>
          <w:sz w:val="22"/>
          <w:szCs w:val="22"/>
        </w:rPr>
        <w:t xml:space="preserve"> </w:t>
      </w:r>
      <w:r w:rsidRPr="001B2714" w:rsidR="0068141D">
        <w:rPr>
          <w:sz w:val="22"/>
          <w:szCs w:val="22"/>
        </w:rPr>
        <w:t xml:space="preserve"> </w:t>
      </w:r>
    </w:p>
    <w:p w:rsidR="00C96EBD" w:rsidP="00FE37FD" w14:paraId="7C64554C" w14:textId="77777777">
      <w:pPr>
        <w:pStyle w:val="Heading1"/>
        <w:jc w:val="left"/>
        <w:rPr>
          <w:sz w:val="22"/>
          <w:szCs w:val="22"/>
        </w:rPr>
      </w:pPr>
      <w:r w:rsidRPr="00B03AAA">
        <w:rPr>
          <w:sz w:val="22"/>
          <w:szCs w:val="22"/>
        </w:rPr>
        <w:t>Background</w:t>
      </w:r>
    </w:p>
    <w:p w:rsidR="000B1299" w:rsidP="00FE37FD" w14:paraId="30293C59" w14:textId="2322A0BF">
      <w:pPr>
        <w:pStyle w:val="ListParagraph"/>
        <w:numPr>
          <w:ilvl w:val="0"/>
          <w:numId w:val="2"/>
        </w:numPr>
        <w:ind w:left="0"/>
        <w:jc w:val="left"/>
        <w:rPr>
          <w:sz w:val="22"/>
          <w:szCs w:val="22"/>
        </w:rPr>
      </w:pPr>
      <w:r w:rsidRPr="00A24F92">
        <w:rPr>
          <w:sz w:val="22"/>
          <w:szCs w:val="22"/>
        </w:rPr>
        <w:t xml:space="preserve">On August 25, 2020, </w:t>
      </w:r>
      <w:r w:rsidR="004A2B57">
        <w:rPr>
          <w:sz w:val="22"/>
          <w:szCs w:val="22"/>
        </w:rPr>
        <w:t>C</w:t>
      </w:r>
      <w:r w:rsidRPr="00A24F92">
        <w:rPr>
          <w:sz w:val="22"/>
          <w:szCs w:val="22"/>
        </w:rPr>
        <w:t xml:space="preserve">enturyLink filed an emergency discontinuance application to address the unavoidable interruption of its “telecommunications services and other real-time two-way voice communications services” </w:t>
      </w:r>
      <w:r w:rsidR="009075B4">
        <w:rPr>
          <w:sz w:val="22"/>
          <w:szCs w:val="22"/>
        </w:rPr>
        <w:t xml:space="preserve">(Affected Services) </w:t>
      </w:r>
      <w:r w:rsidRPr="00A24F92">
        <w:rPr>
          <w:sz w:val="22"/>
          <w:szCs w:val="22"/>
        </w:rPr>
        <w:t xml:space="preserve">to customers in </w:t>
      </w:r>
      <w:r w:rsidR="005C7CAF">
        <w:rPr>
          <w:sz w:val="22"/>
          <w:szCs w:val="22"/>
        </w:rPr>
        <w:t xml:space="preserve">limited portions of the Hope exchange, near the town of </w:t>
      </w:r>
      <w:r w:rsidR="005C7CAF">
        <w:rPr>
          <w:sz w:val="22"/>
          <w:szCs w:val="22"/>
        </w:rPr>
        <w:t>Edenville</w:t>
      </w:r>
      <w:r w:rsidR="005C7CAF">
        <w:rPr>
          <w:sz w:val="22"/>
          <w:szCs w:val="22"/>
        </w:rPr>
        <w:t xml:space="preserve"> in central </w:t>
      </w:r>
      <w:r w:rsidRPr="00A24F92">
        <w:rPr>
          <w:sz w:val="22"/>
          <w:szCs w:val="22"/>
        </w:rPr>
        <w:t>Michigan.</w:t>
      </w:r>
      <w:r>
        <w:rPr>
          <w:rStyle w:val="FootnoteReference"/>
          <w:szCs w:val="22"/>
        </w:rPr>
        <w:footnoteReference w:id="6"/>
      </w:r>
      <w:r w:rsidRPr="00A24F92">
        <w:rPr>
          <w:sz w:val="22"/>
          <w:szCs w:val="22"/>
        </w:rPr>
        <w:t xml:space="preserve">  The interruption of service </w:t>
      </w:r>
      <w:r w:rsidR="006E3B3F">
        <w:rPr>
          <w:sz w:val="22"/>
          <w:szCs w:val="22"/>
        </w:rPr>
        <w:t xml:space="preserve">occurred </w:t>
      </w:r>
      <w:r w:rsidR="000B5675">
        <w:rPr>
          <w:sz w:val="22"/>
          <w:szCs w:val="22"/>
        </w:rPr>
        <w:t xml:space="preserve">after substantial </w:t>
      </w:r>
      <w:r w:rsidR="000B5675">
        <w:rPr>
          <w:sz w:val="22"/>
          <w:szCs w:val="22"/>
        </w:rPr>
        <w:t xml:space="preserve">rainfall caused the </w:t>
      </w:r>
      <w:r w:rsidR="000B5675">
        <w:rPr>
          <w:sz w:val="22"/>
          <w:szCs w:val="22"/>
        </w:rPr>
        <w:t>Edenville</w:t>
      </w:r>
      <w:r w:rsidR="000B5675">
        <w:rPr>
          <w:sz w:val="22"/>
          <w:szCs w:val="22"/>
        </w:rPr>
        <w:t xml:space="preserve"> east dam </w:t>
      </w:r>
      <w:r w:rsidR="006E3B3F">
        <w:rPr>
          <w:sz w:val="22"/>
          <w:szCs w:val="22"/>
        </w:rPr>
        <w:t xml:space="preserve">on Wixom Lake </w:t>
      </w:r>
      <w:r w:rsidR="000B5675">
        <w:rPr>
          <w:sz w:val="22"/>
          <w:szCs w:val="22"/>
        </w:rPr>
        <w:t xml:space="preserve">to burst and the </w:t>
      </w:r>
      <w:r w:rsidR="000B5675">
        <w:rPr>
          <w:sz w:val="22"/>
          <w:szCs w:val="22"/>
        </w:rPr>
        <w:t>Edenville</w:t>
      </w:r>
      <w:r w:rsidR="000B5675">
        <w:rPr>
          <w:sz w:val="22"/>
          <w:szCs w:val="22"/>
        </w:rPr>
        <w:t xml:space="preserve"> west dam to overflow</w:t>
      </w:r>
      <w:r w:rsidR="002A4828">
        <w:rPr>
          <w:sz w:val="22"/>
          <w:szCs w:val="22"/>
        </w:rPr>
        <w:t xml:space="preserve"> late on May 19, 2020</w:t>
      </w:r>
      <w:r w:rsidR="006E3B3F">
        <w:rPr>
          <w:sz w:val="22"/>
          <w:szCs w:val="22"/>
        </w:rPr>
        <w:t xml:space="preserve">, which resulted in </w:t>
      </w:r>
      <w:r w:rsidRPr="00A24F92">
        <w:rPr>
          <w:sz w:val="22"/>
          <w:szCs w:val="22"/>
        </w:rPr>
        <w:t xml:space="preserve">massive flooding and damage to CenturyLink’s </w:t>
      </w:r>
      <w:r w:rsidR="0046197A">
        <w:rPr>
          <w:sz w:val="22"/>
          <w:szCs w:val="22"/>
        </w:rPr>
        <w:t>facilities</w:t>
      </w:r>
      <w:r w:rsidR="00851D92">
        <w:rPr>
          <w:sz w:val="22"/>
          <w:szCs w:val="22"/>
        </w:rPr>
        <w:t xml:space="preserve">.  </w:t>
      </w:r>
      <w:r w:rsidR="00B3052B">
        <w:rPr>
          <w:sz w:val="22"/>
          <w:szCs w:val="22"/>
        </w:rPr>
        <w:t xml:space="preserve">CenturyLink’s </w:t>
      </w:r>
      <w:r w:rsidR="00851D92">
        <w:rPr>
          <w:sz w:val="22"/>
          <w:szCs w:val="22"/>
        </w:rPr>
        <w:t>cable facilities</w:t>
      </w:r>
      <w:r w:rsidR="00B3052B">
        <w:rPr>
          <w:sz w:val="22"/>
          <w:szCs w:val="22"/>
        </w:rPr>
        <w:t>,</w:t>
      </w:r>
      <w:r w:rsidR="00851D92">
        <w:rPr>
          <w:sz w:val="22"/>
          <w:szCs w:val="22"/>
        </w:rPr>
        <w:t xml:space="preserve"> </w:t>
      </w:r>
      <w:r w:rsidR="0099235D">
        <w:rPr>
          <w:sz w:val="22"/>
          <w:szCs w:val="22"/>
        </w:rPr>
        <w:t>which</w:t>
      </w:r>
      <w:r w:rsidR="00851D92">
        <w:rPr>
          <w:sz w:val="22"/>
          <w:szCs w:val="22"/>
        </w:rPr>
        <w:t xml:space="preserve"> ran along the M30 North bridge, the M30 </w:t>
      </w:r>
      <w:r w:rsidR="0099235D">
        <w:rPr>
          <w:sz w:val="22"/>
          <w:szCs w:val="22"/>
        </w:rPr>
        <w:t>S</w:t>
      </w:r>
      <w:r w:rsidR="00851D92">
        <w:rPr>
          <w:sz w:val="22"/>
          <w:szCs w:val="22"/>
        </w:rPr>
        <w:t>outh bridge, the Curtis Road bridge, and under the riverbed near Baker Road</w:t>
      </w:r>
      <w:r w:rsidR="0063440D">
        <w:rPr>
          <w:sz w:val="22"/>
          <w:szCs w:val="22"/>
        </w:rPr>
        <w:t>,</w:t>
      </w:r>
      <w:r w:rsidR="00851D92">
        <w:rPr>
          <w:sz w:val="22"/>
          <w:szCs w:val="22"/>
        </w:rPr>
        <w:t xml:space="preserve"> were </w:t>
      </w:r>
      <w:r w:rsidR="0069491D">
        <w:rPr>
          <w:sz w:val="22"/>
          <w:szCs w:val="22"/>
        </w:rPr>
        <w:t xml:space="preserve">impacted </w:t>
      </w:r>
      <w:r w:rsidR="00851D92">
        <w:rPr>
          <w:sz w:val="22"/>
          <w:szCs w:val="22"/>
        </w:rPr>
        <w:t xml:space="preserve">when </w:t>
      </w:r>
      <w:r w:rsidR="0069491D">
        <w:rPr>
          <w:sz w:val="22"/>
          <w:szCs w:val="22"/>
        </w:rPr>
        <w:t xml:space="preserve">the bridges and facilities were damaged or washed away entirely by </w:t>
      </w:r>
      <w:r w:rsidR="00851D92">
        <w:rPr>
          <w:sz w:val="22"/>
          <w:szCs w:val="22"/>
        </w:rPr>
        <w:t>the force of the</w:t>
      </w:r>
      <w:r w:rsidR="0069491D">
        <w:rPr>
          <w:sz w:val="22"/>
          <w:szCs w:val="22"/>
        </w:rPr>
        <w:t xml:space="preserve"> flood</w:t>
      </w:r>
      <w:r w:rsidR="00851D92">
        <w:rPr>
          <w:sz w:val="22"/>
          <w:szCs w:val="22"/>
        </w:rPr>
        <w:t xml:space="preserve"> waters</w:t>
      </w:r>
      <w:r w:rsidR="0069491D">
        <w:rPr>
          <w:sz w:val="22"/>
          <w:szCs w:val="22"/>
        </w:rPr>
        <w:t>.</w:t>
      </w:r>
      <w:r>
        <w:rPr>
          <w:rStyle w:val="FootnoteReference"/>
          <w:szCs w:val="22"/>
        </w:rPr>
        <w:footnoteReference w:id="7"/>
      </w:r>
      <w:r w:rsidR="0069491D">
        <w:rPr>
          <w:sz w:val="22"/>
          <w:szCs w:val="22"/>
        </w:rPr>
        <w:t xml:space="preserve">  </w:t>
      </w:r>
      <w:r w:rsidR="002A4828">
        <w:rPr>
          <w:sz w:val="22"/>
          <w:szCs w:val="22"/>
        </w:rPr>
        <w:t xml:space="preserve">CenturyLink submits that </w:t>
      </w:r>
      <w:r w:rsidRPr="00A24F92">
        <w:rPr>
          <w:sz w:val="22"/>
          <w:szCs w:val="22"/>
        </w:rPr>
        <w:t>it be</w:t>
      </w:r>
      <w:bookmarkStart w:id="1" w:name="_GoBack"/>
      <w:bookmarkEnd w:id="1"/>
      <w:r w:rsidRPr="00A24F92">
        <w:rPr>
          <w:sz w:val="22"/>
          <w:szCs w:val="22"/>
        </w:rPr>
        <w:t xml:space="preserve">came aware </w:t>
      </w:r>
      <w:r w:rsidR="002A4828">
        <w:rPr>
          <w:sz w:val="22"/>
          <w:szCs w:val="22"/>
        </w:rPr>
        <w:t xml:space="preserve">of the </w:t>
      </w:r>
      <w:r w:rsidR="00A7109A">
        <w:rPr>
          <w:sz w:val="22"/>
          <w:szCs w:val="22"/>
        </w:rPr>
        <w:t xml:space="preserve">resulting </w:t>
      </w:r>
      <w:r w:rsidR="002A4828">
        <w:rPr>
          <w:sz w:val="22"/>
          <w:szCs w:val="22"/>
        </w:rPr>
        <w:t xml:space="preserve">impairment of service to approximately 148 customers </w:t>
      </w:r>
      <w:r w:rsidRPr="00A24F92">
        <w:rPr>
          <w:sz w:val="22"/>
          <w:szCs w:val="22"/>
        </w:rPr>
        <w:t>on May 20, 2020</w:t>
      </w:r>
      <w:r w:rsidR="00AD692D">
        <w:rPr>
          <w:sz w:val="22"/>
          <w:szCs w:val="22"/>
        </w:rPr>
        <w:t>.</w:t>
      </w:r>
      <w:r>
        <w:rPr>
          <w:rStyle w:val="FootnoteReference"/>
          <w:szCs w:val="22"/>
        </w:rPr>
        <w:footnoteReference w:id="8"/>
      </w:r>
      <w:r w:rsidRPr="00A24F92">
        <w:rPr>
          <w:sz w:val="22"/>
          <w:szCs w:val="22"/>
        </w:rPr>
        <w:t xml:space="preserve">  Under section 63.63(a), a carrier is required to file an emergency discontinuance application</w:t>
      </w:r>
      <w:r w:rsidR="00354D8D">
        <w:rPr>
          <w:sz w:val="22"/>
          <w:szCs w:val="22"/>
        </w:rPr>
        <w:t xml:space="preserve"> no later than 65 days “after the occurrence of the conditions which have occasioned the discontinuance, reduction, or impairment” of service</w:t>
      </w:r>
      <w:r w:rsidRPr="00A24F92">
        <w:rPr>
          <w:sz w:val="22"/>
          <w:szCs w:val="22"/>
        </w:rPr>
        <w:t>.</w:t>
      </w:r>
      <w:r>
        <w:rPr>
          <w:rStyle w:val="FootnoteReference"/>
          <w:szCs w:val="22"/>
        </w:rPr>
        <w:footnoteReference w:id="9"/>
      </w:r>
      <w:r w:rsidRPr="00A24F92">
        <w:rPr>
          <w:sz w:val="22"/>
          <w:szCs w:val="22"/>
        </w:rPr>
        <w:t xml:space="preserve">  </w:t>
      </w:r>
      <w:r w:rsidR="00366638">
        <w:rPr>
          <w:sz w:val="22"/>
          <w:szCs w:val="22"/>
        </w:rPr>
        <w:t xml:space="preserve">However, </w:t>
      </w:r>
      <w:r w:rsidRPr="00A24F92">
        <w:rPr>
          <w:sz w:val="22"/>
          <w:szCs w:val="22"/>
        </w:rPr>
        <w:t>CenturyLink filed its application 3</w:t>
      </w:r>
      <w:r w:rsidR="005B776E">
        <w:rPr>
          <w:sz w:val="22"/>
          <w:szCs w:val="22"/>
        </w:rPr>
        <w:t>3</w:t>
      </w:r>
      <w:r w:rsidRPr="00A24F92">
        <w:rPr>
          <w:sz w:val="22"/>
          <w:szCs w:val="22"/>
        </w:rPr>
        <w:t xml:space="preserve"> days late on August 25, 2020</w:t>
      </w:r>
      <w:r w:rsidR="00366638">
        <w:rPr>
          <w:sz w:val="22"/>
          <w:szCs w:val="22"/>
        </w:rPr>
        <w:t xml:space="preserve"> </w:t>
      </w:r>
      <w:r w:rsidR="00B3052B">
        <w:rPr>
          <w:sz w:val="22"/>
          <w:szCs w:val="22"/>
        </w:rPr>
        <w:t>and requested</w:t>
      </w:r>
      <w:r w:rsidRPr="00A24F92">
        <w:rPr>
          <w:sz w:val="22"/>
          <w:szCs w:val="22"/>
        </w:rPr>
        <w:t xml:space="preserve"> a waiver of </w:t>
      </w:r>
      <w:r w:rsidRPr="00A24F92" w:rsidR="00366638">
        <w:rPr>
          <w:sz w:val="22"/>
          <w:szCs w:val="22"/>
        </w:rPr>
        <w:t>th</w:t>
      </w:r>
      <w:r w:rsidR="00366638">
        <w:rPr>
          <w:sz w:val="22"/>
          <w:szCs w:val="22"/>
        </w:rPr>
        <w:t>e</w:t>
      </w:r>
      <w:r w:rsidRPr="00A24F92" w:rsidR="00366638">
        <w:rPr>
          <w:sz w:val="22"/>
          <w:szCs w:val="22"/>
        </w:rPr>
        <w:t xml:space="preserve"> </w:t>
      </w:r>
      <w:r w:rsidRPr="00A24F92">
        <w:rPr>
          <w:sz w:val="22"/>
          <w:szCs w:val="22"/>
        </w:rPr>
        <w:t>filing deadline</w:t>
      </w:r>
      <w:r w:rsidR="00366638">
        <w:rPr>
          <w:sz w:val="22"/>
          <w:szCs w:val="22"/>
        </w:rPr>
        <w:t>.</w:t>
      </w:r>
      <w:r>
        <w:rPr>
          <w:rStyle w:val="FootnoteReference"/>
          <w:szCs w:val="22"/>
        </w:rPr>
        <w:footnoteReference w:id="10"/>
      </w:r>
      <w:r w:rsidRPr="00A24F92">
        <w:rPr>
          <w:sz w:val="22"/>
          <w:szCs w:val="22"/>
        </w:rPr>
        <w:t xml:space="preserve"> </w:t>
      </w:r>
      <w:r w:rsidR="00366638">
        <w:rPr>
          <w:sz w:val="22"/>
          <w:szCs w:val="22"/>
        </w:rPr>
        <w:t xml:space="preserve"> </w:t>
      </w:r>
    </w:p>
    <w:p w:rsidR="000B1299" w:rsidP="00FE37FD" w14:paraId="38FCE000" w14:textId="77777777">
      <w:pPr>
        <w:pStyle w:val="ListParagraph"/>
        <w:jc w:val="left"/>
        <w:rPr>
          <w:sz w:val="22"/>
          <w:szCs w:val="22"/>
        </w:rPr>
      </w:pPr>
    </w:p>
    <w:p w:rsidR="00D02559" w:rsidRPr="00D02559" w:rsidP="00FE37FD" w14:paraId="582A2648" w14:textId="77777777">
      <w:pPr>
        <w:pStyle w:val="ParaNum"/>
        <w:widowControl/>
        <w:jc w:val="left"/>
        <w:rPr>
          <w:b/>
          <w:sz w:val="22"/>
          <w:szCs w:val="22"/>
        </w:rPr>
      </w:pPr>
      <w:r w:rsidRPr="000A7FF8">
        <w:rPr>
          <w:b/>
          <w:sz w:val="22"/>
          <w:szCs w:val="22"/>
        </w:rPr>
        <w:t>III.</w:t>
      </w:r>
      <w:r w:rsidRPr="000A7FF8">
        <w:rPr>
          <w:b/>
          <w:sz w:val="22"/>
          <w:szCs w:val="22"/>
        </w:rPr>
        <w:tab/>
        <w:t>DISCUSSION</w:t>
      </w:r>
    </w:p>
    <w:p w:rsidR="00142530" w:rsidRPr="00450CE6" w:rsidP="008C42B9" w14:paraId="640B8088" w14:textId="1378529F">
      <w:pPr>
        <w:pStyle w:val="ListParagraph"/>
        <w:numPr>
          <w:ilvl w:val="0"/>
          <w:numId w:val="2"/>
        </w:numPr>
        <w:ind w:left="0"/>
        <w:jc w:val="left"/>
        <w:rPr>
          <w:sz w:val="22"/>
          <w:szCs w:val="22"/>
        </w:rPr>
      </w:pPr>
      <w:r w:rsidRPr="00450CE6">
        <w:rPr>
          <w:sz w:val="22"/>
          <w:szCs w:val="22"/>
        </w:rPr>
        <w:t>Under section 214(a) of the Act, before a carrier may discontinue</w:t>
      </w:r>
      <w:r w:rsidRPr="00450CE6" w:rsidR="008E176E">
        <w:rPr>
          <w:sz w:val="22"/>
          <w:szCs w:val="22"/>
        </w:rPr>
        <w:t>, reduce or impair</w:t>
      </w:r>
      <w:r w:rsidRPr="00450CE6">
        <w:rPr>
          <w:sz w:val="22"/>
          <w:szCs w:val="22"/>
        </w:rPr>
        <w:t xml:space="preserve"> service, it </w:t>
      </w:r>
      <w:r w:rsidR="00CC06D3">
        <w:rPr>
          <w:sz w:val="22"/>
          <w:szCs w:val="22"/>
        </w:rPr>
        <w:t xml:space="preserve">generally </w:t>
      </w:r>
      <w:r w:rsidRPr="00450CE6">
        <w:rPr>
          <w:sz w:val="22"/>
          <w:szCs w:val="22"/>
        </w:rPr>
        <w:t>must obtain from the Commission “a certificate that neither the present nor future public convenience and necessity will be adversely affected thereby.”</w:t>
      </w:r>
      <w:r w:rsidR="00CC06D3">
        <w:rPr>
          <w:sz w:val="22"/>
          <w:szCs w:val="22"/>
        </w:rPr>
        <w:t xml:space="preserve">  </w:t>
      </w:r>
      <w:r w:rsidR="00353E1F">
        <w:rPr>
          <w:sz w:val="22"/>
          <w:szCs w:val="22"/>
        </w:rPr>
        <w:t>However, t</w:t>
      </w:r>
      <w:r w:rsidR="00CC06D3">
        <w:rPr>
          <w:sz w:val="22"/>
          <w:szCs w:val="22"/>
        </w:rPr>
        <w:t xml:space="preserve">he Act </w:t>
      </w:r>
      <w:r w:rsidR="00353E1F">
        <w:rPr>
          <w:sz w:val="22"/>
          <w:szCs w:val="22"/>
        </w:rPr>
        <w:t xml:space="preserve">also </w:t>
      </w:r>
      <w:r w:rsidR="00CC06D3">
        <w:rPr>
          <w:sz w:val="22"/>
          <w:szCs w:val="22"/>
        </w:rPr>
        <w:t xml:space="preserve">makes an exception </w:t>
      </w:r>
      <w:r w:rsidR="00353E1F">
        <w:rPr>
          <w:sz w:val="22"/>
          <w:szCs w:val="22"/>
        </w:rPr>
        <w:t>to allow the Commission to authorize an emergency discontinuance of service upon appropriate request.</w:t>
      </w:r>
      <w:r>
        <w:rPr>
          <w:rStyle w:val="FootnoteReference"/>
          <w:szCs w:val="22"/>
        </w:rPr>
        <w:footnoteReference w:id="11"/>
      </w:r>
      <w:r w:rsidRPr="00450CE6">
        <w:rPr>
          <w:sz w:val="22"/>
          <w:szCs w:val="22"/>
        </w:rPr>
        <w:t xml:space="preserve">  Section 63.63 of the Commission’s rules </w:t>
      </w:r>
      <w:r w:rsidRPr="00450CE6" w:rsidR="00964BE2">
        <w:rPr>
          <w:sz w:val="22"/>
          <w:szCs w:val="22"/>
        </w:rPr>
        <w:t xml:space="preserve">addresses </w:t>
      </w:r>
      <w:r w:rsidR="003C704B">
        <w:rPr>
          <w:sz w:val="22"/>
          <w:szCs w:val="22"/>
        </w:rPr>
        <w:t xml:space="preserve">applications for </w:t>
      </w:r>
      <w:r w:rsidRPr="00450CE6" w:rsidR="00964BE2">
        <w:rPr>
          <w:sz w:val="22"/>
          <w:szCs w:val="22"/>
        </w:rPr>
        <w:t>emergency discontinuance, reduction, or impairment of service</w:t>
      </w:r>
      <w:r w:rsidRPr="00450CE6" w:rsidR="00F03DA3">
        <w:rPr>
          <w:sz w:val="22"/>
          <w:szCs w:val="22"/>
        </w:rPr>
        <w:t xml:space="preserve">, </w:t>
      </w:r>
      <w:r w:rsidR="003C704B">
        <w:rPr>
          <w:sz w:val="22"/>
          <w:szCs w:val="22"/>
        </w:rPr>
        <w:t xml:space="preserve">which </w:t>
      </w:r>
      <w:r w:rsidRPr="00450CE6" w:rsidR="00F03DA3">
        <w:rPr>
          <w:sz w:val="22"/>
          <w:szCs w:val="22"/>
        </w:rPr>
        <w:t xml:space="preserve">typically </w:t>
      </w:r>
      <w:r w:rsidR="003C704B">
        <w:rPr>
          <w:sz w:val="22"/>
          <w:szCs w:val="22"/>
        </w:rPr>
        <w:t xml:space="preserve">are made </w:t>
      </w:r>
      <w:r w:rsidRPr="00450CE6" w:rsidR="00F03DA3">
        <w:rPr>
          <w:sz w:val="22"/>
          <w:szCs w:val="22"/>
        </w:rPr>
        <w:t xml:space="preserve">after the </w:t>
      </w:r>
      <w:r w:rsidR="00353E1F">
        <w:rPr>
          <w:sz w:val="22"/>
          <w:szCs w:val="22"/>
        </w:rPr>
        <w:t xml:space="preserve">occurrence of conditions that have occasioned a </w:t>
      </w:r>
      <w:r w:rsidRPr="00450CE6" w:rsidR="00F03DA3">
        <w:rPr>
          <w:sz w:val="22"/>
          <w:szCs w:val="22"/>
        </w:rPr>
        <w:t>discontinuance</w:t>
      </w:r>
      <w:r w:rsidR="00353E1F">
        <w:rPr>
          <w:sz w:val="22"/>
          <w:szCs w:val="22"/>
        </w:rPr>
        <w:t>,</w:t>
      </w:r>
      <w:r w:rsidRPr="00450CE6" w:rsidR="00F03DA3">
        <w:rPr>
          <w:sz w:val="22"/>
          <w:szCs w:val="22"/>
        </w:rPr>
        <w:t xml:space="preserve"> </w:t>
      </w:r>
      <w:r w:rsidR="00353E1F">
        <w:rPr>
          <w:sz w:val="22"/>
          <w:szCs w:val="22"/>
        </w:rPr>
        <w:t>reduction or impairment of services</w:t>
      </w:r>
      <w:r w:rsidRPr="00450CE6" w:rsidR="00964BE2">
        <w:rPr>
          <w:sz w:val="22"/>
          <w:szCs w:val="22"/>
        </w:rPr>
        <w:t>.</w:t>
      </w:r>
      <w:r>
        <w:rPr>
          <w:rStyle w:val="FootnoteReference"/>
          <w:szCs w:val="22"/>
        </w:rPr>
        <w:footnoteReference w:id="12"/>
      </w:r>
      <w:r w:rsidRPr="00450CE6" w:rsidR="00964BE2">
        <w:rPr>
          <w:sz w:val="22"/>
          <w:szCs w:val="22"/>
        </w:rPr>
        <w:t xml:space="preserve">  S</w:t>
      </w:r>
      <w:r w:rsidRPr="00450CE6" w:rsidR="00E77E22">
        <w:rPr>
          <w:sz w:val="22"/>
          <w:szCs w:val="22"/>
        </w:rPr>
        <w:t>pecifically, s</w:t>
      </w:r>
      <w:r w:rsidRPr="00450CE6" w:rsidR="00964BE2">
        <w:rPr>
          <w:sz w:val="22"/>
          <w:szCs w:val="22"/>
        </w:rPr>
        <w:t xml:space="preserve">ection 63.63(a) requires that when there is a discontinuance, reduction, or impairment of service caused by conditions </w:t>
      </w:r>
      <w:r w:rsidR="003C704B">
        <w:rPr>
          <w:sz w:val="22"/>
          <w:szCs w:val="22"/>
        </w:rPr>
        <w:t xml:space="preserve">that could not be reasonably foreseen by the carrier in sufficient time for the carrier to prevent the discontinuance, reduction, or impairment, </w:t>
      </w:r>
      <w:r w:rsidRPr="00450CE6" w:rsidR="00964BE2">
        <w:rPr>
          <w:sz w:val="22"/>
          <w:szCs w:val="22"/>
        </w:rPr>
        <w:t xml:space="preserve">the carrier must file an informal request with the Commission no later than 65 days after the occurrence of the conditions </w:t>
      </w:r>
      <w:r w:rsidR="003C704B">
        <w:rPr>
          <w:sz w:val="22"/>
          <w:szCs w:val="22"/>
        </w:rPr>
        <w:t>that</w:t>
      </w:r>
      <w:r w:rsidRPr="00450CE6" w:rsidR="003C704B">
        <w:rPr>
          <w:sz w:val="22"/>
          <w:szCs w:val="22"/>
        </w:rPr>
        <w:t xml:space="preserve"> </w:t>
      </w:r>
      <w:r w:rsidRPr="00450CE6" w:rsidR="00964BE2">
        <w:rPr>
          <w:sz w:val="22"/>
          <w:szCs w:val="22"/>
        </w:rPr>
        <w:t xml:space="preserve">caused the discontinuance, reduction, or </w:t>
      </w:r>
      <w:r w:rsidRPr="00450CE6" w:rsidR="00964BE2">
        <w:rPr>
          <w:sz w:val="22"/>
          <w:szCs w:val="22"/>
        </w:rPr>
        <w:t>impairment.</w:t>
      </w:r>
      <w:r>
        <w:rPr>
          <w:rStyle w:val="FootnoteReference"/>
          <w:szCs w:val="22"/>
        </w:rPr>
        <w:footnoteReference w:id="13"/>
      </w:r>
      <w:r w:rsidRPr="00450CE6" w:rsidR="00E77E22">
        <w:rPr>
          <w:sz w:val="22"/>
          <w:szCs w:val="22"/>
        </w:rPr>
        <w:t xml:space="preserve">  The rule </w:t>
      </w:r>
      <w:r w:rsidRPr="00450CE6">
        <w:rPr>
          <w:sz w:val="22"/>
          <w:szCs w:val="22"/>
        </w:rPr>
        <w:t xml:space="preserve">provides further that, in </w:t>
      </w:r>
      <w:r w:rsidRPr="00450CE6" w:rsidR="00E77E22">
        <w:rPr>
          <w:sz w:val="22"/>
          <w:szCs w:val="22"/>
        </w:rPr>
        <w:t xml:space="preserve">such </w:t>
      </w:r>
      <w:r w:rsidRPr="00450CE6">
        <w:rPr>
          <w:sz w:val="22"/>
          <w:szCs w:val="22"/>
        </w:rPr>
        <w:t xml:space="preserve">emergency situations, a carrier is automatically granted discontinuance authority for 60 days, beginning the day it files its application, unless the Commission informs </w:t>
      </w:r>
      <w:r w:rsidRPr="00450CE6" w:rsidR="004E183C">
        <w:rPr>
          <w:sz w:val="22"/>
          <w:szCs w:val="22"/>
        </w:rPr>
        <w:t xml:space="preserve">the carrier </w:t>
      </w:r>
      <w:r w:rsidRPr="00450CE6">
        <w:rPr>
          <w:sz w:val="22"/>
          <w:szCs w:val="22"/>
        </w:rPr>
        <w:t>to the contrary within 15 days</w:t>
      </w:r>
      <w:r w:rsidR="003C704B">
        <w:rPr>
          <w:sz w:val="22"/>
          <w:szCs w:val="22"/>
        </w:rPr>
        <w:t xml:space="preserve"> after the date of filing</w:t>
      </w:r>
      <w:r w:rsidRPr="00450CE6">
        <w:rPr>
          <w:sz w:val="22"/>
          <w:szCs w:val="22"/>
        </w:rPr>
        <w:t>.</w:t>
      </w:r>
      <w:r>
        <w:rPr>
          <w:rStyle w:val="FootnoteReference"/>
          <w:szCs w:val="22"/>
        </w:rPr>
        <w:footnoteReference w:id="14"/>
      </w:r>
      <w:r w:rsidRPr="00450CE6">
        <w:rPr>
          <w:sz w:val="22"/>
          <w:szCs w:val="22"/>
        </w:rPr>
        <w:t xml:space="preserve">  </w:t>
      </w:r>
      <w:r w:rsidRPr="00450CE6" w:rsidR="00F03DA3">
        <w:rPr>
          <w:sz w:val="22"/>
          <w:szCs w:val="22"/>
        </w:rPr>
        <w:t>T</w:t>
      </w:r>
      <w:r w:rsidRPr="00450CE6" w:rsidR="004E183C">
        <w:rPr>
          <w:sz w:val="22"/>
          <w:szCs w:val="22"/>
        </w:rPr>
        <w:t xml:space="preserve">he rule also </w:t>
      </w:r>
      <w:r w:rsidRPr="00450CE6">
        <w:rPr>
          <w:sz w:val="22"/>
          <w:szCs w:val="22"/>
        </w:rPr>
        <w:t xml:space="preserve">provides that the applicant may, by the 50th day after seeking discontinuance authority, request renewal of </w:t>
      </w:r>
      <w:r w:rsidRPr="00450CE6" w:rsidR="00FF029A">
        <w:rPr>
          <w:sz w:val="22"/>
          <w:szCs w:val="22"/>
        </w:rPr>
        <w:t xml:space="preserve">such </w:t>
      </w:r>
      <w:r w:rsidRPr="00450CE6">
        <w:rPr>
          <w:sz w:val="22"/>
          <w:szCs w:val="22"/>
        </w:rPr>
        <w:t>authority.</w:t>
      </w:r>
      <w:r>
        <w:rPr>
          <w:rStyle w:val="FootnoteReference"/>
          <w:szCs w:val="22"/>
        </w:rPr>
        <w:footnoteReference w:id="15"/>
      </w:r>
      <w:r w:rsidRPr="00450CE6">
        <w:rPr>
          <w:sz w:val="22"/>
          <w:szCs w:val="22"/>
        </w:rPr>
        <w:t xml:space="preserve">  </w:t>
      </w:r>
      <w:r w:rsidRPr="00450CE6">
        <w:rPr>
          <w:sz w:val="22"/>
          <w:szCs w:val="22"/>
        </w:rPr>
        <w:t xml:space="preserve">  </w:t>
      </w:r>
    </w:p>
    <w:p w:rsidR="00142530" w:rsidRPr="00142530" w:rsidP="005B776E" w14:paraId="284EBC39" w14:textId="77777777">
      <w:pPr>
        <w:pStyle w:val="ListParagraph"/>
        <w:jc w:val="left"/>
        <w:rPr>
          <w:sz w:val="22"/>
          <w:szCs w:val="22"/>
        </w:rPr>
      </w:pPr>
    </w:p>
    <w:p w:rsidR="00CA22EA" w:rsidRPr="009075B4" w:rsidP="005B776E" w14:paraId="6F978FE0" w14:textId="77777777">
      <w:pPr>
        <w:pStyle w:val="ListParagraph"/>
        <w:numPr>
          <w:ilvl w:val="0"/>
          <w:numId w:val="2"/>
        </w:numPr>
        <w:ind w:left="0"/>
        <w:jc w:val="left"/>
        <w:rPr>
          <w:sz w:val="22"/>
          <w:szCs w:val="22"/>
        </w:rPr>
      </w:pPr>
      <w:r w:rsidRPr="009075B4">
        <w:rPr>
          <w:sz w:val="22"/>
          <w:szCs w:val="22"/>
        </w:rPr>
        <w:t>In accordance with section 63.63(b) of the Commission’s rules, authority for CenturyLink’s emergency discontinuance of service was automatically granted for 60 days, effective as of the date of its filing on August 25, 2020 through October 24, 2020.</w:t>
      </w:r>
      <w:r>
        <w:rPr>
          <w:rStyle w:val="FootnoteReference"/>
          <w:szCs w:val="22"/>
        </w:rPr>
        <w:footnoteReference w:id="16"/>
      </w:r>
      <w:r w:rsidRPr="009075B4">
        <w:rPr>
          <w:sz w:val="22"/>
          <w:szCs w:val="22"/>
        </w:rPr>
        <w:t xml:space="preserve">  CenturyLink failed</w:t>
      </w:r>
      <w:r w:rsidRPr="009075B4" w:rsidR="009075B4">
        <w:rPr>
          <w:sz w:val="22"/>
          <w:szCs w:val="22"/>
        </w:rPr>
        <w:t xml:space="preserve">, however, </w:t>
      </w:r>
      <w:r w:rsidRPr="009075B4">
        <w:rPr>
          <w:sz w:val="22"/>
          <w:szCs w:val="22"/>
        </w:rPr>
        <w:t>to comply with section 63.63</w:t>
      </w:r>
      <w:r w:rsidR="00E77E22">
        <w:rPr>
          <w:sz w:val="22"/>
          <w:szCs w:val="22"/>
        </w:rPr>
        <w:t>(a)</w:t>
      </w:r>
      <w:r w:rsidRPr="009075B4">
        <w:rPr>
          <w:sz w:val="22"/>
          <w:szCs w:val="22"/>
        </w:rPr>
        <w:t xml:space="preserve"> by timely filing a written request for emergency discontinuance within 65 days of the </w:t>
      </w:r>
      <w:r w:rsidR="005132E1">
        <w:rPr>
          <w:sz w:val="22"/>
          <w:szCs w:val="22"/>
        </w:rPr>
        <w:t xml:space="preserve">occurrence of conditions causing the </w:t>
      </w:r>
      <w:r w:rsidRPr="009075B4" w:rsidR="009075B4">
        <w:rPr>
          <w:sz w:val="22"/>
          <w:szCs w:val="22"/>
        </w:rPr>
        <w:t>impairment</w:t>
      </w:r>
      <w:r w:rsidRPr="009075B4">
        <w:rPr>
          <w:sz w:val="22"/>
          <w:szCs w:val="22"/>
        </w:rPr>
        <w:t xml:space="preserve"> of </w:t>
      </w:r>
      <w:r w:rsidRPr="009075B4" w:rsidR="009075B4">
        <w:rPr>
          <w:sz w:val="22"/>
          <w:szCs w:val="22"/>
        </w:rPr>
        <w:t>the Affected</w:t>
      </w:r>
      <w:r w:rsidRPr="009075B4">
        <w:rPr>
          <w:sz w:val="22"/>
          <w:szCs w:val="22"/>
        </w:rPr>
        <w:t xml:space="preserve"> Services.</w:t>
      </w:r>
      <w:r>
        <w:rPr>
          <w:rStyle w:val="FootnoteReference"/>
          <w:szCs w:val="22"/>
        </w:rPr>
        <w:footnoteReference w:id="17"/>
      </w:r>
      <w:r w:rsidRPr="009075B4">
        <w:rPr>
          <w:sz w:val="22"/>
          <w:szCs w:val="22"/>
        </w:rPr>
        <w:t xml:space="preserve">  </w:t>
      </w:r>
      <w:r w:rsidR="000E4CEE">
        <w:rPr>
          <w:sz w:val="22"/>
          <w:szCs w:val="22"/>
        </w:rPr>
        <w:t>CenturyLink</w:t>
      </w:r>
      <w:r w:rsidRPr="000E4CEE" w:rsidR="000E4CEE">
        <w:rPr>
          <w:sz w:val="22"/>
          <w:szCs w:val="22"/>
        </w:rPr>
        <w:t xml:space="preserve"> instead filed </w:t>
      </w:r>
      <w:r w:rsidR="000E4CEE">
        <w:rPr>
          <w:sz w:val="22"/>
          <w:szCs w:val="22"/>
        </w:rPr>
        <w:t>its emergency discontinuance application 3</w:t>
      </w:r>
      <w:r w:rsidR="005B776E">
        <w:rPr>
          <w:sz w:val="22"/>
          <w:szCs w:val="22"/>
        </w:rPr>
        <w:t>3</w:t>
      </w:r>
      <w:r w:rsidR="000E4CEE">
        <w:rPr>
          <w:sz w:val="22"/>
          <w:szCs w:val="22"/>
        </w:rPr>
        <w:t xml:space="preserve"> days after the deadline along with </w:t>
      </w:r>
      <w:r w:rsidRPr="000E4CEE" w:rsidR="000E4CEE">
        <w:rPr>
          <w:sz w:val="22"/>
          <w:szCs w:val="22"/>
        </w:rPr>
        <w:t xml:space="preserve">a request for waiver </w:t>
      </w:r>
      <w:r w:rsidR="000E4CEE">
        <w:rPr>
          <w:sz w:val="22"/>
          <w:szCs w:val="22"/>
        </w:rPr>
        <w:t xml:space="preserve">of </w:t>
      </w:r>
      <w:r w:rsidRPr="000E4CEE" w:rsidR="000E4CEE">
        <w:rPr>
          <w:sz w:val="22"/>
          <w:szCs w:val="22"/>
        </w:rPr>
        <w:t>the timing provisions of section 63.63</w:t>
      </w:r>
      <w:r w:rsidR="000E4CEE">
        <w:rPr>
          <w:sz w:val="22"/>
          <w:szCs w:val="22"/>
        </w:rPr>
        <w:t>(a)</w:t>
      </w:r>
      <w:r w:rsidRPr="000E4CEE" w:rsidR="000E4CEE">
        <w:rPr>
          <w:sz w:val="22"/>
          <w:szCs w:val="22"/>
        </w:rPr>
        <w:t>.</w:t>
      </w:r>
      <w:r>
        <w:rPr>
          <w:rStyle w:val="FootnoteReference"/>
          <w:szCs w:val="22"/>
        </w:rPr>
        <w:footnoteReference w:id="18"/>
      </w:r>
      <w:r w:rsidRPr="000E4CEE" w:rsidR="000E4CEE">
        <w:rPr>
          <w:sz w:val="22"/>
          <w:szCs w:val="22"/>
        </w:rPr>
        <w:t xml:space="preserve">   </w:t>
      </w:r>
    </w:p>
    <w:p w:rsidR="00D02559" w:rsidRPr="00D02559" w:rsidP="00A7109A" w14:paraId="247774EB" w14:textId="77777777">
      <w:pPr>
        <w:jc w:val="left"/>
        <w:rPr>
          <w:sz w:val="22"/>
          <w:szCs w:val="22"/>
        </w:rPr>
      </w:pPr>
    </w:p>
    <w:p w:rsidR="00BE78B6" w:rsidRPr="00BE78B6" w:rsidP="00235619" w14:paraId="128A71BE" w14:textId="003AE1E4">
      <w:pPr>
        <w:pStyle w:val="ListParagraph"/>
        <w:widowControl/>
        <w:numPr>
          <w:ilvl w:val="0"/>
          <w:numId w:val="1"/>
        </w:numPr>
        <w:suppressAutoHyphens/>
        <w:ind w:left="0"/>
        <w:jc w:val="left"/>
        <w:rPr>
          <w:b/>
          <w:bCs/>
          <w:sz w:val="22"/>
          <w:szCs w:val="22"/>
        </w:rPr>
      </w:pPr>
      <w:r w:rsidRPr="00235619">
        <w:rPr>
          <w:sz w:val="22"/>
          <w:szCs w:val="22"/>
        </w:rPr>
        <w:t xml:space="preserve">Although waivers of our rules are not routinely granted, we believe </w:t>
      </w:r>
      <w:r w:rsidRPr="00235619" w:rsidR="00173DE9">
        <w:rPr>
          <w:sz w:val="22"/>
          <w:szCs w:val="22"/>
        </w:rPr>
        <w:t xml:space="preserve">good cause </w:t>
      </w:r>
      <w:r w:rsidRPr="00235619">
        <w:rPr>
          <w:sz w:val="22"/>
          <w:szCs w:val="22"/>
        </w:rPr>
        <w:t>exist</w:t>
      </w:r>
      <w:r w:rsidRPr="00235619" w:rsidR="00173DE9">
        <w:rPr>
          <w:sz w:val="22"/>
          <w:szCs w:val="22"/>
        </w:rPr>
        <w:t>s</w:t>
      </w:r>
      <w:r w:rsidRPr="00235619">
        <w:rPr>
          <w:sz w:val="22"/>
          <w:szCs w:val="22"/>
        </w:rPr>
        <w:t xml:space="preserve"> for granting CenturyLink’s request for waiver of the timing provisions of section 63.63</w:t>
      </w:r>
      <w:r w:rsidR="00A51E79">
        <w:rPr>
          <w:sz w:val="22"/>
          <w:szCs w:val="22"/>
        </w:rPr>
        <w:t xml:space="preserve"> in this case based on the specific circumstances</w:t>
      </w:r>
      <w:r w:rsidRPr="00235619" w:rsidR="006D502D">
        <w:rPr>
          <w:sz w:val="22"/>
          <w:szCs w:val="22"/>
        </w:rPr>
        <w:t>.</w:t>
      </w:r>
      <w:r>
        <w:rPr>
          <w:rStyle w:val="FootnoteReference"/>
          <w:szCs w:val="22"/>
        </w:rPr>
        <w:footnoteReference w:id="19"/>
      </w:r>
      <w:r w:rsidRPr="00235619" w:rsidR="00600F5D">
        <w:rPr>
          <w:rStyle w:val="FootnoteReference"/>
          <w:szCs w:val="22"/>
        </w:rPr>
        <w:t xml:space="preserve"> </w:t>
      </w:r>
      <w:r w:rsidRPr="00235619" w:rsidR="006D502D">
        <w:rPr>
          <w:sz w:val="22"/>
          <w:szCs w:val="22"/>
        </w:rPr>
        <w:t xml:space="preserve"> </w:t>
      </w:r>
      <w:r w:rsidRPr="00235619" w:rsidR="000F4597">
        <w:rPr>
          <w:sz w:val="22"/>
          <w:szCs w:val="22"/>
        </w:rPr>
        <w:t xml:space="preserve">We are persuaded </w:t>
      </w:r>
      <w:r w:rsidRPr="00235619" w:rsidR="00992542">
        <w:rPr>
          <w:sz w:val="22"/>
          <w:szCs w:val="22"/>
        </w:rPr>
        <w:t xml:space="preserve">that </w:t>
      </w:r>
      <w:r w:rsidR="0001540B">
        <w:rPr>
          <w:sz w:val="22"/>
          <w:szCs w:val="22"/>
        </w:rPr>
        <w:t>a deviation from strict compliance with the Commission’s emergency discontinuance application filing deadline</w:t>
      </w:r>
      <w:r w:rsidRPr="00235619" w:rsidR="0001540B">
        <w:rPr>
          <w:sz w:val="22"/>
          <w:szCs w:val="22"/>
        </w:rPr>
        <w:t xml:space="preserve"> </w:t>
      </w:r>
      <w:r w:rsidR="0001540B">
        <w:rPr>
          <w:sz w:val="22"/>
          <w:szCs w:val="22"/>
        </w:rPr>
        <w:t xml:space="preserve">is warranted here given the </w:t>
      </w:r>
      <w:r w:rsidRPr="00235619" w:rsidR="0001540B">
        <w:rPr>
          <w:sz w:val="22"/>
          <w:szCs w:val="22"/>
        </w:rPr>
        <w:t>special circumstances</w:t>
      </w:r>
      <w:r w:rsidR="0001540B">
        <w:rPr>
          <w:sz w:val="22"/>
          <w:szCs w:val="22"/>
        </w:rPr>
        <w:t xml:space="preserve"> that</w:t>
      </w:r>
      <w:r w:rsidRPr="00235619" w:rsidR="000F4597">
        <w:rPr>
          <w:sz w:val="22"/>
          <w:szCs w:val="22"/>
        </w:rPr>
        <w:t xml:space="preserve"> </w:t>
      </w:r>
      <w:r w:rsidRPr="00235619" w:rsidR="00B55201">
        <w:rPr>
          <w:sz w:val="22"/>
          <w:szCs w:val="22"/>
        </w:rPr>
        <w:t xml:space="preserve">led </w:t>
      </w:r>
      <w:r w:rsidRPr="00235619" w:rsidR="000F4597">
        <w:rPr>
          <w:sz w:val="22"/>
          <w:szCs w:val="22"/>
        </w:rPr>
        <w:t xml:space="preserve">to </w:t>
      </w:r>
      <w:r w:rsidR="0048119E">
        <w:rPr>
          <w:sz w:val="22"/>
          <w:szCs w:val="22"/>
        </w:rPr>
        <w:t>CenturyLink’s</w:t>
      </w:r>
      <w:r w:rsidRPr="00235619" w:rsidR="0048119E">
        <w:rPr>
          <w:sz w:val="22"/>
          <w:szCs w:val="22"/>
        </w:rPr>
        <w:t xml:space="preserve"> </w:t>
      </w:r>
      <w:r w:rsidRPr="00235619" w:rsidR="000F4597">
        <w:rPr>
          <w:sz w:val="22"/>
          <w:szCs w:val="22"/>
        </w:rPr>
        <w:t>late-filed application.</w:t>
      </w:r>
      <w:r>
        <w:rPr>
          <w:rStyle w:val="FootnoteReference"/>
          <w:szCs w:val="22"/>
        </w:rPr>
        <w:footnoteReference w:id="20"/>
      </w:r>
      <w:r w:rsidRPr="00235619" w:rsidR="000F4597">
        <w:rPr>
          <w:sz w:val="22"/>
          <w:szCs w:val="22"/>
        </w:rPr>
        <w:t xml:space="preserve">  CenturyLink states that the</w:t>
      </w:r>
      <w:r w:rsidR="00572B05">
        <w:rPr>
          <w:sz w:val="22"/>
          <w:szCs w:val="22"/>
        </w:rPr>
        <w:t>se</w:t>
      </w:r>
      <w:r w:rsidRPr="00235619" w:rsidR="000F4597">
        <w:rPr>
          <w:sz w:val="22"/>
          <w:szCs w:val="22"/>
        </w:rPr>
        <w:t xml:space="preserve"> special circumstances involve</w:t>
      </w:r>
      <w:r w:rsidR="0001540B">
        <w:rPr>
          <w:sz w:val="22"/>
          <w:szCs w:val="22"/>
        </w:rPr>
        <w:t>d</w:t>
      </w:r>
      <w:r w:rsidRPr="00235619" w:rsidR="000F4597">
        <w:rPr>
          <w:sz w:val="22"/>
          <w:szCs w:val="22"/>
        </w:rPr>
        <w:t xml:space="preserve"> an inadvertent </w:t>
      </w:r>
      <w:r w:rsidR="0001540B">
        <w:rPr>
          <w:sz w:val="22"/>
          <w:szCs w:val="22"/>
        </w:rPr>
        <w:t xml:space="preserve">process </w:t>
      </w:r>
      <w:r w:rsidRPr="00235619" w:rsidR="000F4597">
        <w:rPr>
          <w:sz w:val="22"/>
          <w:szCs w:val="22"/>
        </w:rPr>
        <w:t xml:space="preserve">error </w:t>
      </w:r>
      <w:r w:rsidR="0001540B">
        <w:rPr>
          <w:sz w:val="22"/>
          <w:szCs w:val="22"/>
        </w:rPr>
        <w:t>in response to the sudden flooding</w:t>
      </w:r>
      <w:r w:rsidR="00D00E9A">
        <w:rPr>
          <w:sz w:val="22"/>
          <w:szCs w:val="22"/>
        </w:rPr>
        <w:t xml:space="preserve"> </w:t>
      </w:r>
      <w:r w:rsidR="00A51E79">
        <w:rPr>
          <w:sz w:val="22"/>
          <w:szCs w:val="22"/>
        </w:rPr>
        <w:t xml:space="preserve">in </w:t>
      </w:r>
      <w:r w:rsidR="00834E82">
        <w:rPr>
          <w:sz w:val="22"/>
          <w:szCs w:val="22"/>
        </w:rPr>
        <w:t xml:space="preserve">not </w:t>
      </w:r>
      <w:r w:rsidR="00D00E9A">
        <w:rPr>
          <w:sz w:val="22"/>
          <w:szCs w:val="22"/>
        </w:rPr>
        <w:t>follow</w:t>
      </w:r>
      <w:r w:rsidR="00A51E79">
        <w:rPr>
          <w:sz w:val="22"/>
          <w:szCs w:val="22"/>
        </w:rPr>
        <w:t>ing</w:t>
      </w:r>
      <w:r w:rsidR="00D00E9A">
        <w:rPr>
          <w:sz w:val="22"/>
          <w:szCs w:val="22"/>
        </w:rPr>
        <w:t xml:space="preserve"> </w:t>
      </w:r>
      <w:r w:rsidR="00A51E79">
        <w:rPr>
          <w:sz w:val="22"/>
          <w:szCs w:val="22"/>
        </w:rPr>
        <w:t xml:space="preserve"> the</w:t>
      </w:r>
      <w:r w:rsidRPr="00235619" w:rsidR="00A51E79">
        <w:rPr>
          <w:sz w:val="22"/>
          <w:szCs w:val="22"/>
        </w:rPr>
        <w:t xml:space="preserve"> </w:t>
      </w:r>
      <w:r w:rsidRPr="00235619" w:rsidR="000F4597">
        <w:rPr>
          <w:sz w:val="22"/>
          <w:szCs w:val="22"/>
        </w:rPr>
        <w:t xml:space="preserve">procedure </w:t>
      </w:r>
      <w:r w:rsidR="0052730E">
        <w:rPr>
          <w:sz w:val="22"/>
          <w:szCs w:val="22"/>
        </w:rPr>
        <w:t xml:space="preserve">that </w:t>
      </w:r>
      <w:r w:rsidR="00EE1544">
        <w:rPr>
          <w:sz w:val="22"/>
          <w:szCs w:val="22"/>
        </w:rPr>
        <w:t xml:space="preserve">CenturyLink </w:t>
      </w:r>
      <w:r w:rsidR="005B0331">
        <w:rPr>
          <w:sz w:val="22"/>
          <w:szCs w:val="22"/>
        </w:rPr>
        <w:t xml:space="preserve">had </w:t>
      </w:r>
      <w:r w:rsidR="00EE1544">
        <w:rPr>
          <w:sz w:val="22"/>
          <w:szCs w:val="22"/>
        </w:rPr>
        <w:t xml:space="preserve">established </w:t>
      </w:r>
      <w:r w:rsidRPr="00235619" w:rsidR="000F4597">
        <w:rPr>
          <w:sz w:val="22"/>
          <w:szCs w:val="22"/>
        </w:rPr>
        <w:t xml:space="preserve">for logging </w:t>
      </w:r>
      <w:r w:rsidRPr="00235619" w:rsidR="00063975">
        <w:rPr>
          <w:sz w:val="22"/>
          <w:szCs w:val="22"/>
        </w:rPr>
        <w:t>th</w:t>
      </w:r>
      <w:r w:rsidR="00063975">
        <w:rPr>
          <w:sz w:val="22"/>
          <w:szCs w:val="22"/>
        </w:rPr>
        <w:t>ese</w:t>
      </w:r>
      <w:r w:rsidRPr="00235619" w:rsidR="00063975">
        <w:rPr>
          <w:sz w:val="22"/>
          <w:szCs w:val="22"/>
        </w:rPr>
        <w:t xml:space="preserve"> </w:t>
      </w:r>
      <w:r w:rsidRPr="00235619" w:rsidR="000F4597">
        <w:rPr>
          <w:sz w:val="22"/>
          <w:szCs w:val="22"/>
        </w:rPr>
        <w:t>type</w:t>
      </w:r>
      <w:r w:rsidR="00063975">
        <w:rPr>
          <w:sz w:val="22"/>
          <w:szCs w:val="22"/>
        </w:rPr>
        <w:t>s</w:t>
      </w:r>
      <w:r w:rsidRPr="00235619" w:rsidR="000F4597">
        <w:rPr>
          <w:sz w:val="22"/>
          <w:szCs w:val="22"/>
        </w:rPr>
        <w:t xml:space="preserve"> of outage</w:t>
      </w:r>
      <w:r w:rsidR="00063975">
        <w:rPr>
          <w:sz w:val="22"/>
          <w:szCs w:val="22"/>
        </w:rPr>
        <w:t>s</w:t>
      </w:r>
      <w:r w:rsidRPr="00235619" w:rsidR="000F4597">
        <w:rPr>
          <w:sz w:val="22"/>
          <w:szCs w:val="22"/>
        </w:rPr>
        <w:t xml:space="preserve"> in </w:t>
      </w:r>
      <w:r w:rsidR="00EE1544">
        <w:rPr>
          <w:sz w:val="22"/>
          <w:szCs w:val="22"/>
        </w:rPr>
        <w:t>its</w:t>
      </w:r>
      <w:r w:rsidRPr="00235619" w:rsidR="00572B05">
        <w:rPr>
          <w:sz w:val="22"/>
          <w:szCs w:val="22"/>
        </w:rPr>
        <w:t xml:space="preserve"> </w:t>
      </w:r>
      <w:r w:rsidRPr="00235619" w:rsidR="000F4597">
        <w:rPr>
          <w:sz w:val="22"/>
          <w:szCs w:val="22"/>
        </w:rPr>
        <w:t xml:space="preserve">internal tracking </w:t>
      </w:r>
      <w:r w:rsidRPr="00235619" w:rsidR="000F4597">
        <w:rPr>
          <w:sz w:val="22"/>
          <w:szCs w:val="22"/>
        </w:rPr>
        <w:t>system.</w:t>
      </w:r>
      <w:r>
        <w:rPr>
          <w:rStyle w:val="FootnoteReference"/>
          <w:szCs w:val="22"/>
        </w:rPr>
        <w:footnoteReference w:id="21"/>
      </w:r>
      <w:r>
        <w:rPr>
          <w:sz w:val="22"/>
          <w:szCs w:val="22"/>
        </w:rPr>
        <w:t xml:space="preserve">  </w:t>
      </w:r>
      <w:r w:rsidRPr="00235619" w:rsidR="00E825AF">
        <w:rPr>
          <w:sz w:val="22"/>
          <w:szCs w:val="22"/>
        </w:rPr>
        <w:t xml:space="preserve">CenturyLink explains that </w:t>
      </w:r>
      <w:r w:rsidR="00805BDE">
        <w:rPr>
          <w:sz w:val="22"/>
          <w:szCs w:val="22"/>
        </w:rPr>
        <w:t xml:space="preserve">the combination of </w:t>
      </w:r>
      <w:r w:rsidRPr="00235619" w:rsidR="00E825AF">
        <w:rPr>
          <w:sz w:val="22"/>
          <w:szCs w:val="22"/>
        </w:rPr>
        <w:t>t</w:t>
      </w:r>
      <w:r w:rsidRPr="00235619" w:rsidR="000F4597">
        <w:rPr>
          <w:sz w:val="22"/>
          <w:szCs w:val="22"/>
        </w:rPr>
        <w:t xml:space="preserve">his error </w:t>
      </w:r>
      <w:r w:rsidR="0052730E">
        <w:rPr>
          <w:sz w:val="22"/>
          <w:szCs w:val="22"/>
        </w:rPr>
        <w:t>and</w:t>
      </w:r>
      <w:r w:rsidRPr="00235619" w:rsidR="000F4597">
        <w:rPr>
          <w:sz w:val="22"/>
          <w:szCs w:val="22"/>
        </w:rPr>
        <w:t xml:space="preserve"> the unusually long duration of </w:t>
      </w:r>
      <w:r w:rsidRPr="00235619" w:rsidR="00D00E9A">
        <w:rPr>
          <w:sz w:val="22"/>
          <w:szCs w:val="22"/>
        </w:rPr>
        <w:t>th</w:t>
      </w:r>
      <w:r w:rsidR="00D00E9A">
        <w:rPr>
          <w:sz w:val="22"/>
          <w:szCs w:val="22"/>
        </w:rPr>
        <w:t>e</w:t>
      </w:r>
      <w:r w:rsidRPr="00235619" w:rsidR="00D00E9A">
        <w:rPr>
          <w:sz w:val="22"/>
          <w:szCs w:val="22"/>
        </w:rPr>
        <w:t xml:space="preserve"> </w:t>
      </w:r>
      <w:r w:rsidRPr="00235619" w:rsidR="000F4597">
        <w:rPr>
          <w:sz w:val="22"/>
          <w:szCs w:val="22"/>
        </w:rPr>
        <w:t>event due to the significant flooding and damage it caused, led to the situation where the outage</w:t>
      </w:r>
      <w:r w:rsidR="00063975">
        <w:rPr>
          <w:sz w:val="22"/>
          <w:szCs w:val="22"/>
        </w:rPr>
        <w:t>s</w:t>
      </w:r>
      <w:r w:rsidRPr="00235619" w:rsidR="000F4597">
        <w:rPr>
          <w:sz w:val="22"/>
          <w:szCs w:val="22"/>
        </w:rPr>
        <w:t xml:space="preserve"> lasted more than 65 days</w:t>
      </w:r>
      <w:r w:rsidRPr="00235619" w:rsidR="00E825AF">
        <w:rPr>
          <w:sz w:val="22"/>
          <w:szCs w:val="22"/>
        </w:rPr>
        <w:t>,</w:t>
      </w:r>
      <w:r w:rsidRPr="00235619" w:rsidR="000F4597">
        <w:rPr>
          <w:sz w:val="22"/>
          <w:szCs w:val="22"/>
        </w:rPr>
        <w:t xml:space="preserve"> but did not trigger </w:t>
      </w:r>
      <w:r w:rsidR="00572B05">
        <w:rPr>
          <w:sz w:val="22"/>
          <w:szCs w:val="22"/>
        </w:rPr>
        <w:t>CenturyLink’s</w:t>
      </w:r>
      <w:r w:rsidRPr="00235619" w:rsidR="00572B05">
        <w:rPr>
          <w:sz w:val="22"/>
          <w:szCs w:val="22"/>
        </w:rPr>
        <w:t xml:space="preserve"> </w:t>
      </w:r>
      <w:r w:rsidRPr="00235619" w:rsidR="000F4597">
        <w:rPr>
          <w:sz w:val="22"/>
          <w:szCs w:val="22"/>
        </w:rPr>
        <w:t xml:space="preserve">tracking mechanisms </w:t>
      </w:r>
      <w:r w:rsidR="005F19D9">
        <w:rPr>
          <w:sz w:val="22"/>
          <w:szCs w:val="22"/>
        </w:rPr>
        <w:t xml:space="preserve">that are </w:t>
      </w:r>
      <w:r w:rsidRPr="00235619" w:rsidR="000F4597">
        <w:rPr>
          <w:sz w:val="22"/>
          <w:szCs w:val="22"/>
        </w:rPr>
        <w:t xml:space="preserve">designed to ensure timely filing under </w:t>
      </w:r>
      <w:r w:rsidR="00EE1544">
        <w:rPr>
          <w:sz w:val="22"/>
          <w:szCs w:val="22"/>
        </w:rPr>
        <w:t>s</w:t>
      </w:r>
      <w:r w:rsidRPr="00235619" w:rsidR="00EE1544">
        <w:rPr>
          <w:sz w:val="22"/>
          <w:szCs w:val="22"/>
        </w:rPr>
        <w:t xml:space="preserve">ection </w:t>
      </w:r>
      <w:r w:rsidRPr="00235619" w:rsidR="000F4597">
        <w:rPr>
          <w:sz w:val="22"/>
          <w:szCs w:val="22"/>
        </w:rPr>
        <w:t>63.63.</w:t>
      </w:r>
      <w:r>
        <w:rPr>
          <w:rStyle w:val="FootnoteReference"/>
          <w:szCs w:val="22"/>
        </w:rPr>
        <w:footnoteReference w:id="22"/>
      </w:r>
      <w:r w:rsidR="005F19D9">
        <w:rPr>
          <w:sz w:val="22"/>
          <w:szCs w:val="22"/>
        </w:rPr>
        <w:t xml:space="preserve"> </w:t>
      </w:r>
    </w:p>
    <w:p w:rsidR="006500A9" w:rsidRPr="006500A9" w:rsidP="00BE78B6" w14:paraId="031E4E1A" w14:textId="4EFE72E4">
      <w:pPr>
        <w:pStyle w:val="ListParagraph"/>
        <w:widowControl/>
        <w:suppressAutoHyphens/>
        <w:jc w:val="left"/>
        <w:rPr>
          <w:b/>
          <w:bCs/>
          <w:sz w:val="22"/>
          <w:szCs w:val="22"/>
        </w:rPr>
      </w:pPr>
      <w:r>
        <w:rPr>
          <w:sz w:val="22"/>
          <w:szCs w:val="22"/>
        </w:rPr>
        <w:t xml:space="preserve"> </w:t>
      </w:r>
    </w:p>
    <w:p w:rsidR="00CF47F4" w:rsidRPr="0081291B" w:rsidP="00235619" w14:paraId="63CF5B12" w14:textId="75270C8F">
      <w:pPr>
        <w:pStyle w:val="ListParagraph"/>
        <w:widowControl/>
        <w:numPr>
          <w:ilvl w:val="0"/>
          <w:numId w:val="1"/>
        </w:numPr>
        <w:suppressAutoHyphens/>
        <w:ind w:left="0"/>
        <w:jc w:val="left"/>
        <w:rPr>
          <w:b/>
          <w:bCs/>
          <w:sz w:val="22"/>
          <w:szCs w:val="22"/>
        </w:rPr>
      </w:pPr>
      <w:r w:rsidRPr="00235619">
        <w:rPr>
          <w:sz w:val="22"/>
          <w:szCs w:val="22"/>
        </w:rPr>
        <w:t>CenturyLink explains, m</w:t>
      </w:r>
      <w:r w:rsidRPr="00235619" w:rsidR="00E825AF">
        <w:rPr>
          <w:sz w:val="22"/>
          <w:szCs w:val="22"/>
        </w:rPr>
        <w:t xml:space="preserve">ore specifically, </w:t>
      </w:r>
      <w:r w:rsidRPr="00235619">
        <w:rPr>
          <w:sz w:val="22"/>
          <w:szCs w:val="22"/>
        </w:rPr>
        <w:t xml:space="preserve">that </w:t>
      </w:r>
      <w:r w:rsidRPr="00235619" w:rsidR="00E825AF">
        <w:rPr>
          <w:sz w:val="22"/>
          <w:szCs w:val="22"/>
        </w:rPr>
        <w:t xml:space="preserve">for prolonged events where there are </w:t>
      </w:r>
      <w:r w:rsidRPr="00235619" w:rsidR="008F1BDE">
        <w:rPr>
          <w:sz w:val="22"/>
          <w:szCs w:val="22"/>
        </w:rPr>
        <w:t>fewer</w:t>
      </w:r>
      <w:r w:rsidRPr="00235619" w:rsidR="00E825AF">
        <w:rPr>
          <w:sz w:val="22"/>
          <w:szCs w:val="22"/>
        </w:rPr>
        <w:t xml:space="preserve"> than 100 </w:t>
      </w:r>
      <w:r w:rsidR="0015485A">
        <w:rPr>
          <w:sz w:val="22"/>
          <w:szCs w:val="22"/>
        </w:rPr>
        <w:t xml:space="preserve">impacted </w:t>
      </w:r>
      <w:r w:rsidRPr="00235619" w:rsidR="008F1BDE">
        <w:rPr>
          <w:sz w:val="22"/>
          <w:szCs w:val="22"/>
        </w:rPr>
        <w:t>lines</w:t>
      </w:r>
      <w:r w:rsidRPr="00235619" w:rsidR="00E825AF">
        <w:rPr>
          <w:sz w:val="22"/>
          <w:szCs w:val="22"/>
        </w:rPr>
        <w:t xml:space="preserve"> </w:t>
      </w:r>
      <w:r w:rsidRPr="00235619" w:rsidR="008F1BDE">
        <w:rPr>
          <w:sz w:val="22"/>
          <w:szCs w:val="22"/>
        </w:rPr>
        <w:t>per c</w:t>
      </w:r>
      <w:r w:rsidRPr="00235619" w:rsidR="00E825AF">
        <w:rPr>
          <w:sz w:val="22"/>
          <w:szCs w:val="22"/>
        </w:rPr>
        <w:t xml:space="preserve">able, the standard process is for field employees to open a ticket and </w:t>
      </w:r>
      <w:r w:rsidR="00D036BB">
        <w:rPr>
          <w:sz w:val="22"/>
          <w:szCs w:val="22"/>
        </w:rPr>
        <w:t xml:space="preserve">manually </w:t>
      </w:r>
      <w:r w:rsidRPr="00235619" w:rsidR="00E825AF">
        <w:rPr>
          <w:sz w:val="22"/>
          <w:szCs w:val="22"/>
        </w:rPr>
        <w:t xml:space="preserve">enter events into </w:t>
      </w:r>
      <w:r w:rsidRPr="00235619" w:rsidR="008C15AD">
        <w:rPr>
          <w:sz w:val="22"/>
          <w:szCs w:val="22"/>
        </w:rPr>
        <w:t>the tracking</w:t>
      </w:r>
      <w:r w:rsidRPr="00235619" w:rsidR="00E825AF">
        <w:rPr>
          <w:sz w:val="22"/>
          <w:szCs w:val="22"/>
        </w:rPr>
        <w:t xml:space="preserve"> system that monitors outage reporting thresholds.</w:t>
      </w:r>
      <w:r>
        <w:rPr>
          <w:rStyle w:val="FootnoteReference"/>
          <w:szCs w:val="22"/>
        </w:rPr>
        <w:footnoteReference w:id="23"/>
      </w:r>
      <w:r w:rsidRPr="00235619" w:rsidR="00E825AF">
        <w:rPr>
          <w:sz w:val="22"/>
          <w:szCs w:val="22"/>
        </w:rPr>
        <w:t xml:space="preserve"> </w:t>
      </w:r>
      <w:r w:rsidR="00D036BB">
        <w:rPr>
          <w:sz w:val="22"/>
          <w:szCs w:val="22"/>
        </w:rPr>
        <w:t xml:space="preserve"> </w:t>
      </w:r>
      <w:r w:rsidRPr="00235619" w:rsidR="008C15AD">
        <w:rPr>
          <w:sz w:val="22"/>
          <w:szCs w:val="22"/>
        </w:rPr>
        <w:t xml:space="preserve">CenturyLink </w:t>
      </w:r>
      <w:r w:rsidRPr="00235619" w:rsidR="00C304B4">
        <w:rPr>
          <w:sz w:val="22"/>
          <w:szCs w:val="22"/>
        </w:rPr>
        <w:t>emphasizes</w:t>
      </w:r>
      <w:r w:rsidRPr="00235619" w:rsidR="008C15AD">
        <w:rPr>
          <w:sz w:val="22"/>
          <w:szCs w:val="22"/>
        </w:rPr>
        <w:t xml:space="preserve"> that </w:t>
      </w:r>
      <w:r w:rsidR="002D6161">
        <w:rPr>
          <w:sz w:val="22"/>
          <w:szCs w:val="22"/>
        </w:rPr>
        <w:t>this</w:t>
      </w:r>
      <w:r w:rsidRPr="00235619" w:rsidR="002D6161">
        <w:rPr>
          <w:sz w:val="22"/>
          <w:szCs w:val="22"/>
        </w:rPr>
        <w:t xml:space="preserve"> </w:t>
      </w:r>
      <w:r w:rsidR="00D036BB">
        <w:rPr>
          <w:sz w:val="22"/>
          <w:szCs w:val="22"/>
        </w:rPr>
        <w:t xml:space="preserve">manual </w:t>
      </w:r>
      <w:r w:rsidR="00712B42">
        <w:rPr>
          <w:sz w:val="22"/>
          <w:szCs w:val="22"/>
        </w:rPr>
        <w:t>entry</w:t>
      </w:r>
      <w:r w:rsidRPr="00235619" w:rsidR="00712B42">
        <w:rPr>
          <w:sz w:val="22"/>
          <w:szCs w:val="22"/>
        </w:rPr>
        <w:t xml:space="preserve"> </w:t>
      </w:r>
      <w:r w:rsidRPr="00235619" w:rsidR="00D036BB">
        <w:rPr>
          <w:sz w:val="22"/>
          <w:szCs w:val="22"/>
        </w:rPr>
        <w:t xml:space="preserve">into the tracking system </w:t>
      </w:r>
      <w:r w:rsidRPr="00235619" w:rsidR="00C304B4">
        <w:rPr>
          <w:sz w:val="22"/>
          <w:szCs w:val="22"/>
        </w:rPr>
        <w:t xml:space="preserve">of </w:t>
      </w:r>
      <w:r w:rsidR="00D036BB">
        <w:rPr>
          <w:sz w:val="22"/>
          <w:szCs w:val="22"/>
        </w:rPr>
        <w:t xml:space="preserve">what are typically </w:t>
      </w:r>
      <w:r w:rsidRPr="00235619" w:rsidR="00C304B4">
        <w:rPr>
          <w:sz w:val="22"/>
          <w:szCs w:val="22"/>
        </w:rPr>
        <w:t>small event</w:t>
      </w:r>
      <w:r w:rsidR="00D036BB">
        <w:rPr>
          <w:sz w:val="22"/>
          <w:szCs w:val="22"/>
        </w:rPr>
        <w:t>s</w:t>
      </w:r>
      <w:r w:rsidRPr="00235619" w:rsidR="00C304B4">
        <w:rPr>
          <w:sz w:val="22"/>
          <w:szCs w:val="22"/>
        </w:rPr>
        <w:t xml:space="preserve"> </w:t>
      </w:r>
      <w:r w:rsidR="00D036BB">
        <w:rPr>
          <w:sz w:val="22"/>
          <w:szCs w:val="22"/>
        </w:rPr>
        <w:t xml:space="preserve">differs from the </w:t>
      </w:r>
      <w:r w:rsidR="002D6161">
        <w:rPr>
          <w:sz w:val="22"/>
          <w:szCs w:val="22"/>
        </w:rPr>
        <w:t xml:space="preserve">automatic entry that </w:t>
      </w:r>
      <w:r w:rsidR="00712B42">
        <w:rPr>
          <w:sz w:val="22"/>
          <w:szCs w:val="22"/>
        </w:rPr>
        <w:t xml:space="preserve">usually </w:t>
      </w:r>
      <w:r w:rsidR="002D6161">
        <w:rPr>
          <w:sz w:val="22"/>
          <w:szCs w:val="22"/>
        </w:rPr>
        <w:t xml:space="preserve">occurs </w:t>
      </w:r>
      <w:r w:rsidR="00D036BB">
        <w:rPr>
          <w:sz w:val="22"/>
          <w:szCs w:val="22"/>
        </w:rPr>
        <w:t>for</w:t>
      </w:r>
      <w:r w:rsidRPr="00235619" w:rsidR="00C304B4">
        <w:rPr>
          <w:sz w:val="22"/>
          <w:szCs w:val="22"/>
        </w:rPr>
        <w:t xml:space="preserve"> </w:t>
      </w:r>
      <w:r w:rsidRPr="00235619" w:rsidR="00E825AF">
        <w:rPr>
          <w:sz w:val="22"/>
          <w:szCs w:val="22"/>
        </w:rPr>
        <w:t xml:space="preserve">larger </w:t>
      </w:r>
      <w:r w:rsidRPr="00235619" w:rsidR="008F1BDE">
        <w:rPr>
          <w:sz w:val="22"/>
          <w:szCs w:val="22"/>
        </w:rPr>
        <w:t>outage</w:t>
      </w:r>
      <w:r w:rsidR="002D6161">
        <w:rPr>
          <w:sz w:val="22"/>
          <w:szCs w:val="22"/>
        </w:rPr>
        <w:t>s</w:t>
      </w:r>
      <w:r w:rsidRPr="00235619" w:rsidR="008F1BDE">
        <w:rPr>
          <w:sz w:val="22"/>
          <w:szCs w:val="22"/>
        </w:rPr>
        <w:t xml:space="preserve"> </w:t>
      </w:r>
      <w:r w:rsidR="002D6161">
        <w:rPr>
          <w:sz w:val="22"/>
          <w:szCs w:val="22"/>
        </w:rPr>
        <w:t xml:space="preserve">that typically affect </w:t>
      </w:r>
      <w:r w:rsidRPr="00235619" w:rsidR="008F1BDE">
        <w:rPr>
          <w:sz w:val="22"/>
          <w:szCs w:val="22"/>
        </w:rPr>
        <w:t xml:space="preserve">more than 100 lines </w:t>
      </w:r>
      <w:r w:rsidR="002D6161">
        <w:rPr>
          <w:sz w:val="22"/>
          <w:szCs w:val="22"/>
        </w:rPr>
        <w:t>per cable</w:t>
      </w:r>
      <w:r w:rsidRPr="00235619" w:rsidR="00E825AF">
        <w:rPr>
          <w:sz w:val="22"/>
          <w:szCs w:val="22"/>
        </w:rPr>
        <w:t>.</w:t>
      </w:r>
      <w:r>
        <w:rPr>
          <w:rStyle w:val="FootnoteReference"/>
          <w:szCs w:val="22"/>
        </w:rPr>
        <w:footnoteReference w:id="24"/>
      </w:r>
      <w:r w:rsidRPr="00235619" w:rsidR="00E825AF">
        <w:rPr>
          <w:sz w:val="22"/>
          <w:szCs w:val="22"/>
        </w:rPr>
        <w:t xml:space="preserve">  </w:t>
      </w:r>
      <w:r w:rsidRPr="00235619" w:rsidR="00C304B4">
        <w:rPr>
          <w:sz w:val="22"/>
          <w:szCs w:val="22"/>
        </w:rPr>
        <w:t>According to CenturyLink, g</w:t>
      </w:r>
      <w:r w:rsidRPr="00235619" w:rsidR="00E825AF">
        <w:rPr>
          <w:sz w:val="22"/>
          <w:szCs w:val="22"/>
        </w:rPr>
        <w:t>etting events logged into th</w:t>
      </w:r>
      <w:r w:rsidRPr="00235619" w:rsidR="00C304B4">
        <w:rPr>
          <w:sz w:val="22"/>
          <w:szCs w:val="22"/>
        </w:rPr>
        <w:t>e</w:t>
      </w:r>
      <w:r w:rsidRPr="00235619" w:rsidR="00E825AF">
        <w:rPr>
          <w:sz w:val="22"/>
          <w:szCs w:val="22"/>
        </w:rPr>
        <w:t xml:space="preserve"> system is critical for tracking purposes</w:t>
      </w:r>
      <w:r w:rsidR="00F162B2">
        <w:rPr>
          <w:sz w:val="22"/>
          <w:szCs w:val="22"/>
        </w:rPr>
        <w:t>, but</w:t>
      </w:r>
      <w:r w:rsidRPr="00235619" w:rsidR="00E825AF">
        <w:rPr>
          <w:sz w:val="22"/>
          <w:szCs w:val="22"/>
        </w:rPr>
        <w:t xml:space="preserve"> a CenturyLink employee neglected to do so immediately</w:t>
      </w:r>
      <w:r w:rsidR="00F162B2">
        <w:rPr>
          <w:sz w:val="22"/>
          <w:szCs w:val="22"/>
        </w:rPr>
        <w:t xml:space="preserve"> in this instance</w:t>
      </w:r>
      <w:r w:rsidRPr="00235619" w:rsidR="00E825AF">
        <w:rPr>
          <w:sz w:val="22"/>
          <w:szCs w:val="22"/>
        </w:rPr>
        <w:t xml:space="preserve">.  </w:t>
      </w:r>
      <w:r w:rsidR="0046353C">
        <w:rPr>
          <w:sz w:val="22"/>
          <w:szCs w:val="22"/>
        </w:rPr>
        <w:t>CenturyLink explains that, o</w:t>
      </w:r>
      <w:r w:rsidRPr="00235619" w:rsidR="00E825AF">
        <w:rPr>
          <w:sz w:val="22"/>
          <w:szCs w:val="22"/>
        </w:rPr>
        <w:t xml:space="preserve">nce </w:t>
      </w:r>
      <w:r w:rsidRPr="00235619" w:rsidR="00C304B4">
        <w:rPr>
          <w:sz w:val="22"/>
          <w:szCs w:val="22"/>
        </w:rPr>
        <w:t xml:space="preserve">an </w:t>
      </w:r>
      <w:r w:rsidRPr="00235619" w:rsidR="00E825AF">
        <w:rPr>
          <w:sz w:val="22"/>
          <w:szCs w:val="22"/>
        </w:rPr>
        <w:t>event</w:t>
      </w:r>
      <w:r w:rsidRPr="00235619" w:rsidR="00C304B4">
        <w:rPr>
          <w:sz w:val="22"/>
          <w:szCs w:val="22"/>
        </w:rPr>
        <w:t xml:space="preserve"> </w:t>
      </w:r>
      <w:r w:rsidRPr="00235619" w:rsidR="00E825AF">
        <w:rPr>
          <w:sz w:val="22"/>
          <w:szCs w:val="22"/>
        </w:rPr>
        <w:t xml:space="preserve">involving </w:t>
      </w:r>
      <w:r w:rsidRPr="00235619" w:rsidR="00C304B4">
        <w:rPr>
          <w:sz w:val="22"/>
          <w:szCs w:val="22"/>
        </w:rPr>
        <w:t>fewer</w:t>
      </w:r>
      <w:r w:rsidRPr="00235619" w:rsidR="00E825AF">
        <w:rPr>
          <w:sz w:val="22"/>
          <w:szCs w:val="22"/>
        </w:rPr>
        <w:t xml:space="preserve"> than 100 </w:t>
      </w:r>
      <w:r w:rsidR="00712B42">
        <w:rPr>
          <w:sz w:val="22"/>
          <w:szCs w:val="22"/>
        </w:rPr>
        <w:t xml:space="preserve">impacted </w:t>
      </w:r>
      <w:r w:rsidRPr="00235619" w:rsidR="00E825AF">
        <w:rPr>
          <w:sz w:val="22"/>
          <w:szCs w:val="22"/>
        </w:rPr>
        <w:t xml:space="preserve">lines </w:t>
      </w:r>
      <w:r w:rsidR="00712B42">
        <w:rPr>
          <w:sz w:val="22"/>
          <w:szCs w:val="22"/>
        </w:rPr>
        <w:t xml:space="preserve">per cable </w:t>
      </w:r>
      <w:r w:rsidRPr="00235619" w:rsidR="00C304B4">
        <w:rPr>
          <w:sz w:val="22"/>
          <w:szCs w:val="22"/>
        </w:rPr>
        <w:t>is entered</w:t>
      </w:r>
      <w:r w:rsidRPr="00235619" w:rsidR="00E825AF">
        <w:rPr>
          <w:sz w:val="22"/>
          <w:szCs w:val="22"/>
        </w:rPr>
        <w:t xml:space="preserve"> in</w:t>
      </w:r>
      <w:r w:rsidRPr="00235619" w:rsidR="00B442FA">
        <w:rPr>
          <w:sz w:val="22"/>
          <w:szCs w:val="22"/>
        </w:rPr>
        <w:t>to</w:t>
      </w:r>
      <w:r w:rsidRPr="00235619" w:rsidR="00E825AF">
        <w:rPr>
          <w:sz w:val="22"/>
          <w:szCs w:val="22"/>
        </w:rPr>
        <w:t xml:space="preserve"> the tracking system, </w:t>
      </w:r>
      <w:r w:rsidRPr="00235619" w:rsidR="00B442FA">
        <w:rPr>
          <w:sz w:val="22"/>
          <w:szCs w:val="22"/>
        </w:rPr>
        <w:t xml:space="preserve">a report is </w:t>
      </w:r>
      <w:r w:rsidRPr="00235619" w:rsidR="00E825AF">
        <w:rPr>
          <w:sz w:val="22"/>
          <w:szCs w:val="22"/>
        </w:rPr>
        <w:t>generate</w:t>
      </w:r>
      <w:r w:rsidRPr="00235619" w:rsidR="00B442FA">
        <w:rPr>
          <w:sz w:val="22"/>
          <w:szCs w:val="22"/>
        </w:rPr>
        <w:t xml:space="preserve">d and </w:t>
      </w:r>
      <w:r w:rsidRPr="00235619" w:rsidR="00E825AF">
        <w:rPr>
          <w:sz w:val="22"/>
          <w:szCs w:val="22"/>
        </w:rPr>
        <w:t>monitored by</w:t>
      </w:r>
      <w:r w:rsidRPr="00235619" w:rsidR="00F372A7">
        <w:rPr>
          <w:sz w:val="22"/>
          <w:szCs w:val="22"/>
        </w:rPr>
        <w:t xml:space="preserve"> </w:t>
      </w:r>
      <w:r w:rsidRPr="00235619" w:rsidR="008F1BDE">
        <w:rPr>
          <w:sz w:val="22"/>
          <w:szCs w:val="22"/>
        </w:rPr>
        <w:t>e</w:t>
      </w:r>
      <w:r w:rsidRPr="00235619" w:rsidR="00F372A7">
        <w:rPr>
          <w:sz w:val="22"/>
          <w:szCs w:val="22"/>
        </w:rPr>
        <w:t xml:space="preserve">mployees who track </w:t>
      </w:r>
      <w:r w:rsidRPr="00235619" w:rsidR="00B442FA">
        <w:rPr>
          <w:sz w:val="22"/>
          <w:szCs w:val="22"/>
        </w:rPr>
        <w:t>the</w:t>
      </w:r>
      <w:r w:rsidRPr="00235619" w:rsidR="00F372A7">
        <w:rPr>
          <w:sz w:val="22"/>
          <w:szCs w:val="22"/>
        </w:rPr>
        <w:t xml:space="preserve"> duration </w:t>
      </w:r>
      <w:r w:rsidRPr="00235619" w:rsidR="00B442FA">
        <w:rPr>
          <w:sz w:val="22"/>
          <w:szCs w:val="22"/>
        </w:rPr>
        <w:t xml:space="preserve">of that </w:t>
      </w:r>
      <w:r w:rsidRPr="00235619" w:rsidR="00F372A7">
        <w:rPr>
          <w:sz w:val="22"/>
          <w:szCs w:val="22"/>
        </w:rPr>
        <w:t xml:space="preserve">outage to ensure </w:t>
      </w:r>
      <w:r w:rsidRPr="00235619" w:rsidR="00B442FA">
        <w:rPr>
          <w:sz w:val="22"/>
          <w:szCs w:val="22"/>
        </w:rPr>
        <w:t>that CenturyLink</w:t>
      </w:r>
      <w:r w:rsidRPr="00235619" w:rsidR="00F372A7">
        <w:rPr>
          <w:sz w:val="22"/>
          <w:szCs w:val="22"/>
        </w:rPr>
        <w:t xml:space="preserve"> meet</w:t>
      </w:r>
      <w:r w:rsidRPr="00235619" w:rsidR="00B442FA">
        <w:rPr>
          <w:sz w:val="22"/>
          <w:szCs w:val="22"/>
        </w:rPr>
        <w:t>s</w:t>
      </w:r>
      <w:r w:rsidRPr="00235619" w:rsidR="00F372A7">
        <w:rPr>
          <w:sz w:val="22"/>
          <w:szCs w:val="22"/>
        </w:rPr>
        <w:t xml:space="preserve"> the 65-day </w:t>
      </w:r>
      <w:r w:rsidRPr="00235619" w:rsidR="00B442FA">
        <w:rPr>
          <w:sz w:val="22"/>
          <w:szCs w:val="22"/>
        </w:rPr>
        <w:t xml:space="preserve">deadline </w:t>
      </w:r>
      <w:r w:rsidRPr="00235619" w:rsidR="00F372A7">
        <w:rPr>
          <w:sz w:val="22"/>
          <w:szCs w:val="22"/>
        </w:rPr>
        <w:t>for an</w:t>
      </w:r>
      <w:r w:rsidR="0087138E">
        <w:rPr>
          <w:sz w:val="22"/>
          <w:szCs w:val="22"/>
        </w:rPr>
        <w:t>y necessary</w:t>
      </w:r>
      <w:r w:rsidRPr="00235619" w:rsidR="00F372A7">
        <w:rPr>
          <w:sz w:val="22"/>
          <w:szCs w:val="22"/>
        </w:rPr>
        <w:t xml:space="preserve"> impairment filing</w:t>
      </w:r>
      <w:r w:rsidR="00712B42">
        <w:rPr>
          <w:sz w:val="22"/>
          <w:szCs w:val="22"/>
        </w:rPr>
        <w:t xml:space="preserve"> with the Commission</w:t>
      </w:r>
      <w:r w:rsidRPr="00235619" w:rsidR="00F372A7">
        <w:rPr>
          <w:sz w:val="22"/>
          <w:szCs w:val="22"/>
        </w:rPr>
        <w:t>.</w:t>
      </w:r>
      <w:r w:rsidRPr="00235619" w:rsidR="00B442FA">
        <w:rPr>
          <w:sz w:val="22"/>
          <w:szCs w:val="22"/>
        </w:rPr>
        <w:t xml:space="preserve">  </w:t>
      </w:r>
      <w:r w:rsidR="0046353C">
        <w:rPr>
          <w:sz w:val="22"/>
          <w:szCs w:val="22"/>
        </w:rPr>
        <w:t xml:space="preserve">CenturyLink </w:t>
      </w:r>
      <w:r w:rsidR="0087138E">
        <w:rPr>
          <w:sz w:val="22"/>
          <w:szCs w:val="22"/>
        </w:rPr>
        <w:t xml:space="preserve">adds </w:t>
      </w:r>
      <w:r w:rsidR="0046353C">
        <w:rPr>
          <w:sz w:val="22"/>
          <w:szCs w:val="22"/>
        </w:rPr>
        <w:t xml:space="preserve">that </w:t>
      </w:r>
      <w:r w:rsidR="00542183">
        <w:rPr>
          <w:sz w:val="22"/>
          <w:szCs w:val="22"/>
        </w:rPr>
        <w:t>o</w:t>
      </w:r>
      <w:r w:rsidRPr="00235619" w:rsidR="00F372A7">
        <w:rPr>
          <w:sz w:val="22"/>
          <w:szCs w:val="22"/>
        </w:rPr>
        <w:t xml:space="preserve">nce an </w:t>
      </w:r>
      <w:r w:rsidRPr="00235619" w:rsidR="00B442FA">
        <w:rPr>
          <w:sz w:val="22"/>
          <w:szCs w:val="22"/>
        </w:rPr>
        <w:t>outage</w:t>
      </w:r>
      <w:r w:rsidRPr="00235619" w:rsidR="00F372A7">
        <w:rPr>
          <w:sz w:val="22"/>
          <w:szCs w:val="22"/>
        </w:rPr>
        <w:t xml:space="preserve"> </w:t>
      </w:r>
      <w:r w:rsidR="0087138E">
        <w:rPr>
          <w:sz w:val="22"/>
          <w:szCs w:val="22"/>
        </w:rPr>
        <w:t>entered into</w:t>
      </w:r>
      <w:r w:rsidR="0087138E">
        <w:rPr>
          <w:sz w:val="22"/>
          <w:szCs w:val="22"/>
        </w:rPr>
        <w:t xml:space="preserve"> the system reaches</w:t>
      </w:r>
      <w:r w:rsidRPr="00235619" w:rsidR="0087138E">
        <w:rPr>
          <w:sz w:val="22"/>
          <w:szCs w:val="22"/>
        </w:rPr>
        <w:t xml:space="preserve"> </w:t>
      </w:r>
      <w:r w:rsidRPr="00235619" w:rsidR="00F372A7">
        <w:rPr>
          <w:sz w:val="22"/>
          <w:szCs w:val="22"/>
        </w:rPr>
        <w:t xml:space="preserve">a 45-day duration, </w:t>
      </w:r>
      <w:r w:rsidRPr="00235619" w:rsidR="00B442FA">
        <w:rPr>
          <w:sz w:val="22"/>
          <w:szCs w:val="22"/>
        </w:rPr>
        <w:t>it triggers an internal investigation into</w:t>
      </w:r>
      <w:r w:rsidRPr="00235619" w:rsidR="00F372A7">
        <w:rPr>
          <w:sz w:val="22"/>
          <w:szCs w:val="22"/>
        </w:rPr>
        <w:t xml:space="preserve"> whether </w:t>
      </w:r>
      <w:r w:rsidR="00B855EB">
        <w:rPr>
          <w:sz w:val="22"/>
          <w:szCs w:val="22"/>
        </w:rPr>
        <w:t xml:space="preserve">any such </w:t>
      </w:r>
      <w:r w:rsidRPr="00235619" w:rsidR="00F372A7">
        <w:rPr>
          <w:sz w:val="22"/>
          <w:szCs w:val="22"/>
        </w:rPr>
        <w:t xml:space="preserve">impairment filing under </w:t>
      </w:r>
      <w:r w:rsidR="00DF45DA">
        <w:rPr>
          <w:sz w:val="22"/>
          <w:szCs w:val="22"/>
        </w:rPr>
        <w:t xml:space="preserve">section </w:t>
      </w:r>
      <w:r w:rsidRPr="00235619" w:rsidR="00F372A7">
        <w:rPr>
          <w:sz w:val="22"/>
          <w:szCs w:val="22"/>
        </w:rPr>
        <w:t xml:space="preserve">63.63 </w:t>
      </w:r>
      <w:r w:rsidR="00712B42">
        <w:rPr>
          <w:sz w:val="22"/>
          <w:szCs w:val="22"/>
        </w:rPr>
        <w:t>will be</w:t>
      </w:r>
      <w:r w:rsidRPr="00235619" w:rsidR="00712B42">
        <w:rPr>
          <w:sz w:val="22"/>
          <w:szCs w:val="22"/>
        </w:rPr>
        <w:t xml:space="preserve"> </w:t>
      </w:r>
      <w:r w:rsidRPr="00235619" w:rsidR="00F372A7">
        <w:rPr>
          <w:sz w:val="22"/>
          <w:szCs w:val="22"/>
        </w:rPr>
        <w:t xml:space="preserve">necessary. </w:t>
      </w:r>
      <w:r w:rsidR="00712B42">
        <w:rPr>
          <w:sz w:val="22"/>
          <w:szCs w:val="22"/>
        </w:rPr>
        <w:t xml:space="preserve"> </w:t>
      </w:r>
      <w:r w:rsidRPr="00235619" w:rsidR="00B442FA">
        <w:rPr>
          <w:sz w:val="22"/>
          <w:szCs w:val="22"/>
        </w:rPr>
        <w:t>CenturyLink acknowledges that t</w:t>
      </w:r>
      <w:r w:rsidRPr="00235619" w:rsidR="00F372A7">
        <w:rPr>
          <w:sz w:val="22"/>
          <w:szCs w:val="22"/>
        </w:rPr>
        <w:t>h</w:t>
      </w:r>
      <w:r w:rsidR="0046353C">
        <w:rPr>
          <w:sz w:val="22"/>
          <w:szCs w:val="22"/>
        </w:rPr>
        <w:t>e necessary</w:t>
      </w:r>
      <w:r w:rsidRPr="00235619" w:rsidR="00F372A7">
        <w:rPr>
          <w:sz w:val="22"/>
          <w:szCs w:val="22"/>
        </w:rPr>
        <w:t xml:space="preserve"> tracking did not occur </w:t>
      </w:r>
      <w:r w:rsidRPr="00235619" w:rsidR="00B442FA">
        <w:rPr>
          <w:sz w:val="22"/>
          <w:szCs w:val="22"/>
        </w:rPr>
        <w:t>in this case</w:t>
      </w:r>
      <w:r w:rsidRPr="00235619" w:rsidR="00F372A7">
        <w:rPr>
          <w:sz w:val="22"/>
          <w:szCs w:val="22"/>
        </w:rPr>
        <w:t xml:space="preserve"> </w:t>
      </w:r>
      <w:r w:rsidRPr="00235619" w:rsidR="00B442FA">
        <w:rPr>
          <w:sz w:val="22"/>
          <w:szCs w:val="22"/>
        </w:rPr>
        <w:t>because its employees failed to manually e</w:t>
      </w:r>
      <w:r w:rsidRPr="00235619" w:rsidR="00F372A7">
        <w:rPr>
          <w:sz w:val="22"/>
          <w:szCs w:val="22"/>
        </w:rPr>
        <w:t>nter</w:t>
      </w:r>
      <w:r w:rsidRPr="00235619" w:rsidR="00B442FA">
        <w:rPr>
          <w:sz w:val="22"/>
          <w:szCs w:val="22"/>
        </w:rPr>
        <w:t xml:space="preserve"> </w:t>
      </w:r>
      <w:r w:rsidRPr="00235619" w:rsidR="00D4412F">
        <w:rPr>
          <w:sz w:val="22"/>
          <w:szCs w:val="22"/>
        </w:rPr>
        <w:t>the outage</w:t>
      </w:r>
      <w:r w:rsidR="00063975">
        <w:rPr>
          <w:sz w:val="22"/>
          <w:szCs w:val="22"/>
        </w:rPr>
        <w:t>s</w:t>
      </w:r>
      <w:r w:rsidRPr="00235619" w:rsidR="00B442FA">
        <w:rPr>
          <w:sz w:val="22"/>
          <w:szCs w:val="22"/>
        </w:rPr>
        <w:t xml:space="preserve"> into the system</w:t>
      </w:r>
      <w:r w:rsidR="00BE78B6">
        <w:rPr>
          <w:sz w:val="22"/>
          <w:szCs w:val="22"/>
        </w:rPr>
        <w:t xml:space="preserve"> </w:t>
      </w:r>
      <w:r w:rsidR="00EE1544">
        <w:rPr>
          <w:sz w:val="22"/>
          <w:szCs w:val="22"/>
        </w:rPr>
        <w:t xml:space="preserve">at the outset </w:t>
      </w:r>
      <w:r w:rsidR="00BE78B6">
        <w:rPr>
          <w:sz w:val="22"/>
          <w:szCs w:val="22"/>
        </w:rPr>
        <w:t>as required</w:t>
      </w:r>
      <w:r w:rsidRPr="00235619" w:rsidR="00F372A7">
        <w:rPr>
          <w:sz w:val="22"/>
          <w:szCs w:val="22"/>
        </w:rPr>
        <w:t>.</w:t>
      </w:r>
      <w:r w:rsidRPr="00235619" w:rsidR="00235619">
        <w:rPr>
          <w:sz w:val="22"/>
          <w:szCs w:val="22"/>
        </w:rPr>
        <w:t xml:space="preserve">  CenturyLink </w:t>
      </w:r>
      <w:r w:rsidR="000241F0">
        <w:rPr>
          <w:sz w:val="22"/>
          <w:szCs w:val="22"/>
        </w:rPr>
        <w:t>asserts</w:t>
      </w:r>
      <w:r w:rsidRPr="00235619" w:rsidR="00235619">
        <w:rPr>
          <w:sz w:val="22"/>
          <w:szCs w:val="22"/>
        </w:rPr>
        <w:t xml:space="preserve">, however, that </w:t>
      </w:r>
      <w:r w:rsidR="00BC5B58">
        <w:rPr>
          <w:sz w:val="22"/>
          <w:szCs w:val="22"/>
        </w:rPr>
        <w:t xml:space="preserve">the issue was discovered through coordination with the </w:t>
      </w:r>
      <w:r w:rsidRPr="001373D5" w:rsidR="001373D5">
        <w:rPr>
          <w:sz w:val="22"/>
          <w:szCs w:val="22"/>
        </w:rPr>
        <w:t xml:space="preserve">Michigan Public Service Commission (MPSC) </w:t>
      </w:r>
      <w:r w:rsidR="001373D5">
        <w:rPr>
          <w:sz w:val="22"/>
          <w:szCs w:val="22"/>
        </w:rPr>
        <w:t>and that CenturyLink</w:t>
      </w:r>
      <w:r w:rsidR="00BC5B58">
        <w:rPr>
          <w:sz w:val="22"/>
          <w:szCs w:val="22"/>
        </w:rPr>
        <w:t xml:space="preserve"> </w:t>
      </w:r>
      <w:r w:rsidR="00235619">
        <w:rPr>
          <w:sz w:val="22"/>
          <w:szCs w:val="22"/>
        </w:rPr>
        <w:t xml:space="preserve">has taken steps to avoid a recurrence of this process failure by coaching </w:t>
      </w:r>
      <w:r w:rsidRPr="00235619" w:rsidR="00235619">
        <w:rPr>
          <w:sz w:val="22"/>
          <w:szCs w:val="22"/>
        </w:rPr>
        <w:t>the relevant employees on the correct process and the importance of following it.</w:t>
      </w:r>
      <w:r>
        <w:rPr>
          <w:rStyle w:val="FootnoteReference"/>
          <w:szCs w:val="22"/>
        </w:rPr>
        <w:footnoteReference w:id="25"/>
      </w:r>
      <w:r w:rsidR="00E37EA4">
        <w:rPr>
          <w:sz w:val="22"/>
          <w:szCs w:val="22"/>
        </w:rPr>
        <w:t xml:space="preserve">  </w:t>
      </w:r>
    </w:p>
    <w:p w:rsidR="00CF47F4" w:rsidRPr="0081291B" w:rsidP="0081291B" w14:paraId="1BB119EF" w14:textId="77777777">
      <w:pPr>
        <w:pStyle w:val="ListParagraph"/>
        <w:widowControl/>
        <w:suppressAutoHyphens/>
        <w:jc w:val="left"/>
        <w:rPr>
          <w:b/>
          <w:bCs/>
          <w:sz w:val="22"/>
          <w:szCs w:val="22"/>
        </w:rPr>
      </w:pPr>
    </w:p>
    <w:p w:rsidR="00EA12B4" w:rsidRPr="00EA12B4" w:rsidP="00D77739" w14:paraId="7514E5EE" w14:textId="66F59C66">
      <w:pPr>
        <w:pStyle w:val="ListParagraph"/>
        <w:widowControl/>
        <w:numPr>
          <w:ilvl w:val="0"/>
          <w:numId w:val="1"/>
        </w:numPr>
        <w:suppressAutoHyphens/>
        <w:ind w:left="0"/>
        <w:jc w:val="left"/>
        <w:rPr>
          <w:b/>
          <w:bCs/>
          <w:sz w:val="22"/>
          <w:szCs w:val="22"/>
        </w:rPr>
      </w:pPr>
      <w:r>
        <w:rPr>
          <w:sz w:val="22"/>
          <w:szCs w:val="22"/>
        </w:rPr>
        <w:t>W</w:t>
      </w:r>
      <w:r w:rsidRPr="00D77739">
        <w:rPr>
          <w:sz w:val="22"/>
          <w:szCs w:val="22"/>
        </w:rPr>
        <w:t xml:space="preserve">e </w:t>
      </w:r>
      <w:r>
        <w:rPr>
          <w:sz w:val="22"/>
          <w:szCs w:val="22"/>
        </w:rPr>
        <w:t xml:space="preserve">further </w:t>
      </w:r>
      <w:r w:rsidRPr="00D77739">
        <w:rPr>
          <w:sz w:val="22"/>
          <w:szCs w:val="22"/>
        </w:rPr>
        <w:t xml:space="preserve">agree </w:t>
      </w:r>
      <w:r>
        <w:rPr>
          <w:sz w:val="22"/>
          <w:szCs w:val="22"/>
        </w:rPr>
        <w:t>with CenturyLink that strict enforcement of the emergency discontinuance filing deadline would not be consistent with the public interest</w:t>
      </w:r>
      <w:r w:rsidRPr="00120E74">
        <w:rPr>
          <w:sz w:val="22"/>
          <w:szCs w:val="22"/>
        </w:rPr>
        <w:t xml:space="preserve"> in this case</w:t>
      </w:r>
      <w:r w:rsidRPr="00F40EC7">
        <w:rPr>
          <w:sz w:val="22"/>
          <w:szCs w:val="22"/>
        </w:rPr>
        <w:t xml:space="preserve"> </w:t>
      </w:r>
      <w:r>
        <w:rPr>
          <w:sz w:val="22"/>
          <w:szCs w:val="22"/>
        </w:rPr>
        <w:t>given the totality of the circumstances.</w:t>
      </w:r>
      <w:r>
        <w:rPr>
          <w:rStyle w:val="FootnoteReference"/>
          <w:szCs w:val="22"/>
        </w:rPr>
        <w:footnoteReference w:id="26"/>
      </w:r>
      <w:r>
        <w:rPr>
          <w:sz w:val="22"/>
          <w:szCs w:val="22"/>
        </w:rPr>
        <w:t xml:space="preserve"> </w:t>
      </w:r>
      <w:r w:rsidRPr="00D77739">
        <w:rPr>
          <w:sz w:val="22"/>
          <w:szCs w:val="22"/>
        </w:rPr>
        <w:t xml:space="preserve"> </w:t>
      </w:r>
      <w:r>
        <w:rPr>
          <w:sz w:val="22"/>
          <w:szCs w:val="22"/>
        </w:rPr>
        <w:t>In its definition for emergency discontinuance, reduction, or impairment of service and its rule for filing such applications, the Commission recognizes that unforeseen service impacts beyond the control of the carrier often may be addressed within a reasonable 60-day period without the need for filing an emergency discontinuance application with the Commission within 65 days.</w:t>
      </w:r>
      <w:r>
        <w:rPr>
          <w:rStyle w:val="FootnoteReference"/>
          <w:szCs w:val="22"/>
        </w:rPr>
        <w:footnoteReference w:id="27"/>
      </w:r>
      <w:r>
        <w:rPr>
          <w:sz w:val="22"/>
          <w:szCs w:val="22"/>
        </w:rPr>
        <w:t xml:space="preserve">  </w:t>
      </w:r>
      <w:r w:rsidR="00063975">
        <w:rPr>
          <w:sz w:val="22"/>
          <w:szCs w:val="22"/>
        </w:rPr>
        <w:t xml:space="preserve">We </w:t>
      </w:r>
      <w:r w:rsidR="00676612">
        <w:rPr>
          <w:sz w:val="22"/>
          <w:szCs w:val="22"/>
        </w:rPr>
        <w:t>recognize</w:t>
      </w:r>
      <w:r w:rsidR="00063975">
        <w:rPr>
          <w:sz w:val="22"/>
          <w:szCs w:val="22"/>
        </w:rPr>
        <w:t xml:space="preserve"> that despite CenturyLink’s failure to file a timely application with the Commission under the circumstances</w:t>
      </w:r>
      <w:r>
        <w:rPr>
          <w:sz w:val="22"/>
          <w:szCs w:val="22"/>
        </w:rPr>
        <w:t xml:space="preserve"> described here</w:t>
      </w:r>
      <w:r w:rsidR="00063975">
        <w:rPr>
          <w:sz w:val="22"/>
          <w:szCs w:val="22"/>
        </w:rPr>
        <w:t>, CenturyLink nevertheless initiated immediate efforts to restore service to customers consistent with the goals of the emergency discontinuance rule.</w:t>
      </w:r>
      <w:r>
        <w:rPr>
          <w:rStyle w:val="FootnoteReference"/>
          <w:szCs w:val="22"/>
        </w:rPr>
        <w:footnoteReference w:id="28"/>
      </w:r>
      <w:r w:rsidR="00483566">
        <w:rPr>
          <w:sz w:val="22"/>
          <w:szCs w:val="22"/>
        </w:rPr>
        <w:t xml:space="preserve">  </w:t>
      </w:r>
      <w:r w:rsidR="005B0331">
        <w:rPr>
          <w:sz w:val="22"/>
          <w:szCs w:val="22"/>
        </w:rPr>
        <w:t xml:space="preserve">As with all emergency discontinuance </w:t>
      </w:r>
      <w:r w:rsidR="00B05AC8">
        <w:rPr>
          <w:sz w:val="22"/>
          <w:szCs w:val="22"/>
        </w:rPr>
        <w:t xml:space="preserve"> case</w:t>
      </w:r>
      <w:r w:rsidR="005B0331">
        <w:rPr>
          <w:sz w:val="22"/>
          <w:szCs w:val="22"/>
        </w:rPr>
        <w:t>s</w:t>
      </w:r>
      <w:r w:rsidR="00B05AC8">
        <w:rPr>
          <w:sz w:val="22"/>
          <w:szCs w:val="22"/>
        </w:rPr>
        <w:t>, it is clear that CenturyLink</w:t>
      </w:r>
      <w:r w:rsidR="00650381">
        <w:rPr>
          <w:sz w:val="22"/>
          <w:szCs w:val="22"/>
        </w:rPr>
        <w:t xml:space="preserve"> </w:t>
      </w:r>
      <w:r w:rsidRPr="00D77739" w:rsidR="00217839">
        <w:rPr>
          <w:sz w:val="22"/>
          <w:szCs w:val="22"/>
        </w:rPr>
        <w:t xml:space="preserve">could not have reasonably foreseen or prevented the </w:t>
      </w:r>
      <w:r w:rsidRPr="00D77739" w:rsidR="002F5815">
        <w:rPr>
          <w:sz w:val="22"/>
          <w:szCs w:val="22"/>
        </w:rPr>
        <w:t>failure</w:t>
      </w:r>
      <w:r w:rsidRPr="00D77739" w:rsidR="00217839">
        <w:rPr>
          <w:sz w:val="22"/>
          <w:szCs w:val="22"/>
        </w:rPr>
        <w:t xml:space="preserve"> of two dams </w:t>
      </w:r>
      <w:r w:rsidRPr="00D77739" w:rsidR="002F5815">
        <w:rPr>
          <w:sz w:val="22"/>
          <w:szCs w:val="22"/>
        </w:rPr>
        <w:t xml:space="preserve">which resulted </w:t>
      </w:r>
      <w:r w:rsidRPr="00D77739" w:rsidR="00217839">
        <w:rPr>
          <w:sz w:val="22"/>
          <w:szCs w:val="22"/>
        </w:rPr>
        <w:t xml:space="preserve">in massive flooding, damage to its </w:t>
      </w:r>
      <w:r w:rsidRPr="00D77739" w:rsidR="002F5815">
        <w:rPr>
          <w:sz w:val="22"/>
          <w:szCs w:val="22"/>
        </w:rPr>
        <w:t xml:space="preserve">facilities and supporting </w:t>
      </w:r>
      <w:r w:rsidRPr="00D77739" w:rsidR="00217839">
        <w:rPr>
          <w:sz w:val="22"/>
          <w:szCs w:val="22"/>
        </w:rPr>
        <w:t>infrastructure</w:t>
      </w:r>
      <w:r w:rsidRPr="00D77739" w:rsidR="002F5815">
        <w:rPr>
          <w:sz w:val="22"/>
          <w:szCs w:val="22"/>
        </w:rPr>
        <w:t>,</w:t>
      </w:r>
      <w:r w:rsidRPr="00D77739" w:rsidR="00217839">
        <w:rPr>
          <w:sz w:val="22"/>
          <w:szCs w:val="22"/>
        </w:rPr>
        <w:t xml:space="preserve"> and the declaration of a state-wide disaster by the Governor of Michigan.</w:t>
      </w:r>
      <w:r>
        <w:rPr>
          <w:rStyle w:val="FootnoteReference"/>
          <w:szCs w:val="22"/>
        </w:rPr>
        <w:footnoteReference w:id="29"/>
      </w:r>
      <w:r w:rsidRPr="00D77739" w:rsidR="00217839">
        <w:rPr>
          <w:sz w:val="22"/>
          <w:szCs w:val="22"/>
        </w:rPr>
        <w:t xml:space="preserve">  </w:t>
      </w:r>
      <w:r w:rsidRPr="00D77739" w:rsidR="00FF5085">
        <w:rPr>
          <w:sz w:val="22"/>
          <w:szCs w:val="22"/>
        </w:rPr>
        <w:t xml:space="preserve">The record </w:t>
      </w:r>
      <w:r w:rsidRPr="00D77739" w:rsidR="00C66BEE">
        <w:rPr>
          <w:sz w:val="22"/>
          <w:szCs w:val="22"/>
        </w:rPr>
        <w:t>indicates</w:t>
      </w:r>
      <w:r w:rsidRPr="00D77739" w:rsidR="00FF5085">
        <w:rPr>
          <w:sz w:val="22"/>
          <w:szCs w:val="22"/>
        </w:rPr>
        <w:t xml:space="preserve"> that </w:t>
      </w:r>
      <w:r w:rsidRPr="00D77739" w:rsidR="00C66BEE">
        <w:rPr>
          <w:sz w:val="22"/>
          <w:szCs w:val="22"/>
        </w:rPr>
        <w:t>the flooding forced the evacuation of thousands of area residents.</w:t>
      </w:r>
      <w:r>
        <w:rPr>
          <w:rStyle w:val="FootnoteReference"/>
          <w:szCs w:val="22"/>
        </w:rPr>
        <w:footnoteReference w:id="30"/>
      </w:r>
      <w:r w:rsidRPr="00D77739" w:rsidR="00C66BEE">
        <w:rPr>
          <w:sz w:val="22"/>
          <w:szCs w:val="22"/>
        </w:rPr>
        <w:t xml:space="preserve">  </w:t>
      </w:r>
      <w:r w:rsidR="005B0331">
        <w:rPr>
          <w:sz w:val="22"/>
          <w:szCs w:val="22"/>
        </w:rPr>
        <w:t>But g</w:t>
      </w:r>
      <w:r w:rsidRPr="00D77739" w:rsidR="004700B8">
        <w:rPr>
          <w:sz w:val="22"/>
          <w:szCs w:val="22"/>
        </w:rPr>
        <w:t>iven</w:t>
      </w:r>
      <w:r w:rsidRPr="00D77739" w:rsidR="00E171BB">
        <w:rPr>
          <w:sz w:val="22"/>
          <w:szCs w:val="22"/>
        </w:rPr>
        <w:t xml:space="preserve"> the </w:t>
      </w:r>
      <w:r w:rsidR="0081291B">
        <w:rPr>
          <w:sz w:val="22"/>
          <w:szCs w:val="22"/>
        </w:rPr>
        <w:t>s</w:t>
      </w:r>
      <w:r w:rsidRPr="00D77739" w:rsidR="00E171BB">
        <w:rPr>
          <w:sz w:val="22"/>
          <w:szCs w:val="22"/>
        </w:rPr>
        <w:t xml:space="preserve">everity of the damage to critical supporting infrastructure in the area, CenturyLink </w:t>
      </w:r>
      <w:r w:rsidRPr="00D77739" w:rsidR="004700B8">
        <w:rPr>
          <w:sz w:val="22"/>
          <w:szCs w:val="22"/>
        </w:rPr>
        <w:t>submits</w:t>
      </w:r>
      <w:r w:rsidRPr="00D77739" w:rsidR="00E171BB">
        <w:rPr>
          <w:sz w:val="22"/>
          <w:szCs w:val="22"/>
        </w:rPr>
        <w:t xml:space="preserve"> that </w:t>
      </w:r>
      <w:r w:rsidRPr="00D77739" w:rsidR="004700B8">
        <w:rPr>
          <w:sz w:val="22"/>
          <w:szCs w:val="22"/>
        </w:rPr>
        <w:t>it</w:t>
      </w:r>
      <w:r w:rsidRPr="00D77739" w:rsidR="00E171BB">
        <w:rPr>
          <w:sz w:val="22"/>
          <w:szCs w:val="22"/>
        </w:rPr>
        <w:t xml:space="preserve"> focused on </w:t>
      </w:r>
      <w:r w:rsidRPr="00D77739" w:rsidR="004700B8">
        <w:rPr>
          <w:sz w:val="22"/>
          <w:szCs w:val="22"/>
        </w:rPr>
        <w:t xml:space="preserve">construction efforts and </w:t>
      </w:r>
      <w:r w:rsidRPr="00D77739" w:rsidR="00E171BB">
        <w:rPr>
          <w:sz w:val="22"/>
          <w:szCs w:val="22"/>
        </w:rPr>
        <w:t>investigating ways to promptly restore service</w:t>
      </w:r>
      <w:r w:rsidRPr="00D77739" w:rsidR="004700B8">
        <w:rPr>
          <w:sz w:val="22"/>
          <w:szCs w:val="22"/>
        </w:rPr>
        <w:t>.</w:t>
      </w:r>
      <w:r>
        <w:rPr>
          <w:rStyle w:val="FootnoteReference"/>
          <w:szCs w:val="22"/>
        </w:rPr>
        <w:footnoteReference w:id="31"/>
      </w:r>
      <w:r w:rsidRPr="00D77739" w:rsidR="00E171BB">
        <w:rPr>
          <w:sz w:val="22"/>
          <w:szCs w:val="22"/>
        </w:rPr>
        <w:t xml:space="preserve">  </w:t>
      </w:r>
      <w:r w:rsidRPr="00D77739" w:rsidR="00B0020D">
        <w:rPr>
          <w:sz w:val="22"/>
          <w:szCs w:val="22"/>
        </w:rPr>
        <w:t xml:space="preserve">CenturyLink </w:t>
      </w:r>
      <w:r w:rsidRPr="00D77739" w:rsidR="004700B8">
        <w:rPr>
          <w:sz w:val="22"/>
          <w:szCs w:val="22"/>
        </w:rPr>
        <w:t xml:space="preserve">indicates that it </w:t>
      </w:r>
      <w:r w:rsidRPr="00D77739" w:rsidR="00B0020D">
        <w:rPr>
          <w:sz w:val="22"/>
          <w:szCs w:val="22"/>
        </w:rPr>
        <w:t xml:space="preserve">began working </w:t>
      </w:r>
      <w:r w:rsidRPr="00D77739" w:rsidR="004700B8">
        <w:rPr>
          <w:sz w:val="22"/>
          <w:szCs w:val="22"/>
        </w:rPr>
        <w:t xml:space="preserve">with </w:t>
      </w:r>
      <w:r w:rsidRPr="00D77739" w:rsidR="00B37FDA">
        <w:rPr>
          <w:sz w:val="22"/>
          <w:szCs w:val="22"/>
        </w:rPr>
        <w:t xml:space="preserve">stakeholders </w:t>
      </w:r>
      <w:r w:rsidRPr="00D77739" w:rsidR="00B0020D">
        <w:rPr>
          <w:sz w:val="22"/>
          <w:szCs w:val="22"/>
        </w:rPr>
        <w:t>to restore service to its impacted customers as soon as it became aware of the impairment,</w:t>
      </w:r>
      <w:r>
        <w:rPr>
          <w:rStyle w:val="FootnoteReference"/>
          <w:szCs w:val="22"/>
        </w:rPr>
        <w:footnoteReference w:id="32"/>
      </w:r>
      <w:r w:rsidRPr="00D77739" w:rsidR="00B0020D">
        <w:rPr>
          <w:sz w:val="22"/>
          <w:szCs w:val="22"/>
        </w:rPr>
        <w:t xml:space="preserve"> consistent with the underlying purpose of the emergency discontinuance rule</w:t>
      </w:r>
      <w:r w:rsidRPr="00D77739" w:rsidR="00487C13">
        <w:rPr>
          <w:sz w:val="22"/>
          <w:szCs w:val="22"/>
        </w:rPr>
        <w:t>.</w:t>
      </w:r>
      <w:r>
        <w:rPr>
          <w:rStyle w:val="FootnoteReference"/>
          <w:szCs w:val="22"/>
        </w:rPr>
        <w:footnoteReference w:id="33"/>
      </w:r>
      <w:r w:rsidRPr="00D77739" w:rsidR="00487C13">
        <w:rPr>
          <w:sz w:val="22"/>
          <w:szCs w:val="22"/>
        </w:rPr>
        <w:t xml:space="preserve">  </w:t>
      </w:r>
      <w:r w:rsidRPr="00D77739" w:rsidR="00D77739">
        <w:rPr>
          <w:sz w:val="22"/>
          <w:szCs w:val="22"/>
        </w:rPr>
        <w:t xml:space="preserve">CenturyLink </w:t>
      </w:r>
      <w:r w:rsidR="005B0331">
        <w:rPr>
          <w:sz w:val="22"/>
          <w:szCs w:val="22"/>
        </w:rPr>
        <w:t xml:space="preserve">also explains </w:t>
      </w:r>
      <w:r w:rsidRPr="00D77739" w:rsidR="00D77739">
        <w:rPr>
          <w:sz w:val="22"/>
          <w:szCs w:val="22"/>
        </w:rPr>
        <w:t xml:space="preserve">that it has been in contact with the </w:t>
      </w:r>
      <w:bookmarkStart w:id="11" w:name="_Hlk55381297"/>
      <w:r w:rsidR="007C3F43">
        <w:rPr>
          <w:sz w:val="22"/>
          <w:szCs w:val="22"/>
        </w:rPr>
        <w:t xml:space="preserve">MPSC </w:t>
      </w:r>
      <w:bookmarkEnd w:id="11"/>
      <w:r w:rsidRPr="00D77739" w:rsidR="00D77739">
        <w:rPr>
          <w:sz w:val="22"/>
          <w:szCs w:val="22"/>
        </w:rPr>
        <w:t>since the morning after the service disruption began.</w:t>
      </w:r>
      <w:r>
        <w:rPr>
          <w:rStyle w:val="FootnoteReference"/>
          <w:szCs w:val="22"/>
        </w:rPr>
        <w:footnoteReference w:id="34"/>
      </w:r>
      <w:r w:rsidRPr="00D77739" w:rsidR="00D77739">
        <w:rPr>
          <w:sz w:val="22"/>
          <w:szCs w:val="22"/>
        </w:rPr>
        <w:t xml:space="preserve"> </w:t>
      </w:r>
      <w:r w:rsidR="005B0331">
        <w:rPr>
          <w:sz w:val="22"/>
          <w:szCs w:val="22"/>
        </w:rPr>
        <w:t xml:space="preserve"> </w:t>
      </w:r>
      <w:r w:rsidRPr="00D77739" w:rsidR="00D77739">
        <w:rPr>
          <w:sz w:val="22"/>
          <w:szCs w:val="22"/>
        </w:rPr>
        <w:t>Immediately following the dam breaches, CenturyLink updated the MPSC on the impact of the event, the damage CenturyLink sustained, the approximate number of customers affected, and its restoration efforts.</w:t>
      </w:r>
      <w:r>
        <w:rPr>
          <w:rStyle w:val="FootnoteReference"/>
          <w:szCs w:val="22"/>
        </w:rPr>
        <w:footnoteReference w:id="35"/>
      </w:r>
      <w:r w:rsidRPr="00D77739" w:rsidR="00D77739">
        <w:rPr>
          <w:sz w:val="22"/>
          <w:szCs w:val="22"/>
        </w:rPr>
        <w:t xml:space="preserve">  CenturyLink </w:t>
      </w:r>
      <w:r w:rsidR="00D72469">
        <w:rPr>
          <w:sz w:val="22"/>
          <w:szCs w:val="22"/>
        </w:rPr>
        <w:t xml:space="preserve">reports that it </w:t>
      </w:r>
      <w:r w:rsidRPr="00D77739" w:rsidR="00D77739">
        <w:rPr>
          <w:sz w:val="22"/>
          <w:szCs w:val="22"/>
        </w:rPr>
        <w:t>has responded to MPSC inquiries and has provided updates to the MPSC</w:t>
      </w:r>
      <w:r w:rsidRPr="008C15AD" w:rsidR="00D77739">
        <w:rPr>
          <w:sz w:val="22"/>
          <w:szCs w:val="22"/>
        </w:rPr>
        <w:t xml:space="preserve"> every two-to-three weeks on </w:t>
      </w:r>
      <w:r w:rsidR="00D72469">
        <w:rPr>
          <w:sz w:val="22"/>
          <w:szCs w:val="22"/>
        </w:rPr>
        <w:t>its</w:t>
      </w:r>
      <w:r w:rsidRPr="008C15AD" w:rsidR="00D77739">
        <w:rPr>
          <w:sz w:val="22"/>
          <w:szCs w:val="22"/>
        </w:rPr>
        <w:t xml:space="preserve"> service restoration efforts.</w:t>
      </w:r>
      <w:r>
        <w:rPr>
          <w:rStyle w:val="FootnoteReference"/>
          <w:szCs w:val="22"/>
        </w:rPr>
        <w:footnoteReference w:id="36"/>
      </w:r>
      <w:r w:rsidR="00D72469">
        <w:rPr>
          <w:sz w:val="22"/>
          <w:szCs w:val="22"/>
        </w:rPr>
        <w:t xml:space="preserve">  CenturyLink </w:t>
      </w:r>
      <w:r w:rsidR="00650381">
        <w:rPr>
          <w:sz w:val="22"/>
          <w:szCs w:val="22"/>
        </w:rPr>
        <w:t xml:space="preserve">also </w:t>
      </w:r>
      <w:r w:rsidR="00D72469">
        <w:rPr>
          <w:sz w:val="22"/>
          <w:szCs w:val="22"/>
        </w:rPr>
        <w:t>states that, o</w:t>
      </w:r>
      <w:r w:rsidRPr="008C15AD" w:rsidR="00D77739">
        <w:rPr>
          <w:sz w:val="22"/>
          <w:szCs w:val="22"/>
        </w:rPr>
        <w:t xml:space="preserve">n August 13, 2020, </w:t>
      </w:r>
      <w:r w:rsidR="00D72469">
        <w:rPr>
          <w:sz w:val="22"/>
          <w:szCs w:val="22"/>
        </w:rPr>
        <w:t xml:space="preserve">it </w:t>
      </w:r>
      <w:r w:rsidRPr="00C304B4" w:rsidR="00D77739">
        <w:rPr>
          <w:sz w:val="22"/>
          <w:szCs w:val="22"/>
        </w:rPr>
        <w:t>met by conference call with MPSC staff to go over in detail the damage that CenturyLink’s facilities sustained.</w:t>
      </w:r>
      <w:r w:rsidR="00D72469">
        <w:rPr>
          <w:sz w:val="22"/>
          <w:szCs w:val="22"/>
        </w:rPr>
        <w:t xml:space="preserve">  CenturyLink </w:t>
      </w:r>
      <w:r>
        <w:rPr>
          <w:sz w:val="22"/>
          <w:szCs w:val="22"/>
        </w:rPr>
        <w:t xml:space="preserve">submits </w:t>
      </w:r>
      <w:r w:rsidR="00D72469">
        <w:rPr>
          <w:sz w:val="22"/>
          <w:szCs w:val="22"/>
        </w:rPr>
        <w:t>that t</w:t>
      </w:r>
      <w:r w:rsidRPr="00C304B4" w:rsidR="00D77739">
        <w:rPr>
          <w:sz w:val="22"/>
          <w:szCs w:val="22"/>
        </w:rPr>
        <w:t xml:space="preserve">his line of communication between CenturyLink and the MPSC </w:t>
      </w:r>
      <w:r w:rsidR="00D72469">
        <w:rPr>
          <w:sz w:val="22"/>
          <w:szCs w:val="22"/>
        </w:rPr>
        <w:t>demonstrates</w:t>
      </w:r>
      <w:r w:rsidRPr="00C304B4" w:rsidR="00D77739">
        <w:rPr>
          <w:sz w:val="22"/>
          <w:szCs w:val="22"/>
        </w:rPr>
        <w:t xml:space="preserve"> </w:t>
      </w:r>
      <w:r w:rsidR="00D72469">
        <w:rPr>
          <w:sz w:val="22"/>
          <w:szCs w:val="22"/>
        </w:rPr>
        <w:t>its en</w:t>
      </w:r>
      <w:r w:rsidRPr="00C304B4" w:rsidR="00D77739">
        <w:rPr>
          <w:sz w:val="22"/>
          <w:szCs w:val="22"/>
        </w:rPr>
        <w:t>gagement with regulators</w:t>
      </w:r>
      <w:r w:rsidR="00AE1C0F">
        <w:rPr>
          <w:sz w:val="22"/>
          <w:szCs w:val="22"/>
        </w:rPr>
        <w:t>,</w:t>
      </w:r>
      <w:r w:rsidRPr="00C304B4" w:rsidR="00D77739">
        <w:rPr>
          <w:sz w:val="22"/>
          <w:szCs w:val="22"/>
        </w:rPr>
        <w:t xml:space="preserve"> and its openness concerning the impact of the event </w:t>
      </w:r>
      <w:r w:rsidRPr="00235619" w:rsidR="00D77739">
        <w:rPr>
          <w:sz w:val="22"/>
          <w:szCs w:val="22"/>
        </w:rPr>
        <w:t>and its restoration plans and progress.</w:t>
      </w:r>
      <w:r>
        <w:rPr>
          <w:rStyle w:val="FootnoteReference"/>
          <w:szCs w:val="22"/>
        </w:rPr>
        <w:footnoteReference w:id="37"/>
      </w:r>
      <w:r w:rsidR="00D72469">
        <w:rPr>
          <w:sz w:val="22"/>
          <w:szCs w:val="22"/>
        </w:rPr>
        <w:t xml:space="preserve">  </w:t>
      </w:r>
    </w:p>
    <w:p w:rsidR="00EA12B4" w:rsidRPr="00EA12B4" w:rsidP="00EA12B4" w14:paraId="6BA56DC6" w14:textId="77777777">
      <w:pPr>
        <w:pStyle w:val="ListParagraph"/>
        <w:widowControl/>
        <w:suppressAutoHyphens/>
        <w:jc w:val="left"/>
        <w:rPr>
          <w:b/>
          <w:bCs/>
          <w:sz w:val="22"/>
          <w:szCs w:val="22"/>
        </w:rPr>
      </w:pPr>
    </w:p>
    <w:p w:rsidR="007C0903" w:rsidRPr="00D77739" w:rsidP="00D77739" w14:paraId="15CD2E9F" w14:textId="40E02651">
      <w:pPr>
        <w:pStyle w:val="ListParagraph"/>
        <w:widowControl/>
        <w:numPr>
          <w:ilvl w:val="0"/>
          <w:numId w:val="1"/>
        </w:numPr>
        <w:suppressAutoHyphens/>
        <w:ind w:left="0"/>
        <w:jc w:val="left"/>
        <w:rPr>
          <w:b/>
          <w:bCs/>
          <w:sz w:val="22"/>
          <w:szCs w:val="22"/>
        </w:rPr>
      </w:pPr>
      <w:r w:rsidRPr="00235619">
        <w:rPr>
          <w:sz w:val="22"/>
          <w:szCs w:val="22"/>
        </w:rPr>
        <w:t xml:space="preserve">In furtherance of these </w:t>
      </w:r>
      <w:r w:rsidR="00F31EE3">
        <w:rPr>
          <w:sz w:val="22"/>
          <w:szCs w:val="22"/>
        </w:rPr>
        <w:t xml:space="preserve">restoration </w:t>
      </w:r>
      <w:r w:rsidRPr="00235619">
        <w:rPr>
          <w:sz w:val="22"/>
          <w:szCs w:val="22"/>
        </w:rPr>
        <w:t>efforts,</w:t>
      </w:r>
      <w:r w:rsidRPr="00235619" w:rsidR="00487C13">
        <w:rPr>
          <w:sz w:val="22"/>
          <w:szCs w:val="22"/>
        </w:rPr>
        <w:t xml:space="preserve"> </w:t>
      </w:r>
      <w:r w:rsidRPr="00235619" w:rsidR="00B0020D">
        <w:rPr>
          <w:sz w:val="22"/>
          <w:szCs w:val="22"/>
        </w:rPr>
        <w:t>CenturyLink devised plan</w:t>
      </w:r>
      <w:r w:rsidRPr="00235619" w:rsidR="00B37FDA">
        <w:rPr>
          <w:sz w:val="22"/>
          <w:szCs w:val="22"/>
        </w:rPr>
        <w:t>s</w:t>
      </w:r>
      <w:r w:rsidRPr="00235619" w:rsidR="00B0020D">
        <w:rPr>
          <w:sz w:val="22"/>
          <w:szCs w:val="22"/>
        </w:rPr>
        <w:t xml:space="preserve"> </w:t>
      </w:r>
      <w:r w:rsidRPr="005F19D9" w:rsidR="00B37FDA">
        <w:rPr>
          <w:sz w:val="22"/>
          <w:szCs w:val="22"/>
        </w:rPr>
        <w:t>to</w:t>
      </w:r>
      <w:r w:rsidRPr="0046353C" w:rsidR="00B0020D">
        <w:rPr>
          <w:sz w:val="22"/>
          <w:szCs w:val="22"/>
        </w:rPr>
        <w:t xml:space="preserve"> restore service to </w:t>
      </w:r>
      <w:r w:rsidRPr="007C3F43" w:rsidR="002E4CB5">
        <w:rPr>
          <w:sz w:val="22"/>
          <w:szCs w:val="22"/>
        </w:rPr>
        <w:t>the vast majority of</w:t>
      </w:r>
      <w:r w:rsidRPr="007C3F43" w:rsidR="002E4CB5">
        <w:rPr>
          <w:sz w:val="22"/>
          <w:szCs w:val="22"/>
        </w:rPr>
        <w:t xml:space="preserve"> remaining</w:t>
      </w:r>
      <w:r w:rsidRPr="007C3F43" w:rsidR="00B0020D">
        <w:rPr>
          <w:sz w:val="22"/>
          <w:szCs w:val="22"/>
        </w:rPr>
        <w:t xml:space="preserve"> affected customers </w:t>
      </w:r>
      <w:r w:rsidRPr="007C3F43" w:rsidR="002E4CB5">
        <w:rPr>
          <w:sz w:val="22"/>
          <w:szCs w:val="22"/>
        </w:rPr>
        <w:t xml:space="preserve">through two construction projects </w:t>
      </w:r>
      <w:r w:rsidRPr="007C3F43" w:rsidR="002F5815">
        <w:rPr>
          <w:sz w:val="22"/>
          <w:szCs w:val="22"/>
        </w:rPr>
        <w:t xml:space="preserve">that required </w:t>
      </w:r>
      <w:r w:rsidRPr="007C3F43" w:rsidR="00217839">
        <w:rPr>
          <w:sz w:val="22"/>
          <w:szCs w:val="22"/>
        </w:rPr>
        <w:t>CenturyLink to bore under the Tittabawassee River</w:t>
      </w:r>
      <w:r w:rsidRPr="007C3F43" w:rsidR="007A59F6">
        <w:rPr>
          <w:sz w:val="22"/>
          <w:szCs w:val="22"/>
        </w:rPr>
        <w:t xml:space="preserve">.  </w:t>
      </w:r>
      <w:r w:rsidRPr="007C3F43" w:rsidR="008B0E06">
        <w:rPr>
          <w:sz w:val="22"/>
          <w:szCs w:val="22"/>
        </w:rPr>
        <w:t>CenturyLink</w:t>
      </w:r>
      <w:r w:rsidRPr="007C3F43" w:rsidR="00BB1918">
        <w:rPr>
          <w:sz w:val="22"/>
          <w:szCs w:val="22"/>
        </w:rPr>
        <w:t xml:space="preserve"> </w:t>
      </w:r>
      <w:r w:rsidRPr="007C3F43" w:rsidR="008B0E06">
        <w:rPr>
          <w:sz w:val="22"/>
          <w:szCs w:val="22"/>
        </w:rPr>
        <w:t xml:space="preserve">also </w:t>
      </w:r>
      <w:r w:rsidRPr="007C3F43" w:rsidR="00BB1918">
        <w:rPr>
          <w:sz w:val="22"/>
          <w:szCs w:val="22"/>
        </w:rPr>
        <w:t>continued</w:t>
      </w:r>
      <w:r w:rsidRPr="007C3F43" w:rsidR="00B0020D">
        <w:rPr>
          <w:sz w:val="22"/>
          <w:szCs w:val="22"/>
        </w:rPr>
        <w:t xml:space="preserve"> to work on alternatives for the remaining customers</w:t>
      </w:r>
      <w:r w:rsidRPr="007C3F43" w:rsidR="007A59F6">
        <w:rPr>
          <w:sz w:val="22"/>
          <w:szCs w:val="22"/>
        </w:rPr>
        <w:t xml:space="preserve"> who would not be </w:t>
      </w:r>
      <w:r w:rsidRPr="007C3F43" w:rsidR="00AE6372">
        <w:rPr>
          <w:sz w:val="22"/>
          <w:szCs w:val="22"/>
        </w:rPr>
        <w:t>impacted</w:t>
      </w:r>
      <w:r w:rsidRPr="007C3F43" w:rsidR="007A59F6">
        <w:rPr>
          <w:sz w:val="22"/>
          <w:szCs w:val="22"/>
        </w:rPr>
        <w:t xml:space="preserve"> by these initial construction plans</w:t>
      </w:r>
      <w:r w:rsidRPr="007C3F43" w:rsidR="006D502D">
        <w:rPr>
          <w:sz w:val="22"/>
          <w:szCs w:val="22"/>
        </w:rPr>
        <w:t>.</w:t>
      </w:r>
      <w:r>
        <w:rPr>
          <w:rStyle w:val="FootnoteReference"/>
          <w:szCs w:val="22"/>
        </w:rPr>
        <w:footnoteReference w:id="38"/>
      </w:r>
      <w:r w:rsidRPr="00D77739" w:rsidR="006D502D">
        <w:rPr>
          <w:sz w:val="22"/>
          <w:szCs w:val="22"/>
        </w:rPr>
        <w:t xml:space="preserve">  </w:t>
      </w:r>
      <w:r w:rsidRPr="00D77739" w:rsidR="00DE41AA">
        <w:rPr>
          <w:sz w:val="22"/>
          <w:szCs w:val="22"/>
        </w:rPr>
        <w:t xml:space="preserve">According to CenturyLink, these </w:t>
      </w:r>
      <w:r w:rsidR="009E54EE">
        <w:rPr>
          <w:sz w:val="22"/>
          <w:szCs w:val="22"/>
        </w:rPr>
        <w:t xml:space="preserve">construction </w:t>
      </w:r>
      <w:r w:rsidRPr="00D77739" w:rsidR="00DE41AA">
        <w:rPr>
          <w:sz w:val="22"/>
          <w:szCs w:val="22"/>
        </w:rPr>
        <w:t xml:space="preserve">efforts resulted in the restoration of </w:t>
      </w:r>
      <w:r w:rsidR="009E54EE">
        <w:rPr>
          <w:sz w:val="22"/>
          <w:szCs w:val="22"/>
        </w:rPr>
        <w:t xml:space="preserve">CenturyLink </w:t>
      </w:r>
      <w:r w:rsidRPr="00D77739" w:rsidR="00DE41AA">
        <w:rPr>
          <w:sz w:val="22"/>
          <w:szCs w:val="22"/>
        </w:rPr>
        <w:t xml:space="preserve">service to 64 affected customers with only 13 customers currently remaining without service after accounting for a drop in the </w:t>
      </w:r>
      <w:r w:rsidRPr="008C15AD" w:rsidR="00DE41AA">
        <w:rPr>
          <w:sz w:val="22"/>
          <w:szCs w:val="22"/>
        </w:rPr>
        <w:t>overall CenturyLink customer count.</w:t>
      </w:r>
      <w:r>
        <w:rPr>
          <w:rStyle w:val="FootnoteReference"/>
          <w:szCs w:val="22"/>
        </w:rPr>
        <w:footnoteReference w:id="39"/>
      </w:r>
      <w:r w:rsidRPr="009D0E62" w:rsidR="00DE41AA">
        <w:rPr>
          <w:sz w:val="22"/>
          <w:szCs w:val="22"/>
        </w:rPr>
        <w:t xml:space="preserve">  </w:t>
      </w:r>
      <w:r w:rsidRPr="00776AD2" w:rsidR="009D0E62">
        <w:rPr>
          <w:sz w:val="22"/>
          <w:szCs w:val="22"/>
        </w:rPr>
        <w:t xml:space="preserve">We acknowledge that </w:t>
      </w:r>
      <w:r w:rsidR="009E54EE">
        <w:rPr>
          <w:sz w:val="22"/>
          <w:szCs w:val="22"/>
        </w:rPr>
        <w:t>through these efforts</w:t>
      </w:r>
      <w:r w:rsidRPr="00776AD2" w:rsidR="009D0E62">
        <w:rPr>
          <w:sz w:val="22"/>
          <w:szCs w:val="22"/>
        </w:rPr>
        <w:t xml:space="preserve">, CenturyLink has </w:t>
      </w:r>
      <w:r w:rsidRPr="00776AD2" w:rsidR="009D0E62">
        <w:rPr>
          <w:sz w:val="22"/>
          <w:szCs w:val="22"/>
        </w:rPr>
        <w:t xml:space="preserve">managed to restore service to the vast majority of its customers in close to the same 60-day timeframe that would have initially been allowed under section 63.63 had CenturyLink filed a timely emergency discontinuance application.  </w:t>
      </w:r>
      <w:r w:rsidR="00483566">
        <w:rPr>
          <w:sz w:val="22"/>
          <w:szCs w:val="22"/>
        </w:rPr>
        <w:t>G</w:t>
      </w:r>
      <w:r w:rsidRPr="00483566" w:rsidR="00483566">
        <w:rPr>
          <w:sz w:val="22"/>
          <w:szCs w:val="22"/>
        </w:rPr>
        <w:t>iven the totality of the</w:t>
      </w:r>
      <w:r w:rsidR="00483566">
        <w:rPr>
          <w:sz w:val="22"/>
          <w:szCs w:val="22"/>
        </w:rPr>
        <w:t>se</w:t>
      </w:r>
      <w:r w:rsidRPr="00483566" w:rsidR="00483566">
        <w:rPr>
          <w:sz w:val="22"/>
          <w:szCs w:val="22"/>
        </w:rPr>
        <w:t xml:space="preserve"> circumstances, </w:t>
      </w:r>
      <w:r w:rsidR="00483566">
        <w:rPr>
          <w:sz w:val="22"/>
          <w:szCs w:val="22"/>
        </w:rPr>
        <w:t xml:space="preserve">we find that </w:t>
      </w:r>
      <w:r w:rsidR="007E47A6">
        <w:rPr>
          <w:sz w:val="22"/>
          <w:szCs w:val="22"/>
        </w:rPr>
        <w:t xml:space="preserve">strict </w:t>
      </w:r>
      <w:r w:rsidRPr="00483566" w:rsidR="00483566">
        <w:rPr>
          <w:sz w:val="22"/>
          <w:szCs w:val="22"/>
        </w:rPr>
        <w:t xml:space="preserve">enforcement of the emergency discontinuance filing deadline in this case would </w:t>
      </w:r>
      <w:r w:rsidR="004A4E6A">
        <w:rPr>
          <w:sz w:val="22"/>
          <w:szCs w:val="22"/>
        </w:rPr>
        <w:t xml:space="preserve">serve no purpose other than potentially discouraging other providers from future emergency discontinuance filings if they inadvertently miss the deadline. </w:t>
      </w:r>
      <w:r w:rsidR="00590E3D">
        <w:rPr>
          <w:sz w:val="22"/>
          <w:szCs w:val="22"/>
        </w:rPr>
        <w:t xml:space="preserve"> </w:t>
      </w:r>
      <w:r w:rsidR="004A4E6A">
        <w:rPr>
          <w:sz w:val="22"/>
          <w:szCs w:val="22"/>
        </w:rPr>
        <w:t xml:space="preserve">Such a result would </w:t>
      </w:r>
      <w:r w:rsidRPr="00483566" w:rsidR="00483566">
        <w:rPr>
          <w:sz w:val="22"/>
          <w:szCs w:val="22"/>
        </w:rPr>
        <w:t>not be consistent with the public interest</w:t>
      </w:r>
      <w:r w:rsidR="001165AF">
        <w:rPr>
          <w:sz w:val="22"/>
          <w:szCs w:val="22"/>
        </w:rPr>
        <w:t>,</w:t>
      </w:r>
      <w:r w:rsidRPr="00D77739" w:rsidR="00F372A7">
        <w:rPr>
          <w:sz w:val="22"/>
          <w:szCs w:val="22"/>
        </w:rPr>
        <w:t xml:space="preserve"> </w:t>
      </w:r>
      <w:r w:rsidR="007E47A6">
        <w:rPr>
          <w:sz w:val="22"/>
          <w:szCs w:val="22"/>
        </w:rPr>
        <w:t xml:space="preserve">especially to the extent that it might </w:t>
      </w:r>
      <w:r w:rsidRPr="007E47A6" w:rsidR="007E47A6">
        <w:rPr>
          <w:sz w:val="22"/>
          <w:szCs w:val="22"/>
        </w:rPr>
        <w:t xml:space="preserve">impede the Commission’s ability to </w:t>
      </w:r>
      <w:r w:rsidR="00590E3D">
        <w:rPr>
          <w:sz w:val="22"/>
          <w:szCs w:val="22"/>
        </w:rPr>
        <w:t xml:space="preserve">become </w:t>
      </w:r>
      <w:r w:rsidRPr="007E47A6" w:rsidR="007E47A6">
        <w:rPr>
          <w:sz w:val="22"/>
          <w:szCs w:val="22"/>
        </w:rPr>
        <w:t xml:space="preserve">aware of </w:t>
      </w:r>
      <w:r w:rsidR="004A4E6A">
        <w:rPr>
          <w:sz w:val="22"/>
          <w:szCs w:val="22"/>
        </w:rPr>
        <w:t xml:space="preserve">an </w:t>
      </w:r>
      <w:r w:rsidRPr="007E47A6" w:rsidR="007E47A6">
        <w:rPr>
          <w:sz w:val="22"/>
          <w:szCs w:val="22"/>
        </w:rPr>
        <w:t>ongoing emergency disruption of service</w:t>
      </w:r>
      <w:r w:rsidR="00590E3D">
        <w:rPr>
          <w:sz w:val="22"/>
          <w:szCs w:val="22"/>
        </w:rPr>
        <w:t>,</w:t>
      </w:r>
      <w:r w:rsidRPr="007E47A6" w:rsidR="007E47A6">
        <w:rPr>
          <w:sz w:val="22"/>
          <w:szCs w:val="22"/>
        </w:rPr>
        <w:t xml:space="preserve"> </w:t>
      </w:r>
      <w:r w:rsidRPr="007E47A6" w:rsidR="00590E3D">
        <w:rPr>
          <w:sz w:val="22"/>
          <w:szCs w:val="22"/>
        </w:rPr>
        <w:t xml:space="preserve"> </w:t>
      </w:r>
      <w:r w:rsidRPr="007E47A6" w:rsidR="007E47A6">
        <w:rPr>
          <w:sz w:val="22"/>
          <w:szCs w:val="22"/>
        </w:rPr>
        <w:t>the status of service restoration</w:t>
      </w:r>
      <w:r w:rsidR="00E34048">
        <w:rPr>
          <w:sz w:val="22"/>
          <w:szCs w:val="22"/>
        </w:rPr>
        <w:t>,</w:t>
      </w:r>
      <w:r w:rsidR="00590E3D">
        <w:rPr>
          <w:sz w:val="22"/>
          <w:szCs w:val="22"/>
        </w:rPr>
        <w:t xml:space="preserve"> and circumstances</w:t>
      </w:r>
      <w:r w:rsidR="00E34048">
        <w:rPr>
          <w:sz w:val="22"/>
          <w:szCs w:val="22"/>
        </w:rPr>
        <w:t>,</w:t>
      </w:r>
      <w:r w:rsidR="00590E3D">
        <w:rPr>
          <w:sz w:val="22"/>
          <w:szCs w:val="22"/>
        </w:rPr>
        <w:t xml:space="preserve"> unlike with Century</w:t>
      </w:r>
      <w:r w:rsidR="00B3324E">
        <w:rPr>
          <w:sz w:val="22"/>
          <w:szCs w:val="22"/>
        </w:rPr>
        <w:t>L</w:t>
      </w:r>
      <w:r w:rsidR="00590E3D">
        <w:rPr>
          <w:sz w:val="22"/>
          <w:szCs w:val="22"/>
        </w:rPr>
        <w:t xml:space="preserve">ink here, where the provider </w:t>
      </w:r>
      <w:r w:rsidR="00E34048">
        <w:rPr>
          <w:sz w:val="22"/>
          <w:szCs w:val="22"/>
        </w:rPr>
        <w:t xml:space="preserve">might </w:t>
      </w:r>
      <w:r w:rsidR="00590E3D">
        <w:rPr>
          <w:sz w:val="22"/>
          <w:szCs w:val="22"/>
        </w:rPr>
        <w:t>fail to undertake prompt efforts to restore service and engage in close coordination with the relevant state public utility commission</w:t>
      </w:r>
      <w:r w:rsidR="00676612">
        <w:rPr>
          <w:sz w:val="22"/>
          <w:szCs w:val="22"/>
        </w:rPr>
        <w:t>.</w:t>
      </w:r>
      <w:r>
        <w:rPr>
          <w:rStyle w:val="FootnoteReference"/>
          <w:szCs w:val="22"/>
        </w:rPr>
        <w:footnoteReference w:id="40"/>
      </w:r>
      <w:r w:rsidRPr="007E47A6" w:rsidR="007E47A6">
        <w:rPr>
          <w:sz w:val="22"/>
          <w:szCs w:val="22"/>
        </w:rPr>
        <w:t xml:space="preserve">    </w:t>
      </w:r>
    </w:p>
    <w:p w:rsidR="00542950" w:rsidRPr="00DD4C92" w:rsidP="005B776E" w14:paraId="7B8235AB" w14:textId="77777777">
      <w:pPr>
        <w:pStyle w:val="ListParagraph"/>
        <w:widowControl/>
        <w:suppressAutoHyphens/>
        <w:jc w:val="left"/>
        <w:rPr>
          <w:b/>
          <w:bCs/>
          <w:sz w:val="22"/>
          <w:szCs w:val="22"/>
        </w:rPr>
      </w:pPr>
    </w:p>
    <w:p w:rsidR="00FD2B2B" w:rsidP="00036EE2" w14:paraId="4D51CBE5" w14:textId="2963B6B9">
      <w:pPr>
        <w:pStyle w:val="ListParagraph"/>
        <w:widowControl/>
        <w:numPr>
          <w:ilvl w:val="0"/>
          <w:numId w:val="1"/>
        </w:numPr>
        <w:suppressAutoHyphens/>
        <w:ind w:left="0"/>
        <w:jc w:val="left"/>
        <w:rPr>
          <w:sz w:val="22"/>
          <w:szCs w:val="22"/>
        </w:rPr>
      </w:pPr>
      <w:r>
        <w:rPr>
          <w:sz w:val="22"/>
          <w:szCs w:val="22"/>
        </w:rPr>
        <w:t>We note that the</w:t>
      </w:r>
      <w:r w:rsidRPr="0073634F" w:rsidR="00542950">
        <w:rPr>
          <w:sz w:val="22"/>
          <w:szCs w:val="22"/>
        </w:rPr>
        <w:t xml:space="preserve"> </w:t>
      </w:r>
      <w:r w:rsidRPr="0073634F" w:rsidR="003E773D">
        <w:rPr>
          <w:sz w:val="22"/>
          <w:szCs w:val="22"/>
        </w:rPr>
        <w:t xml:space="preserve">information required by the </w:t>
      </w:r>
      <w:r w:rsidR="0097206B">
        <w:rPr>
          <w:sz w:val="22"/>
          <w:szCs w:val="22"/>
        </w:rPr>
        <w:t xml:space="preserve">Commission’s </w:t>
      </w:r>
      <w:r w:rsidRPr="0073634F" w:rsidR="00D76A86">
        <w:rPr>
          <w:sz w:val="22"/>
          <w:szCs w:val="22"/>
        </w:rPr>
        <w:t xml:space="preserve">emergency discontinuance </w:t>
      </w:r>
      <w:r w:rsidRPr="0073634F" w:rsidR="003E773D">
        <w:rPr>
          <w:sz w:val="22"/>
          <w:szCs w:val="22"/>
        </w:rPr>
        <w:t xml:space="preserve">rule is critical to </w:t>
      </w:r>
      <w:r>
        <w:rPr>
          <w:sz w:val="22"/>
          <w:szCs w:val="22"/>
        </w:rPr>
        <w:t xml:space="preserve">its </w:t>
      </w:r>
      <w:r w:rsidRPr="0073634F" w:rsidR="003E773D">
        <w:rPr>
          <w:sz w:val="22"/>
          <w:szCs w:val="22"/>
        </w:rPr>
        <w:t xml:space="preserve">ability to ensure that customers of communications providers are minimally affected by </w:t>
      </w:r>
      <w:r w:rsidR="000003E6">
        <w:rPr>
          <w:sz w:val="22"/>
          <w:szCs w:val="22"/>
        </w:rPr>
        <w:t xml:space="preserve">the </w:t>
      </w:r>
      <w:r w:rsidRPr="0073634F" w:rsidR="003E773D">
        <w:rPr>
          <w:sz w:val="22"/>
          <w:szCs w:val="22"/>
        </w:rPr>
        <w:t>discontinuance, reduction, or impairment of service due to conditions beyond a provider’s control.</w:t>
      </w:r>
      <w:r>
        <w:rPr>
          <w:rStyle w:val="FootnoteReference"/>
          <w:szCs w:val="22"/>
        </w:rPr>
        <w:footnoteReference w:id="41"/>
      </w:r>
      <w:r w:rsidRPr="0073634F" w:rsidR="003E773D">
        <w:rPr>
          <w:sz w:val="22"/>
          <w:szCs w:val="22"/>
        </w:rPr>
        <w:t xml:space="preserve">  </w:t>
      </w:r>
      <w:r w:rsidRPr="0073634F" w:rsidR="00D76A86">
        <w:rPr>
          <w:sz w:val="22"/>
          <w:szCs w:val="22"/>
        </w:rPr>
        <w:t>Accordingly</w:t>
      </w:r>
      <w:r w:rsidRPr="0073634F" w:rsidR="003E773D">
        <w:rPr>
          <w:sz w:val="22"/>
          <w:szCs w:val="22"/>
        </w:rPr>
        <w:t xml:space="preserve">, </w:t>
      </w:r>
      <w:r w:rsidR="00333F73">
        <w:rPr>
          <w:sz w:val="22"/>
          <w:szCs w:val="22"/>
        </w:rPr>
        <w:t xml:space="preserve">we emphasize that </w:t>
      </w:r>
      <w:r w:rsidRPr="0073634F" w:rsidR="003E773D">
        <w:rPr>
          <w:sz w:val="22"/>
          <w:szCs w:val="22"/>
        </w:rPr>
        <w:t xml:space="preserve">carriers </w:t>
      </w:r>
      <w:r>
        <w:rPr>
          <w:sz w:val="22"/>
          <w:szCs w:val="22"/>
        </w:rPr>
        <w:t xml:space="preserve">remain obligated </w:t>
      </w:r>
      <w:r w:rsidRPr="0073634F" w:rsidR="003E773D">
        <w:rPr>
          <w:sz w:val="22"/>
          <w:szCs w:val="22"/>
        </w:rPr>
        <w:t xml:space="preserve">to file emergency discontinuance applications </w:t>
      </w:r>
      <w:r w:rsidR="00CF5D34">
        <w:rPr>
          <w:sz w:val="22"/>
          <w:szCs w:val="22"/>
        </w:rPr>
        <w:t>whe</w:t>
      </w:r>
      <w:r>
        <w:rPr>
          <w:sz w:val="22"/>
          <w:szCs w:val="22"/>
        </w:rPr>
        <w:t xml:space="preserve">n service impairments such as CenturyLink’s occur </w:t>
      </w:r>
      <w:r w:rsidRPr="0073634F" w:rsidR="003E773D">
        <w:rPr>
          <w:sz w:val="22"/>
          <w:szCs w:val="22"/>
        </w:rPr>
        <w:t xml:space="preserve">regardless of whether </w:t>
      </w:r>
      <w:r>
        <w:rPr>
          <w:sz w:val="22"/>
          <w:szCs w:val="22"/>
        </w:rPr>
        <w:t xml:space="preserve">such carriers </w:t>
      </w:r>
      <w:r w:rsidRPr="0073634F" w:rsidR="003E773D">
        <w:rPr>
          <w:sz w:val="22"/>
          <w:szCs w:val="22"/>
        </w:rPr>
        <w:t xml:space="preserve">are able to meet the </w:t>
      </w:r>
      <w:r>
        <w:rPr>
          <w:sz w:val="22"/>
          <w:szCs w:val="22"/>
        </w:rPr>
        <w:t xml:space="preserve">required </w:t>
      </w:r>
      <w:r w:rsidRPr="0073634F" w:rsidR="003E773D">
        <w:rPr>
          <w:sz w:val="22"/>
          <w:szCs w:val="22"/>
        </w:rPr>
        <w:t xml:space="preserve">filing deadline.  </w:t>
      </w:r>
      <w:r>
        <w:rPr>
          <w:sz w:val="22"/>
          <w:szCs w:val="22"/>
        </w:rPr>
        <w:t xml:space="preserve">CenturyLink complied with that obligation.  </w:t>
      </w:r>
      <w:r w:rsidRPr="0073634F" w:rsidR="00D76A86">
        <w:rPr>
          <w:sz w:val="22"/>
          <w:szCs w:val="22"/>
        </w:rPr>
        <w:t xml:space="preserve">However, we </w:t>
      </w:r>
      <w:r>
        <w:rPr>
          <w:sz w:val="22"/>
          <w:szCs w:val="22"/>
        </w:rPr>
        <w:t xml:space="preserve">remind </w:t>
      </w:r>
      <w:r w:rsidRPr="0073634F" w:rsidR="003E773D">
        <w:rPr>
          <w:sz w:val="22"/>
          <w:szCs w:val="22"/>
        </w:rPr>
        <w:t xml:space="preserve">CenturyLink and other </w:t>
      </w:r>
      <w:r>
        <w:rPr>
          <w:sz w:val="22"/>
          <w:szCs w:val="22"/>
        </w:rPr>
        <w:t>carriers</w:t>
      </w:r>
      <w:r w:rsidR="00450CE6">
        <w:rPr>
          <w:sz w:val="22"/>
          <w:szCs w:val="22"/>
        </w:rPr>
        <w:t xml:space="preserve"> </w:t>
      </w:r>
      <w:r w:rsidRPr="0073634F" w:rsidR="003E773D">
        <w:rPr>
          <w:sz w:val="22"/>
          <w:szCs w:val="22"/>
        </w:rPr>
        <w:t xml:space="preserve">that the Commission takes seriously the timeframes associated with its emergency discontinuance procedures </w:t>
      </w:r>
      <w:r w:rsidR="009F5DB0">
        <w:rPr>
          <w:sz w:val="22"/>
          <w:szCs w:val="22"/>
        </w:rPr>
        <w:t>and expect</w:t>
      </w:r>
      <w:r>
        <w:rPr>
          <w:sz w:val="22"/>
          <w:szCs w:val="22"/>
        </w:rPr>
        <w:t>s</w:t>
      </w:r>
      <w:r w:rsidR="009F5DB0">
        <w:rPr>
          <w:sz w:val="22"/>
          <w:szCs w:val="22"/>
        </w:rPr>
        <w:t xml:space="preserve"> full compliance </w:t>
      </w:r>
      <w:r w:rsidRPr="0073634F" w:rsidR="003E773D">
        <w:rPr>
          <w:sz w:val="22"/>
          <w:szCs w:val="22"/>
        </w:rPr>
        <w:t xml:space="preserve">absent extraordinary circumstances.  </w:t>
      </w:r>
      <w:r w:rsidR="00590E3D">
        <w:rPr>
          <w:sz w:val="22"/>
          <w:szCs w:val="22"/>
        </w:rPr>
        <w:t>Thus</w:t>
      </w:r>
      <w:r w:rsidR="001165AF">
        <w:rPr>
          <w:sz w:val="22"/>
          <w:szCs w:val="22"/>
        </w:rPr>
        <w:t>,</w:t>
      </w:r>
      <w:r w:rsidR="00590E3D">
        <w:rPr>
          <w:sz w:val="22"/>
          <w:szCs w:val="22"/>
        </w:rPr>
        <w:t xml:space="preserve"> providers are reminded to periodically check their regulatory compliance processes to ensure they will work effectively when required.  </w:t>
      </w:r>
      <w:r w:rsidR="00613AFE">
        <w:rPr>
          <w:sz w:val="22"/>
          <w:szCs w:val="22"/>
        </w:rPr>
        <w:t>W</w:t>
      </w:r>
      <w:r w:rsidR="00542950">
        <w:rPr>
          <w:sz w:val="22"/>
          <w:szCs w:val="22"/>
        </w:rPr>
        <w:t xml:space="preserve">ith this </w:t>
      </w:r>
      <w:r w:rsidR="00EF247E">
        <w:rPr>
          <w:sz w:val="22"/>
          <w:szCs w:val="22"/>
        </w:rPr>
        <w:t>reminder</w:t>
      </w:r>
      <w:r w:rsidR="00EA7827">
        <w:rPr>
          <w:sz w:val="22"/>
          <w:szCs w:val="22"/>
        </w:rPr>
        <w:t>,</w:t>
      </w:r>
      <w:r w:rsidR="00542950">
        <w:rPr>
          <w:sz w:val="22"/>
          <w:szCs w:val="22"/>
        </w:rPr>
        <w:t xml:space="preserve"> </w:t>
      </w:r>
      <w:r w:rsidRPr="0073634F" w:rsidR="00015AFB">
        <w:rPr>
          <w:sz w:val="22"/>
          <w:szCs w:val="22"/>
        </w:rPr>
        <w:t>p</w:t>
      </w:r>
      <w:r w:rsidRPr="0073634F" w:rsidR="003E773D">
        <w:rPr>
          <w:sz w:val="22"/>
          <w:szCs w:val="22"/>
        </w:rPr>
        <w:t xml:space="preserve">roviders are </w:t>
      </w:r>
      <w:r w:rsidR="002730BA">
        <w:rPr>
          <w:sz w:val="22"/>
          <w:szCs w:val="22"/>
        </w:rPr>
        <w:t>notified</w:t>
      </w:r>
      <w:r w:rsidRPr="0073634F" w:rsidR="003E773D">
        <w:rPr>
          <w:sz w:val="22"/>
          <w:szCs w:val="22"/>
        </w:rPr>
        <w:t xml:space="preserve"> that they may face enforcement action if emergency discontinuance filings are not made on a timely and complete basis</w:t>
      </w:r>
      <w:r w:rsidR="00590E3D">
        <w:rPr>
          <w:sz w:val="22"/>
          <w:szCs w:val="22"/>
        </w:rPr>
        <w:t xml:space="preserve"> and </w:t>
      </w:r>
      <w:r w:rsidR="0018698D">
        <w:rPr>
          <w:sz w:val="22"/>
          <w:szCs w:val="22"/>
        </w:rPr>
        <w:t xml:space="preserve">that </w:t>
      </w:r>
      <w:r w:rsidR="00590E3D">
        <w:rPr>
          <w:sz w:val="22"/>
          <w:szCs w:val="22"/>
        </w:rPr>
        <w:t xml:space="preserve">mere process error may not be </w:t>
      </w:r>
      <w:r w:rsidR="00590E3D">
        <w:rPr>
          <w:sz w:val="22"/>
          <w:szCs w:val="22"/>
        </w:rPr>
        <w:t>sufficient</w:t>
      </w:r>
      <w:r w:rsidR="00590E3D">
        <w:rPr>
          <w:sz w:val="22"/>
          <w:szCs w:val="22"/>
        </w:rPr>
        <w:t xml:space="preserve"> to justify a waiver in other cases with different factual circumstances</w:t>
      </w:r>
      <w:r w:rsidR="00224652">
        <w:rPr>
          <w:rStyle w:val="FootnoteReference"/>
          <w:szCs w:val="22"/>
          <w:vertAlign w:val="baseline"/>
        </w:rPr>
        <w:t>.</w:t>
      </w:r>
      <w:r>
        <w:rPr>
          <w:rStyle w:val="FootnoteReference"/>
          <w:szCs w:val="22"/>
        </w:rPr>
        <w:footnoteReference w:id="42"/>
      </w:r>
      <w:r w:rsidRPr="0073634F" w:rsidR="0073634F">
        <w:rPr>
          <w:sz w:val="22"/>
          <w:szCs w:val="22"/>
        </w:rPr>
        <w:t xml:space="preserve">  </w:t>
      </w:r>
      <w:r w:rsidRPr="0073634F" w:rsidR="003E773D">
        <w:rPr>
          <w:sz w:val="22"/>
          <w:szCs w:val="22"/>
        </w:rPr>
        <w:t xml:space="preserve"> </w:t>
      </w:r>
    </w:p>
    <w:p w:rsidR="00FD2B2B" w:rsidRPr="009E143B" w:rsidP="009E143B" w14:paraId="5607E3E3" w14:textId="77777777">
      <w:pPr>
        <w:widowControl/>
        <w:suppressAutoHyphens/>
        <w:ind w:left="720"/>
        <w:jc w:val="left"/>
        <w:rPr>
          <w:sz w:val="22"/>
          <w:szCs w:val="22"/>
        </w:rPr>
      </w:pPr>
    </w:p>
    <w:p w:rsidR="00033D13" w:rsidRPr="0073634F" w:rsidP="00036EE2" w14:paraId="07BE5130" w14:textId="7165AFC5">
      <w:pPr>
        <w:pStyle w:val="ListParagraph"/>
        <w:widowControl/>
        <w:numPr>
          <w:ilvl w:val="0"/>
          <w:numId w:val="1"/>
        </w:numPr>
        <w:suppressAutoHyphens/>
        <w:ind w:left="0"/>
        <w:jc w:val="left"/>
        <w:rPr>
          <w:sz w:val="22"/>
          <w:szCs w:val="22"/>
        </w:rPr>
      </w:pPr>
      <w:r>
        <w:rPr>
          <w:sz w:val="22"/>
          <w:szCs w:val="22"/>
        </w:rPr>
        <w:t>A</w:t>
      </w:r>
      <w:r w:rsidRPr="0073634F" w:rsidR="00CF5D34">
        <w:rPr>
          <w:sz w:val="22"/>
          <w:szCs w:val="22"/>
        </w:rPr>
        <w:t xml:space="preserve">fter </w:t>
      </w:r>
      <w:r w:rsidRPr="0073634F" w:rsidR="00D93B56">
        <w:rPr>
          <w:kern w:val="0"/>
          <w:sz w:val="22"/>
          <w:szCs w:val="22"/>
        </w:rPr>
        <w:t>evaluating the</w:t>
      </w:r>
      <w:r w:rsidRPr="0073634F" w:rsidR="00E25440">
        <w:rPr>
          <w:kern w:val="0"/>
          <w:sz w:val="22"/>
          <w:szCs w:val="22"/>
        </w:rPr>
        <w:t xml:space="preserve"> totality of the circumstances</w:t>
      </w:r>
      <w:r w:rsidRPr="0073634F" w:rsidR="00613AFE">
        <w:rPr>
          <w:kern w:val="0"/>
          <w:sz w:val="22"/>
          <w:szCs w:val="22"/>
        </w:rPr>
        <w:t xml:space="preserve"> </w:t>
      </w:r>
      <w:r w:rsidR="00BC5B58">
        <w:rPr>
          <w:kern w:val="0"/>
          <w:sz w:val="22"/>
          <w:szCs w:val="22"/>
        </w:rPr>
        <w:t>involved here</w:t>
      </w:r>
      <w:r w:rsidR="001165AF">
        <w:rPr>
          <w:kern w:val="0"/>
          <w:sz w:val="22"/>
          <w:szCs w:val="22"/>
        </w:rPr>
        <w:t>,</w:t>
      </w:r>
      <w:r w:rsidR="00BC5B58">
        <w:rPr>
          <w:kern w:val="0"/>
          <w:sz w:val="22"/>
          <w:szCs w:val="22"/>
        </w:rPr>
        <w:t xml:space="preserve"> however</w:t>
      </w:r>
      <w:r w:rsidRPr="0073634F" w:rsidR="00D93B56">
        <w:rPr>
          <w:kern w:val="0"/>
          <w:sz w:val="22"/>
          <w:szCs w:val="22"/>
        </w:rPr>
        <w:t>,</w:t>
      </w:r>
      <w:r w:rsidR="0018698D">
        <w:rPr>
          <w:kern w:val="0"/>
          <w:sz w:val="22"/>
          <w:szCs w:val="22"/>
        </w:rPr>
        <w:t xml:space="preserve"> </w:t>
      </w:r>
      <w:r w:rsidR="00590E3D">
        <w:rPr>
          <w:kern w:val="0"/>
          <w:sz w:val="22"/>
          <w:szCs w:val="22"/>
        </w:rPr>
        <w:t xml:space="preserve">based on the specific circumstances of this case, </w:t>
      </w:r>
      <w:r w:rsidRPr="0073634F" w:rsidR="00D93B56">
        <w:rPr>
          <w:kern w:val="0"/>
          <w:sz w:val="22"/>
          <w:szCs w:val="22"/>
        </w:rPr>
        <w:t xml:space="preserve">we find that </w:t>
      </w:r>
      <w:r w:rsidR="009F5597">
        <w:rPr>
          <w:kern w:val="0"/>
          <w:sz w:val="22"/>
          <w:szCs w:val="22"/>
        </w:rPr>
        <w:t xml:space="preserve">CenturyLink has demonstrated that good cause exists to </w:t>
      </w:r>
      <w:r w:rsidRPr="0073634F" w:rsidR="00D93B56">
        <w:rPr>
          <w:kern w:val="0"/>
          <w:sz w:val="22"/>
          <w:szCs w:val="22"/>
        </w:rPr>
        <w:t xml:space="preserve">grant </w:t>
      </w:r>
      <w:r w:rsidR="009F5597">
        <w:rPr>
          <w:kern w:val="0"/>
          <w:sz w:val="22"/>
          <w:szCs w:val="22"/>
        </w:rPr>
        <w:t xml:space="preserve">its </w:t>
      </w:r>
      <w:r w:rsidRPr="0073634F" w:rsidR="006E677A">
        <w:rPr>
          <w:kern w:val="0"/>
          <w:sz w:val="22"/>
          <w:szCs w:val="22"/>
        </w:rPr>
        <w:t xml:space="preserve">request for </w:t>
      </w:r>
      <w:r w:rsidRPr="0073634F" w:rsidR="003E773D">
        <w:rPr>
          <w:kern w:val="0"/>
          <w:sz w:val="22"/>
          <w:szCs w:val="22"/>
        </w:rPr>
        <w:t>waiver</w:t>
      </w:r>
      <w:r w:rsidRPr="0073634F" w:rsidR="00D93B56">
        <w:rPr>
          <w:kern w:val="0"/>
          <w:sz w:val="22"/>
          <w:szCs w:val="22"/>
        </w:rPr>
        <w:t>.</w:t>
      </w:r>
      <w:r>
        <w:rPr>
          <w:vertAlign w:val="superscript"/>
        </w:rPr>
        <w:footnoteReference w:id="43"/>
      </w:r>
      <w:r w:rsidRPr="0073634F" w:rsidR="00D93B56">
        <w:rPr>
          <w:kern w:val="0"/>
          <w:sz w:val="22"/>
          <w:szCs w:val="22"/>
        </w:rPr>
        <w:t xml:space="preserve">  </w:t>
      </w:r>
      <w:r w:rsidRPr="0073634F" w:rsidR="00BD5C18">
        <w:rPr>
          <w:sz w:val="22"/>
          <w:szCs w:val="22"/>
        </w:rPr>
        <w:t xml:space="preserve">We therefore grant </w:t>
      </w:r>
      <w:r w:rsidRPr="0073634F" w:rsidR="006D502D">
        <w:rPr>
          <w:sz w:val="22"/>
          <w:szCs w:val="22"/>
        </w:rPr>
        <w:t xml:space="preserve">CenturyLink’s request for waiver of the </w:t>
      </w:r>
      <w:r w:rsidRPr="0073634F" w:rsidR="00245611">
        <w:rPr>
          <w:sz w:val="22"/>
          <w:szCs w:val="22"/>
        </w:rPr>
        <w:t>65</w:t>
      </w:r>
      <w:r w:rsidR="00245611">
        <w:rPr>
          <w:sz w:val="22"/>
          <w:szCs w:val="22"/>
        </w:rPr>
        <w:t>-</w:t>
      </w:r>
      <w:r w:rsidRPr="0073634F" w:rsidR="006D502D">
        <w:rPr>
          <w:sz w:val="22"/>
          <w:szCs w:val="22"/>
        </w:rPr>
        <w:t xml:space="preserve">day filing deadline for </w:t>
      </w:r>
      <w:r w:rsidR="00FD5900">
        <w:rPr>
          <w:sz w:val="22"/>
          <w:szCs w:val="22"/>
        </w:rPr>
        <w:t>this</w:t>
      </w:r>
      <w:r w:rsidR="00CF5D34">
        <w:rPr>
          <w:sz w:val="22"/>
          <w:szCs w:val="22"/>
        </w:rPr>
        <w:t xml:space="preserve"> </w:t>
      </w:r>
      <w:r w:rsidRPr="0073634F" w:rsidR="006D502D">
        <w:rPr>
          <w:sz w:val="22"/>
          <w:szCs w:val="22"/>
        </w:rPr>
        <w:t xml:space="preserve">emergency discontinuance application.  </w:t>
      </w:r>
    </w:p>
    <w:p w:rsidR="006D502D" w:rsidRPr="006D502D" w:rsidP="005B776E" w14:paraId="2B3D4A1F" w14:textId="77777777">
      <w:pPr>
        <w:pStyle w:val="ListParagraph"/>
        <w:jc w:val="left"/>
        <w:rPr>
          <w:sz w:val="22"/>
          <w:szCs w:val="22"/>
        </w:rPr>
      </w:pPr>
    </w:p>
    <w:p w:rsidR="002A56B1" w:rsidRPr="00F9612D" w:rsidP="002A56B1" w14:paraId="4D25C829" w14:textId="77777777">
      <w:pPr>
        <w:widowControl/>
        <w:suppressAutoHyphens/>
        <w:jc w:val="left"/>
        <w:rPr>
          <w:b/>
          <w:sz w:val="22"/>
          <w:szCs w:val="22"/>
        </w:rPr>
      </w:pPr>
      <w:r w:rsidRPr="00F9612D">
        <w:rPr>
          <w:b/>
          <w:sz w:val="22"/>
          <w:szCs w:val="22"/>
        </w:rPr>
        <w:t>IV.</w:t>
      </w:r>
      <w:r w:rsidRPr="00F9612D">
        <w:rPr>
          <w:b/>
          <w:sz w:val="22"/>
          <w:szCs w:val="22"/>
        </w:rPr>
        <w:tab/>
        <w:t>ORDERING CLAUSES</w:t>
      </w:r>
    </w:p>
    <w:p w:rsidR="002A56B1" w:rsidRPr="00F9612D" w:rsidP="002A56B1" w14:paraId="3D7CAA55" w14:textId="77777777">
      <w:pPr>
        <w:pStyle w:val="ListParagraph"/>
        <w:widowControl/>
        <w:suppressAutoHyphens/>
        <w:jc w:val="left"/>
        <w:rPr>
          <w:sz w:val="22"/>
          <w:szCs w:val="22"/>
        </w:rPr>
      </w:pPr>
    </w:p>
    <w:p w:rsidR="002A56B1" w:rsidRPr="00B03AAA" w:rsidP="002A56B1" w14:paraId="729F45C2" w14:textId="77777777">
      <w:pPr>
        <w:pStyle w:val="ParaNum"/>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Accordingly, pursuant to sections 1, 4(i), and 214 of the Communications Act of 1934, as amended, 47 U.S.C. §§ 151, 154(i), 214, and sections 0.91</w:t>
      </w:r>
      <w:r>
        <w:rPr>
          <w:sz w:val="22"/>
          <w:szCs w:val="22"/>
        </w:rPr>
        <w:t>(b)</w:t>
      </w:r>
      <w:r w:rsidRPr="00B03AAA">
        <w:rPr>
          <w:sz w:val="22"/>
          <w:szCs w:val="22"/>
        </w:rPr>
        <w:t xml:space="preserve">, </w:t>
      </w:r>
      <w:r>
        <w:rPr>
          <w:sz w:val="22"/>
          <w:szCs w:val="22"/>
        </w:rPr>
        <w:t xml:space="preserve">0.204(b), </w:t>
      </w:r>
      <w:r w:rsidRPr="00B03AAA">
        <w:rPr>
          <w:sz w:val="22"/>
          <w:szCs w:val="22"/>
        </w:rPr>
        <w:t xml:space="preserve">0.291, </w:t>
      </w:r>
      <w:r>
        <w:rPr>
          <w:sz w:val="22"/>
          <w:szCs w:val="22"/>
        </w:rPr>
        <w:t xml:space="preserve">1.3 </w:t>
      </w:r>
      <w:r w:rsidRPr="00B03AAA">
        <w:rPr>
          <w:sz w:val="22"/>
          <w:szCs w:val="22"/>
        </w:rPr>
        <w:t>and 63.</w:t>
      </w:r>
      <w:r>
        <w:rPr>
          <w:sz w:val="22"/>
          <w:szCs w:val="22"/>
        </w:rPr>
        <w:t>63</w:t>
      </w:r>
      <w:r w:rsidRPr="00B03AAA">
        <w:rPr>
          <w:sz w:val="22"/>
          <w:szCs w:val="22"/>
        </w:rPr>
        <w:t xml:space="preserve"> of the </w:t>
      </w:r>
      <w:r w:rsidRPr="00B03AAA">
        <w:rPr>
          <w:sz w:val="22"/>
          <w:szCs w:val="22"/>
        </w:rPr>
        <w:t>Commission’s rules, 47 CFR §§ 0.91</w:t>
      </w:r>
      <w:r>
        <w:rPr>
          <w:sz w:val="22"/>
          <w:szCs w:val="22"/>
        </w:rPr>
        <w:t>(b), 0.204(b)</w:t>
      </w:r>
      <w:r w:rsidRPr="00B03AAA">
        <w:rPr>
          <w:sz w:val="22"/>
          <w:szCs w:val="22"/>
        </w:rPr>
        <w:t xml:space="preserve">, 0.291, </w:t>
      </w:r>
      <w:r>
        <w:rPr>
          <w:sz w:val="22"/>
          <w:szCs w:val="22"/>
        </w:rPr>
        <w:t xml:space="preserve">1.3, </w:t>
      </w:r>
      <w:r w:rsidRPr="00B03AAA">
        <w:rPr>
          <w:sz w:val="22"/>
          <w:szCs w:val="22"/>
        </w:rPr>
        <w:t>63.</w:t>
      </w:r>
      <w:r>
        <w:rPr>
          <w:sz w:val="22"/>
          <w:szCs w:val="22"/>
        </w:rPr>
        <w:t>63</w:t>
      </w:r>
      <w:r w:rsidRPr="00B03AAA">
        <w:rPr>
          <w:sz w:val="22"/>
          <w:szCs w:val="22"/>
        </w:rPr>
        <w:t xml:space="preserve">, IT IS ORDERED that </w:t>
      </w:r>
      <w:r>
        <w:rPr>
          <w:sz w:val="22"/>
          <w:szCs w:val="22"/>
        </w:rPr>
        <w:t>CenturyLink</w:t>
      </w:r>
      <w:r w:rsidRPr="00B03AAA">
        <w:rPr>
          <w:sz w:val="22"/>
          <w:szCs w:val="22"/>
        </w:rPr>
        <w:t xml:space="preserve">’s </w:t>
      </w:r>
      <w:r>
        <w:rPr>
          <w:sz w:val="22"/>
          <w:szCs w:val="22"/>
        </w:rPr>
        <w:t xml:space="preserve">request for waiver of the 65-day filing deadline in 47 CFR § 63.63(a) </w:t>
      </w:r>
      <w:r w:rsidRPr="00B03AAA">
        <w:rPr>
          <w:sz w:val="22"/>
          <w:szCs w:val="22"/>
        </w:rPr>
        <w:t>IS GRANTED.</w:t>
      </w:r>
    </w:p>
    <w:p w:rsidR="002A56B1" w:rsidRPr="00B03AAA" w:rsidP="002A56B1" w14:paraId="63441D3C" w14:textId="77777777">
      <w:pPr>
        <w:pStyle w:val="ParaNum"/>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rPr>
          <w:sz w:val="22"/>
          <w:szCs w:val="22"/>
        </w:rPr>
      </w:pPr>
      <w:r w:rsidRPr="00B03AAA">
        <w:rPr>
          <w:sz w:val="22"/>
          <w:szCs w:val="22"/>
        </w:rPr>
        <w:t>Pursuant to section 1.103, of the Commission’s rules, 47 CFR § 1.103, IT IS ORDERED that the grant is effective upon release of this Order.</w:t>
      </w:r>
    </w:p>
    <w:p w:rsidR="002A56B1" w:rsidRPr="00B03AAA" w:rsidP="002A56B1" w14:paraId="47226714" w14:textId="77777777">
      <w:pPr>
        <w:widowControl/>
        <w:tabs>
          <w:tab w:val="left" w:pos="-720"/>
          <w:tab w:val="left" w:pos="0"/>
        </w:tabs>
        <w:suppressAutoHyphens/>
        <w:ind w:firstLine="3600"/>
        <w:outlineLvl w:val="0"/>
        <w:rPr>
          <w:spacing w:val="-3"/>
          <w:sz w:val="22"/>
          <w:szCs w:val="22"/>
        </w:rPr>
      </w:pPr>
    </w:p>
    <w:p w:rsidR="002A56B1" w:rsidRPr="00B03AAA" w:rsidP="002A56B1" w14:paraId="0DD953C5" w14:textId="77777777">
      <w:pPr>
        <w:widowControl/>
        <w:tabs>
          <w:tab w:val="left" w:pos="-720"/>
          <w:tab w:val="left" w:pos="0"/>
        </w:tabs>
        <w:suppressAutoHyphens/>
        <w:ind w:firstLine="3600"/>
        <w:outlineLvl w:val="0"/>
        <w:rPr>
          <w:spacing w:val="-3"/>
          <w:sz w:val="22"/>
          <w:szCs w:val="22"/>
        </w:rPr>
      </w:pPr>
    </w:p>
    <w:p w:rsidR="002A56B1" w:rsidRPr="00B03AAA" w:rsidP="002A56B1" w14:paraId="656F5673" w14:textId="77777777">
      <w:pPr>
        <w:widowControl/>
        <w:tabs>
          <w:tab w:val="left" w:pos="-720"/>
          <w:tab w:val="left" w:pos="0"/>
        </w:tabs>
        <w:suppressAutoHyphens/>
        <w:ind w:firstLine="3600"/>
        <w:outlineLvl w:val="0"/>
        <w:rPr>
          <w:spacing w:val="-3"/>
          <w:sz w:val="22"/>
          <w:szCs w:val="22"/>
        </w:rPr>
      </w:pPr>
    </w:p>
    <w:p w:rsidR="002A56B1" w:rsidRPr="00B03AAA" w:rsidP="002A56B1" w14:paraId="7B546838" w14:textId="77777777">
      <w:pPr>
        <w:widowControl/>
        <w:tabs>
          <w:tab w:val="left" w:pos="-720"/>
          <w:tab w:val="left" w:pos="0"/>
        </w:tabs>
        <w:suppressAutoHyphens/>
        <w:ind w:firstLine="3600"/>
        <w:outlineLvl w:val="0"/>
        <w:rPr>
          <w:spacing w:val="-3"/>
          <w:sz w:val="22"/>
          <w:szCs w:val="22"/>
        </w:rPr>
      </w:pPr>
    </w:p>
    <w:p w:rsidR="002A56B1" w:rsidRPr="00B03AAA" w:rsidP="002A56B1" w14:paraId="702F2281" w14:textId="77777777">
      <w:pPr>
        <w:widowControl/>
        <w:tabs>
          <w:tab w:val="left" w:pos="-720"/>
          <w:tab w:val="left" w:pos="0"/>
        </w:tabs>
        <w:suppressAutoHyphens/>
        <w:ind w:firstLine="3600"/>
        <w:outlineLvl w:val="0"/>
        <w:rPr>
          <w:spacing w:val="-3"/>
          <w:sz w:val="22"/>
          <w:szCs w:val="22"/>
        </w:rPr>
      </w:pPr>
      <w:r w:rsidRPr="00B03AAA">
        <w:rPr>
          <w:spacing w:val="-3"/>
          <w:sz w:val="22"/>
          <w:szCs w:val="22"/>
        </w:rPr>
        <w:t>FEDERAL COMMUNICATIONS COMMISSION</w:t>
      </w:r>
    </w:p>
    <w:p w:rsidR="002A56B1" w:rsidRPr="00B03AAA" w:rsidP="002A56B1" w14:paraId="5B4B99EF" w14:textId="77777777">
      <w:pPr>
        <w:widowControl/>
        <w:tabs>
          <w:tab w:val="left" w:pos="-720"/>
          <w:tab w:val="left" w:pos="0"/>
        </w:tabs>
        <w:suppressAutoHyphens/>
        <w:ind w:firstLine="3600"/>
        <w:rPr>
          <w:spacing w:val="-3"/>
          <w:sz w:val="22"/>
          <w:szCs w:val="22"/>
        </w:rPr>
      </w:pPr>
    </w:p>
    <w:p w:rsidR="002A56B1" w:rsidRPr="00B03AAA" w:rsidP="002A56B1" w14:paraId="7E5D5564" w14:textId="77777777">
      <w:pPr>
        <w:widowControl/>
        <w:tabs>
          <w:tab w:val="left" w:pos="-720"/>
          <w:tab w:val="left" w:pos="0"/>
        </w:tabs>
        <w:suppressAutoHyphens/>
        <w:ind w:firstLine="3600"/>
        <w:rPr>
          <w:strike/>
          <w:spacing w:val="-3"/>
          <w:sz w:val="22"/>
          <w:szCs w:val="22"/>
        </w:rPr>
      </w:pPr>
    </w:p>
    <w:p w:rsidR="002A56B1" w:rsidRPr="00B03AAA" w:rsidP="002A56B1" w14:paraId="5DA1C8EC" w14:textId="77777777">
      <w:pPr>
        <w:widowControl/>
        <w:tabs>
          <w:tab w:val="left" w:pos="-720"/>
          <w:tab w:val="left" w:pos="0"/>
        </w:tabs>
        <w:suppressAutoHyphens/>
        <w:ind w:firstLine="3600"/>
        <w:rPr>
          <w:spacing w:val="-3"/>
          <w:sz w:val="22"/>
          <w:szCs w:val="22"/>
        </w:rPr>
      </w:pPr>
    </w:p>
    <w:p w:rsidR="002A56B1" w:rsidRPr="00B03AAA" w:rsidP="002A56B1" w14:paraId="22A5FFA5" w14:textId="77777777">
      <w:pPr>
        <w:widowControl/>
        <w:tabs>
          <w:tab w:val="left" w:pos="-720"/>
          <w:tab w:val="left" w:pos="0"/>
        </w:tabs>
        <w:suppressAutoHyphens/>
        <w:ind w:firstLine="3600"/>
        <w:rPr>
          <w:spacing w:val="-3"/>
          <w:sz w:val="22"/>
          <w:szCs w:val="22"/>
        </w:rPr>
      </w:pPr>
      <w:r>
        <w:rPr>
          <w:spacing w:val="-3"/>
          <w:sz w:val="22"/>
          <w:szCs w:val="22"/>
        </w:rPr>
        <w:t>Pamela Arluk</w:t>
      </w:r>
    </w:p>
    <w:p w:rsidR="002A56B1" w:rsidRPr="00B03AAA" w:rsidP="002A56B1" w14:paraId="554D24B9" w14:textId="77777777">
      <w:pPr>
        <w:widowControl/>
        <w:tabs>
          <w:tab w:val="left" w:pos="-720"/>
          <w:tab w:val="left" w:pos="0"/>
        </w:tabs>
        <w:suppressAutoHyphens/>
        <w:ind w:firstLine="3600"/>
        <w:rPr>
          <w:spacing w:val="-3"/>
          <w:sz w:val="22"/>
          <w:szCs w:val="22"/>
        </w:rPr>
      </w:pPr>
      <w:r w:rsidRPr="00B03AAA">
        <w:rPr>
          <w:spacing w:val="-3"/>
          <w:sz w:val="22"/>
          <w:szCs w:val="22"/>
        </w:rPr>
        <w:t>Chief</w:t>
      </w:r>
    </w:p>
    <w:p w:rsidR="002A56B1" w:rsidRPr="00B03AAA" w:rsidP="002A56B1" w14:paraId="0B86A780" w14:textId="77777777">
      <w:pPr>
        <w:widowControl/>
        <w:tabs>
          <w:tab w:val="left" w:pos="-720"/>
          <w:tab w:val="left" w:pos="0"/>
        </w:tabs>
        <w:suppressAutoHyphens/>
        <w:ind w:firstLine="3600"/>
        <w:rPr>
          <w:spacing w:val="-3"/>
          <w:sz w:val="22"/>
          <w:szCs w:val="22"/>
        </w:rPr>
      </w:pPr>
      <w:r w:rsidRPr="00B03AAA">
        <w:rPr>
          <w:spacing w:val="-3"/>
          <w:sz w:val="22"/>
          <w:szCs w:val="22"/>
        </w:rPr>
        <w:t>Competition Policy Division</w:t>
      </w:r>
    </w:p>
    <w:p w:rsidR="00D63BFC" w:rsidRPr="00B03AAA" w:rsidP="003A6DC3" w14:paraId="114FBB25" w14:textId="7A91FEAA">
      <w:pPr>
        <w:widowControl/>
        <w:tabs>
          <w:tab w:val="left" w:pos="-720"/>
          <w:tab w:val="left" w:pos="0"/>
        </w:tabs>
        <w:suppressAutoHyphens/>
        <w:ind w:firstLine="3600"/>
        <w:rPr>
          <w:sz w:val="22"/>
          <w:szCs w:val="22"/>
        </w:rPr>
      </w:pPr>
      <w:r w:rsidRPr="00B03AAA">
        <w:rPr>
          <w:spacing w:val="-3"/>
          <w:sz w:val="22"/>
          <w:szCs w:val="22"/>
        </w:rPr>
        <w:t>Wireline Competition Bureau</w:t>
      </w:r>
    </w:p>
    <w:sectPr w:rsidSect="002B1CC6">
      <w:headerReference w:type="default" r:id="rId5"/>
      <w:footerReference w:type="even" r:id="rId6"/>
      <w:footerReference w:type="default" r:id="rId7"/>
      <w:headerReference w:type="first" r:id="rId8"/>
      <w:footerReference w:type="first" r:id="rId9"/>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602" w14:paraId="0E5346D9" w14:textId="7777777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960602" w14:paraId="2BD1AC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602" w:rsidRPr="00C369CC" w14:paraId="1B2A8B28" w14:textId="77777777">
    <w:pPr>
      <w:pStyle w:val="Footer"/>
      <w:framePr w:wrap="around" w:vAnchor="text" w:hAnchor="margin" w:xAlign="center" w:y="1"/>
      <w:rPr>
        <w:sz w:val="22"/>
        <w:szCs w:val="22"/>
      </w:rPr>
    </w:pPr>
    <w:r w:rsidRPr="00C369CC">
      <w:rPr>
        <w:sz w:val="22"/>
        <w:szCs w:val="22"/>
      </w:rPr>
      <w:fldChar w:fldCharType="begin"/>
    </w:r>
    <w:r w:rsidRPr="00C369CC">
      <w:rPr>
        <w:sz w:val="22"/>
        <w:szCs w:val="22"/>
      </w:rPr>
      <w:instrText xml:space="preserve">PAGE  </w:instrText>
    </w:r>
    <w:r w:rsidRPr="00C369CC">
      <w:rPr>
        <w:sz w:val="22"/>
        <w:szCs w:val="22"/>
      </w:rPr>
      <w:fldChar w:fldCharType="separate"/>
    </w:r>
    <w:r w:rsidR="006F5087">
      <w:rPr>
        <w:noProof/>
        <w:sz w:val="22"/>
        <w:szCs w:val="22"/>
      </w:rPr>
      <w:t>4</w:t>
    </w:r>
    <w:r w:rsidRPr="00C369CC">
      <w:rPr>
        <w:sz w:val="22"/>
        <w:szCs w:val="22"/>
      </w:rPr>
      <w:fldChar w:fldCharType="end"/>
    </w:r>
  </w:p>
  <w:p w:rsidR="00960602" w14:paraId="4A29435D" w14:textId="77777777">
    <w:pPr>
      <w:spacing w:before="140" w:line="100" w:lineRule="exact"/>
      <w:rPr>
        <w:sz w:val="10"/>
      </w:rPr>
    </w:pPr>
  </w:p>
  <w:p w:rsidR="00960602" w14:paraId="2C0A2BB7" w14:textId="77777777">
    <w:pPr>
      <w:suppressAutoHyphens/>
      <w:spacing w:line="227" w:lineRule="auto"/>
    </w:pPr>
  </w:p>
  <w:p w:rsidR="00960602" w14:paraId="1D3BD8A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602" w14:paraId="3A9057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0BF9" w14:paraId="0A89286D" w14:textId="77777777">
      <w:r>
        <w:separator/>
      </w:r>
    </w:p>
  </w:footnote>
  <w:footnote w:type="continuationSeparator" w:id="1">
    <w:p w:rsidR="00410BF9" w14:paraId="22C027DF" w14:textId="77777777">
      <w:pPr>
        <w:rPr>
          <w:sz w:val="20"/>
        </w:rPr>
      </w:pPr>
      <w:r>
        <w:rPr>
          <w:sz w:val="20"/>
        </w:rPr>
        <w:t xml:space="preserve">(Continued from previous page)  </w:t>
      </w:r>
      <w:r>
        <w:rPr>
          <w:sz w:val="20"/>
        </w:rPr>
        <w:separator/>
      </w:r>
    </w:p>
  </w:footnote>
  <w:footnote w:type="continuationNotice" w:id="2">
    <w:p w:rsidR="00410BF9" w14:paraId="15006F6D" w14:textId="77777777">
      <w:pPr>
        <w:rPr>
          <w:sz w:val="20"/>
        </w:rPr>
      </w:pPr>
      <w:r>
        <w:rPr>
          <w:sz w:val="20"/>
        </w:rPr>
        <w:t>(continued….)</w:t>
      </w:r>
    </w:p>
  </w:footnote>
  <w:footnote w:id="3">
    <w:p w:rsidR="00A1153C" w:rsidP="00D247E3" w14:paraId="6C61793C" w14:textId="77777777">
      <w:pPr>
        <w:pStyle w:val="FootnoteText"/>
        <w:spacing w:after="120"/>
        <w:jc w:val="left"/>
      </w:pPr>
      <w:r w:rsidRPr="00CE37C7">
        <w:rPr>
          <w:rStyle w:val="FootnoteReference"/>
        </w:rPr>
        <w:footnoteRef/>
      </w:r>
      <w:r w:rsidRPr="00CE37C7">
        <w:t xml:space="preserve"> </w:t>
      </w:r>
      <w:r w:rsidRPr="00DE147A">
        <w:rPr>
          <w:spacing w:val="-3"/>
        </w:rPr>
        <w:t>47 U.S.C. § 214(a).</w:t>
      </w:r>
    </w:p>
  </w:footnote>
  <w:footnote w:id="4">
    <w:p w:rsidR="00A1153C" w:rsidP="00D247E3" w14:paraId="7274E150" w14:textId="77777777">
      <w:pPr>
        <w:pStyle w:val="FootnoteText"/>
        <w:spacing w:after="120"/>
        <w:jc w:val="left"/>
      </w:pPr>
      <w:r w:rsidRPr="00DE147A">
        <w:rPr>
          <w:rStyle w:val="FootnoteReference"/>
        </w:rPr>
        <w:footnoteRef/>
      </w:r>
      <w:r w:rsidRPr="00DE147A">
        <w:t xml:space="preserve"> </w:t>
      </w:r>
      <w:r w:rsidRPr="00DE147A">
        <w:rPr>
          <w:spacing w:val="-3"/>
        </w:rPr>
        <w:t>47 CFR § 63.</w:t>
      </w:r>
      <w:r w:rsidRPr="00DE147A" w:rsidR="00F45497">
        <w:rPr>
          <w:spacing w:val="-3"/>
        </w:rPr>
        <w:t>63</w:t>
      </w:r>
      <w:r w:rsidRPr="00DE147A">
        <w:rPr>
          <w:spacing w:val="-3"/>
        </w:rPr>
        <w:t>.</w:t>
      </w:r>
    </w:p>
  </w:footnote>
  <w:footnote w:id="5">
    <w:p w:rsidR="00A1153C" w:rsidP="00AF615F" w14:paraId="08F4B745" w14:textId="77777777">
      <w:pPr>
        <w:pStyle w:val="FootnoteText"/>
        <w:spacing w:after="120"/>
        <w:jc w:val="left"/>
      </w:pPr>
      <w:r>
        <w:rPr>
          <w:rStyle w:val="FootnoteReference"/>
        </w:rPr>
        <w:footnoteRef/>
      </w:r>
      <w:r>
        <w:t xml:space="preserve"> </w:t>
      </w:r>
      <w:r w:rsidRPr="004A2B57">
        <w:rPr>
          <w:i/>
          <w:iCs/>
        </w:rPr>
        <w:t>See</w:t>
      </w:r>
      <w:r w:rsidRPr="004A2B57">
        <w:t xml:space="preserve"> 47 CFR §</w:t>
      </w:r>
      <w:r w:rsidR="00354D8D">
        <w:t xml:space="preserve"> </w:t>
      </w:r>
      <w:r w:rsidRPr="004A2B57">
        <w:t>63.63</w:t>
      </w:r>
      <w:r>
        <w:t>(a)</w:t>
      </w:r>
      <w:r w:rsidRPr="004A2B57">
        <w:t xml:space="preserve">.  </w:t>
      </w:r>
    </w:p>
  </w:footnote>
  <w:footnote w:id="6">
    <w:p w:rsidR="00A1153C" w:rsidP="00AF615F" w14:paraId="2F2799A0" w14:textId="163B8084">
      <w:pPr>
        <w:pStyle w:val="FootnoteText"/>
        <w:spacing w:after="120"/>
        <w:jc w:val="left"/>
      </w:pPr>
      <w:r>
        <w:rPr>
          <w:rStyle w:val="FootnoteReference"/>
        </w:rPr>
        <w:footnoteRef/>
      </w:r>
      <w:r w:rsidR="00D75632">
        <w:t xml:space="preserve"> Application of CenturyTel of Michigan, Inc. d/b/a CenturyLink Pursuant to 47 C.F.R. § 63.63 for the Emergency Impairment of Service</w:t>
      </w:r>
      <w:bookmarkStart w:id="0" w:name="_Hlk52962151"/>
      <w:r w:rsidR="00057FEC">
        <w:t>, WC Docket No. 20-278</w:t>
      </w:r>
      <w:bookmarkEnd w:id="0"/>
      <w:r w:rsidR="00533D42">
        <w:t xml:space="preserve"> (August 25, 2020), </w:t>
      </w:r>
      <w:hyperlink r:id="rId1" w:history="1">
        <w:r w:rsidRPr="00312199" w:rsidR="00312199">
          <w:rPr>
            <w:rStyle w:val="Hyperlink"/>
          </w:rPr>
          <w:t>https://ecfsapi.fcc.gov/file/10825526406933/200825%20CTL%20Michigan%2063.63%20Appplication.pdf</w:t>
        </w:r>
      </w:hyperlink>
      <w:r w:rsidRPr="00387BF5" w:rsidR="00387BF5">
        <w:t xml:space="preserve"> </w:t>
      </w:r>
      <w:r w:rsidRPr="004A2B57">
        <w:t>(CenturyLink Application).</w:t>
      </w:r>
      <w:r w:rsidR="009025E7">
        <w:t xml:space="preserve">  On October 2, 2020, CenturyLink filed supplemental information to update the record regarding its tracking of service impairments and its restoration efforts.  Letter from </w:t>
      </w:r>
      <w:r w:rsidR="007A5AEC">
        <w:t>Jeanne W. Stockman</w:t>
      </w:r>
      <w:r w:rsidRPr="007A5AEC" w:rsidR="007A5AEC">
        <w:t xml:space="preserve">, </w:t>
      </w:r>
      <w:r w:rsidR="007A5AEC">
        <w:t>Associate General Counsel</w:t>
      </w:r>
      <w:r w:rsidRPr="007A5AEC" w:rsidR="007A5AEC">
        <w:t xml:space="preserve">, </w:t>
      </w:r>
      <w:r w:rsidR="007A5AEC">
        <w:t>CenturyLink</w:t>
      </w:r>
      <w:r w:rsidRPr="007A5AEC" w:rsidR="007A5AEC">
        <w:t xml:space="preserve">, to </w:t>
      </w:r>
      <w:r w:rsidR="007A5AEC">
        <w:t>Marlene H. Dortch, Secretary, Federal Communications Commission</w:t>
      </w:r>
      <w:r w:rsidRPr="00057FEC" w:rsidR="00057FEC">
        <w:t>, WC Docket No. 20-278</w:t>
      </w:r>
      <w:r w:rsidRPr="007A5AEC" w:rsidR="007A5AEC">
        <w:t xml:space="preserve"> (</w:t>
      </w:r>
      <w:r w:rsidR="007A5AEC">
        <w:t>October 2, 2020</w:t>
      </w:r>
      <w:r w:rsidRPr="007A5AEC" w:rsidR="007A5AEC">
        <w:t>),</w:t>
      </w:r>
      <w:r w:rsidR="007A5AEC">
        <w:t xml:space="preserve"> </w:t>
      </w:r>
      <w:hyperlink r:id="rId2" w:history="1">
        <w:r w:rsidRPr="00B073D3" w:rsidR="007A5AEC">
          <w:rPr>
            <w:rStyle w:val="Hyperlink"/>
          </w:rPr>
          <w:t>https://ecfsapi.fcc.gov/file/100393857755/201002%20Michigan%20Sec%2063%2063%20Supplement%20REDACTED.pdf</w:t>
        </w:r>
      </w:hyperlink>
      <w:r w:rsidR="007A5AEC">
        <w:t xml:space="preserve"> (CenturyLink Supplemental Letter).</w:t>
      </w:r>
      <w:r w:rsidR="0025582A">
        <w:t xml:space="preserve">   On October 27, 2020, CenturyLink filed more detailed supplemental information regarding its tracking of service impairments and its restoration efforts.  </w:t>
      </w:r>
      <w:r w:rsidRPr="0081291B" w:rsidR="0025582A">
        <w:rPr>
          <w:i/>
          <w:iCs/>
        </w:rPr>
        <w:t xml:space="preserve">See </w:t>
      </w:r>
      <w:r w:rsidR="0025582A">
        <w:t xml:space="preserve">Letter from Jeanne W. Stockman, Associate General Counsel, CenturyLink, to Marlene H. Dortch, Secretary, Federal Communications Commission, WC Docket No. 20-278 (October 27, 2020), </w:t>
      </w:r>
      <w:hyperlink r:id="rId3" w:history="1">
        <w:r w:rsidRPr="00242D13" w:rsidR="000F4597">
          <w:rPr>
            <w:rStyle w:val="Hyperlink"/>
          </w:rPr>
          <w:t>https://ecfsapi.fcc.gov/file/1027817622389/201027%20CTL%20Sec%2063.63%20Supplement%20WC20-278.pdf</w:t>
        </w:r>
      </w:hyperlink>
      <w:r w:rsidR="000F4597">
        <w:t xml:space="preserve"> (CenturyLink Second Supplemental Letter).</w:t>
      </w:r>
    </w:p>
  </w:footnote>
  <w:footnote w:id="7">
    <w:p w:rsidR="00A1153C" w:rsidP="00AF615F" w14:paraId="1D3D5483" w14:textId="77777777">
      <w:pPr>
        <w:pStyle w:val="FootnoteText"/>
        <w:spacing w:after="120"/>
        <w:jc w:val="left"/>
      </w:pPr>
      <w:r>
        <w:rPr>
          <w:rStyle w:val="FootnoteReference"/>
        </w:rPr>
        <w:footnoteRef/>
      </w:r>
      <w:r>
        <w:t xml:space="preserve"> CenturyLink Application at 1-2.</w:t>
      </w:r>
    </w:p>
  </w:footnote>
  <w:footnote w:id="8">
    <w:p w:rsidR="00A1153C" w:rsidP="00AF615F" w14:paraId="54DFE0B5" w14:textId="690822D6">
      <w:pPr>
        <w:pStyle w:val="FootnoteText"/>
        <w:spacing w:after="120"/>
        <w:jc w:val="left"/>
      </w:pPr>
      <w:r>
        <w:rPr>
          <w:rStyle w:val="FootnoteReference"/>
        </w:rPr>
        <w:footnoteRef/>
      </w:r>
      <w:r>
        <w:t xml:space="preserve"> </w:t>
      </w:r>
      <w:r w:rsidRPr="004A2B57">
        <w:t>CenturyLink Application at 1</w:t>
      </w:r>
      <w:r w:rsidR="00CC108A">
        <w:t>-</w:t>
      </w:r>
      <w:r w:rsidR="0020078E">
        <w:t>4</w:t>
      </w:r>
      <w:r w:rsidR="002A115E">
        <w:t>; CenturyLink Supplemental Letter at 1-2</w:t>
      </w:r>
      <w:r w:rsidRPr="004A2B57">
        <w:t>.</w:t>
      </w:r>
      <w:r w:rsidR="00B431C0">
        <w:t xml:space="preserve">  </w:t>
      </w:r>
      <w:r w:rsidRPr="003A6DC3" w:rsidR="0045249F">
        <w:t xml:space="preserve">Since this time, several customers have transitioned </w:t>
      </w:r>
      <w:r w:rsidRPr="003A6DC3" w:rsidR="0045249F">
        <w:t>off of</w:t>
      </w:r>
      <w:r w:rsidRPr="003A6DC3" w:rsidR="0045249F">
        <w:t xml:space="preserve"> CenturyLink’s service and service has now been restored to the vast majority of remaining CenturyLink customers</w:t>
      </w:r>
      <w:r w:rsidR="00EF06FB">
        <w:t xml:space="preserve">.  </w:t>
      </w:r>
      <w:r w:rsidR="00B431C0">
        <w:t>CenturyLink</w:t>
      </w:r>
      <w:r w:rsidRPr="00B431C0" w:rsidR="00B431C0">
        <w:t xml:space="preserve"> </w:t>
      </w:r>
      <w:r w:rsidR="00EF06FB">
        <w:t xml:space="preserve">also </w:t>
      </w:r>
      <w:r w:rsidR="00B32E04">
        <w:t>is issuing</w:t>
      </w:r>
      <w:r w:rsidR="00B431C0">
        <w:t xml:space="preserve"> credits on customer bills to</w:t>
      </w:r>
      <w:r w:rsidR="00801CCD">
        <w:t xml:space="preserve"> </w:t>
      </w:r>
      <w:r w:rsidR="00B431C0">
        <w:t xml:space="preserve">ensure </w:t>
      </w:r>
      <w:r w:rsidR="00801CCD">
        <w:t xml:space="preserve">that </w:t>
      </w:r>
      <w:r w:rsidR="00B431C0">
        <w:t>customers are not charged for the duration of the service interruption.</w:t>
      </w:r>
      <w:r w:rsidR="00801CCD">
        <w:t xml:space="preserve">  CenturyLink Second Supplemental Letter at 5.</w:t>
      </w:r>
    </w:p>
  </w:footnote>
  <w:footnote w:id="9">
    <w:p w:rsidR="00A1153C" w:rsidP="00AF615F" w14:paraId="2BBC65A8" w14:textId="77777777">
      <w:pPr>
        <w:pStyle w:val="FootnoteText"/>
        <w:spacing w:after="120"/>
        <w:jc w:val="left"/>
      </w:pPr>
      <w:r>
        <w:rPr>
          <w:rStyle w:val="FootnoteReference"/>
        </w:rPr>
        <w:footnoteRef/>
      </w:r>
      <w:r>
        <w:t xml:space="preserve"> </w:t>
      </w:r>
      <w:r w:rsidRPr="004A2B57">
        <w:t>47 CFR §</w:t>
      </w:r>
      <w:r w:rsidR="00036EE2">
        <w:t xml:space="preserve"> </w:t>
      </w:r>
      <w:r w:rsidRPr="004A2B57">
        <w:t>63.63(a).  CenturyLink should have filed its emergency discontinuance application no later than July 2</w:t>
      </w:r>
      <w:r w:rsidR="005B776E">
        <w:t>3</w:t>
      </w:r>
      <w:r w:rsidRPr="004A2B57">
        <w:t xml:space="preserve">, 2020.  </w:t>
      </w:r>
    </w:p>
  </w:footnote>
  <w:footnote w:id="10">
    <w:p w:rsidR="00A1153C" w:rsidP="00AF615F" w14:paraId="7594B911" w14:textId="77777777">
      <w:pPr>
        <w:pStyle w:val="FootnoteText"/>
        <w:spacing w:after="120"/>
        <w:jc w:val="left"/>
      </w:pPr>
      <w:r>
        <w:rPr>
          <w:rStyle w:val="FootnoteReference"/>
        </w:rPr>
        <w:footnoteRef/>
      </w:r>
      <w:r>
        <w:t xml:space="preserve"> </w:t>
      </w:r>
      <w:r w:rsidRPr="00F36628">
        <w:t xml:space="preserve">CenturyLink Application at </w:t>
      </w:r>
      <w:r w:rsidR="000B1CCA">
        <w:t xml:space="preserve">4, </w:t>
      </w:r>
      <w:r w:rsidRPr="00F36628">
        <w:t>note 5.</w:t>
      </w:r>
    </w:p>
  </w:footnote>
  <w:footnote w:id="11">
    <w:p w:rsidR="00A1153C" w:rsidP="00AF615F" w14:paraId="658CB59D" w14:textId="566F27BB">
      <w:pPr>
        <w:pStyle w:val="FootnoteText"/>
        <w:spacing w:after="120"/>
        <w:jc w:val="left"/>
      </w:pPr>
      <w:r w:rsidRPr="00C2022C">
        <w:rPr>
          <w:rStyle w:val="FootnoteReference"/>
        </w:rPr>
        <w:footnoteRef/>
      </w:r>
      <w:r w:rsidRPr="00C2022C">
        <w:t xml:space="preserve"> Section 214(a) states, in relevant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 except that the Commission may, upon appropriate request being made, authorize temporary or emergency discontinuance, reduction, or impairment of service,</w:t>
      </w:r>
      <w:r w:rsidR="00CC06D3">
        <w:t>”</w:t>
      </w:r>
      <w:r w:rsidRPr="00C2022C">
        <w:t xml:space="preserve"> without regard to </w:t>
      </w:r>
      <w:r w:rsidRPr="00C2022C" w:rsidR="00CC06D3">
        <w:t>th</w:t>
      </w:r>
      <w:r w:rsidR="00CC06D3">
        <w:t>e provisions of the</w:t>
      </w:r>
      <w:r w:rsidRPr="00C2022C" w:rsidR="00CC06D3">
        <w:t xml:space="preserve"> </w:t>
      </w:r>
      <w:r w:rsidRPr="00C2022C">
        <w:t xml:space="preserve">section. </w:t>
      </w:r>
      <w:bookmarkStart w:id="2" w:name="_Hlk52963944"/>
      <w:r w:rsidR="00CC06D3">
        <w:t xml:space="preserve"> </w:t>
      </w:r>
      <w:r w:rsidR="00CC06D3">
        <w:rPr>
          <w:i/>
          <w:iCs/>
        </w:rPr>
        <w:t xml:space="preserve">See </w:t>
      </w:r>
      <w:r w:rsidRPr="00C2022C">
        <w:t>47 U.S.C.</w:t>
      </w:r>
      <w:bookmarkEnd w:id="2"/>
      <w:r w:rsidRPr="00C2022C">
        <w:t xml:space="preserve"> § 214(a).</w:t>
      </w:r>
    </w:p>
  </w:footnote>
  <w:footnote w:id="12">
    <w:p w:rsidR="00A1153C" w:rsidP="00AF615F" w14:paraId="62202C5D" w14:textId="29195803">
      <w:pPr>
        <w:pStyle w:val="FootnoteText"/>
        <w:spacing w:after="120"/>
        <w:jc w:val="left"/>
      </w:pPr>
      <w:r>
        <w:rPr>
          <w:rStyle w:val="FootnoteReference"/>
        </w:rPr>
        <w:footnoteRef/>
      </w:r>
      <w:r>
        <w:t xml:space="preserve"> </w:t>
      </w:r>
      <w:bookmarkStart w:id="3" w:name="_Hlk55322792"/>
      <w:r w:rsidRPr="00AF3527">
        <w:t>47 CFR § 63.63</w:t>
      </w:r>
      <w:bookmarkEnd w:id="3"/>
      <w:r>
        <w:t>.</w:t>
      </w:r>
      <w:r w:rsidR="00E474CE">
        <w:t xml:space="preserve">  </w:t>
      </w:r>
      <w:r w:rsidRPr="00E474CE" w:rsidR="00E474CE">
        <w:t xml:space="preserve">Emergency discontinuance, reduction, or impairment of service means any discontinuance, reduction, or impairment of the service of a carrier occasioned by conditions beyond the control of such carrier where the original service is not </w:t>
      </w:r>
      <w:r w:rsidRPr="00E474CE" w:rsidR="00E474CE">
        <w:t>restored</w:t>
      </w:r>
      <w:r w:rsidRPr="00E474CE" w:rsidR="00E474CE">
        <w:t xml:space="preserve"> or comparable service is not established within a reasonable time. </w:t>
      </w:r>
      <w:r w:rsidR="00803556">
        <w:t xml:space="preserve"> </w:t>
      </w:r>
      <w:r w:rsidRPr="00E474CE" w:rsidR="00E474CE">
        <w:t>For the purpose of this part, a reasonable time shall be deemed to be a period not in excess of the following: 10 days in the case of public coast stations; and 60 days in all other cases</w:t>
      </w:r>
      <w:r w:rsidR="00E474CE">
        <w:t>.  47 CFR §</w:t>
      </w:r>
      <w:r w:rsidR="00803556">
        <w:t xml:space="preserve"> </w:t>
      </w:r>
      <w:r w:rsidR="00E474CE">
        <w:t>63.60(c).</w:t>
      </w:r>
    </w:p>
  </w:footnote>
  <w:footnote w:id="13">
    <w:p w:rsidR="00A1153C" w:rsidP="00AF615F" w14:paraId="0752CDF2" w14:textId="08CB4220">
      <w:pPr>
        <w:pStyle w:val="FootnoteText"/>
        <w:spacing w:after="120"/>
        <w:jc w:val="left"/>
      </w:pPr>
      <w:r>
        <w:rPr>
          <w:rStyle w:val="FootnoteReference"/>
        </w:rPr>
        <w:footnoteRef/>
      </w:r>
      <w:r>
        <w:t xml:space="preserve"> </w:t>
      </w:r>
      <w:r w:rsidRPr="00AF3527">
        <w:t>47 CFR § 63.63(a).</w:t>
      </w:r>
      <w:r>
        <w:t xml:space="preserve">  </w:t>
      </w:r>
      <w:r w:rsidRPr="00AF3527">
        <w:t>The request shall make reference to section 63.63 and show the following:  (1) The effective date of such d</w:t>
      </w:r>
      <w:r>
        <w:t>iscon</w:t>
      </w:r>
      <w:r w:rsidRPr="00AF3527">
        <w:t xml:space="preserve">tinuance, reduction, or impairment, and the identification of the service area affected; (2) The nature and estimated duration of the conditions causing the discontinuance, reduction, or impairment; (3) The facts showing that such conditions could not reasonably have been foreseen by the carrier in sufficient time to prevent such discontinuance, reduction, or impairment; (4) A description of the service involved; (5) The nature of service which will be available or substituted; (6) The effect upon rates to any person in the community; and (7) The efforts made and to be made by applicant to restore the original service or establish comparable service as expeditiously as possible.  </w:t>
      </w:r>
      <w:r w:rsidRPr="0088133C">
        <w:t xml:space="preserve">47 CFR § 63.63(a)(1)-(7).  </w:t>
      </w:r>
    </w:p>
  </w:footnote>
  <w:footnote w:id="14">
    <w:p w:rsidR="00A1153C" w:rsidP="00AF615F" w14:paraId="0EB36E72" w14:textId="4F9583EA">
      <w:pPr>
        <w:pStyle w:val="FootnoteText"/>
        <w:spacing w:after="120"/>
        <w:jc w:val="left"/>
      </w:pPr>
      <w:r w:rsidRPr="00C2022C">
        <w:rPr>
          <w:rStyle w:val="FootnoteReference"/>
        </w:rPr>
        <w:footnoteRef/>
      </w:r>
      <w:r w:rsidRPr="00C2022C">
        <w:t xml:space="preserve"> 47 CFR </w:t>
      </w:r>
      <w:bookmarkStart w:id="4" w:name="_Hlk40184373"/>
      <w:r w:rsidRPr="00C2022C">
        <w:t>§ 63.63(b)</w:t>
      </w:r>
      <w:bookmarkEnd w:id="4"/>
      <w:r w:rsidRPr="00142530" w:rsidR="00142530">
        <w:t xml:space="preserve"> (stating, in relevant part, that “[a]</w:t>
      </w:r>
      <w:r w:rsidRPr="00142530" w:rsidR="00142530">
        <w:t>uthority</w:t>
      </w:r>
      <w:r w:rsidRPr="00142530" w:rsidR="00142530">
        <w:t xml:space="preserve"> for the emergency discontinuance, reduction, or impairment of service for a period of 60 days shall be deemed to have been granted by the Commission effective as of the date of the filing of the request</w:t>
      </w:r>
      <w:bookmarkStart w:id="5" w:name="_Hlk55457927"/>
      <w:r w:rsidRPr="00142530" w:rsidR="00142530">
        <w:t>, unless, on or before the 15th day after the date of filing, the Commission shall notify the carrier to the contrary.</w:t>
      </w:r>
      <w:bookmarkEnd w:id="5"/>
      <w:r w:rsidRPr="00142530" w:rsidR="00142530">
        <w:t>”)</w:t>
      </w:r>
      <w:r w:rsidR="0067330A">
        <w:t>.</w:t>
      </w:r>
      <w:r w:rsidRPr="00142530" w:rsidR="00142530">
        <w:t xml:space="preserve">  </w:t>
      </w:r>
    </w:p>
  </w:footnote>
  <w:footnote w:id="15">
    <w:p w:rsidR="00A1153C" w:rsidP="00AF615F" w14:paraId="14A0C15E" w14:textId="77777777">
      <w:pPr>
        <w:pStyle w:val="FootnoteText"/>
        <w:spacing w:after="120"/>
        <w:jc w:val="left"/>
      </w:pPr>
      <w:r w:rsidRPr="00C2022C">
        <w:rPr>
          <w:rStyle w:val="FootnoteReference"/>
        </w:rPr>
        <w:footnoteRef/>
      </w:r>
      <w:r w:rsidRPr="00C2022C">
        <w:t xml:space="preserve"> </w:t>
      </w:r>
      <w:r w:rsidRPr="00C2022C">
        <w:rPr>
          <w:i/>
        </w:rPr>
        <w:t>See</w:t>
      </w:r>
      <w:r w:rsidRPr="00C2022C">
        <w:t xml:space="preserve"> 47 CFR § 63.63(b).</w:t>
      </w:r>
    </w:p>
  </w:footnote>
  <w:footnote w:id="16">
    <w:p w:rsidR="00A1153C" w:rsidP="00AF615F" w14:paraId="7626DE3B" w14:textId="77777777">
      <w:pPr>
        <w:pStyle w:val="FootnoteText"/>
        <w:spacing w:after="120"/>
        <w:jc w:val="left"/>
      </w:pPr>
      <w:r>
        <w:rPr>
          <w:rStyle w:val="FootnoteReference"/>
        </w:rPr>
        <w:footnoteRef/>
      </w:r>
      <w:r>
        <w:t xml:space="preserve"> </w:t>
      </w:r>
      <w:r w:rsidRPr="00142530">
        <w:rPr>
          <w:i/>
          <w:iCs/>
        </w:rPr>
        <w:t xml:space="preserve">See </w:t>
      </w:r>
      <w:r w:rsidRPr="00142530">
        <w:t>47 CFR § 63.63(b).</w:t>
      </w:r>
      <w:r w:rsidR="0088133C">
        <w:t xml:space="preserve">  </w:t>
      </w:r>
      <w:r w:rsidRPr="0088133C" w:rsidR="0088133C">
        <w:t xml:space="preserve">Pursuant to this rule, CenturyLink’s application </w:t>
      </w:r>
      <w:r w:rsidR="00F03DA3">
        <w:t xml:space="preserve">was </w:t>
      </w:r>
      <w:r w:rsidRPr="0088133C" w:rsidR="0088133C">
        <w:t xml:space="preserve">deemed granted for 60 days upon filing </w:t>
      </w:r>
      <w:r w:rsidR="004D0725">
        <w:t xml:space="preserve">as </w:t>
      </w:r>
      <w:r w:rsidRPr="0088133C" w:rsidR="004D0725">
        <w:t>staff did not notify CenturyLink on or before September 9, 2020</w:t>
      </w:r>
      <w:r w:rsidR="004D0725">
        <w:t xml:space="preserve"> that its application would not be granted b</w:t>
      </w:r>
      <w:r w:rsidRPr="0088133C" w:rsidR="0088133C">
        <w:t>ased on the circumstances described in the record and in light of CenturyLink’s waiver request</w:t>
      </w:r>
      <w:r w:rsidR="004D0725">
        <w:t>.</w:t>
      </w:r>
      <w:r w:rsidRPr="0088133C" w:rsidR="0088133C">
        <w:t xml:space="preserve">  </w:t>
      </w:r>
    </w:p>
  </w:footnote>
  <w:footnote w:id="17">
    <w:p w:rsidR="00A1153C" w:rsidP="00AF615F" w14:paraId="4C286848" w14:textId="77777777">
      <w:pPr>
        <w:pStyle w:val="FootnoteText"/>
        <w:spacing w:after="120"/>
        <w:jc w:val="left"/>
      </w:pPr>
      <w:r>
        <w:rPr>
          <w:rStyle w:val="FootnoteReference"/>
        </w:rPr>
        <w:footnoteRef/>
      </w:r>
      <w:r>
        <w:t xml:space="preserve"> </w:t>
      </w:r>
      <w:r w:rsidRPr="0088133C">
        <w:rPr>
          <w:i/>
          <w:iCs/>
        </w:rPr>
        <w:t xml:space="preserve">See </w:t>
      </w:r>
      <w:r>
        <w:t>47 CFR § 63.63(</w:t>
      </w:r>
      <w:r w:rsidR="000F542C">
        <w:t>a</w:t>
      </w:r>
      <w:r>
        <w:t>).</w:t>
      </w:r>
    </w:p>
  </w:footnote>
  <w:footnote w:id="18">
    <w:p w:rsidR="00A1153C" w:rsidP="00AF615F" w14:paraId="45356CE5" w14:textId="77777777">
      <w:pPr>
        <w:pStyle w:val="FootnoteText"/>
        <w:spacing w:after="120"/>
        <w:jc w:val="left"/>
      </w:pPr>
      <w:r>
        <w:rPr>
          <w:rStyle w:val="FootnoteReference"/>
        </w:rPr>
        <w:footnoteRef/>
      </w:r>
      <w:r>
        <w:t xml:space="preserve"> </w:t>
      </w:r>
      <w:bookmarkStart w:id="6" w:name="_Hlk51946650"/>
      <w:r>
        <w:t xml:space="preserve">CenturyLink Application at </w:t>
      </w:r>
      <w:r w:rsidR="000B1CCA">
        <w:t xml:space="preserve">4, </w:t>
      </w:r>
      <w:r>
        <w:t>note 5.</w:t>
      </w:r>
      <w:bookmarkEnd w:id="6"/>
    </w:p>
  </w:footnote>
  <w:footnote w:id="19">
    <w:p w:rsidR="00A1153C" w:rsidRPr="00B73260" w:rsidP="00AF615F" w14:paraId="2D9F65C2" w14:textId="7F4D863E">
      <w:pPr>
        <w:pStyle w:val="FootnoteText"/>
        <w:spacing w:after="120"/>
        <w:jc w:val="left"/>
      </w:pPr>
      <w:r>
        <w:rPr>
          <w:rStyle w:val="FootnoteReference"/>
        </w:rPr>
        <w:footnoteRef/>
      </w:r>
      <w:r>
        <w:t xml:space="preserve"> </w:t>
      </w:r>
      <w:r w:rsidRPr="00175122">
        <w:rPr>
          <w:i/>
          <w:iCs/>
        </w:rPr>
        <w:t>See</w:t>
      </w:r>
      <w:r w:rsidRPr="00175122">
        <w:t xml:space="preserve"> </w:t>
      </w:r>
      <w:bookmarkStart w:id="7" w:name="_Hlk52969154"/>
      <w:r w:rsidRPr="00175122">
        <w:t>47 CFR § 1.</w:t>
      </w:r>
      <w:bookmarkEnd w:id="7"/>
      <w:r w:rsidR="003436C4">
        <w:t>3</w:t>
      </w:r>
      <w:r w:rsidRPr="00175122">
        <w:t xml:space="preserve"> (stating that “[</w:t>
      </w:r>
      <w:r w:rsidR="003436C4">
        <w:t>a</w:t>
      </w:r>
      <w:r w:rsidRPr="00175122">
        <w:t>]</w:t>
      </w:r>
      <w:r w:rsidR="003436C4">
        <w:t>ny</w:t>
      </w:r>
      <w:r w:rsidR="003436C4">
        <w:t xml:space="preserve"> provision of the rules may be waived by the Commission on its own motion or on petition if good cause therefor is shown.</w:t>
      </w:r>
      <w:r w:rsidRPr="00175122">
        <w:t>”).</w:t>
      </w:r>
      <w:r w:rsidR="005601A0">
        <w:t xml:space="preserve">  </w:t>
      </w:r>
      <w:r w:rsidRPr="000F742B" w:rsidR="005601A0">
        <w:t>The Commission may exercise its discretion to waive a rule where (a) the particular facts make strict compliance inconsistent with the public interest, (b) special circumstances warrant a deviation from the general rule, and (c) such devi</w:t>
      </w:r>
      <w:r w:rsidR="005601A0">
        <w:t xml:space="preserve">ation will serve the public interest.  </w:t>
      </w:r>
      <w:r w:rsidRPr="00C77C0E" w:rsidR="005601A0">
        <w:rPr>
          <w:i/>
        </w:rPr>
        <w:t>Northeast Cellular Telephone Co. v. FCC</w:t>
      </w:r>
      <w:r w:rsidRPr="00C77C0E" w:rsidR="005601A0">
        <w:t>, 897 F.2d 1164, 1166 (D.C. Cir. 1990)</w:t>
      </w:r>
      <w:r w:rsidR="005601A0">
        <w:t>.</w:t>
      </w:r>
    </w:p>
  </w:footnote>
  <w:footnote w:id="20">
    <w:p w:rsidR="00CF47F4" w:rsidP="00AF615F" w14:paraId="7265E1AB" w14:textId="12A68327">
      <w:pPr>
        <w:pStyle w:val="FootnoteText"/>
        <w:spacing w:after="120"/>
        <w:jc w:val="left"/>
      </w:pPr>
      <w:r>
        <w:rPr>
          <w:rStyle w:val="FootnoteReference"/>
        </w:rPr>
        <w:footnoteRef/>
      </w:r>
      <w:r w:rsidR="00860E6B">
        <w:t xml:space="preserve"> </w:t>
      </w:r>
      <w:r w:rsidRPr="0081291B" w:rsidR="00860E6B">
        <w:rPr>
          <w:i/>
          <w:iCs/>
        </w:rPr>
        <w:t>See</w:t>
      </w:r>
      <w:r w:rsidR="00BE78B6">
        <w:rPr>
          <w:i/>
          <w:iCs/>
        </w:rPr>
        <w:t xml:space="preserve"> </w:t>
      </w:r>
      <w:r w:rsidRPr="0081291B">
        <w:rPr>
          <w:i/>
          <w:iCs/>
        </w:rPr>
        <w:t>NetworkIP</w:t>
      </w:r>
      <w:r w:rsidRPr="0081291B">
        <w:rPr>
          <w:i/>
          <w:iCs/>
        </w:rPr>
        <w:t xml:space="preserve"> v FCC</w:t>
      </w:r>
      <w:r w:rsidRPr="00CF47F4">
        <w:t>, 548 F.3d 116, 127 (D.C. Cir. 2008) (stating that the FCC must articulate the nature of the special circumstances justifying the waiver of a deadline).</w:t>
      </w:r>
    </w:p>
  </w:footnote>
  <w:footnote w:id="21">
    <w:p w:rsidR="00DC292B" w:rsidP="00AF615F" w14:paraId="3C18B462" w14:textId="6FB79E02">
      <w:pPr>
        <w:pStyle w:val="FootnoteText"/>
        <w:spacing w:after="120"/>
        <w:jc w:val="left"/>
      </w:pPr>
      <w:r>
        <w:rPr>
          <w:rStyle w:val="FootnoteReference"/>
        </w:rPr>
        <w:footnoteRef/>
      </w:r>
      <w:r>
        <w:t xml:space="preserve"> </w:t>
      </w:r>
      <w:r w:rsidRPr="0081291B">
        <w:rPr>
          <w:i/>
          <w:iCs/>
        </w:rPr>
        <w:t xml:space="preserve">See </w:t>
      </w:r>
      <w:r>
        <w:t xml:space="preserve">CenturyLink Second Supplemental </w:t>
      </w:r>
      <w:r w:rsidR="00801CCD">
        <w:t>Letter</w:t>
      </w:r>
      <w:r>
        <w:t xml:space="preserve"> at 1.</w:t>
      </w:r>
    </w:p>
  </w:footnote>
  <w:footnote w:id="22">
    <w:p w:rsidR="006500A9" w:rsidP="00AF615F" w14:paraId="6CDF01AF" w14:textId="6D5AEE08">
      <w:pPr>
        <w:pStyle w:val="FootnoteText"/>
        <w:spacing w:after="120"/>
        <w:jc w:val="left"/>
      </w:pPr>
      <w:r>
        <w:rPr>
          <w:rStyle w:val="FootnoteReference"/>
        </w:rPr>
        <w:footnoteRef/>
      </w:r>
      <w:r>
        <w:t xml:space="preserve"> CenturyLink Second Supplemental Letter at 1.</w:t>
      </w:r>
    </w:p>
  </w:footnote>
  <w:footnote w:id="23">
    <w:p w:rsidR="00BE78B6" w:rsidP="00AF615F" w14:paraId="2A15A5A8" w14:textId="1BF391CC">
      <w:pPr>
        <w:pStyle w:val="FootnoteText"/>
        <w:spacing w:after="120"/>
        <w:jc w:val="left"/>
      </w:pPr>
      <w:r>
        <w:rPr>
          <w:rStyle w:val="FootnoteReference"/>
        </w:rPr>
        <w:footnoteRef/>
      </w:r>
      <w:r>
        <w:t xml:space="preserve"> CenturyLink Second Supplemental Letter at 4.</w:t>
      </w:r>
    </w:p>
  </w:footnote>
  <w:footnote w:id="24">
    <w:p w:rsidR="00C304B4" w:rsidP="00AF615F" w14:paraId="232A5590" w14:textId="04031995">
      <w:pPr>
        <w:pStyle w:val="FootnoteText"/>
        <w:spacing w:after="120"/>
        <w:jc w:val="left"/>
      </w:pPr>
      <w:r>
        <w:rPr>
          <w:rStyle w:val="FootnoteReference"/>
        </w:rPr>
        <w:footnoteRef/>
      </w:r>
      <w:r>
        <w:t xml:space="preserve"> </w:t>
      </w:r>
      <w:r w:rsidRPr="00BE78B6" w:rsidR="00BE78B6">
        <w:rPr>
          <w:i/>
          <w:iCs/>
        </w:rPr>
        <w:t>Id.</w:t>
      </w:r>
      <w:r>
        <w:t xml:space="preserve">  CenturyLink notes that, a</w:t>
      </w:r>
      <w:r w:rsidRPr="00C304B4">
        <w:t xml:space="preserve">lthough </w:t>
      </w:r>
      <w:r w:rsidR="0015485A">
        <w:t>an aggregate of more than 100</w:t>
      </w:r>
      <w:r w:rsidRPr="00C304B4" w:rsidR="0015485A">
        <w:t xml:space="preserve"> </w:t>
      </w:r>
      <w:r w:rsidRPr="00C304B4">
        <w:t xml:space="preserve">customers served by four different cables were initially affected by the flood, each cable of fewer than 100 active lines required manual reporting into </w:t>
      </w:r>
      <w:r w:rsidR="0015485A">
        <w:t>CenturyLink’s</w:t>
      </w:r>
      <w:r w:rsidRPr="00C304B4" w:rsidR="0015485A">
        <w:t xml:space="preserve"> </w:t>
      </w:r>
      <w:r w:rsidRPr="00C304B4">
        <w:t>tracking system.</w:t>
      </w:r>
      <w:r>
        <w:t xml:space="preserve">  </w:t>
      </w:r>
      <w:r w:rsidRPr="0081291B">
        <w:rPr>
          <w:i/>
          <w:iCs/>
        </w:rPr>
        <w:t>Id.</w:t>
      </w:r>
    </w:p>
  </w:footnote>
  <w:footnote w:id="25">
    <w:p w:rsidR="00235619" w:rsidP="00AF615F" w14:paraId="58E2AE06" w14:textId="34A2A58A">
      <w:pPr>
        <w:pStyle w:val="FootnoteText"/>
        <w:spacing w:after="120"/>
        <w:jc w:val="left"/>
      </w:pPr>
      <w:r>
        <w:rPr>
          <w:rStyle w:val="FootnoteReference"/>
        </w:rPr>
        <w:footnoteRef/>
      </w:r>
      <w:r>
        <w:t xml:space="preserve"> </w:t>
      </w:r>
      <w:bookmarkStart w:id="8" w:name="_Hlk55397491"/>
      <w:r>
        <w:t xml:space="preserve">CenturyLink Second Supplemental </w:t>
      </w:r>
      <w:r w:rsidR="00801CCD">
        <w:t>Letter</w:t>
      </w:r>
      <w:r w:rsidR="0067330A">
        <w:t xml:space="preserve"> </w:t>
      </w:r>
      <w:r>
        <w:t>at 5.</w:t>
      </w:r>
      <w:bookmarkEnd w:id="8"/>
    </w:p>
  </w:footnote>
  <w:footnote w:id="26">
    <w:p w:rsidR="00F40EC7" w:rsidRPr="0098281D" w:rsidP="00AF615F" w14:paraId="061A6E27" w14:textId="77777777">
      <w:pPr>
        <w:pStyle w:val="FootnoteText"/>
        <w:spacing w:after="120"/>
        <w:jc w:val="left"/>
      </w:pPr>
      <w:r>
        <w:rPr>
          <w:rStyle w:val="FootnoteReference"/>
        </w:rPr>
        <w:footnoteRef/>
      </w:r>
      <w:r>
        <w:t xml:space="preserve"> </w:t>
      </w:r>
      <w:r>
        <w:rPr>
          <w:i/>
          <w:iCs/>
        </w:rPr>
        <w:t xml:space="preserve">See </w:t>
      </w:r>
      <w:r>
        <w:t>CenturyLink Second Supplemental Letter at 1.</w:t>
      </w:r>
    </w:p>
  </w:footnote>
  <w:footnote w:id="27">
    <w:p w:rsidR="00F40EC7" w:rsidP="00AF615F" w14:paraId="3F007BA6" w14:textId="75828406">
      <w:pPr>
        <w:pStyle w:val="FootnoteText"/>
        <w:spacing w:after="120"/>
        <w:jc w:val="left"/>
      </w:pPr>
      <w:r>
        <w:rPr>
          <w:rStyle w:val="FootnoteReference"/>
        </w:rPr>
        <w:footnoteRef/>
      </w:r>
      <w:r>
        <w:t xml:space="preserve"> </w:t>
      </w:r>
      <w:r w:rsidRPr="00E24B1D">
        <w:t>47 CFR § 63.60(c)</w:t>
      </w:r>
      <w:r>
        <w:t xml:space="preserve"> (defining emergency discontinuance, reduction, or impairment of service, in relevant part, as those where the original service is not restored or comparable service is not established within a reasonable time (60 days in most cases); </w:t>
      </w:r>
      <w:r w:rsidRPr="00E24B1D">
        <w:t>47 CFR § 63.63</w:t>
      </w:r>
      <w:r>
        <w:t xml:space="preserve"> (allowing 65 days, in most cases, for the filing of an informal application requesting authority for the emergency discontinuance, reduction, or impairment of service).</w:t>
      </w:r>
    </w:p>
  </w:footnote>
  <w:footnote w:id="28">
    <w:p w:rsidR="00063975" w:rsidRPr="00074764" w:rsidP="00AF615F" w14:paraId="14CBCB96" w14:textId="6582DBCC">
      <w:pPr>
        <w:pStyle w:val="FootnoteText"/>
        <w:spacing w:after="120"/>
        <w:jc w:val="left"/>
      </w:pPr>
      <w:r>
        <w:rPr>
          <w:rStyle w:val="FootnoteReference"/>
        </w:rPr>
        <w:footnoteRef/>
      </w:r>
      <w:r>
        <w:t xml:space="preserve"> </w:t>
      </w:r>
      <w:r>
        <w:rPr>
          <w:i/>
          <w:iCs/>
        </w:rPr>
        <w:t xml:space="preserve">See </w:t>
      </w:r>
      <w:bookmarkStart w:id="9" w:name="_Hlk55323171"/>
      <w:r w:rsidRPr="00AF3527">
        <w:t>47 CFR § 63.63</w:t>
      </w:r>
      <w:r>
        <w:t>(a)</w:t>
      </w:r>
      <w:bookmarkEnd w:id="9"/>
      <w:r>
        <w:t xml:space="preserve">(7); </w:t>
      </w:r>
      <w:r>
        <w:rPr>
          <w:i/>
          <w:iCs/>
        </w:rPr>
        <w:t xml:space="preserve">see also </w:t>
      </w:r>
      <w:bookmarkStart w:id="10" w:name="_Hlk55386109"/>
      <w:r w:rsidRPr="00AF3527">
        <w:t>47 CFR § 63.6</w:t>
      </w:r>
      <w:r>
        <w:t>0(c)</w:t>
      </w:r>
      <w:bookmarkEnd w:id="10"/>
      <w:r>
        <w:t>.</w:t>
      </w:r>
    </w:p>
  </w:footnote>
  <w:footnote w:id="29">
    <w:p w:rsidR="00A1153C" w:rsidP="00AF615F" w14:paraId="570F91C7" w14:textId="77777777">
      <w:pPr>
        <w:pStyle w:val="FootnoteText"/>
        <w:spacing w:after="120"/>
        <w:jc w:val="left"/>
      </w:pPr>
      <w:r>
        <w:rPr>
          <w:rStyle w:val="FootnoteReference"/>
        </w:rPr>
        <w:footnoteRef/>
      </w:r>
      <w:r>
        <w:t xml:space="preserve"> CenturyLink Application at 5</w:t>
      </w:r>
      <w:r w:rsidRPr="0078440C">
        <w:rPr>
          <w:i/>
          <w:iCs/>
        </w:rPr>
        <w:t>.  See also</w:t>
      </w:r>
      <w:r>
        <w:t xml:space="preserve"> 47 CFR § 63.63(a)(3).</w:t>
      </w:r>
    </w:p>
  </w:footnote>
  <w:footnote w:id="30">
    <w:p w:rsidR="00A1153C" w:rsidP="00AF615F" w14:paraId="0B585204" w14:textId="77777777">
      <w:pPr>
        <w:pStyle w:val="FootnoteText"/>
        <w:spacing w:after="120"/>
        <w:jc w:val="left"/>
      </w:pPr>
      <w:r>
        <w:rPr>
          <w:rStyle w:val="FootnoteReference"/>
        </w:rPr>
        <w:footnoteRef/>
      </w:r>
      <w:r>
        <w:t xml:space="preserve"> CenturyLink Application at 2.</w:t>
      </w:r>
    </w:p>
  </w:footnote>
  <w:footnote w:id="31">
    <w:p w:rsidR="00A1153C" w:rsidP="00AF615F" w14:paraId="564F2B4F" w14:textId="6836FEC5">
      <w:pPr>
        <w:pStyle w:val="FootnoteText"/>
        <w:spacing w:after="120"/>
        <w:jc w:val="left"/>
      </w:pPr>
      <w:r>
        <w:rPr>
          <w:rStyle w:val="FootnoteReference"/>
        </w:rPr>
        <w:footnoteRef/>
      </w:r>
      <w:r>
        <w:t xml:space="preserve"> </w:t>
      </w:r>
      <w:r w:rsidRPr="000B1CCA">
        <w:t>CenturyLink Supplemental Letter</w:t>
      </w:r>
      <w:r>
        <w:t xml:space="preserve"> at 2.</w:t>
      </w:r>
      <w:r w:rsidR="00AE6372">
        <w:t xml:space="preserve">  </w:t>
      </w:r>
      <w:r w:rsidRPr="00AE6372" w:rsidR="00AE6372">
        <w:t xml:space="preserve">CenturyLink </w:t>
      </w:r>
      <w:r w:rsidR="00AE6372">
        <w:t xml:space="preserve">indicates that in late September it also </w:t>
      </w:r>
      <w:r w:rsidRPr="00AE6372" w:rsidR="00AE6372">
        <w:t>mail</w:t>
      </w:r>
      <w:r w:rsidR="00AE6372">
        <w:t>ed</w:t>
      </w:r>
      <w:r w:rsidRPr="00AE6372" w:rsidR="00AE6372">
        <w:t xml:space="preserve"> postcards to affected customers to apologize for the service interruption, notify customers that </w:t>
      </w:r>
      <w:r w:rsidR="001165AF">
        <w:t xml:space="preserve">it was </w:t>
      </w:r>
      <w:r w:rsidRPr="00AE6372" w:rsidR="00AE6372">
        <w:t xml:space="preserve">working to restore service, and provide customers with a link to a website </w:t>
      </w:r>
      <w:r w:rsidR="00AE6372">
        <w:t xml:space="preserve">to </w:t>
      </w:r>
      <w:r w:rsidRPr="00AE6372" w:rsidR="00AE6372">
        <w:t xml:space="preserve">allow </w:t>
      </w:r>
      <w:r w:rsidR="00AE6372">
        <w:t>them</w:t>
      </w:r>
      <w:r w:rsidRPr="00AE6372" w:rsidR="00AE6372">
        <w:t xml:space="preserve"> to check the status of their service restoration. </w:t>
      </w:r>
      <w:r w:rsidRPr="00AF615F" w:rsidR="00AE6372">
        <w:rPr>
          <w:i/>
          <w:iCs/>
        </w:rPr>
        <w:t>See</w:t>
      </w:r>
      <w:r w:rsidRPr="00AE6372" w:rsidR="00AE6372">
        <w:t xml:space="preserve"> CenturyLink Supplemental Letter </w:t>
      </w:r>
      <w:r w:rsidR="00AE6372">
        <w:t>at 2.</w:t>
      </w:r>
      <w:r w:rsidR="00421DC5">
        <w:t xml:space="preserve"> </w:t>
      </w:r>
      <w:r w:rsidR="00411E75">
        <w:t>We note that</w:t>
      </w:r>
      <w:r w:rsidRPr="00E825AF" w:rsidR="00E825AF">
        <w:t xml:space="preserve">, according to CenturyLink, </w:t>
      </w:r>
      <w:r w:rsidR="00E825AF">
        <w:t>t</w:t>
      </w:r>
      <w:r w:rsidR="00411E75">
        <w:t>hese c</w:t>
      </w:r>
      <w:r w:rsidR="00B73260">
        <w:t>ustomers were immediately evacuated after the flood</w:t>
      </w:r>
      <w:r w:rsidR="00411E75">
        <w:t xml:space="preserve"> and</w:t>
      </w:r>
      <w:r w:rsidR="00E825AF">
        <w:t xml:space="preserve"> </w:t>
      </w:r>
      <w:r w:rsidR="00411E75">
        <w:t>most of them had returned to their homes at the time of its supplemental filing</w:t>
      </w:r>
      <w:r w:rsidR="00B73260">
        <w:t>.</w:t>
      </w:r>
      <w:r w:rsidR="00411E75">
        <w:t xml:space="preserve">  CenturyLink Supplemental </w:t>
      </w:r>
      <w:r w:rsidR="00801CCD">
        <w:t>Letter</w:t>
      </w:r>
      <w:r w:rsidR="003367E3">
        <w:t xml:space="preserve"> </w:t>
      </w:r>
      <w:r w:rsidR="00411E75">
        <w:t>at 2.</w:t>
      </w:r>
    </w:p>
  </w:footnote>
  <w:footnote w:id="32">
    <w:p w:rsidR="00A1153C" w:rsidP="00AF615F" w14:paraId="363D56F5" w14:textId="77777777">
      <w:pPr>
        <w:pStyle w:val="FootnoteText"/>
        <w:spacing w:after="120"/>
        <w:jc w:val="left"/>
      </w:pPr>
      <w:r>
        <w:rPr>
          <w:rStyle w:val="FootnoteReference"/>
        </w:rPr>
        <w:footnoteRef/>
      </w:r>
      <w:r>
        <w:t xml:space="preserve"> </w:t>
      </w:r>
      <w:r w:rsidRPr="000B1CCA">
        <w:t xml:space="preserve">CenturyLink Supplemental Letter </w:t>
      </w:r>
      <w:r w:rsidR="00B37FDA">
        <w:t>at 2</w:t>
      </w:r>
      <w:r w:rsidRPr="000B1CCA">
        <w:t>.</w:t>
      </w:r>
    </w:p>
  </w:footnote>
  <w:footnote w:id="33">
    <w:p w:rsidR="00A1153C" w:rsidP="00AF615F" w14:paraId="6A3DC600" w14:textId="57B89C4F">
      <w:pPr>
        <w:pStyle w:val="FootnoteText"/>
        <w:spacing w:after="120"/>
        <w:jc w:val="left"/>
      </w:pPr>
      <w:r>
        <w:rPr>
          <w:rStyle w:val="FootnoteReference"/>
        </w:rPr>
        <w:footnoteRef/>
      </w:r>
      <w:r>
        <w:t xml:space="preserve"> </w:t>
      </w:r>
      <w:r w:rsidRPr="00152320">
        <w:rPr>
          <w:i/>
          <w:iCs/>
        </w:rPr>
        <w:t xml:space="preserve">See </w:t>
      </w:r>
      <w:r>
        <w:rPr>
          <w:i/>
          <w:iCs/>
        </w:rPr>
        <w:t xml:space="preserve">e.g., </w:t>
      </w:r>
      <w:r w:rsidRPr="00152320">
        <w:rPr>
          <w:i/>
          <w:iCs/>
        </w:rPr>
        <w:t>In the Matter of Section 63.71 Application of Verizon New Jersey Inc. and Verizon New York Inc. for Authority to Discontinue Domestic Telecommunications Services</w:t>
      </w:r>
      <w:r w:rsidRPr="00152320">
        <w:t xml:space="preserve">, Order, WC Docket No. 13-149, 28 FCC </w:t>
      </w:r>
      <w:r w:rsidRPr="00152320">
        <w:t>Rcd</w:t>
      </w:r>
      <w:r w:rsidRPr="00152320">
        <w:t xml:space="preserve"> 13826 at </w:t>
      </w:r>
      <w:r w:rsidR="009C56B6">
        <w:t>paras.</w:t>
      </w:r>
      <w:r>
        <w:t>13-15</w:t>
      </w:r>
      <w:r w:rsidRPr="00152320">
        <w:t xml:space="preserve"> (2013) (Verizon Order) (granting Verizon’s request for waiver of the 65-day filing deadline in §</w:t>
      </w:r>
      <w:r>
        <w:t xml:space="preserve"> </w:t>
      </w:r>
      <w:r w:rsidRPr="00152320">
        <w:t>63.63(a)</w:t>
      </w:r>
      <w:r w:rsidR="00D2115F">
        <w:t>,</w:t>
      </w:r>
      <w:r w:rsidR="005962F9">
        <w:t xml:space="preserve"> and acknowledging Verizon’s efforts to quickly restore service </w:t>
      </w:r>
      <w:r w:rsidR="00D2115F">
        <w:t>with minimal customer impact</w:t>
      </w:r>
      <w:r w:rsidRPr="00152320">
        <w:t>).</w:t>
      </w:r>
      <w:r>
        <w:t xml:space="preserve">  </w:t>
      </w:r>
    </w:p>
  </w:footnote>
  <w:footnote w:id="34">
    <w:p w:rsidR="007C3F43" w:rsidP="00AF615F" w14:paraId="11A6FAAB" w14:textId="7DEBA1FF">
      <w:pPr>
        <w:pStyle w:val="FootnoteText"/>
        <w:spacing w:after="120"/>
        <w:jc w:val="left"/>
      </w:pPr>
      <w:r>
        <w:rPr>
          <w:rStyle w:val="FootnoteReference"/>
        </w:rPr>
        <w:footnoteRef/>
      </w:r>
      <w:r>
        <w:t xml:space="preserve"> CenturyLink Second Supplemental </w:t>
      </w:r>
      <w:r w:rsidR="00801CCD">
        <w:t>Letter</w:t>
      </w:r>
      <w:r>
        <w:t xml:space="preserve"> at 1.</w:t>
      </w:r>
    </w:p>
  </w:footnote>
  <w:footnote w:id="35">
    <w:p w:rsidR="00D72469" w:rsidRPr="00D72469" w:rsidP="00AF615F" w14:paraId="33A4271A" w14:textId="05CB70EF">
      <w:pPr>
        <w:pStyle w:val="FootnoteText"/>
        <w:spacing w:after="120"/>
        <w:jc w:val="left"/>
        <w:rPr>
          <w:i/>
          <w:iCs/>
        </w:rPr>
      </w:pPr>
      <w:r>
        <w:rPr>
          <w:rStyle w:val="FootnoteReference"/>
        </w:rPr>
        <w:footnoteRef/>
      </w:r>
      <w:r>
        <w:t xml:space="preserve"> </w:t>
      </w:r>
      <w:r w:rsidRPr="00D72469">
        <w:rPr>
          <w:i/>
          <w:iCs/>
        </w:rPr>
        <w:t>Id.</w:t>
      </w:r>
    </w:p>
  </w:footnote>
  <w:footnote w:id="36">
    <w:p w:rsidR="00D72469" w:rsidRPr="00D72469" w:rsidP="00AF615F" w14:paraId="16802F14" w14:textId="4E6C7ED4">
      <w:pPr>
        <w:pStyle w:val="FootnoteText"/>
        <w:spacing w:after="120"/>
        <w:jc w:val="left"/>
        <w:rPr>
          <w:i/>
          <w:iCs/>
        </w:rPr>
      </w:pPr>
      <w:r>
        <w:rPr>
          <w:rStyle w:val="FootnoteReference"/>
        </w:rPr>
        <w:footnoteRef/>
      </w:r>
      <w:r>
        <w:t xml:space="preserve"> </w:t>
      </w:r>
      <w:r w:rsidRPr="00D72469">
        <w:rPr>
          <w:i/>
          <w:iCs/>
        </w:rPr>
        <w:t>Id.</w:t>
      </w:r>
    </w:p>
  </w:footnote>
  <w:footnote w:id="37">
    <w:p w:rsidR="00D72469" w:rsidP="00AF615F" w14:paraId="277C0BE5" w14:textId="70AA442A">
      <w:pPr>
        <w:pStyle w:val="FootnoteText"/>
        <w:spacing w:after="120"/>
        <w:jc w:val="left"/>
      </w:pPr>
      <w:r>
        <w:rPr>
          <w:rStyle w:val="FootnoteReference"/>
        </w:rPr>
        <w:footnoteRef/>
      </w:r>
      <w:r>
        <w:t xml:space="preserve"> </w:t>
      </w:r>
      <w:r w:rsidRPr="00D72469">
        <w:rPr>
          <w:i/>
          <w:iCs/>
        </w:rPr>
        <w:t>Id.</w:t>
      </w:r>
    </w:p>
  </w:footnote>
  <w:footnote w:id="38">
    <w:p w:rsidR="00A1153C" w:rsidP="00AF615F" w14:paraId="5EE1D566" w14:textId="77777777">
      <w:pPr>
        <w:pStyle w:val="FootnoteText"/>
        <w:spacing w:after="120"/>
        <w:jc w:val="left"/>
      </w:pPr>
      <w:r>
        <w:rPr>
          <w:rStyle w:val="FootnoteReference"/>
        </w:rPr>
        <w:footnoteRef/>
      </w:r>
      <w:r>
        <w:t xml:space="preserve"> </w:t>
      </w:r>
      <w:r w:rsidRPr="00CB13F8">
        <w:t>CenturyLink Application at 3</w:t>
      </w:r>
      <w:r w:rsidR="008B0E06">
        <w:t>-4</w:t>
      </w:r>
      <w:r w:rsidRPr="00CB13F8">
        <w:t>.</w:t>
      </w:r>
      <w:r w:rsidR="0034544A">
        <w:t xml:space="preserve">  CenturyLink states that, in the </w:t>
      </w:r>
      <w:r w:rsidR="00B349D9">
        <w:t>interim</w:t>
      </w:r>
      <w:r w:rsidR="0034544A">
        <w:t xml:space="preserve">, </w:t>
      </w:r>
      <w:r w:rsidR="00422209">
        <w:t xml:space="preserve">wireless service has been available to </w:t>
      </w:r>
      <w:r w:rsidR="0034544A">
        <w:t>affected customers</w:t>
      </w:r>
      <w:r w:rsidR="00FB42C7">
        <w:t xml:space="preserve">.  </w:t>
      </w:r>
      <w:r w:rsidR="00B349D9">
        <w:rPr>
          <w:i/>
          <w:iCs/>
        </w:rPr>
        <w:t xml:space="preserve">See </w:t>
      </w:r>
      <w:r w:rsidR="00B349D9">
        <w:t xml:space="preserve">CenturyLink Application at 6.  </w:t>
      </w:r>
      <w:r w:rsidR="00FB42C7">
        <w:t xml:space="preserve">According to CenturyLink, </w:t>
      </w:r>
      <w:r w:rsidR="00B349D9">
        <w:t xml:space="preserve">satellite voice service and satellite </w:t>
      </w:r>
      <w:r w:rsidR="0034544A">
        <w:t xml:space="preserve">broadband service is </w:t>
      </w:r>
      <w:r w:rsidR="00FB42C7">
        <w:t xml:space="preserve">also </w:t>
      </w:r>
      <w:r w:rsidR="0034544A">
        <w:t>available in the area</w:t>
      </w:r>
      <w:r w:rsidR="00FB42C7">
        <w:t>.</w:t>
      </w:r>
      <w:r w:rsidR="0078440C">
        <w:t xml:space="preserve">  </w:t>
      </w:r>
      <w:r w:rsidRPr="0078440C" w:rsidR="0078440C">
        <w:rPr>
          <w:i/>
          <w:iCs/>
        </w:rPr>
        <w:t>See</w:t>
      </w:r>
      <w:r w:rsidR="0078440C">
        <w:t xml:space="preserve"> </w:t>
      </w:r>
      <w:r w:rsidR="00B349D9">
        <w:t>CenturyLink Supplemental Letter at 2</w:t>
      </w:r>
      <w:r w:rsidR="0078440C">
        <w:t>.</w:t>
      </w:r>
      <w:r w:rsidR="00FB42C7">
        <w:t xml:space="preserve">  </w:t>
      </w:r>
    </w:p>
  </w:footnote>
  <w:footnote w:id="39">
    <w:p w:rsidR="00A1153C" w:rsidRPr="00FB560B" w:rsidP="00AF615F" w14:paraId="18C49D5F" w14:textId="550BD476">
      <w:pPr>
        <w:pStyle w:val="FootnoteText"/>
        <w:spacing w:after="120"/>
        <w:jc w:val="left"/>
      </w:pPr>
      <w:r>
        <w:rPr>
          <w:rStyle w:val="FootnoteReference"/>
        </w:rPr>
        <w:footnoteRef/>
      </w:r>
      <w:r>
        <w:t xml:space="preserve"> CenturyLink Supplemental Letter at 1-2.  </w:t>
      </w:r>
      <w:r w:rsidR="00CF47F4">
        <w:t>We note that, on October 14, 2020, CenturyLink filed a request for renewal of its emergency discontinuance authority for an additional 60 days</w:t>
      </w:r>
      <w:r w:rsidR="000905BE">
        <w:t xml:space="preserve"> and was granted an extension until December 24, 2020 to restore service to </w:t>
      </w:r>
      <w:r w:rsidR="00FB560B">
        <w:t xml:space="preserve">its </w:t>
      </w:r>
      <w:r w:rsidR="000905BE">
        <w:t xml:space="preserve">13 </w:t>
      </w:r>
      <w:r w:rsidR="00FB560B">
        <w:t>remaining</w:t>
      </w:r>
      <w:r w:rsidR="000905BE">
        <w:t xml:space="preserve"> affected customers</w:t>
      </w:r>
      <w:r w:rsidR="00CF47F4">
        <w:t xml:space="preserve">.  </w:t>
      </w:r>
      <w:r w:rsidRPr="0081291B" w:rsidR="00CF47F4">
        <w:rPr>
          <w:i/>
          <w:iCs/>
        </w:rPr>
        <w:t>See</w:t>
      </w:r>
      <w:r w:rsidR="00CF47F4">
        <w:t xml:space="preserve"> </w:t>
      </w:r>
      <w:r w:rsidRPr="00CF47F4" w:rsidR="00CF47F4">
        <w:t>Letter from Jeanne W. Stockman, Associate General Counsel, CenturyLink, to Marlene H. Dortch, Secretary, Federal Communications Commission, WC Docket No. 20-278</w:t>
      </w:r>
      <w:r w:rsidR="008622B2">
        <w:t xml:space="preserve"> (October 14, 2020), </w:t>
      </w:r>
      <w:hyperlink r:id="rId4" w:history="1">
        <w:r w:rsidRPr="009B659D" w:rsidR="008622B2">
          <w:rPr>
            <w:rStyle w:val="Hyperlink"/>
          </w:rPr>
          <w:t>https://ecfsapi.fcc.gov/file/1014247746656/201014%20CTL%20Renewal%20Letter%20Hope%20MI%20WC%2020-278.pdf</w:t>
        </w:r>
      </w:hyperlink>
      <w:r w:rsidR="008622B2">
        <w:t>.</w:t>
      </w:r>
      <w:r w:rsidR="009D0E62">
        <w:t xml:space="preserve">  CenturyLink indicates</w:t>
      </w:r>
      <w:r w:rsidR="00FB560B">
        <w:t xml:space="preserve"> </w:t>
      </w:r>
      <w:r w:rsidR="009D0E62">
        <w:t>that it is exploring making a satellite phone offering available to th</w:t>
      </w:r>
      <w:r w:rsidR="00FB560B">
        <w:t xml:space="preserve">ese remaining </w:t>
      </w:r>
      <w:r w:rsidR="009D0E62">
        <w:t>customers</w:t>
      </w:r>
      <w:r w:rsidR="00FB560B">
        <w:t xml:space="preserve">.  </w:t>
      </w:r>
      <w:r w:rsidR="00FB560B">
        <w:rPr>
          <w:i/>
          <w:iCs/>
        </w:rPr>
        <w:t xml:space="preserve">See </w:t>
      </w:r>
      <w:r w:rsidR="00FB560B">
        <w:t>CenturyLink Second Supplemental Letter at 5.</w:t>
      </w:r>
    </w:p>
    <w:bookmarkStart w:id="12" w:name="_Hlk51947720"/>
    <w:bookmarkEnd w:id="12"/>
  </w:footnote>
  <w:footnote w:id="40">
    <w:p w:rsidR="00676612" w:rsidP="00AF615F" w14:paraId="7A426D7B" w14:textId="19428BA9">
      <w:pPr>
        <w:pStyle w:val="FootnoteText"/>
        <w:spacing w:after="120"/>
        <w:jc w:val="left"/>
      </w:pPr>
      <w:r>
        <w:rPr>
          <w:rStyle w:val="FootnoteReference"/>
        </w:rPr>
        <w:footnoteRef/>
      </w:r>
      <w:r>
        <w:t xml:space="preserve"> </w:t>
      </w:r>
      <w:bookmarkStart w:id="13" w:name="_Hlk55400891"/>
      <w:r>
        <w:t>CenturyLink Second Supplemental Letter at 1.</w:t>
      </w:r>
      <w:bookmarkEnd w:id="13"/>
      <w:r>
        <w:t xml:space="preserve">  </w:t>
      </w:r>
      <w:r w:rsidRPr="00D51FD7">
        <w:t xml:space="preserve">We note that CenturyLink’s emergency discontinuance application </w:t>
      </w:r>
      <w:r w:rsidR="009E54EE">
        <w:t>remains</w:t>
      </w:r>
      <w:r w:rsidRPr="00D51FD7">
        <w:t xml:space="preserve"> unopposed and we agree with CenturyLink that no other party </w:t>
      </w:r>
      <w:r w:rsidR="009E54EE">
        <w:t xml:space="preserve">appears to have </w:t>
      </w:r>
      <w:r w:rsidRPr="00D51FD7">
        <w:t>been prejudiced by its late filing.  CenturyLink Second Supplemental Letter at 2.</w:t>
      </w:r>
    </w:p>
  </w:footnote>
  <w:footnote w:id="41">
    <w:p w:rsidR="00A1153C" w:rsidP="00AF615F" w14:paraId="33DFCF80" w14:textId="1027CA27">
      <w:pPr>
        <w:pStyle w:val="FootnoteText"/>
        <w:spacing w:after="120"/>
        <w:jc w:val="left"/>
      </w:pPr>
      <w:r>
        <w:rPr>
          <w:rStyle w:val="FootnoteReference"/>
        </w:rPr>
        <w:footnoteRef/>
      </w:r>
      <w:r>
        <w:t xml:space="preserve"> </w:t>
      </w:r>
      <w:r w:rsidR="009F5DB0">
        <w:rPr>
          <w:i/>
          <w:iCs/>
        </w:rPr>
        <w:t xml:space="preserve">See </w:t>
      </w:r>
      <w:r>
        <w:t xml:space="preserve">Verizon Order </w:t>
      </w:r>
      <w:r w:rsidR="003C09A7">
        <w:t xml:space="preserve">at </w:t>
      </w:r>
      <w:r w:rsidR="009B7CE5">
        <w:t xml:space="preserve">para. </w:t>
      </w:r>
      <w:r w:rsidR="003C09A7">
        <w:t>15</w:t>
      </w:r>
      <w:r w:rsidRPr="0073634F" w:rsidR="003C09A7">
        <w:t>.</w:t>
      </w:r>
      <w:r w:rsidRPr="0073634F" w:rsidR="0073634F">
        <w:t xml:space="preserve">  </w:t>
      </w:r>
      <w:r w:rsidRPr="0073634F" w:rsidR="0073634F">
        <w:rPr>
          <w:i/>
          <w:iCs/>
        </w:rPr>
        <w:t>See also</w:t>
      </w:r>
      <w:r w:rsidRPr="0073634F" w:rsidR="0073634F">
        <w:t xml:space="preserve"> 47 U</w:t>
      </w:r>
      <w:r w:rsidR="006C3294">
        <w:t>.</w:t>
      </w:r>
      <w:r w:rsidRPr="0073634F" w:rsidR="0073634F">
        <w:t>S</w:t>
      </w:r>
      <w:r w:rsidR="006C3294">
        <w:t>.</w:t>
      </w:r>
      <w:r w:rsidRPr="0073634F" w:rsidR="0073634F">
        <w:t>C</w:t>
      </w:r>
      <w:r w:rsidR="006C3294">
        <w:t>.</w:t>
      </w:r>
      <w:r w:rsidRPr="0073634F" w:rsidR="0073634F">
        <w:t xml:space="preserve"> § 201(b)</w:t>
      </w:r>
      <w:r w:rsidR="006C3294">
        <w:t>.</w:t>
      </w:r>
    </w:p>
  </w:footnote>
  <w:footnote w:id="42">
    <w:p w:rsidR="00A1153C" w:rsidP="00AF615F" w14:paraId="2C283C04" w14:textId="6182EC71">
      <w:pPr>
        <w:pStyle w:val="FootnoteText"/>
        <w:spacing w:after="120"/>
        <w:jc w:val="left"/>
      </w:pPr>
      <w:r>
        <w:rPr>
          <w:rStyle w:val="FootnoteReference"/>
        </w:rPr>
        <w:footnoteRef/>
      </w:r>
      <w:r>
        <w:t xml:space="preserve"> </w:t>
      </w:r>
      <w:r w:rsidR="00613AFE">
        <w:rPr>
          <w:i/>
          <w:iCs/>
        </w:rPr>
        <w:t xml:space="preserve">See </w:t>
      </w:r>
      <w:r w:rsidRPr="00152320">
        <w:t xml:space="preserve">Verizon Order at </w:t>
      </w:r>
      <w:r w:rsidR="009B7CE5">
        <w:t xml:space="preserve">para. </w:t>
      </w:r>
      <w:r w:rsidRPr="00152320">
        <w:t>15.</w:t>
      </w:r>
      <w:r w:rsidR="00C84D11">
        <w:t xml:space="preserve">  </w:t>
      </w:r>
    </w:p>
  </w:footnote>
  <w:footnote w:id="43">
    <w:p w:rsidR="00A1153C" w:rsidP="00D247E3" w14:paraId="1E93291E" w14:textId="77777777">
      <w:pPr>
        <w:pStyle w:val="FootnoteText"/>
        <w:spacing w:after="120"/>
        <w:jc w:val="left"/>
      </w:pPr>
      <w:r w:rsidRPr="00D0155C">
        <w:rPr>
          <w:rStyle w:val="FootnoteReference"/>
        </w:rPr>
        <w:footnoteRef/>
      </w:r>
      <w:r w:rsidRPr="00D0155C">
        <w:t xml:space="preserve"> </w:t>
      </w:r>
      <w:r w:rsidRPr="00D0155C" w:rsidR="006461AF">
        <w:rPr>
          <w:i/>
        </w:rPr>
        <w:t xml:space="preserve">See </w:t>
      </w:r>
      <w:r w:rsidRPr="00175122" w:rsidR="006C3294">
        <w:t>47 CFR § 1.</w:t>
      </w:r>
      <w:r w:rsidR="003436C4">
        <w:t>3</w:t>
      </w:r>
      <w:r w:rsidR="006C3294">
        <w:t xml:space="preserve">; </w:t>
      </w:r>
      <w:r w:rsidR="006C3294">
        <w:rPr>
          <w:i/>
          <w:iCs/>
        </w:rPr>
        <w:t xml:space="preserve">see also </w:t>
      </w:r>
      <w:r w:rsidRPr="00D0155C">
        <w:t>47 U.S.C. § 214(a).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602" w:rsidRPr="007141AA" w14:paraId="3FC5684A" w14:textId="3E670FF5">
    <w:pPr>
      <w:tabs>
        <w:tab w:val="center" w:pos="4680"/>
        <w:tab w:val="right" w:pos="9360"/>
      </w:tabs>
      <w:suppressAutoHyphens/>
      <w:spacing w:line="227" w:lineRule="auto"/>
      <w:rPr>
        <w:spacing w:val="-2"/>
        <w:sz w:val="22"/>
        <w:szCs w:val="22"/>
      </w:rPr>
    </w:pPr>
    <w:r w:rsidRPr="007141AA">
      <w:rPr>
        <w:b/>
        <w:spacing w:val="-2"/>
        <w:sz w:val="22"/>
        <w:szCs w:val="22"/>
      </w:rPr>
      <w:tab/>
      <w:t>Federal Communications Commission</w:t>
    </w:r>
    <w:r w:rsidRPr="007141AA">
      <w:rPr>
        <w:spacing w:val="-2"/>
        <w:sz w:val="22"/>
        <w:szCs w:val="22"/>
      </w:rPr>
      <w:tab/>
    </w:r>
    <w:r w:rsidRPr="007141AA">
      <w:rPr>
        <w:b/>
        <w:spacing w:val="-2"/>
        <w:sz w:val="22"/>
        <w:szCs w:val="22"/>
      </w:rPr>
      <w:t xml:space="preserve">DA </w:t>
    </w:r>
    <w:r w:rsidR="00E23362">
      <w:rPr>
        <w:b/>
        <w:spacing w:val="-2"/>
        <w:sz w:val="22"/>
        <w:szCs w:val="22"/>
      </w:rPr>
      <w:t>20</w:t>
    </w:r>
    <w:r w:rsidRPr="007141AA">
      <w:rPr>
        <w:b/>
        <w:spacing w:val="-2"/>
        <w:sz w:val="22"/>
        <w:szCs w:val="22"/>
      </w:rPr>
      <w:t>-</w:t>
    </w:r>
    <w:r w:rsidR="00A87E6F">
      <w:rPr>
        <w:b/>
        <w:spacing w:val="-2"/>
        <w:sz w:val="22"/>
        <w:szCs w:val="22"/>
      </w:rPr>
      <w:t>1392</w:t>
    </w:r>
  </w:p>
  <w:p w:rsidR="00960602" w14:paraId="133EA3E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v:textbox>
            <w:txbxContent>
              <w:p w:rsidR="00960602" w14:paraId="41E922B5" w14:textId="77777777"/>
            </w:txbxContent>
          </v:textbox>
          <w10:wrap anchorx="margin"/>
        </v:rect>
      </w:pict>
    </w:r>
  </w:p>
  <w:p w:rsidR="00960602" w:rsidP="00E23362" w14:paraId="652246D4" w14:textId="77777777">
    <w:pPr>
      <w:spacing w:after="389" w:line="100" w:lineRule="exact"/>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0602" w:rsidRPr="007141AA" w:rsidP="007141AA" w14:paraId="67DB3CBC" w14:textId="6622EB95">
    <w:pPr>
      <w:pStyle w:val="Header"/>
    </w:pPr>
    <w:r w:rsidRPr="007141AA">
      <w:tab/>
      <w:t>Federal Communications Commission</w:t>
    </w:r>
    <w:r w:rsidRPr="007141AA">
      <w:tab/>
      <w:t xml:space="preserve">DA </w:t>
    </w:r>
    <w:r w:rsidR="00E23362">
      <w:t>20</w:t>
    </w:r>
    <w:r w:rsidRPr="007141AA">
      <w:t>-</w:t>
    </w:r>
    <w:r w:rsidR="00A87E6F">
      <w:t>1392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4BD46E0E"/>
    <w:lvl w:ilvl="0">
      <w:start w:val="1"/>
      <w:numFmt w:val="decimal"/>
      <w:lvlText w:val="%1."/>
      <w:lvlJc w:val="left"/>
      <w:pPr>
        <w:tabs>
          <w:tab w:val="num" w:pos="1080"/>
        </w:tabs>
        <w:ind w:firstLine="720"/>
      </w:pPr>
      <w:rPr>
        <w:rFonts w:cs="Times New Roman"/>
        <w:b w:val="0"/>
        <w:i w:val="0"/>
        <w:sz w:val="22"/>
        <w:szCs w:val="22"/>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CA8015F4"/>
    <w:lvl w:ilvl="0">
      <w:start w:val="1"/>
      <w:numFmt w:val="upperRoman"/>
      <w:pStyle w:val="Heading1"/>
      <w:lvlText w:val="%1."/>
      <w:lvlJc w:val="left"/>
      <w:pPr>
        <w:tabs>
          <w:tab w:val="num" w:pos="810"/>
        </w:tabs>
        <w:ind w:left="810" w:hanging="720"/>
      </w:pPr>
      <w:rPr>
        <w:rFonts w:cs="Times New Roman"/>
        <w:b/>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
    <w:nsid w:val="3F7B14FD"/>
    <w:multiLevelType w:val="singleLevel"/>
    <w:tmpl w:val="4BD46E0E"/>
    <w:lvl w:ilvl="0">
      <w:start w:val="1"/>
      <w:numFmt w:val="decimal"/>
      <w:lvlText w:val="%1."/>
      <w:lvlJc w:val="left"/>
      <w:pPr>
        <w:tabs>
          <w:tab w:val="num" w:pos="1080"/>
        </w:tabs>
        <w:ind w:firstLine="720"/>
      </w:pPr>
      <w:rPr>
        <w:rFonts w:cs="Times New Roman"/>
        <w:b w:val="0"/>
        <w:i w:val="0"/>
        <w:sz w:val="22"/>
        <w:szCs w:val="22"/>
      </w:rPr>
    </w:lvl>
  </w:abstractNum>
  <w:num w:numId="1">
    <w:abstractNumId w:val="0"/>
  </w:num>
  <w:num w:numId="2">
    <w:abstractNumId w:val="0"/>
  </w:num>
  <w:num w:numId="3">
    <w:abstractNumId w:val="1"/>
  </w:num>
  <w:num w:numId="4">
    <w:abstractNumId w:val="2"/>
  </w:num>
  <w:num w:numId="5">
    <w:abstractNumId w:val="2"/>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0"/>
    <w:rsid w:val="000003E6"/>
    <w:rsid w:val="0000072B"/>
    <w:rsid w:val="000029D5"/>
    <w:rsid w:val="00003A95"/>
    <w:rsid w:val="00003F88"/>
    <w:rsid w:val="00004147"/>
    <w:rsid w:val="000046E0"/>
    <w:rsid w:val="0000597E"/>
    <w:rsid w:val="00005A04"/>
    <w:rsid w:val="0001540B"/>
    <w:rsid w:val="000157F6"/>
    <w:rsid w:val="00015AFB"/>
    <w:rsid w:val="000210A0"/>
    <w:rsid w:val="00022368"/>
    <w:rsid w:val="000223F3"/>
    <w:rsid w:val="000234FE"/>
    <w:rsid w:val="00023FD7"/>
    <w:rsid w:val="000241F0"/>
    <w:rsid w:val="00026CFB"/>
    <w:rsid w:val="0003047B"/>
    <w:rsid w:val="00032073"/>
    <w:rsid w:val="000333F2"/>
    <w:rsid w:val="00033D13"/>
    <w:rsid w:val="0003522F"/>
    <w:rsid w:val="00036339"/>
    <w:rsid w:val="000368A0"/>
    <w:rsid w:val="000368D8"/>
    <w:rsid w:val="00036EE2"/>
    <w:rsid w:val="00043289"/>
    <w:rsid w:val="000438AF"/>
    <w:rsid w:val="000471C1"/>
    <w:rsid w:val="00050A87"/>
    <w:rsid w:val="00053461"/>
    <w:rsid w:val="00054005"/>
    <w:rsid w:val="00054790"/>
    <w:rsid w:val="00054917"/>
    <w:rsid w:val="0005556F"/>
    <w:rsid w:val="00057FEC"/>
    <w:rsid w:val="000621BC"/>
    <w:rsid w:val="00063975"/>
    <w:rsid w:val="00063DE9"/>
    <w:rsid w:val="00065737"/>
    <w:rsid w:val="00065F6E"/>
    <w:rsid w:val="00071135"/>
    <w:rsid w:val="000733A1"/>
    <w:rsid w:val="0007411B"/>
    <w:rsid w:val="00074764"/>
    <w:rsid w:val="00080A67"/>
    <w:rsid w:val="00086C7A"/>
    <w:rsid w:val="00087C81"/>
    <w:rsid w:val="00087EF9"/>
    <w:rsid w:val="00090400"/>
    <w:rsid w:val="000905BE"/>
    <w:rsid w:val="00090A8E"/>
    <w:rsid w:val="00091B20"/>
    <w:rsid w:val="0009280C"/>
    <w:rsid w:val="00093D6E"/>
    <w:rsid w:val="000A21B7"/>
    <w:rsid w:val="000A3DD7"/>
    <w:rsid w:val="000A4D21"/>
    <w:rsid w:val="000A642E"/>
    <w:rsid w:val="000A6B32"/>
    <w:rsid w:val="000A7F8A"/>
    <w:rsid w:val="000A7FF8"/>
    <w:rsid w:val="000B02FC"/>
    <w:rsid w:val="000B055D"/>
    <w:rsid w:val="000B1299"/>
    <w:rsid w:val="000B1AF7"/>
    <w:rsid w:val="000B1BE3"/>
    <w:rsid w:val="000B1CCA"/>
    <w:rsid w:val="000B289B"/>
    <w:rsid w:val="000B34C3"/>
    <w:rsid w:val="000B43DF"/>
    <w:rsid w:val="000B4A97"/>
    <w:rsid w:val="000B524D"/>
    <w:rsid w:val="000B54CB"/>
    <w:rsid w:val="000B5675"/>
    <w:rsid w:val="000B6D0C"/>
    <w:rsid w:val="000C07B7"/>
    <w:rsid w:val="000C114A"/>
    <w:rsid w:val="000C1249"/>
    <w:rsid w:val="000C1D36"/>
    <w:rsid w:val="000C252B"/>
    <w:rsid w:val="000C59C2"/>
    <w:rsid w:val="000C60D1"/>
    <w:rsid w:val="000C6818"/>
    <w:rsid w:val="000C6F7A"/>
    <w:rsid w:val="000C7935"/>
    <w:rsid w:val="000D1C8C"/>
    <w:rsid w:val="000D62D6"/>
    <w:rsid w:val="000D6D8D"/>
    <w:rsid w:val="000E0C51"/>
    <w:rsid w:val="000E0D51"/>
    <w:rsid w:val="000E249D"/>
    <w:rsid w:val="000E2C08"/>
    <w:rsid w:val="000E2D1A"/>
    <w:rsid w:val="000E30B7"/>
    <w:rsid w:val="000E3D20"/>
    <w:rsid w:val="000E43CA"/>
    <w:rsid w:val="000E4CEE"/>
    <w:rsid w:val="000E550F"/>
    <w:rsid w:val="000E6595"/>
    <w:rsid w:val="000E6764"/>
    <w:rsid w:val="000E6C8E"/>
    <w:rsid w:val="000E7695"/>
    <w:rsid w:val="000E7D25"/>
    <w:rsid w:val="000F019C"/>
    <w:rsid w:val="000F09BD"/>
    <w:rsid w:val="000F0AF1"/>
    <w:rsid w:val="000F0CA4"/>
    <w:rsid w:val="000F1269"/>
    <w:rsid w:val="000F390E"/>
    <w:rsid w:val="000F4597"/>
    <w:rsid w:val="000F542C"/>
    <w:rsid w:val="000F552B"/>
    <w:rsid w:val="000F6237"/>
    <w:rsid w:val="000F7285"/>
    <w:rsid w:val="000F742B"/>
    <w:rsid w:val="000F7E2B"/>
    <w:rsid w:val="001033F7"/>
    <w:rsid w:val="00104BB6"/>
    <w:rsid w:val="00105A47"/>
    <w:rsid w:val="00110C57"/>
    <w:rsid w:val="00114071"/>
    <w:rsid w:val="001152AC"/>
    <w:rsid w:val="00115674"/>
    <w:rsid w:val="001165AF"/>
    <w:rsid w:val="00116F41"/>
    <w:rsid w:val="001172C8"/>
    <w:rsid w:val="00120E74"/>
    <w:rsid w:val="0012352D"/>
    <w:rsid w:val="001238F6"/>
    <w:rsid w:val="001258BA"/>
    <w:rsid w:val="00126723"/>
    <w:rsid w:val="00126E52"/>
    <w:rsid w:val="00126FC0"/>
    <w:rsid w:val="001307E3"/>
    <w:rsid w:val="00130B3F"/>
    <w:rsid w:val="00131AFC"/>
    <w:rsid w:val="00131E74"/>
    <w:rsid w:val="00133A1B"/>
    <w:rsid w:val="00134BB2"/>
    <w:rsid w:val="00135EBD"/>
    <w:rsid w:val="001373D5"/>
    <w:rsid w:val="00140039"/>
    <w:rsid w:val="00142530"/>
    <w:rsid w:val="00146CBB"/>
    <w:rsid w:val="001476FE"/>
    <w:rsid w:val="0015092F"/>
    <w:rsid w:val="0015123F"/>
    <w:rsid w:val="0015202F"/>
    <w:rsid w:val="00152320"/>
    <w:rsid w:val="001536FD"/>
    <w:rsid w:val="001542C2"/>
    <w:rsid w:val="0015485A"/>
    <w:rsid w:val="00155B40"/>
    <w:rsid w:val="00155BEC"/>
    <w:rsid w:val="00156D63"/>
    <w:rsid w:val="00160B7C"/>
    <w:rsid w:val="00162F3E"/>
    <w:rsid w:val="0016332C"/>
    <w:rsid w:val="00164CBD"/>
    <w:rsid w:val="001662F7"/>
    <w:rsid w:val="001667D7"/>
    <w:rsid w:val="00166A47"/>
    <w:rsid w:val="00167440"/>
    <w:rsid w:val="00172684"/>
    <w:rsid w:val="00173DE9"/>
    <w:rsid w:val="00174D96"/>
    <w:rsid w:val="00175093"/>
    <w:rsid w:val="00175122"/>
    <w:rsid w:val="00182094"/>
    <w:rsid w:val="00183256"/>
    <w:rsid w:val="00184D57"/>
    <w:rsid w:val="001854D5"/>
    <w:rsid w:val="0018698D"/>
    <w:rsid w:val="00194929"/>
    <w:rsid w:val="00194CF8"/>
    <w:rsid w:val="00196625"/>
    <w:rsid w:val="00197E37"/>
    <w:rsid w:val="001A0118"/>
    <w:rsid w:val="001A0B18"/>
    <w:rsid w:val="001A1D83"/>
    <w:rsid w:val="001A1F8E"/>
    <w:rsid w:val="001A25EF"/>
    <w:rsid w:val="001A2D57"/>
    <w:rsid w:val="001A34BA"/>
    <w:rsid w:val="001A404E"/>
    <w:rsid w:val="001A57D3"/>
    <w:rsid w:val="001A7A51"/>
    <w:rsid w:val="001B0711"/>
    <w:rsid w:val="001B0A58"/>
    <w:rsid w:val="001B2714"/>
    <w:rsid w:val="001C0DA0"/>
    <w:rsid w:val="001C1BFD"/>
    <w:rsid w:val="001C2B2F"/>
    <w:rsid w:val="001C4054"/>
    <w:rsid w:val="001C40DB"/>
    <w:rsid w:val="001C4604"/>
    <w:rsid w:val="001C52EF"/>
    <w:rsid w:val="001C6CE8"/>
    <w:rsid w:val="001D11A0"/>
    <w:rsid w:val="001D1500"/>
    <w:rsid w:val="001D1CBA"/>
    <w:rsid w:val="001D2532"/>
    <w:rsid w:val="001D2960"/>
    <w:rsid w:val="001D4F11"/>
    <w:rsid w:val="001D5BAD"/>
    <w:rsid w:val="001D789C"/>
    <w:rsid w:val="001E0289"/>
    <w:rsid w:val="001E02E8"/>
    <w:rsid w:val="001E147D"/>
    <w:rsid w:val="001E14A0"/>
    <w:rsid w:val="001E153F"/>
    <w:rsid w:val="001E1768"/>
    <w:rsid w:val="001E4CD6"/>
    <w:rsid w:val="001F0202"/>
    <w:rsid w:val="001F1FE7"/>
    <w:rsid w:val="001F51A7"/>
    <w:rsid w:val="001F5A98"/>
    <w:rsid w:val="001F6F4D"/>
    <w:rsid w:val="001F79BD"/>
    <w:rsid w:val="001F7D83"/>
    <w:rsid w:val="00200134"/>
    <w:rsid w:val="0020032A"/>
    <w:rsid w:val="0020078E"/>
    <w:rsid w:val="00201C69"/>
    <w:rsid w:val="00202491"/>
    <w:rsid w:val="00202D6D"/>
    <w:rsid w:val="00203E4C"/>
    <w:rsid w:val="00203E75"/>
    <w:rsid w:val="00204516"/>
    <w:rsid w:val="00204A80"/>
    <w:rsid w:val="002052F3"/>
    <w:rsid w:val="00205D03"/>
    <w:rsid w:val="00205EA2"/>
    <w:rsid w:val="00205EB0"/>
    <w:rsid w:val="00206E9F"/>
    <w:rsid w:val="00207046"/>
    <w:rsid w:val="002076ED"/>
    <w:rsid w:val="00212A16"/>
    <w:rsid w:val="002132F1"/>
    <w:rsid w:val="00216B74"/>
    <w:rsid w:val="00216F9E"/>
    <w:rsid w:val="00217103"/>
    <w:rsid w:val="00217839"/>
    <w:rsid w:val="00217D53"/>
    <w:rsid w:val="00222D5E"/>
    <w:rsid w:val="00223787"/>
    <w:rsid w:val="00224652"/>
    <w:rsid w:val="00226829"/>
    <w:rsid w:val="00227B94"/>
    <w:rsid w:val="00227CEB"/>
    <w:rsid w:val="00230942"/>
    <w:rsid w:val="00232F13"/>
    <w:rsid w:val="00232F6B"/>
    <w:rsid w:val="00235619"/>
    <w:rsid w:val="002358E2"/>
    <w:rsid w:val="00236695"/>
    <w:rsid w:val="0023704A"/>
    <w:rsid w:val="00237A9B"/>
    <w:rsid w:val="00237E22"/>
    <w:rsid w:val="002423E1"/>
    <w:rsid w:val="00242D13"/>
    <w:rsid w:val="0024544C"/>
    <w:rsid w:val="00245611"/>
    <w:rsid w:val="0024635A"/>
    <w:rsid w:val="002469F0"/>
    <w:rsid w:val="00247E34"/>
    <w:rsid w:val="0025047B"/>
    <w:rsid w:val="00250623"/>
    <w:rsid w:val="00251191"/>
    <w:rsid w:val="00252FAA"/>
    <w:rsid w:val="002552B1"/>
    <w:rsid w:val="0025582A"/>
    <w:rsid w:val="00255D7C"/>
    <w:rsid w:val="00256BEB"/>
    <w:rsid w:val="00257166"/>
    <w:rsid w:val="002600C9"/>
    <w:rsid w:val="0026068A"/>
    <w:rsid w:val="00260A47"/>
    <w:rsid w:val="00261776"/>
    <w:rsid w:val="00262720"/>
    <w:rsid w:val="00263A15"/>
    <w:rsid w:val="00265CEE"/>
    <w:rsid w:val="00266667"/>
    <w:rsid w:val="00266C2C"/>
    <w:rsid w:val="00266E32"/>
    <w:rsid w:val="002671C4"/>
    <w:rsid w:val="00271672"/>
    <w:rsid w:val="0027213E"/>
    <w:rsid w:val="002730BA"/>
    <w:rsid w:val="00274A12"/>
    <w:rsid w:val="00275E4E"/>
    <w:rsid w:val="0027675D"/>
    <w:rsid w:val="0028107A"/>
    <w:rsid w:val="00281A7B"/>
    <w:rsid w:val="002825C6"/>
    <w:rsid w:val="00283154"/>
    <w:rsid w:val="00283374"/>
    <w:rsid w:val="002841AD"/>
    <w:rsid w:val="002846A4"/>
    <w:rsid w:val="00286643"/>
    <w:rsid w:val="00287B86"/>
    <w:rsid w:val="00287FC1"/>
    <w:rsid w:val="002A115E"/>
    <w:rsid w:val="002A4564"/>
    <w:rsid w:val="002A4828"/>
    <w:rsid w:val="002A508C"/>
    <w:rsid w:val="002A56B1"/>
    <w:rsid w:val="002A6EFB"/>
    <w:rsid w:val="002A784E"/>
    <w:rsid w:val="002A7E8D"/>
    <w:rsid w:val="002B082F"/>
    <w:rsid w:val="002B1CC6"/>
    <w:rsid w:val="002B2C3B"/>
    <w:rsid w:val="002B2E3B"/>
    <w:rsid w:val="002B35DE"/>
    <w:rsid w:val="002B3A20"/>
    <w:rsid w:val="002B3D1C"/>
    <w:rsid w:val="002B7033"/>
    <w:rsid w:val="002B75D1"/>
    <w:rsid w:val="002B7E6B"/>
    <w:rsid w:val="002B7FCB"/>
    <w:rsid w:val="002C2027"/>
    <w:rsid w:val="002C5800"/>
    <w:rsid w:val="002C66FD"/>
    <w:rsid w:val="002C692C"/>
    <w:rsid w:val="002C704C"/>
    <w:rsid w:val="002C770A"/>
    <w:rsid w:val="002D0BB8"/>
    <w:rsid w:val="002D12E9"/>
    <w:rsid w:val="002D213A"/>
    <w:rsid w:val="002D2A1C"/>
    <w:rsid w:val="002D35AF"/>
    <w:rsid w:val="002D4D00"/>
    <w:rsid w:val="002D6161"/>
    <w:rsid w:val="002D73D2"/>
    <w:rsid w:val="002D770D"/>
    <w:rsid w:val="002E31B8"/>
    <w:rsid w:val="002E4754"/>
    <w:rsid w:val="002E4CB5"/>
    <w:rsid w:val="002E5457"/>
    <w:rsid w:val="002E6C7B"/>
    <w:rsid w:val="002E7665"/>
    <w:rsid w:val="002E79EB"/>
    <w:rsid w:val="002E7D91"/>
    <w:rsid w:val="002F07CE"/>
    <w:rsid w:val="002F29D3"/>
    <w:rsid w:val="002F300D"/>
    <w:rsid w:val="002F36FA"/>
    <w:rsid w:val="002F4043"/>
    <w:rsid w:val="002F4B61"/>
    <w:rsid w:val="002F519D"/>
    <w:rsid w:val="002F5815"/>
    <w:rsid w:val="002F6C25"/>
    <w:rsid w:val="002F76FB"/>
    <w:rsid w:val="0030118F"/>
    <w:rsid w:val="0030122B"/>
    <w:rsid w:val="00303A42"/>
    <w:rsid w:val="003064D9"/>
    <w:rsid w:val="0030785D"/>
    <w:rsid w:val="00310571"/>
    <w:rsid w:val="00312199"/>
    <w:rsid w:val="003130A1"/>
    <w:rsid w:val="0031319A"/>
    <w:rsid w:val="003132AA"/>
    <w:rsid w:val="003132ED"/>
    <w:rsid w:val="003140FC"/>
    <w:rsid w:val="00315054"/>
    <w:rsid w:val="00315E6E"/>
    <w:rsid w:val="003160E3"/>
    <w:rsid w:val="0031612D"/>
    <w:rsid w:val="0031786E"/>
    <w:rsid w:val="00321AC1"/>
    <w:rsid w:val="00322B9F"/>
    <w:rsid w:val="003244E0"/>
    <w:rsid w:val="0032458B"/>
    <w:rsid w:val="00325C44"/>
    <w:rsid w:val="00330F31"/>
    <w:rsid w:val="0033268C"/>
    <w:rsid w:val="00332826"/>
    <w:rsid w:val="00333A3B"/>
    <w:rsid w:val="00333F73"/>
    <w:rsid w:val="0033561B"/>
    <w:rsid w:val="003367B8"/>
    <w:rsid w:val="003367E3"/>
    <w:rsid w:val="00336D3F"/>
    <w:rsid w:val="0033746B"/>
    <w:rsid w:val="00340145"/>
    <w:rsid w:val="00341A83"/>
    <w:rsid w:val="00341B90"/>
    <w:rsid w:val="00342850"/>
    <w:rsid w:val="00342ACB"/>
    <w:rsid w:val="003436C4"/>
    <w:rsid w:val="0034517D"/>
    <w:rsid w:val="0034544A"/>
    <w:rsid w:val="00346769"/>
    <w:rsid w:val="00350519"/>
    <w:rsid w:val="003509E8"/>
    <w:rsid w:val="00353E1F"/>
    <w:rsid w:val="00353F5E"/>
    <w:rsid w:val="00354C94"/>
    <w:rsid w:val="00354D8D"/>
    <w:rsid w:val="003553F5"/>
    <w:rsid w:val="00355612"/>
    <w:rsid w:val="0035576C"/>
    <w:rsid w:val="00356D6B"/>
    <w:rsid w:val="00361877"/>
    <w:rsid w:val="00362694"/>
    <w:rsid w:val="003628C1"/>
    <w:rsid w:val="003637C4"/>
    <w:rsid w:val="0036384E"/>
    <w:rsid w:val="00364358"/>
    <w:rsid w:val="00364C53"/>
    <w:rsid w:val="00365B74"/>
    <w:rsid w:val="00366638"/>
    <w:rsid w:val="00366C3D"/>
    <w:rsid w:val="003670F0"/>
    <w:rsid w:val="00370B28"/>
    <w:rsid w:val="003724DD"/>
    <w:rsid w:val="0037252A"/>
    <w:rsid w:val="003730ED"/>
    <w:rsid w:val="0037329D"/>
    <w:rsid w:val="00373FC4"/>
    <w:rsid w:val="00374FC9"/>
    <w:rsid w:val="00375318"/>
    <w:rsid w:val="00375FB1"/>
    <w:rsid w:val="0037792A"/>
    <w:rsid w:val="00377B03"/>
    <w:rsid w:val="00377C38"/>
    <w:rsid w:val="00377DEC"/>
    <w:rsid w:val="00380C8E"/>
    <w:rsid w:val="00382B1D"/>
    <w:rsid w:val="00382ED9"/>
    <w:rsid w:val="0038328D"/>
    <w:rsid w:val="00383887"/>
    <w:rsid w:val="0038474B"/>
    <w:rsid w:val="003852DF"/>
    <w:rsid w:val="00387106"/>
    <w:rsid w:val="00387BE5"/>
    <w:rsid w:val="00387BF5"/>
    <w:rsid w:val="00390F92"/>
    <w:rsid w:val="00392676"/>
    <w:rsid w:val="00393400"/>
    <w:rsid w:val="00393713"/>
    <w:rsid w:val="00394B7E"/>
    <w:rsid w:val="00395706"/>
    <w:rsid w:val="00395778"/>
    <w:rsid w:val="003965E8"/>
    <w:rsid w:val="003970A0"/>
    <w:rsid w:val="003979A2"/>
    <w:rsid w:val="003A10E8"/>
    <w:rsid w:val="003A229A"/>
    <w:rsid w:val="003A26E7"/>
    <w:rsid w:val="003A29C8"/>
    <w:rsid w:val="003A3F2F"/>
    <w:rsid w:val="003A5158"/>
    <w:rsid w:val="003A5214"/>
    <w:rsid w:val="003A6DC3"/>
    <w:rsid w:val="003B0FA8"/>
    <w:rsid w:val="003B198A"/>
    <w:rsid w:val="003B252B"/>
    <w:rsid w:val="003B469A"/>
    <w:rsid w:val="003C09A7"/>
    <w:rsid w:val="003C1164"/>
    <w:rsid w:val="003C1F4C"/>
    <w:rsid w:val="003C2B0B"/>
    <w:rsid w:val="003C3687"/>
    <w:rsid w:val="003C4552"/>
    <w:rsid w:val="003C5BBC"/>
    <w:rsid w:val="003C6866"/>
    <w:rsid w:val="003C704B"/>
    <w:rsid w:val="003C7B0D"/>
    <w:rsid w:val="003D187B"/>
    <w:rsid w:val="003D290C"/>
    <w:rsid w:val="003D36D3"/>
    <w:rsid w:val="003D4741"/>
    <w:rsid w:val="003D533C"/>
    <w:rsid w:val="003D7BB1"/>
    <w:rsid w:val="003E0416"/>
    <w:rsid w:val="003E15DD"/>
    <w:rsid w:val="003E2B6D"/>
    <w:rsid w:val="003E2D4D"/>
    <w:rsid w:val="003E4B5C"/>
    <w:rsid w:val="003E51C7"/>
    <w:rsid w:val="003E5836"/>
    <w:rsid w:val="003E5F6F"/>
    <w:rsid w:val="003E773D"/>
    <w:rsid w:val="003F0FCE"/>
    <w:rsid w:val="003F1308"/>
    <w:rsid w:val="003F1EE2"/>
    <w:rsid w:val="003F5440"/>
    <w:rsid w:val="00401CA0"/>
    <w:rsid w:val="0040321B"/>
    <w:rsid w:val="004046D3"/>
    <w:rsid w:val="00404F7D"/>
    <w:rsid w:val="004059A1"/>
    <w:rsid w:val="00406412"/>
    <w:rsid w:val="00407CCE"/>
    <w:rsid w:val="00410BF9"/>
    <w:rsid w:val="00410D44"/>
    <w:rsid w:val="0041176A"/>
    <w:rsid w:val="00411E75"/>
    <w:rsid w:val="00412352"/>
    <w:rsid w:val="004131C3"/>
    <w:rsid w:val="00414943"/>
    <w:rsid w:val="0041653B"/>
    <w:rsid w:val="004174DD"/>
    <w:rsid w:val="00421407"/>
    <w:rsid w:val="00421DC5"/>
    <w:rsid w:val="00422209"/>
    <w:rsid w:val="00422A69"/>
    <w:rsid w:val="00422CBF"/>
    <w:rsid w:val="004246CF"/>
    <w:rsid w:val="00424D86"/>
    <w:rsid w:val="004259D2"/>
    <w:rsid w:val="004271F5"/>
    <w:rsid w:val="0042798D"/>
    <w:rsid w:val="00427F7F"/>
    <w:rsid w:val="00432623"/>
    <w:rsid w:val="00432989"/>
    <w:rsid w:val="00433E09"/>
    <w:rsid w:val="00436316"/>
    <w:rsid w:val="00436896"/>
    <w:rsid w:val="0043766F"/>
    <w:rsid w:val="00437AEA"/>
    <w:rsid w:val="00440825"/>
    <w:rsid w:val="00443330"/>
    <w:rsid w:val="0044624B"/>
    <w:rsid w:val="00446277"/>
    <w:rsid w:val="00450CE6"/>
    <w:rsid w:val="00450F2B"/>
    <w:rsid w:val="0045249F"/>
    <w:rsid w:val="004524BF"/>
    <w:rsid w:val="00452F0F"/>
    <w:rsid w:val="00453038"/>
    <w:rsid w:val="00453ABC"/>
    <w:rsid w:val="00453CEB"/>
    <w:rsid w:val="00455271"/>
    <w:rsid w:val="004553CD"/>
    <w:rsid w:val="00456865"/>
    <w:rsid w:val="0046197A"/>
    <w:rsid w:val="00462FC5"/>
    <w:rsid w:val="0046353C"/>
    <w:rsid w:val="00463A2C"/>
    <w:rsid w:val="00467594"/>
    <w:rsid w:val="004700B8"/>
    <w:rsid w:val="004700FB"/>
    <w:rsid w:val="0047038D"/>
    <w:rsid w:val="004711A2"/>
    <w:rsid w:val="004722A8"/>
    <w:rsid w:val="004729C1"/>
    <w:rsid w:val="00474524"/>
    <w:rsid w:val="00474D07"/>
    <w:rsid w:val="00474E96"/>
    <w:rsid w:val="00475E8B"/>
    <w:rsid w:val="0048013F"/>
    <w:rsid w:val="00480449"/>
    <w:rsid w:val="0048119E"/>
    <w:rsid w:val="00481AF1"/>
    <w:rsid w:val="00481E4F"/>
    <w:rsid w:val="00482340"/>
    <w:rsid w:val="0048281D"/>
    <w:rsid w:val="00483566"/>
    <w:rsid w:val="004842A6"/>
    <w:rsid w:val="004844F2"/>
    <w:rsid w:val="0048474D"/>
    <w:rsid w:val="00487C13"/>
    <w:rsid w:val="00494726"/>
    <w:rsid w:val="00496F71"/>
    <w:rsid w:val="004979A4"/>
    <w:rsid w:val="00497F9F"/>
    <w:rsid w:val="004A02C9"/>
    <w:rsid w:val="004A1182"/>
    <w:rsid w:val="004A1262"/>
    <w:rsid w:val="004A268F"/>
    <w:rsid w:val="004A2B57"/>
    <w:rsid w:val="004A4AA5"/>
    <w:rsid w:val="004A4E6A"/>
    <w:rsid w:val="004A635B"/>
    <w:rsid w:val="004A74B1"/>
    <w:rsid w:val="004B48C5"/>
    <w:rsid w:val="004B4EAF"/>
    <w:rsid w:val="004B6ECF"/>
    <w:rsid w:val="004B7B95"/>
    <w:rsid w:val="004B7ED3"/>
    <w:rsid w:val="004C2264"/>
    <w:rsid w:val="004C2451"/>
    <w:rsid w:val="004C3009"/>
    <w:rsid w:val="004C3104"/>
    <w:rsid w:val="004C4293"/>
    <w:rsid w:val="004C55A6"/>
    <w:rsid w:val="004C5879"/>
    <w:rsid w:val="004D0725"/>
    <w:rsid w:val="004D079F"/>
    <w:rsid w:val="004D10A4"/>
    <w:rsid w:val="004D19C3"/>
    <w:rsid w:val="004D27CE"/>
    <w:rsid w:val="004D6E35"/>
    <w:rsid w:val="004E183C"/>
    <w:rsid w:val="004E22EE"/>
    <w:rsid w:val="004E347B"/>
    <w:rsid w:val="004E3547"/>
    <w:rsid w:val="004E3811"/>
    <w:rsid w:val="004E3F30"/>
    <w:rsid w:val="004E480E"/>
    <w:rsid w:val="004E5205"/>
    <w:rsid w:val="004E59EE"/>
    <w:rsid w:val="004F3085"/>
    <w:rsid w:val="004F3E2C"/>
    <w:rsid w:val="004F4145"/>
    <w:rsid w:val="004F4690"/>
    <w:rsid w:val="004F4BCF"/>
    <w:rsid w:val="004F5731"/>
    <w:rsid w:val="004F57F2"/>
    <w:rsid w:val="00500B70"/>
    <w:rsid w:val="00503B5E"/>
    <w:rsid w:val="00503E0F"/>
    <w:rsid w:val="00504C26"/>
    <w:rsid w:val="00504ED9"/>
    <w:rsid w:val="00505604"/>
    <w:rsid w:val="005068A8"/>
    <w:rsid w:val="00506987"/>
    <w:rsid w:val="00506F65"/>
    <w:rsid w:val="00507026"/>
    <w:rsid w:val="005079CD"/>
    <w:rsid w:val="00507B3C"/>
    <w:rsid w:val="005106C8"/>
    <w:rsid w:val="00510B91"/>
    <w:rsid w:val="00511508"/>
    <w:rsid w:val="0051317E"/>
    <w:rsid w:val="005132E1"/>
    <w:rsid w:val="00514D09"/>
    <w:rsid w:val="00516897"/>
    <w:rsid w:val="005169C9"/>
    <w:rsid w:val="00516F5F"/>
    <w:rsid w:val="0052018E"/>
    <w:rsid w:val="005202F0"/>
    <w:rsid w:val="005207B5"/>
    <w:rsid w:val="0052104C"/>
    <w:rsid w:val="00522591"/>
    <w:rsid w:val="00522A24"/>
    <w:rsid w:val="005242EB"/>
    <w:rsid w:val="00524489"/>
    <w:rsid w:val="00525901"/>
    <w:rsid w:val="00525940"/>
    <w:rsid w:val="0052730E"/>
    <w:rsid w:val="00527ECE"/>
    <w:rsid w:val="00530765"/>
    <w:rsid w:val="00530F43"/>
    <w:rsid w:val="00531319"/>
    <w:rsid w:val="00532585"/>
    <w:rsid w:val="00533D42"/>
    <w:rsid w:val="005349FE"/>
    <w:rsid w:val="00537AA6"/>
    <w:rsid w:val="00540D3D"/>
    <w:rsid w:val="00542183"/>
    <w:rsid w:val="00542950"/>
    <w:rsid w:val="00542C7F"/>
    <w:rsid w:val="0054432F"/>
    <w:rsid w:val="00547535"/>
    <w:rsid w:val="005525BC"/>
    <w:rsid w:val="00553743"/>
    <w:rsid w:val="00554116"/>
    <w:rsid w:val="00554365"/>
    <w:rsid w:val="005552F1"/>
    <w:rsid w:val="005567E3"/>
    <w:rsid w:val="00556FFD"/>
    <w:rsid w:val="00557B64"/>
    <w:rsid w:val="005601A0"/>
    <w:rsid w:val="0056041C"/>
    <w:rsid w:val="00561271"/>
    <w:rsid w:val="00562922"/>
    <w:rsid w:val="00563EF4"/>
    <w:rsid w:val="00565DE5"/>
    <w:rsid w:val="00566A8C"/>
    <w:rsid w:val="00566EA2"/>
    <w:rsid w:val="00567CC1"/>
    <w:rsid w:val="00570182"/>
    <w:rsid w:val="00572847"/>
    <w:rsid w:val="00572B05"/>
    <w:rsid w:val="00572F97"/>
    <w:rsid w:val="00573D4E"/>
    <w:rsid w:val="0057445B"/>
    <w:rsid w:val="005760F6"/>
    <w:rsid w:val="00581FAA"/>
    <w:rsid w:val="00590E3D"/>
    <w:rsid w:val="00590F0A"/>
    <w:rsid w:val="00591BC0"/>
    <w:rsid w:val="00591E33"/>
    <w:rsid w:val="005923CE"/>
    <w:rsid w:val="0059312C"/>
    <w:rsid w:val="00593637"/>
    <w:rsid w:val="00594901"/>
    <w:rsid w:val="00594DF6"/>
    <w:rsid w:val="005962F9"/>
    <w:rsid w:val="00597779"/>
    <w:rsid w:val="00597DD7"/>
    <w:rsid w:val="005A1235"/>
    <w:rsid w:val="005A1D82"/>
    <w:rsid w:val="005A5D60"/>
    <w:rsid w:val="005A6223"/>
    <w:rsid w:val="005A7489"/>
    <w:rsid w:val="005A795D"/>
    <w:rsid w:val="005A7BAE"/>
    <w:rsid w:val="005B0331"/>
    <w:rsid w:val="005B0C3C"/>
    <w:rsid w:val="005B2DDD"/>
    <w:rsid w:val="005B38CF"/>
    <w:rsid w:val="005B3CE3"/>
    <w:rsid w:val="005B4B66"/>
    <w:rsid w:val="005B4DDB"/>
    <w:rsid w:val="005B5CED"/>
    <w:rsid w:val="005B6987"/>
    <w:rsid w:val="005B74A4"/>
    <w:rsid w:val="005B776E"/>
    <w:rsid w:val="005B7BCA"/>
    <w:rsid w:val="005C0A73"/>
    <w:rsid w:val="005C1019"/>
    <w:rsid w:val="005C2F5F"/>
    <w:rsid w:val="005C352C"/>
    <w:rsid w:val="005C36AB"/>
    <w:rsid w:val="005C49D8"/>
    <w:rsid w:val="005C4A33"/>
    <w:rsid w:val="005C5CE0"/>
    <w:rsid w:val="005C693B"/>
    <w:rsid w:val="005C6FB9"/>
    <w:rsid w:val="005C7CAF"/>
    <w:rsid w:val="005D034C"/>
    <w:rsid w:val="005D5A9A"/>
    <w:rsid w:val="005D796D"/>
    <w:rsid w:val="005D7B82"/>
    <w:rsid w:val="005E072C"/>
    <w:rsid w:val="005E0F99"/>
    <w:rsid w:val="005E1031"/>
    <w:rsid w:val="005E2380"/>
    <w:rsid w:val="005E3893"/>
    <w:rsid w:val="005E58D6"/>
    <w:rsid w:val="005E5B78"/>
    <w:rsid w:val="005E5F52"/>
    <w:rsid w:val="005F0D7D"/>
    <w:rsid w:val="005F10A6"/>
    <w:rsid w:val="005F11E7"/>
    <w:rsid w:val="005F19D9"/>
    <w:rsid w:val="005F337B"/>
    <w:rsid w:val="005F38C6"/>
    <w:rsid w:val="005F3E95"/>
    <w:rsid w:val="005F4B87"/>
    <w:rsid w:val="005F61F7"/>
    <w:rsid w:val="005F6369"/>
    <w:rsid w:val="005F7223"/>
    <w:rsid w:val="005F784B"/>
    <w:rsid w:val="005F7D47"/>
    <w:rsid w:val="00600F5D"/>
    <w:rsid w:val="00600FE6"/>
    <w:rsid w:val="00601F18"/>
    <w:rsid w:val="00602422"/>
    <w:rsid w:val="006028C6"/>
    <w:rsid w:val="00602CBE"/>
    <w:rsid w:val="00603439"/>
    <w:rsid w:val="00605884"/>
    <w:rsid w:val="006101A7"/>
    <w:rsid w:val="0061034E"/>
    <w:rsid w:val="00613059"/>
    <w:rsid w:val="00613AFE"/>
    <w:rsid w:val="00614365"/>
    <w:rsid w:val="006154CA"/>
    <w:rsid w:val="0061660F"/>
    <w:rsid w:val="00616A44"/>
    <w:rsid w:val="0062032A"/>
    <w:rsid w:val="00620A7F"/>
    <w:rsid w:val="00621C07"/>
    <w:rsid w:val="00622504"/>
    <w:rsid w:val="006247FC"/>
    <w:rsid w:val="00625740"/>
    <w:rsid w:val="006260E6"/>
    <w:rsid w:val="00626D10"/>
    <w:rsid w:val="00626FD1"/>
    <w:rsid w:val="00627249"/>
    <w:rsid w:val="00630D91"/>
    <w:rsid w:val="00632CCA"/>
    <w:rsid w:val="00632F98"/>
    <w:rsid w:val="00633F46"/>
    <w:rsid w:val="0063440D"/>
    <w:rsid w:val="006347F6"/>
    <w:rsid w:val="00635BF6"/>
    <w:rsid w:val="006371CC"/>
    <w:rsid w:val="00642AED"/>
    <w:rsid w:val="006436C4"/>
    <w:rsid w:val="006461AF"/>
    <w:rsid w:val="00646FCB"/>
    <w:rsid w:val="0064731F"/>
    <w:rsid w:val="0064799C"/>
    <w:rsid w:val="00647AE5"/>
    <w:rsid w:val="006500A9"/>
    <w:rsid w:val="00650381"/>
    <w:rsid w:val="00650A78"/>
    <w:rsid w:val="00650DD3"/>
    <w:rsid w:val="0065255C"/>
    <w:rsid w:val="00653ED7"/>
    <w:rsid w:val="0065416F"/>
    <w:rsid w:val="00656183"/>
    <w:rsid w:val="00657070"/>
    <w:rsid w:val="00657B18"/>
    <w:rsid w:val="00660CDB"/>
    <w:rsid w:val="006610C2"/>
    <w:rsid w:val="00661EB1"/>
    <w:rsid w:val="006630D9"/>
    <w:rsid w:val="0066310F"/>
    <w:rsid w:val="00663708"/>
    <w:rsid w:val="0066383F"/>
    <w:rsid w:val="00664D6B"/>
    <w:rsid w:val="00666681"/>
    <w:rsid w:val="006673DA"/>
    <w:rsid w:val="00670BFF"/>
    <w:rsid w:val="00671122"/>
    <w:rsid w:val="006721CF"/>
    <w:rsid w:val="00673167"/>
    <w:rsid w:val="0067330A"/>
    <w:rsid w:val="00674818"/>
    <w:rsid w:val="006748AA"/>
    <w:rsid w:val="006762B4"/>
    <w:rsid w:val="00676612"/>
    <w:rsid w:val="0067737A"/>
    <w:rsid w:val="00677F65"/>
    <w:rsid w:val="0068141D"/>
    <w:rsid w:val="00682FD8"/>
    <w:rsid w:val="00683D27"/>
    <w:rsid w:val="0068582A"/>
    <w:rsid w:val="00685B1D"/>
    <w:rsid w:val="00687072"/>
    <w:rsid w:val="00687E8A"/>
    <w:rsid w:val="00690B64"/>
    <w:rsid w:val="00692516"/>
    <w:rsid w:val="0069270E"/>
    <w:rsid w:val="006942E4"/>
    <w:rsid w:val="006943A2"/>
    <w:rsid w:val="006946DD"/>
    <w:rsid w:val="0069491D"/>
    <w:rsid w:val="00695F66"/>
    <w:rsid w:val="00696B3B"/>
    <w:rsid w:val="006971AF"/>
    <w:rsid w:val="0069763B"/>
    <w:rsid w:val="00697C64"/>
    <w:rsid w:val="006A256E"/>
    <w:rsid w:val="006A257C"/>
    <w:rsid w:val="006A2C3B"/>
    <w:rsid w:val="006A390E"/>
    <w:rsid w:val="006A4AE6"/>
    <w:rsid w:val="006A74C5"/>
    <w:rsid w:val="006B2033"/>
    <w:rsid w:val="006B4ADA"/>
    <w:rsid w:val="006B546F"/>
    <w:rsid w:val="006B6BED"/>
    <w:rsid w:val="006B74BB"/>
    <w:rsid w:val="006C080D"/>
    <w:rsid w:val="006C1B39"/>
    <w:rsid w:val="006C245F"/>
    <w:rsid w:val="006C257B"/>
    <w:rsid w:val="006C3294"/>
    <w:rsid w:val="006C331F"/>
    <w:rsid w:val="006C4D40"/>
    <w:rsid w:val="006C5BCF"/>
    <w:rsid w:val="006C6D93"/>
    <w:rsid w:val="006C6FF6"/>
    <w:rsid w:val="006C7DD7"/>
    <w:rsid w:val="006D4034"/>
    <w:rsid w:val="006D427D"/>
    <w:rsid w:val="006D502D"/>
    <w:rsid w:val="006D5B45"/>
    <w:rsid w:val="006D7C33"/>
    <w:rsid w:val="006E0050"/>
    <w:rsid w:val="006E0137"/>
    <w:rsid w:val="006E07BD"/>
    <w:rsid w:val="006E3B3F"/>
    <w:rsid w:val="006E3DCA"/>
    <w:rsid w:val="006E412A"/>
    <w:rsid w:val="006E677A"/>
    <w:rsid w:val="006F2026"/>
    <w:rsid w:val="006F2C3E"/>
    <w:rsid w:val="006F2D26"/>
    <w:rsid w:val="006F3E7D"/>
    <w:rsid w:val="006F5087"/>
    <w:rsid w:val="006F57D5"/>
    <w:rsid w:val="006F6D23"/>
    <w:rsid w:val="00700A2F"/>
    <w:rsid w:val="007011DF"/>
    <w:rsid w:val="0070140C"/>
    <w:rsid w:val="00701889"/>
    <w:rsid w:val="00701923"/>
    <w:rsid w:val="0070239C"/>
    <w:rsid w:val="00703AC9"/>
    <w:rsid w:val="0071058A"/>
    <w:rsid w:val="00711EDD"/>
    <w:rsid w:val="00712227"/>
    <w:rsid w:val="00712865"/>
    <w:rsid w:val="00712B39"/>
    <w:rsid w:val="00712B42"/>
    <w:rsid w:val="007141AA"/>
    <w:rsid w:val="00716BE3"/>
    <w:rsid w:val="00716E4A"/>
    <w:rsid w:val="007220FC"/>
    <w:rsid w:val="0072255F"/>
    <w:rsid w:val="00723B1E"/>
    <w:rsid w:val="007240ED"/>
    <w:rsid w:val="007242B1"/>
    <w:rsid w:val="00724599"/>
    <w:rsid w:val="007255C2"/>
    <w:rsid w:val="0072623B"/>
    <w:rsid w:val="00726E71"/>
    <w:rsid w:val="00727CDD"/>
    <w:rsid w:val="00732182"/>
    <w:rsid w:val="00732728"/>
    <w:rsid w:val="007353CA"/>
    <w:rsid w:val="0073634F"/>
    <w:rsid w:val="007366D8"/>
    <w:rsid w:val="00736A0C"/>
    <w:rsid w:val="00737129"/>
    <w:rsid w:val="00737C20"/>
    <w:rsid w:val="00737EAA"/>
    <w:rsid w:val="007404AA"/>
    <w:rsid w:val="00740682"/>
    <w:rsid w:val="0074199E"/>
    <w:rsid w:val="007423AE"/>
    <w:rsid w:val="0074276A"/>
    <w:rsid w:val="00742F8F"/>
    <w:rsid w:val="007431B7"/>
    <w:rsid w:val="00744808"/>
    <w:rsid w:val="007452A2"/>
    <w:rsid w:val="007454B0"/>
    <w:rsid w:val="00745B27"/>
    <w:rsid w:val="00745F9B"/>
    <w:rsid w:val="007469CF"/>
    <w:rsid w:val="00750C93"/>
    <w:rsid w:val="00750DBE"/>
    <w:rsid w:val="00751559"/>
    <w:rsid w:val="007527E7"/>
    <w:rsid w:val="00754F7B"/>
    <w:rsid w:val="00755835"/>
    <w:rsid w:val="007559DA"/>
    <w:rsid w:val="00757991"/>
    <w:rsid w:val="00757BD3"/>
    <w:rsid w:val="0076182E"/>
    <w:rsid w:val="00762DE3"/>
    <w:rsid w:val="007640AB"/>
    <w:rsid w:val="00765274"/>
    <w:rsid w:val="007665B9"/>
    <w:rsid w:val="00766FF2"/>
    <w:rsid w:val="0076748E"/>
    <w:rsid w:val="00771828"/>
    <w:rsid w:val="007754CD"/>
    <w:rsid w:val="00776AA1"/>
    <w:rsid w:val="00776AD2"/>
    <w:rsid w:val="00776D07"/>
    <w:rsid w:val="0078084D"/>
    <w:rsid w:val="00780A9E"/>
    <w:rsid w:val="0078138F"/>
    <w:rsid w:val="0078440C"/>
    <w:rsid w:val="00787694"/>
    <w:rsid w:val="00792172"/>
    <w:rsid w:val="00793833"/>
    <w:rsid w:val="00795229"/>
    <w:rsid w:val="0079537E"/>
    <w:rsid w:val="00795407"/>
    <w:rsid w:val="00796F07"/>
    <w:rsid w:val="0079732C"/>
    <w:rsid w:val="007976C6"/>
    <w:rsid w:val="007A026F"/>
    <w:rsid w:val="007A115E"/>
    <w:rsid w:val="007A2399"/>
    <w:rsid w:val="007A2A52"/>
    <w:rsid w:val="007A34FC"/>
    <w:rsid w:val="007A3B16"/>
    <w:rsid w:val="007A4390"/>
    <w:rsid w:val="007A4DAA"/>
    <w:rsid w:val="007A5710"/>
    <w:rsid w:val="007A59F6"/>
    <w:rsid w:val="007A5AEC"/>
    <w:rsid w:val="007A7A25"/>
    <w:rsid w:val="007A7D44"/>
    <w:rsid w:val="007B03CD"/>
    <w:rsid w:val="007B060B"/>
    <w:rsid w:val="007B0F2E"/>
    <w:rsid w:val="007B1336"/>
    <w:rsid w:val="007B16D4"/>
    <w:rsid w:val="007B25B9"/>
    <w:rsid w:val="007B4778"/>
    <w:rsid w:val="007B5B58"/>
    <w:rsid w:val="007C03A2"/>
    <w:rsid w:val="007C0903"/>
    <w:rsid w:val="007C1387"/>
    <w:rsid w:val="007C14AC"/>
    <w:rsid w:val="007C2607"/>
    <w:rsid w:val="007C3853"/>
    <w:rsid w:val="007C3F43"/>
    <w:rsid w:val="007C46CE"/>
    <w:rsid w:val="007C731B"/>
    <w:rsid w:val="007D02D0"/>
    <w:rsid w:val="007D0483"/>
    <w:rsid w:val="007D2169"/>
    <w:rsid w:val="007D6009"/>
    <w:rsid w:val="007E09E6"/>
    <w:rsid w:val="007E47A6"/>
    <w:rsid w:val="007E5F63"/>
    <w:rsid w:val="007E6286"/>
    <w:rsid w:val="007E6474"/>
    <w:rsid w:val="007E6B19"/>
    <w:rsid w:val="007E6E7A"/>
    <w:rsid w:val="007F0026"/>
    <w:rsid w:val="007F0F6A"/>
    <w:rsid w:val="007F317C"/>
    <w:rsid w:val="007F591D"/>
    <w:rsid w:val="007F6B5D"/>
    <w:rsid w:val="0080024B"/>
    <w:rsid w:val="00800A77"/>
    <w:rsid w:val="00800E23"/>
    <w:rsid w:val="008017D0"/>
    <w:rsid w:val="008019C6"/>
    <w:rsid w:val="00801CCD"/>
    <w:rsid w:val="008027E9"/>
    <w:rsid w:val="00803556"/>
    <w:rsid w:val="0080412A"/>
    <w:rsid w:val="00804E18"/>
    <w:rsid w:val="0080535A"/>
    <w:rsid w:val="00805530"/>
    <w:rsid w:val="00805BDE"/>
    <w:rsid w:val="00806D62"/>
    <w:rsid w:val="0080739A"/>
    <w:rsid w:val="00807EE2"/>
    <w:rsid w:val="00810539"/>
    <w:rsid w:val="0081291B"/>
    <w:rsid w:val="008134BF"/>
    <w:rsid w:val="008151FC"/>
    <w:rsid w:val="0081624E"/>
    <w:rsid w:val="00816E73"/>
    <w:rsid w:val="00817FBD"/>
    <w:rsid w:val="0082265A"/>
    <w:rsid w:val="00822BA7"/>
    <w:rsid w:val="008232E0"/>
    <w:rsid w:val="00823ADA"/>
    <w:rsid w:val="00823CDF"/>
    <w:rsid w:val="00825692"/>
    <w:rsid w:val="008259E6"/>
    <w:rsid w:val="008263CC"/>
    <w:rsid w:val="00827363"/>
    <w:rsid w:val="00830530"/>
    <w:rsid w:val="0083168F"/>
    <w:rsid w:val="008322B6"/>
    <w:rsid w:val="00832E5D"/>
    <w:rsid w:val="0083304E"/>
    <w:rsid w:val="00834A82"/>
    <w:rsid w:val="00834E82"/>
    <w:rsid w:val="0083537D"/>
    <w:rsid w:val="00836E6B"/>
    <w:rsid w:val="00837594"/>
    <w:rsid w:val="0084028C"/>
    <w:rsid w:val="00840D61"/>
    <w:rsid w:val="00841C02"/>
    <w:rsid w:val="0084467A"/>
    <w:rsid w:val="008449D4"/>
    <w:rsid w:val="00845F2F"/>
    <w:rsid w:val="00847B84"/>
    <w:rsid w:val="00851D92"/>
    <w:rsid w:val="008535B8"/>
    <w:rsid w:val="00860E6B"/>
    <w:rsid w:val="00861B93"/>
    <w:rsid w:val="008622B2"/>
    <w:rsid w:val="00862F30"/>
    <w:rsid w:val="0086343D"/>
    <w:rsid w:val="00863F62"/>
    <w:rsid w:val="00864B8C"/>
    <w:rsid w:val="008658B0"/>
    <w:rsid w:val="00867070"/>
    <w:rsid w:val="00870CB4"/>
    <w:rsid w:val="00870EB1"/>
    <w:rsid w:val="0087138E"/>
    <w:rsid w:val="00871C00"/>
    <w:rsid w:val="008723BC"/>
    <w:rsid w:val="00872F54"/>
    <w:rsid w:val="00873130"/>
    <w:rsid w:val="00873789"/>
    <w:rsid w:val="00875D2B"/>
    <w:rsid w:val="00880825"/>
    <w:rsid w:val="0088133C"/>
    <w:rsid w:val="008822D1"/>
    <w:rsid w:val="008829D1"/>
    <w:rsid w:val="00885586"/>
    <w:rsid w:val="00885A1E"/>
    <w:rsid w:val="00886284"/>
    <w:rsid w:val="00886B29"/>
    <w:rsid w:val="008900A1"/>
    <w:rsid w:val="0089034E"/>
    <w:rsid w:val="00891F67"/>
    <w:rsid w:val="0089238E"/>
    <w:rsid w:val="00892DCB"/>
    <w:rsid w:val="008940FA"/>
    <w:rsid w:val="00894633"/>
    <w:rsid w:val="00894B22"/>
    <w:rsid w:val="00897A64"/>
    <w:rsid w:val="008A162F"/>
    <w:rsid w:val="008A1CAC"/>
    <w:rsid w:val="008A2516"/>
    <w:rsid w:val="008A2CD6"/>
    <w:rsid w:val="008A45E3"/>
    <w:rsid w:val="008A48CA"/>
    <w:rsid w:val="008A5FA5"/>
    <w:rsid w:val="008A616E"/>
    <w:rsid w:val="008A61AD"/>
    <w:rsid w:val="008A70C6"/>
    <w:rsid w:val="008B0E06"/>
    <w:rsid w:val="008B3D9A"/>
    <w:rsid w:val="008B5F65"/>
    <w:rsid w:val="008B62BE"/>
    <w:rsid w:val="008B7D37"/>
    <w:rsid w:val="008C07DC"/>
    <w:rsid w:val="008C15AD"/>
    <w:rsid w:val="008C24A7"/>
    <w:rsid w:val="008C26C8"/>
    <w:rsid w:val="008C3555"/>
    <w:rsid w:val="008C42B9"/>
    <w:rsid w:val="008C5826"/>
    <w:rsid w:val="008C5B25"/>
    <w:rsid w:val="008C71DA"/>
    <w:rsid w:val="008C7793"/>
    <w:rsid w:val="008C7FF0"/>
    <w:rsid w:val="008D3BE9"/>
    <w:rsid w:val="008D4D55"/>
    <w:rsid w:val="008E1070"/>
    <w:rsid w:val="008E1278"/>
    <w:rsid w:val="008E176E"/>
    <w:rsid w:val="008E2EC3"/>
    <w:rsid w:val="008E3338"/>
    <w:rsid w:val="008E4F67"/>
    <w:rsid w:val="008E5406"/>
    <w:rsid w:val="008E5D33"/>
    <w:rsid w:val="008E61C3"/>
    <w:rsid w:val="008E6F77"/>
    <w:rsid w:val="008E783C"/>
    <w:rsid w:val="008F027E"/>
    <w:rsid w:val="008F1BDE"/>
    <w:rsid w:val="008F2140"/>
    <w:rsid w:val="008F3C7A"/>
    <w:rsid w:val="008F3E8A"/>
    <w:rsid w:val="008F3FAD"/>
    <w:rsid w:val="008F56CD"/>
    <w:rsid w:val="008F5776"/>
    <w:rsid w:val="008F5C8E"/>
    <w:rsid w:val="008F66D9"/>
    <w:rsid w:val="00900AB2"/>
    <w:rsid w:val="009025E7"/>
    <w:rsid w:val="00904532"/>
    <w:rsid w:val="009059BB"/>
    <w:rsid w:val="00906936"/>
    <w:rsid w:val="009075B4"/>
    <w:rsid w:val="00907913"/>
    <w:rsid w:val="00910C72"/>
    <w:rsid w:val="00910EC2"/>
    <w:rsid w:val="00911B2C"/>
    <w:rsid w:val="00911F2A"/>
    <w:rsid w:val="00913553"/>
    <w:rsid w:val="00915D5D"/>
    <w:rsid w:val="009166D6"/>
    <w:rsid w:val="0092117E"/>
    <w:rsid w:val="009211C9"/>
    <w:rsid w:val="009214A6"/>
    <w:rsid w:val="0092314B"/>
    <w:rsid w:val="009241C5"/>
    <w:rsid w:val="00925800"/>
    <w:rsid w:val="00925CCE"/>
    <w:rsid w:val="00926C23"/>
    <w:rsid w:val="0092779A"/>
    <w:rsid w:val="0093078C"/>
    <w:rsid w:val="0093188C"/>
    <w:rsid w:val="00931897"/>
    <w:rsid w:val="009320DC"/>
    <w:rsid w:val="00934E1C"/>
    <w:rsid w:val="009359F2"/>
    <w:rsid w:val="00940EBB"/>
    <w:rsid w:val="009414BA"/>
    <w:rsid w:val="00941948"/>
    <w:rsid w:val="00942CD6"/>
    <w:rsid w:val="009434CE"/>
    <w:rsid w:val="009447C9"/>
    <w:rsid w:val="009472BE"/>
    <w:rsid w:val="0095280D"/>
    <w:rsid w:val="009539C7"/>
    <w:rsid w:val="00954784"/>
    <w:rsid w:val="00956D4D"/>
    <w:rsid w:val="00960602"/>
    <w:rsid w:val="00962FA0"/>
    <w:rsid w:val="00964BA4"/>
    <w:rsid w:val="00964BE2"/>
    <w:rsid w:val="00965BCD"/>
    <w:rsid w:val="00966790"/>
    <w:rsid w:val="00966904"/>
    <w:rsid w:val="0097066D"/>
    <w:rsid w:val="0097206B"/>
    <w:rsid w:val="00972FF7"/>
    <w:rsid w:val="0097475D"/>
    <w:rsid w:val="009809F2"/>
    <w:rsid w:val="00982336"/>
    <w:rsid w:val="0098281D"/>
    <w:rsid w:val="009831F3"/>
    <w:rsid w:val="00983CC6"/>
    <w:rsid w:val="00984049"/>
    <w:rsid w:val="00986768"/>
    <w:rsid w:val="009868A6"/>
    <w:rsid w:val="00986A9C"/>
    <w:rsid w:val="00986C70"/>
    <w:rsid w:val="00987A79"/>
    <w:rsid w:val="00991104"/>
    <w:rsid w:val="009916F0"/>
    <w:rsid w:val="009922E4"/>
    <w:rsid w:val="0099235D"/>
    <w:rsid w:val="00992542"/>
    <w:rsid w:val="00992C21"/>
    <w:rsid w:val="00992D04"/>
    <w:rsid w:val="00994AC0"/>
    <w:rsid w:val="0099646C"/>
    <w:rsid w:val="00997F88"/>
    <w:rsid w:val="009A0ED1"/>
    <w:rsid w:val="009A1F92"/>
    <w:rsid w:val="009A2CE3"/>
    <w:rsid w:val="009A2EDF"/>
    <w:rsid w:val="009A5183"/>
    <w:rsid w:val="009A6D39"/>
    <w:rsid w:val="009A7139"/>
    <w:rsid w:val="009A73B7"/>
    <w:rsid w:val="009B3B72"/>
    <w:rsid w:val="009B4529"/>
    <w:rsid w:val="009B60EF"/>
    <w:rsid w:val="009B659D"/>
    <w:rsid w:val="009B6CC7"/>
    <w:rsid w:val="009B7CE5"/>
    <w:rsid w:val="009B7DF7"/>
    <w:rsid w:val="009C25C9"/>
    <w:rsid w:val="009C3BCA"/>
    <w:rsid w:val="009C4505"/>
    <w:rsid w:val="009C545F"/>
    <w:rsid w:val="009C56B6"/>
    <w:rsid w:val="009C68A2"/>
    <w:rsid w:val="009D0E62"/>
    <w:rsid w:val="009D479F"/>
    <w:rsid w:val="009D7D0C"/>
    <w:rsid w:val="009E0C78"/>
    <w:rsid w:val="009E143B"/>
    <w:rsid w:val="009E1900"/>
    <w:rsid w:val="009E4565"/>
    <w:rsid w:val="009E54EE"/>
    <w:rsid w:val="009E5569"/>
    <w:rsid w:val="009E5E30"/>
    <w:rsid w:val="009E6694"/>
    <w:rsid w:val="009E7C6F"/>
    <w:rsid w:val="009F078A"/>
    <w:rsid w:val="009F174D"/>
    <w:rsid w:val="009F1D0E"/>
    <w:rsid w:val="009F3284"/>
    <w:rsid w:val="009F423E"/>
    <w:rsid w:val="009F5597"/>
    <w:rsid w:val="009F5DB0"/>
    <w:rsid w:val="00A00702"/>
    <w:rsid w:val="00A00F3F"/>
    <w:rsid w:val="00A0260F"/>
    <w:rsid w:val="00A030D9"/>
    <w:rsid w:val="00A04011"/>
    <w:rsid w:val="00A04AB9"/>
    <w:rsid w:val="00A062F1"/>
    <w:rsid w:val="00A06A3F"/>
    <w:rsid w:val="00A06E81"/>
    <w:rsid w:val="00A0708D"/>
    <w:rsid w:val="00A10578"/>
    <w:rsid w:val="00A1153C"/>
    <w:rsid w:val="00A11DBB"/>
    <w:rsid w:val="00A11E04"/>
    <w:rsid w:val="00A13084"/>
    <w:rsid w:val="00A137E2"/>
    <w:rsid w:val="00A13A0F"/>
    <w:rsid w:val="00A1429D"/>
    <w:rsid w:val="00A155A6"/>
    <w:rsid w:val="00A179FA"/>
    <w:rsid w:val="00A17F78"/>
    <w:rsid w:val="00A20781"/>
    <w:rsid w:val="00A20891"/>
    <w:rsid w:val="00A213E2"/>
    <w:rsid w:val="00A22A17"/>
    <w:rsid w:val="00A24F92"/>
    <w:rsid w:val="00A270C6"/>
    <w:rsid w:val="00A30171"/>
    <w:rsid w:val="00A3086A"/>
    <w:rsid w:val="00A3185E"/>
    <w:rsid w:val="00A31F03"/>
    <w:rsid w:val="00A3406F"/>
    <w:rsid w:val="00A34CC4"/>
    <w:rsid w:val="00A36158"/>
    <w:rsid w:val="00A36E5B"/>
    <w:rsid w:val="00A36F60"/>
    <w:rsid w:val="00A422AC"/>
    <w:rsid w:val="00A42AF6"/>
    <w:rsid w:val="00A43954"/>
    <w:rsid w:val="00A442AE"/>
    <w:rsid w:val="00A4478A"/>
    <w:rsid w:val="00A450C4"/>
    <w:rsid w:val="00A459F7"/>
    <w:rsid w:val="00A464F0"/>
    <w:rsid w:val="00A5013F"/>
    <w:rsid w:val="00A50D05"/>
    <w:rsid w:val="00A50EC4"/>
    <w:rsid w:val="00A51435"/>
    <w:rsid w:val="00A51E79"/>
    <w:rsid w:val="00A52F2E"/>
    <w:rsid w:val="00A53401"/>
    <w:rsid w:val="00A53E6E"/>
    <w:rsid w:val="00A55785"/>
    <w:rsid w:val="00A56B37"/>
    <w:rsid w:val="00A6020D"/>
    <w:rsid w:val="00A61FFF"/>
    <w:rsid w:val="00A62061"/>
    <w:rsid w:val="00A63D92"/>
    <w:rsid w:val="00A6459D"/>
    <w:rsid w:val="00A64AE2"/>
    <w:rsid w:val="00A650E1"/>
    <w:rsid w:val="00A656E7"/>
    <w:rsid w:val="00A65A79"/>
    <w:rsid w:val="00A66D16"/>
    <w:rsid w:val="00A66DCB"/>
    <w:rsid w:val="00A67445"/>
    <w:rsid w:val="00A67BE5"/>
    <w:rsid w:val="00A70385"/>
    <w:rsid w:val="00A7109A"/>
    <w:rsid w:val="00A71698"/>
    <w:rsid w:val="00A73E4D"/>
    <w:rsid w:val="00A7488E"/>
    <w:rsid w:val="00A76201"/>
    <w:rsid w:val="00A76B83"/>
    <w:rsid w:val="00A76F89"/>
    <w:rsid w:val="00A774DC"/>
    <w:rsid w:val="00A8271D"/>
    <w:rsid w:val="00A830FE"/>
    <w:rsid w:val="00A85182"/>
    <w:rsid w:val="00A8751E"/>
    <w:rsid w:val="00A87E6F"/>
    <w:rsid w:val="00A90381"/>
    <w:rsid w:val="00A9247B"/>
    <w:rsid w:val="00A92511"/>
    <w:rsid w:val="00A94F96"/>
    <w:rsid w:val="00A94FFB"/>
    <w:rsid w:val="00A95CEC"/>
    <w:rsid w:val="00A97ECF"/>
    <w:rsid w:val="00AA1981"/>
    <w:rsid w:val="00AA1A23"/>
    <w:rsid w:val="00AA2BF3"/>
    <w:rsid w:val="00AA32A0"/>
    <w:rsid w:val="00AA3A11"/>
    <w:rsid w:val="00AA54EA"/>
    <w:rsid w:val="00AA6D21"/>
    <w:rsid w:val="00AB18BC"/>
    <w:rsid w:val="00AB40BE"/>
    <w:rsid w:val="00AB467C"/>
    <w:rsid w:val="00AB5A0E"/>
    <w:rsid w:val="00AB6622"/>
    <w:rsid w:val="00AB7274"/>
    <w:rsid w:val="00AB7DA4"/>
    <w:rsid w:val="00AC0557"/>
    <w:rsid w:val="00AC0CA1"/>
    <w:rsid w:val="00AC2408"/>
    <w:rsid w:val="00AC2551"/>
    <w:rsid w:val="00AC4C52"/>
    <w:rsid w:val="00AC6354"/>
    <w:rsid w:val="00AC6831"/>
    <w:rsid w:val="00AC7EF5"/>
    <w:rsid w:val="00AD1652"/>
    <w:rsid w:val="00AD24EB"/>
    <w:rsid w:val="00AD2B20"/>
    <w:rsid w:val="00AD2DF4"/>
    <w:rsid w:val="00AD3314"/>
    <w:rsid w:val="00AD3E77"/>
    <w:rsid w:val="00AD5973"/>
    <w:rsid w:val="00AD692D"/>
    <w:rsid w:val="00AD7A7E"/>
    <w:rsid w:val="00AE11BD"/>
    <w:rsid w:val="00AE1A49"/>
    <w:rsid w:val="00AE1C0F"/>
    <w:rsid w:val="00AE2CEE"/>
    <w:rsid w:val="00AE4110"/>
    <w:rsid w:val="00AE5BCB"/>
    <w:rsid w:val="00AE5C9D"/>
    <w:rsid w:val="00AE6372"/>
    <w:rsid w:val="00AE7FB8"/>
    <w:rsid w:val="00AF1E0C"/>
    <w:rsid w:val="00AF3527"/>
    <w:rsid w:val="00AF38FD"/>
    <w:rsid w:val="00AF46BC"/>
    <w:rsid w:val="00AF51AC"/>
    <w:rsid w:val="00AF550F"/>
    <w:rsid w:val="00AF615F"/>
    <w:rsid w:val="00AF6425"/>
    <w:rsid w:val="00AF6944"/>
    <w:rsid w:val="00AF7BA3"/>
    <w:rsid w:val="00B0020D"/>
    <w:rsid w:val="00B03AAA"/>
    <w:rsid w:val="00B0538C"/>
    <w:rsid w:val="00B05AC8"/>
    <w:rsid w:val="00B06863"/>
    <w:rsid w:val="00B06C29"/>
    <w:rsid w:val="00B071CC"/>
    <w:rsid w:val="00B073D3"/>
    <w:rsid w:val="00B07E65"/>
    <w:rsid w:val="00B10205"/>
    <w:rsid w:val="00B10C1D"/>
    <w:rsid w:val="00B11C90"/>
    <w:rsid w:val="00B12C39"/>
    <w:rsid w:val="00B12ED7"/>
    <w:rsid w:val="00B1307B"/>
    <w:rsid w:val="00B16ECB"/>
    <w:rsid w:val="00B176BA"/>
    <w:rsid w:val="00B205BC"/>
    <w:rsid w:val="00B21FA5"/>
    <w:rsid w:val="00B3052B"/>
    <w:rsid w:val="00B30D39"/>
    <w:rsid w:val="00B32E04"/>
    <w:rsid w:val="00B3324E"/>
    <w:rsid w:val="00B349D9"/>
    <w:rsid w:val="00B358F4"/>
    <w:rsid w:val="00B35EAA"/>
    <w:rsid w:val="00B37FDA"/>
    <w:rsid w:val="00B4010C"/>
    <w:rsid w:val="00B4266D"/>
    <w:rsid w:val="00B42D09"/>
    <w:rsid w:val="00B431C0"/>
    <w:rsid w:val="00B442FA"/>
    <w:rsid w:val="00B4500C"/>
    <w:rsid w:val="00B475EE"/>
    <w:rsid w:val="00B47E56"/>
    <w:rsid w:val="00B50659"/>
    <w:rsid w:val="00B51CE5"/>
    <w:rsid w:val="00B52CB2"/>
    <w:rsid w:val="00B54A22"/>
    <w:rsid w:val="00B55201"/>
    <w:rsid w:val="00B56D42"/>
    <w:rsid w:val="00B56E8F"/>
    <w:rsid w:val="00B616FD"/>
    <w:rsid w:val="00B64FD8"/>
    <w:rsid w:val="00B6590B"/>
    <w:rsid w:val="00B70E7A"/>
    <w:rsid w:val="00B71711"/>
    <w:rsid w:val="00B71FF6"/>
    <w:rsid w:val="00B73260"/>
    <w:rsid w:val="00B73E2F"/>
    <w:rsid w:val="00B777AC"/>
    <w:rsid w:val="00B77D59"/>
    <w:rsid w:val="00B820D2"/>
    <w:rsid w:val="00B82966"/>
    <w:rsid w:val="00B82B33"/>
    <w:rsid w:val="00B831D1"/>
    <w:rsid w:val="00B855EB"/>
    <w:rsid w:val="00B85849"/>
    <w:rsid w:val="00B869D7"/>
    <w:rsid w:val="00B87686"/>
    <w:rsid w:val="00B879A9"/>
    <w:rsid w:val="00B91E63"/>
    <w:rsid w:val="00B92E11"/>
    <w:rsid w:val="00B941D1"/>
    <w:rsid w:val="00B94788"/>
    <w:rsid w:val="00B94A2B"/>
    <w:rsid w:val="00B95DE7"/>
    <w:rsid w:val="00B95E5E"/>
    <w:rsid w:val="00B96942"/>
    <w:rsid w:val="00B97078"/>
    <w:rsid w:val="00B97B32"/>
    <w:rsid w:val="00BA0A63"/>
    <w:rsid w:val="00BA2029"/>
    <w:rsid w:val="00BA4FD7"/>
    <w:rsid w:val="00BA5178"/>
    <w:rsid w:val="00BA58A9"/>
    <w:rsid w:val="00BA7F16"/>
    <w:rsid w:val="00BB0239"/>
    <w:rsid w:val="00BB1918"/>
    <w:rsid w:val="00BB2467"/>
    <w:rsid w:val="00BB396F"/>
    <w:rsid w:val="00BB4F8B"/>
    <w:rsid w:val="00BB60A6"/>
    <w:rsid w:val="00BB648B"/>
    <w:rsid w:val="00BB6CCB"/>
    <w:rsid w:val="00BB71E8"/>
    <w:rsid w:val="00BC04A9"/>
    <w:rsid w:val="00BC0F31"/>
    <w:rsid w:val="00BC2E58"/>
    <w:rsid w:val="00BC4BDF"/>
    <w:rsid w:val="00BC56D5"/>
    <w:rsid w:val="00BC5B58"/>
    <w:rsid w:val="00BC679D"/>
    <w:rsid w:val="00BC6903"/>
    <w:rsid w:val="00BD065E"/>
    <w:rsid w:val="00BD0826"/>
    <w:rsid w:val="00BD15B0"/>
    <w:rsid w:val="00BD2194"/>
    <w:rsid w:val="00BD39F6"/>
    <w:rsid w:val="00BD3AD7"/>
    <w:rsid w:val="00BD435D"/>
    <w:rsid w:val="00BD49C3"/>
    <w:rsid w:val="00BD4D7F"/>
    <w:rsid w:val="00BD4EC3"/>
    <w:rsid w:val="00BD5C18"/>
    <w:rsid w:val="00BD7562"/>
    <w:rsid w:val="00BE0A01"/>
    <w:rsid w:val="00BE2957"/>
    <w:rsid w:val="00BE3515"/>
    <w:rsid w:val="00BE3C15"/>
    <w:rsid w:val="00BE3E38"/>
    <w:rsid w:val="00BE6CC3"/>
    <w:rsid w:val="00BE78B6"/>
    <w:rsid w:val="00BE7C0A"/>
    <w:rsid w:val="00BF0381"/>
    <w:rsid w:val="00BF4A04"/>
    <w:rsid w:val="00BF4EB5"/>
    <w:rsid w:val="00BF5CD4"/>
    <w:rsid w:val="00C04C75"/>
    <w:rsid w:val="00C05EE8"/>
    <w:rsid w:val="00C101AD"/>
    <w:rsid w:val="00C1120D"/>
    <w:rsid w:val="00C151B2"/>
    <w:rsid w:val="00C15F27"/>
    <w:rsid w:val="00C17B23"/>
    <w:rsid w:val="00C17B84"/>
    <w:rsid w:val="00C2022C"/>
    <w:rsid w:val="00C2067B"/>
    <w:rsid w:val="00C211DB"/>
    <w:rsid w:val="00C21849"/>
    <w:rsid w:val="00C22045"/>
    <w:rsid w:val="00C227FD"/>
    <w:rsid w:val="00C23BBB"/>
    <w:rsid w:val="00C24DAE"/>
    <w:rsid w:val="00C2530F"/>
    <w:rsid w:val="00C27F61"/>
    <w:rsid w:val="00C302CC"/>
    <w:rsid w:val="00C304B4"/>
    <w:rsid w:val="00C31A3C"/>
    <w:rsid w:val="00C320D9"/>
    <w:rsid w:val="00C3238A"/>
    <w:rsid w:val="00C32A2E"/>
    <w:rsid w:val="00C340F4"/>
    <w:rsid w:val="00C34D6A"/>
    <w:rsid w:val="00C35BA1"/>
    <w:rsid w:val="00C369CC"/>
    <w:rsid w:val="00C37770"/>
    <w:rsid w:val="00C37DEA"/>
    <w:rsid w:val="00C42209"/>
    <w:rsid w:val="00C450FE"/>
    <w:rsid w:val="00C456D2"/>
    <w:rsid w:val="00C468BF"/>
    <w:rsid w:val="00C46E8B"/>
    <w:rsid w:val="00C47221"/>
    <w:rsid w:val="00C52820"/>
    <w:rsid w:val="00C53A44"/>
    <w:rsid w:val="00C602A9"/>
    <w:rsid w:val="00C63F55"/>
    <w:rsid w:val="00C63FF1"/>
    <w:rsid w:val="00C641FB"/>
    <w:rsid w:val="00C64919"/>
    <w:rsid w:val="00C66BEE"/>
    <w:rsid w:val="00C71996"/>
    <w:rsid w:val="00C720FA"/>
    <w:rsid w:val="00C73123"/>
    <w:rsid w:val="00C74A63"/>
    <w:rsid w:val="00C751CC"/>
    <w:rsid w:val="00C761FD"/>
    <w:rsid w:val="00C76942"/>
    <w:rsid w:val="00C76E19"/>
    <w:rsid w:val="00C77C0E"/>
    <w:rsid w:val="00C823F3"/>
    <w:rsid w:val="00C83F98"/>
    <w:rsid w:val="00C84D11"/>
    <w:rsid w:val="00C87734"/>
    <w:rsid w:val="00C90584"/>
    <w:rsid w:val="00C916BF"/>
    <w:rsid w:val="00C91E67"/>
    <w:rsid w:val="00C92D1F"/>
    <w:rsid w:val="00C93CEF"/>
    <w:rsid w:val="00C96EBD"/>
    <w:rsid w:val="00CA1058"/>
    <w:rsid w:val="00CA2076"/>
    <w:rsid w:val="00CA22EA"/>
    <w:rsid w:val="00CA4A02"/>
    <w:rsid w:val="00CA4E26"/>
    <w:rsid w:val="00CB132D"/>
    <w:rsid w:val="00CB13F8"/>
    <w:rsid w:val="00CB1A6E"/>
    <w:rsid w:val="00CB3AFE"/>
    <w:rsid w:val="00CB419B"/>
    <w:rsid w:val="00CB5EC5"/>
    <w:rsid w:val="00CB6F53"/>
    <w:rsid w:val="00CB717C"/>
    <w:rsid w:val="00CC0515"/>
    <w:rsid w:val="00CC06D3"/>
    <w:rsid w:val="00CC108A"/>
    <w:rsid w:val="00CC12D7"/>
    <w:rsid w:val="00CC16D6"/>
    <w:rsid w:val="00CC315C"/>
    <w:rsid w:val="00CC32EA"/>
    <w:rsid w:val="00CC44BC"/>
    <w:rsid w:val="00CC5181"/>
    <w:rsid w:val="00CC7804"/>
    <w:rsid w:val="00CD0B53"/>
    <w:rsid w:val="00CD2A91"/>
    <w:rsid w:val="00CD3C9D"/>
    <w:rsid w:val="00CD536C"/>
    <w:rsid w:val="00CD5805"/>
    <w:rsid w:val="00CD6F58"/>
    <w:rsid w:val="00CD7C88"/>
    <w:rsid w:val="00CE099D"/>
    <w:rsid w:val="00CE09DE"/>
    <w:rsid w:val="00CE1082"/>
    <w:rsid w:val="00CE1E94"/>
    <w:rsid w:val="00CE1EFF"/>
    <w:rsid w:val="00CE27C8"/>
    <w:rsid w:val="00CE281B"/>
    <w:rsid w:val="00CE3612"/>
    <w:rsid w:val="00CE37C7"/>
    <w:rsid w:val="00CE380D"/>
    <w:rsid w:val="00CF0943"/>
    <w:rsid w:val="00CF0E79"/>
    <w:rsid w:val="00CF0FE7"/>
    <w:rsid w:val="00CF1EFC"/>
    <w:rsid w:val="00CF2158"/>
    <w:rsid w:val="00CF4644"/>
    <w:rsid w:val="00CF47F4"/>
    <w:rsid w:val="00CF5AA6"/>
    <w:rsid w:val="00CF5D34"/>
    <w:rsid w:val="00CF5E77"/>
    <w:rsid w:val="00CF62C3"/>
    <w:rsid w:val="00CF79FD"/>
    <w:rsid w:val="00D00E9A"/>
    <w:rsid w:val="00D0155C"/>
    <w:rsid w:val="00D02559"/>
    <w:rsid w:val="00D02790"/>
    <w:rsid w:val="00D02B60"/>
    <w:rsid w:val="00D03120"/>
    <w:rsid w:val="00D036BB"/>
    <w:rsid w:val="00D04AAB"/>
    <w:rsid w:val="00D05E67"/>
    <w:rsid w:val="00D06DCD"/>
    <w:rsid w:val="00D1130D"/>
    <w:rsid w:val="00D118F6"/>
    <w:rsid w:val="00D11F63"/>
    <w:rsid w:val="00D1226C"/>
    <w:rsid w:val="00D1617D"/>
    <w:rsid w:val="00D2005D"/>
    <w:rsid w:val="00D2115F"/>
    <w:rsid w:val="00D213FF"/>
    <w:rsid w:val="00D23142"/>
    <w:rsid w:val="00D23C89"/>
    <w:rsid w:val="00D247E3"/>
    <w:rsid w:val="00D25437"/>
    <w:rsid w:val="00D268A4"/>
    <w:rsid w:val="00D26C90"/>
    <w:rsid w:val="00D3024D"/>
    <w:rsid w:val="00D306DB"/>
    <w:rsid w:val="00D34BB8"/>
    <w:rsid w:val="00D4021E"/>
    <w:rsid w:val="00D402AF"/>
    <w:rsid w:val="00D40496"/>
    <w:rsid w:val="00D40B37"/>
    <w:rsid w:val="00D43072"/>
    <w:rsid w:val="00D432DB"/>
    <w:rsid w:val="00D4360F"/>
    <w:rsid w:val="00D43739"/>
    <w:rsid w:val="00D43D6D"/>
    <w:rsid w:val="00D43E78"/>
    <w:rsid w:val="00D4412F"/>
    <w:rsid w:val="00D442C1"/>
    <w:rsid w:val="00D459A3"/>
    <w:rsid w:val="00D45BC7"/>
    <w:rsid w:val="00D46C4A"/>
    <w:rsid w:val="00D47FA5"/>
    <w:rsid w:val="00D5134E"/>
    <w:rsid w:val="00D51E26"/>
    <w:rsid w:val="00D51FD7"/>
    <w:rsid w:val="00D52446"/>
    <w:rsid w:val="00D52FE1"/>
    <w:rsid w:val="00D5305D"/>
    <w:rsid w:val="00D531D3"/>
    <w:rsid w:val="00D53791"/>
    <w:rsid w:val="00D54561"/>
    <w:rsid w:val="00D55271"/>
    <w:rsid w:val="00D555C4"/>
    <w:rsid w:val="00D559A1"/>
    <w:rsid w:val="00D56115"/>
    <w:rsid w:val="00D61AA5"/>
    <w:rsid w:val="00D621D3"/>
    <w:rsid w:val="00D62708"/>
    <w:rsid w:val="00D63BFC"/>
    <w:rsid w:val="00D67875"/>
    <w:rsid w:val="00D72469"/>
    <w:rsid w:val="00D72B61"/>
    <w:rsid w:val="00D74831"/>
    <w:rsid w:val="00D75319"/>
    <w:rsid w:val="00D75632"/>
    <w:rsid w:val="00D76A86"/>
    <w:rsid w:val="00D77739"/>
    <w:rsid w:val="00D77BE7"/>
    <w:rsid w:val="00D80300"/>
    <w:rsid w:val="00D809DF"/>
    <w:rsid w:val="00D80E84"/>
    <w:rsid w:val="00D81E33"/>
    <w:rsid w:val="00D84D8D"/>
    <w:rsid w:val="00D8571D"/>
    <w:rsid w:val="00D874CD"/>
    <w:rsid w:val="00D900AF"/>
    <w:rsid w:val="00D90DA9"/>
    <w:rsid w:val="00D921F0"/>
    <w:rsid w:val="00D93B56"/>
    <w:rsid w:val="00D97648"/>
    <w:rsid w:val="00DA1061"/>
    <w:rsid w:val="00DA111F"/>
    <w:rsid w:val="00DA2615"/>
    <w:rsid w:val="00DA3E43"/>
    <w:rsid w:val="00DA3F29"/>
    <w:rsid w:val="00DA5D3D"/>
    <w:rsid w:val="00DA72FD"/>
    <w:rsid w:val="00DA7AE4"/>
    <w:rsid w:val="00DB0F40"/>
    <w:rsid w:val="00DB3281"/>
    <w:rsid w:val="00DB40FE"/>
    <w:rsid w:val="00DB53A8"/>
    <w:rsid w:val="00DB5E43"/>
    <w:rsid w:val="00DC0E3E"/>
    <w:rsid w:val="00DC0FAA"/>
    <w:rsid w:val="00DC13B9"/>
    <w:rsid w:val="00DC292B"/>
    <w:rsid w:val="00DC34EC"/>
    <w:rsid w:val="00DC69A1"/>
    <w:rsid w:val="00DC736D"/>
    <w:rsid w:val="00DC78EC"/>
    <w:rsid w:val="00DD0AEF"/>
    <w:rsid w:val="00DD0B47"/>
    <w:rsid w:val="00DD0EA2"/>
    <w:rsid w:val="00DD1263"/>
    <w:rsid w:val="00DD1423"/>
    <w:rsid w:val="00DD1ECC"/>
    <w:rsid w:val="00DD3C35"/>
    <w:rsid w:val="00DD3F1F"/>
    <w:rsid w:val="00DD4C92"/>
    <w:rsid w:val="00DD4DB6"/>
    <w:rsid w:val="00DD5548"/>
    <w:rsid w:val="00DD5D1F"/>
    <w:rsid w:val="00DD5F3B"/>
    <w:rsid w:val="00DD72A0"/>
    <w:rsid w:val="00DD7B1D"/>
    <w:rsid w:val="00DD7E12"/>
    <w:rsid w:val="00DE00EF"/>
    <w:rsid w:val="00DE147A"/>
    <w:rsid w:val="00DE306F"/>
    <w:rsid w:val="00DE320A"/>
    <w:rsid w:val="00DE3479"/>
    <w:rsid w:val="00DE41AA"/>
    <w:rsid w:val="00DE4245"/>
    <w:rsid w:val="00DE6D48"/>
    <w:rsid w:val="00DF05D5"/>
    <w:rsid w:val="00DF093E"/>
    <w:rsid w:val="00DF1538"/>
    <w:rsid w:val="00DF1A17"/>
    <w:rsid w:val="00DF45DA"/>
    <w:rsid w:val="00DF4836"/>
    <w:rsid w:val="00DF6850"/>
    <w:rsid w:val="00DF6A6E"/>
    <w:rsid w:val="00DF6E3D"/>
    <w:rsid w:val="00E006E0"/>
    <w:rsid w:val="00E0359F"/>
    <w:rsid w:val="00E05125"/>
    <w:rsid w:val="00E0560F"/>
    <w:rsid w:val="00E07DE9"/>
    <w:rsid w:val="00E10C56"/>
    <w:rsid w:val="00E1154B"/>
    <w:rsid w:val="00E11A10"/>
    <w:rsid w:val="00E11FD8"/>
    <w:rsid w:val="00E126F1"/>
    <w:rsid w:val="00E1448C"/>
    <w:rsid w:val="00E1504D"/>
    <w:rsid w:val="00E153A8"/>
    <w:rsid w:val="00E1612D"/>
    <w:rsid w:val="00E164D0"/>
    <w:rsid w:val="00E16E82"/>
    <w:rsid w:val="00E171BB"/>
    <w:rsid w:val="00E21426"/>
    <w:rsid w:val="00E21791"/>
    <w:rsid w:val="00E22898"/>
    <w:rsid w:val="00E23362"/>
    <w:rsid w:val="00E23508"/>
    <w:rsid w:val="00E239F4"/>
    <w:rsid w:val="00E24B1D"/>
    <w:rsid w:val="00E25440"/>
    <w:rsid w:val="00E25A7C"/>
    <w:rsid w:val="00E25F2F"/>
    <w:rsid w:val="00E27CEA"/>
    <w:rsid w:val="00E30E93"/>
    <w:rsid w:val="00E31575"/>
    <w:rsid w:val="00E34048"/>
    <w:rsid w:val="00E363ED"/>
    <w:rsid w:val="00E37BF4"/>
    <w:rsid w:val="00E37EA4"/>
    <w:rsid w:val="00E42607"/>
    <w:rsid w:val="00E42CDD"/>
    <w:rsid w:val="00E449CF"/>
    <w:rsid w:val="00E46C2A"/>
    <w:rsid w:val="00E474CE"/>
    <w:rsid w:val="00E47C34"/>
    <w:rsid w:val="00E51494"/>
    <w:rsid w:val="00E51B5F"/>
    <w:rsid w:val="00E5258B"/>
    <w:rsid w:val="00E54910"/>
    <w:rsid w:val="00E55C97"/>
    <w:rsid w:val="00E62D2F"/>
    <w:rsid w:val="00E64C34"/>
    <w:rsid w:val="00E64DDE"/>
    <w:rsid w:val="00E674A7"/>
    <w:rsid w:val="00E70B88"/>
    <w:rsid w:val="00E7170C"/>
    <w:rsid w:val="00E72F66"/>
    <w:rsid w:val="00E75EFC"/>
    <w:rsid w:val="00E77E22"/>
    <w:rsid w:val="00E80932"/>
    <w:rsid w:val="00E825AF"/>
    <w:rsid w:val="00E8302B"/>
    <w:rsid w:val="00E845DE"/>
    <w:rsid w:val="00E84A9F"/>
    <w:rsid w:val="00E84D5C"/>
    <w:rsid w:val="00E855F5"/>
    <w:rsid w:val="00E861E9"/>
    <w:rsid w:val="00E86541"/>
    <w:rsid w:val="00E8712C"/>
    <w:rsid w:val="00E87495"/>
    <w:rsid w:val="00E906EF"/>
    <w:rsid w:val="00E9102B"/>
    <w:rsid w:val="00E9332F"/>
    <w:rsid w:val="00E93A67"/>
    <w:rsid w:val="00E94627"/>
    <w:rsid w:val="00E95976"/>
    <w:rsid w:val="00E95E4F"/>
    <w:rsid w:val="00EA03A9"/>
    <w:rsid w:val="00EA0D23"/>
    <w:rsid w:val="00EA12B4"/>
    <w:rsid w:val="00EA1743"/>
    <w:rsid w:val="00EA3BA2"/>
    <w:rsid w:val="00EA41C1"/>
    <w:rsid w:val="00EA4933"/>
    <w:rsid w:val="00EA7827"/>
    <w:rsid w:val="00EB0B94"/>
    <w:rsid w:val="00EB7577"/>
    <w:rsid w:val="00EB79EA"/>
    <w:rsid w:val="00EC0A05"/>
    <w:rsid w:val="00EC271A"/>
    <w:rsid w:val="00EC2D7F"/>
    <w:rsid w:val="00EC3A92"/>
    <w:rsid w:val="00EC4DB5"/>
    <w:rsid w:val="00EC5602"/>
    <w:rsid w:val="00EC5FED"/>
    <w:rsid w:val="00EC6775"/>
    <w:rsid w:val="00ED01F0"/>
    <w:rsid w:val="00ED076A"/>
    <w:rsid w:val="00ED0A6D"/>
    <w:rsid w:val="00ED1160"/>
    <w:rsid w:val="00ED1556"/>
    <w:rsid w:val="00ED2DF0"/>
    <w:rsid w:val="00ED32A5"/>
    <w:rsid w:val="00ED51CB"/>
    <w:rsid w:val="00ED5D69"/>
    <w:rsid w:val="00ED7593"/>
    <w:rsid w:val="00ED7C5D"/>
    <w:rsid w:val="00EE0020"/>
    <w:rsid w:val="00EE1480"/>
    <w:rsid w:val="00EE1544"/>
    <w:rsid w:val="00EE2032"/>
    <w:rsid w:val="00EE24B3"/>
    <w:rsid w:val="00EE250F"/>
    <w:rsid w:val="00EE2BE6"/>
    <w:rsid w:val="00EE70F9"/>
    <w:rsid w:val="00EE7658"/>
    <w:rsid w:val="00EF00A5"/>
    <w:rsid w:val="00EF06FB"/>
    <w:rsid w:val="00EF133B"/>
    <w:rsid w:val="00EF247E"/>
    <w:rsid w:val="00EF337F"/>
    <w:rsid w:val="00EF4440"/>
    <w:rsid w:val="00EF516F"/>
    <w:rsid w:val="00EF5A62"/>
    <w:rsid w:val="00F000B5"/>
    <w:rsid w:val="00F001D5"/>
    <w:rsid w:val="00F0024E"/>
    <w:rsid w:val="00F02107"/>
    <w:rsid w:val="00F027C4"/>
    <w:rsid w:val="00F03DA3"/>
    <w:rsid w:val="00F051FC"/>
    <w:rsid w:val="00F075ED"/>
    <w:rsid w:val="00F1279B"/>
    <w:rsid w:val="00F13276"/>
    <w:rsid w:val="00F146F3"/>
    <w:rsid w:val="00F14BE2"/>
    <w:rsid w:val="00F15199"/>
    <w:rsid w:val="00F15DCC"/>
    <w:rsid w:val="00F162B2"/>
    <w:rsid w:val="00F17C3A"/>
    <w:rsid w:val="00F17F6F"/>
    <w:rsid w:val="00F20032"/>
    <w:rsid w:val="00F20056"/>
    <w:rsid w:val="00F21B55"/>
    <w:rsid w:val="00F21D4B"/>
    <w:rsid w:val="00F2204B"/>
    <w:rsid w:val="00F22108"/>
    <w:rsid w:val="00F22B43"/>
    <w:rsid w:val="00F24725"/>
    <w:rsid w:val="00F24B9A"/>
    <w:rsid w:val="00F26E6B"/>
    <w:rsid w:val="00F31EE3"/>
    <w:rsid w:val="00F3294D"/>
    <w:rsid w:val="00F32CF3"/>
    <w:rsid w:val="00F343C2"/>
    <w:rsid w:val="00F36628"/>
    <w:rsid w:val="00F36B62"/>
    <w:rsid w:val="00F372A7"/>
    <w:rsid w:val="00F40174"/>
    <w:rsid w:val="00F40EC7"/>
    <w:rsid w:val="00F436C2"/>
    <w:rsid w:val="00F44DE9"/>
    <w:rsid w:val="00F45497"/>
    <w:rsid w:val="00F45996"/>
    <w:rsid w:val="00F46F00"/>
    <w:rsid w:val="00F47BB1"/>
    <w:rsid w:val="00F50994"/>
    <w:rsid w:val="00F51CCE"/>
    <w:rsid w:val="00F52EE8"/>
    <w:rsid w:val="00F5551A"/>
    <w:rsid w:val="00F56AEB"/>
    <w:rsid w:val="00F577F9"/>
    <w:rsid w:val="00F60117"/>
    <w:rsid w:val="00F60D7D"/>
    <w:rsid w:val="00F61EC4"/>
    <w:rsid w:val="00F621CB"/>
    <w:rsid w:val="00F62524"/>
    <w:rsid w:val="00F6267B"/>
    <w:rsid w:val="00F64B3D"/>
    <w:rsid w:val="00F66490"/>
    <w:rsid w:val="00F71FE9"/>
    <w:rsid w:val="00F73276"/>
    <w:rsid w:val="00F73545"/>
    <w:rsid w:val="00F752E6"/>
    <w:rsid w:val="00F80A56"/>
    <w:rsid w:val="00F817D2"/>
    <w:rsid w:val="00F82A5D"/>
    <w:rsid w:val="00F83C2A"/>
    <w:rsid w:val="00F8401A"/>
    <w:rsid w:val="00F843B7"/>
    <w:rsid w:val="00F8557F"/>
    <w:rsid w:val="00F85A45"/>
    <w:rsid w:val="00F861AF"/>
    <w:rsid w:val="00F9349A"/>
    <w:rsid w:val="00F94CB9"/>
    <w:rsid w:val="00F9612D"/>
    <w:rsid w:val="00F96FBD"/>
    <w:rsid w:val="00F971F9"/>
    <w:rsid w:val="00F972BE"/>
    <w:rsid w:val="00F97FFA"/>
    <w:rsid w:val="00FA4B02"/>
    <w:rsid w:val="00FA6049"/>
    <w:rsid w:val="00FA71FB"/>
    <w:rsid w:val="00FB2C28"/>
    <w:rsid w:val="00FB3D08"/>
    <w:rsid w:val="00FB42C7"/>
    <w:rsid w:val="00FB560B"/>
    <w:rsid w:val="00FB6EAB"/>
    <w:rsid w:val="00FC14A6"/>
    <w:rsid w:val="00FC2EC7"/>
    <w:rsid w:val="00FC402B"/>
    <w:rsid w:val="00FC4A09"/>
    <w:rsid w:val="00FC53EA"/>
    <w:rsid w:val="00FC6710"/>
    <w:rsid w:val="00FC6D52"/>
    <w:rsid w:val="00FD192D"/>
    <w:rsid w:val="00FD1A86"/>
    <w:rsid w:val="00FD2B2B"/>
    <w:rsid w:val="00FD5900"/>
    <w:rsid w:val="00FD7A5A"/>
    <w:rsid w:val="00FE0402"/>
    <w:rsid w:val="00FE0A8A"/>
    <w:rsid w:val="00FE37FD"/>
    <w:rsid w:val="00FE3CDF"/>
    <w:rsid w:val="00FE4776"/>
    <w:rsid w:val="00FE6126"/>
    <w:rsid w:val="00FE6766"/>
    <w:rsid w:val="00FF029A"/>
    <w:rsid w:val="00FF0B90"/>
    <w:rsid w:val="00FF1A73"/>
    <w:rsid w:val="00FF2B67"/>
    <w:rsid w:val="00FF386A"/>
    <w:rsid w:val="00FF5085"/>
    <w:rsid w:val="00FF5AFE"/>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0F"/>
    <w:pPr>
      <w:widowControl w:val="0"/>
      <w:jc w:val="both"/>
    </w:pPr>
    <w:rPr>
      <w:kern w:val="28"/>
      <w:sz w:val="24"/>
    </w:rPr>
  </w:style>
  <w:style w:type="paragraph" w:styleId="Heading1">
    <w:name w:val="heading 1"/>
    <w:basedOn w:val="Normal"/>
    <w:next w:val="ParaNum"/>
    <w:link w:val="Heading1Char"/>
    <w:uiPriority w:val="9"/>
    <w:qFormat/>
    <w:rsid w:val="00C2530F"/>
    <w:pPr>
      <w:keepNext/>
      <w:numPr>
        <w:numId w:val="4"/>
      </w:numPr>
      <w:tabs>
        <w:tab w:val="num" w:pos="720"/>
      </w:tabs>
      <w:suppressAutoHyphens/>
      <w:spacing w:after="220"/>
      <w:ind w:left="720"/>
      <w:outlineLvl w:val="0"/>
    </w:pPr>
    <w:rPr>
      <w:b/>
      <w:caps/>
    </w:rPr>
  </w:style>
  <w:style w:type="paragraph" w:styleId="Heading2">
    <w:name w:val="heading 2"/>
    <w:basedOn w:val="Normal"/>
    <w:next w:val="ParaNum"/>
    <w:link w:val="Heading2Char"/>
    <w:uiPriority w:val="9"/>
    <w:qFormat/>
    <w:rsid w:val="00C2530F"/>
    <w:pPr>
      <w:keepNext/>
      <w:numPr>
        <w:ilvl w:val="1"/>
        <w:numId w:val="4"/>
      </w:numPr>
      <w:spacing w:after="220"/>
      <w:outlineLvl w:val="1"/>
    </w:pPr>
    <w:rPr>
      <w:b/>
    </w:rPr>
  </w:style>
  <w:style w:type="paragraph" w:styleId="Heading3">
    <w:name w:val="heading 3"/>
    <w:basedOn w:val="Normal"/>
    <w:next w:val="ParaNum"/>
    <w:link w:val="Heading3Char"/>
    <w:uiPriority w:val="9"/>
    <w:qFormat/>
    <w:rsid w:val="00C2530F"/>
    <w:pPr>
      <w:keepNext/>
      <w:numPr>
        <w:ilvl w:val="2"/>
        <w:numId w:val="4"/>
      </w:numPr>
      <w:spacing w:after="220"/>
      <w:outlineLvl w:val="2"/>
    </w:pPr>
    <w:rPr>
      <w:b/>
    </w:rPr>
  </w:style>
  <w:style w:type="paragraph" w:styleId="Heading4">
    <w:name w:val="heading 4"/>
    <w:basedOn w:val="Normal"/>
    <w:next w:val="ParaNum"/>
    <w:link w:val="Heading4Char"/>
    <w:uiPriority w:val="9"/>
    <w:qFormat/>
    <w:rsid w:val="00C2530F"/>
    <w:pPr>
      <w:keepNext/>
      <w:numPr>
        <w:ilvl w:val="3"/>
        <w:numId w:val="4"/>
      </w:numPr>
      <w:spacing w:after="220"/>
      <w:outlineLvl w:val="3"/>
    </w:pPr>
    <w:rPr>
      <w:b/>
    </w:rPr>
  </w:style>
  <w:style w:type="paragraph" w:styleId="Heading5">
    <w:name w:val="heading 5"/>
    <w:basedOn w:val="Normal"/>
    <w:next w:val="ParaNum"/>
    <w:link w:val="Heading5Char"/>
    <w:uiPriority w:val="9"/>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link w:val="Heading6Char"/>
    <w:uiPriority w:val="9"/>
    <w:qFormat/>
    <w:rsid w:val="00C2530F"/>
    <w:pPr>
      <w:numPr>
        <w:ilvl w:val="5"/>
        <w:numId w:val="4"/>
      </w:numPr>
      <w:tabs>
        <w:tab w:val="left" w:pos="2880"/>
      </w:tabs>
      <w:spacing w:after="220"/>
      <w:outlineLvl w:val="5"/>
    </w:pPr>
    <w:rPr>
      <w:b/>
    </w:rPr>
  </w:style>
  <w:style w:type="paragraph" w:styleId="Heading7">
    <w:name w:val="heading 7"/>
    <w:basedOn w:val="Normal"/>
    <w:next w:val="ParaNum"/>
    <w:link w:val="Heading7Char"/>
    <w:uiPriority w:val="9"/>
    <w:qFormat/>
    <w:rsid w:val="00C2530F"/>
    <w:pPr>
      <w:numPr>
        <w:ilvl w:val="6"/>
        <w:numId w:val="4"/>
      </w:numPr>
      <w:spacing w:after="240"/>
      <w:outlineLvl w:val="6"/>
    </w:pPr>
    <w:rPr>
      <w:b/>
    </w:rPr>
  </w:style>
  <w:style w:type="paragraph" w:styleId="Heading8">
    <w:name w:val="heading 8"/>
    <w:basedOn w:val="Normal"/>
    <w:next w:val="ParaNum"/>
    <w:link w:val="Heading8Char"/>
    <w:uiPriority w:val="9"/>
    <w:qFormat/>
    <w:rsid w:val="00C2530F"/>
    <w:pPr>
      <w:numPr>
        <w:ilvl w:val="7"/>
        <w:numId w:val="4"/>
      </w:numPr>
      <w:tabs>
        <w:tab w:val="left" w:pos="5040"/>
      </w:tabs>
      <w:spacing w:after="240"/>
      <w:outlineLvl w:val="7"/>
    </w:pPr>
    <w:rPr>
      <w:b/>
    </w:rPr>
  </w:style>
  <w:style w:type="paragraph" w:styleId="Heading9">
    <w:name w:val="heading 9"/>
    <w:basedOn w:val="Normal"/>
    <w:next w:val="ParaNum"/>
    <w:link w:val="Heading9Char"/>
    <w:uiPriority w:val="9"/>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C2530F"/>
    <w:pPr>
      <w:spacing w:after="220"/>
    </w:pPr>
  </w:style>
  <w:style w:type="paragraph" w:styleId="EndnoteText">
    <w:name w:val="endnote text"/>
    <w:basedOn w:val="Normal"/>
    <w:link w:val="EndnoteTextChar"/>
    <w:uiPriority w:val="99"/>
    <w:semiHidden/>
    <w:rsid w:val="00C2530F"/>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sid w:val="00C2530F"/>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link w:val="FootnoteTextChar1"/>
    <w:uiPriority w:val="99"/>
    <w:rsid w:val="00C2530F"/>
    <w:pPr>
      <w:widowControl/>
      <w:tabs>
        <w:tab w:val="left" w:pos="720"/>
        <w:tab w:val="left" w:pos="1440"/>
      </w:tabs>
      <w:spacing w:after="200"/>
    </w:pPr>
    <w:rPr>
      <w:kern w:val="0"/>
      <w:sz w:val="20"/>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
    <w:basedOn w:val="DefaultParagraphFont"/>
    <w:link w:val="FootnoteText"/>
    <w:uiPriority w:val="99"/>
    <w:semiHidden/>
    <w:rPr>
      <w:kern w:val="28"/>
    </w:rPr>
  </w:style>
  <w:style w:type="character" w:styleId="FootnoteReference">
    <w:name w:val="footnote reference"/>
    <w:basedOn w:val="DefaultParagraphFont"/>
    <w:uiPriority w:val="99"/>
    <w:semiHidden/>
    <w:rsid w:val="00C2530F"/>
    <w:rPr>
      <w:rFonts w:ascii="Times New Roman" w:hAnsi="Times New Roman"/>
      <w:color w:val="auto"/>
      <w:sz w:val="20"/>
      <w:vertAlign w:val="superscript"/>
    </w:rPr>
  </w:style>
  <w:style w:type="paragraph" w:styleId="TOC1">
    <w:name w:val="toc 1"/>
    <w:basedOn w:val="Normal"/>
    <w:next w:val="Normal"/>
    <w:uiPriority w:val="39"/>
    <w:semiHidden/>
    <w:rsid w:val="00C2530F"/>
    <w:pPr>
      <w:tabs>
        <w:tab w:val="right" w:leader="dot" w:pos="9360"/>
      </w:tabs>
      <w:suppressAutoHyphens/>
      <w:spacing w:after="240"/>
      <w:ind w:left="720" w:right="720" w:hanging="720"/>
    </w:pPr>
  </w:style>
  <w:style w:type="paragraph" w:styleId="TOC2">
    <w:name w:val="toc 2"/>
    <w:basedOn w:val="Normal"/>
    <w:next w:val="Normal"/>
    <w:uiPriority w:val="39"/>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uiPriority w:val="39"/>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uiPriority w:val="39"/>
    <w:semiHidden/>
    <w:rsid w:val="00C2530F"/>
    <w:pPr>
      <w:tabs>
        <w:tab w:val="right" w:leader="dot" w:pos="9360"/>
      </w:tabs>
      <w:suppressAutoHyphens/>
      <w:ind w:left="2880" w:right="720" w:hanging="720"/>
    </w:pPr>
  </w:style>
  <w:style w:type="paragraph" w:styleId="TOC5">
    <w:name w:val="toc 5"/>
    <w:basedOn w:val="Normal"/>
    <w:next w:val="Normal"/>
    <w:autoRedefine/>
    <w:uiPriority w:val="39"/>
    <w:semiHidden/>
    <w:rsid w:val="00C2530F"/>
    <w:pPr>
      <w:tabs>
        <w:tab w:val="right" w:leader="dot" w:pos="9360"/>
      </w:tabs>
      <w:suppressAutoHyphens/>
      <w:ind w:left="3600" w:right="720" w:hanging="720"/>
    </w:pPr>
  </w:style>
  <w:style w:type="paragraph" w:styleId="TOC6">
    <w:name w:val="toc 6"/>
    <w:basedOn w:val="Normal"/>
    <w:next w:val="Normal"/>
    <w:autoRedefine/>
    <w:uiPriority w:val="39"/>
    <w:semiHidden/>
    <w:rsid w:val="00C2530F"/>
    <w:pPr>
      <w:tabs>
        <w:tab w:val="right" w:pos="9360"/>
      </w:tabs>
      <w:suppressAutoHyphens/>
      <w:ind w:left="720" w:hanging="720"/>
    </w:pPr>
  </w:style>
  <w:style w:type="paragraph" w:styleId="TOC7">
    <w:name w:val="toc 7"/>
    <w:basedOn w:val="Normal"/>
    <w:next w:val="Normal"/>
    <w:autoRedefine/>
    <w:uiPriority w:val="39"/>
    <w:semiHidden/>
    <w:rsid w:val="00C2530F"/>
    <w:pPr>
      <w:suppressAutoHyphens/>
      <w:ind w:left="720" w:hanging="720"/>
    </w:pPr>
  </w:style>
  <w:style w:type="paragraph" w:styleId="TOC8">
    <w:name w:val="toc 8"/>
    <w:basedOn w:val="Normal"/>
    <w:next w:val="Normal"/>
    <w:autoRedefine/>
    <w:uiPriority w:val="39"/>
    <w:semiHidden/>
    <w:rsid w:val="00C2530F"/>
    <w:pPr>
      <w:tabs>
        <w:tab w:val="right" w:pos="9360"/>
      </w:tabs>
      <w:suppressAutoHyphens/>
      <w:ind w:left="720" w:hanging="720"/>
    </w:pPr>
  </w:style>
  <w:style w:type="paragraph" w:styleId="TOC9">
    <w:name w:val="toc 9"/>
    <w:basedOn w:val="Normal"/>
    <w:next w:val="Normal"/>
    <w:autoRedefine/>
    <w:uiPriority w:val="39"/>
    <w:semiHidden/>
    <w:rsid w:val="00C2530F"/>
    <w:pPr>
      <w:tabs>
        <w:tab w:val="right" w:leader="dot" w:pos="9360"/>
      </w:tabs>
      <w:suppressAutoHyphens/>
      <w:ind w:left="720" w:hanging="720"/>
    </w:pPr>
  </w:style>
  <w:style w:type="paragraph" w:styleId="TOAHeading">
    <w:name w:val="toa heading"/>
    <w:basedOn w:val="Normal"/>
    <w:next w:val="Normal"/>
    <w:uiPriority w:val="99"/>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character" w:customStyle="1" w:styleId="HeaderChar">
    <w:name w:val="Header Char"/>
    <w:basedOn w:val="DefaultParagraphFont"/>
    <w:link w:val="Header"/>
    <w:uiPriority w:val="99"/>
    <w:locked/>
    <w:rsid w:val="007141AA"/>
    <w:rPr>
      <w:rFonts w:cs="Times New Roman"/>
      <w:b/>
      <w:kern w:val="28"/>
      <w:sz w:val="22"/>
      <w:szCs w:val="22"/>
    </w:rPr>
  </w:style>
  <w:style w:type="paragraph" w:styleId="Footer">
    <w:name w:val="footer"/>
    <w:basedOn w:val="Normal"/>
    <w:link w:val="FooterChar"/>
    <w:uiPriority w:val="99"/>
    <w:rsid w:val="00C2530F"/>
    <w:pPr>
      <w:tabs>
        <w:tab w:val="center" w:pos="4320"/>
        <w:tab w:val="right" w:pos="8640"/>
      </w:tabs>
    </w:pPr>
  </w:style>
  <w:style w:type="character" w:customStyle="1" w:styleId="FooterChar">
    <w:name w:val="Footer Char"/>
    <w:basedOn w:val="DefaultParagraphFont"/>
    <w:link w:val="Footer"/>
    <w:uiPriority w:val="99"/>
    <w:semiHidden/>
    <w:rPr>
      <w:kern w:val="28"/>
      <w:sz w:val="24"/>
    </w:rPr>
  </w:style>
  <w:style w:type="character" w:styleId="PageNumber">
    <w:name w:val="page number"/>
    <w:basedOn w:val="DefaultParagraphFont"/>
    <w:uiPriority w:val="99"/>
    <w:rsid w:val="00C2530F"/>
    <w:rPr>
      <w:rFonts w:cs="Times New Roman"/>
    </w:rPr>
  </w:style>
  <w:style w:type="paragraph" w:styleId="BlockText">
    <w:name w:val="Block Text"/>
    <w:basedOn w:val="Normal"/>
    <w:uiPriority w:val="99"/>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z w:val="24"/>
    </w:rPr>
  </w:style>
  <w:style w:type="paragraph" w:styleId="BodyText">
    <w:name w:val="Body Text"/>
    <w:basedOn w:val="Normal"/>
    <w:link w:val="BodyTextChar"/>
    <w:uiPriority w:val="99"/>
    <w:rsid w:val="00C2530F"/>
    <w:pPr>
      <w:tabs>
        <w:tab w:val="left" w:pos="0"/>
        <w:tab w:val="left" w:pos="720"/>
        <w:tab w:val="left" w:pos="1440"/>
      </w:tabs>
      <w:suppressAutoHyphens/>
      <w:spacing w:before="240"/>
      <w:jc w:val="left"/>
    </w:pPr>
    <w:rPr>
      <w:kern w:val="0"/>
      <w:sz w:val="28"/>
    </w:rPr>
  </w:style>
  <w:style w:type="character" w:customStyle="1" w:styleId="BodyTextChar">
    <w:name w:val="Body Text Char"/>
    <w:basedOn w:val="DefaultParagraphFont"/>
    <w:link w:val="BodyText"/>
    <w:uiPriority w:val="99"/>
    <w:semiHidden/>
    <w:rPr>
      <w:kern w:val="28"/>
      <w:sz w:val="24"/>
    </w:rPr>
  </w:style>
  <w:style w:type="paragraph" w:styleId="BodyTextIndent">
    <w:name w:val="Body Text Indent"/>
    <w:basedOn w:val="Normal"/>
    <w:link w:val="BodyTextIndentChar"/>
    <w:uiPriority w:val="99"/>
    <w:rsid w:val="00C2530F"/>
    <w:pPr>
      <w:tabs>
        <w:tab w:val="left" w:pos="0"/>
        <w:tab w:val="left" w:pos="720"/>
        <w:tab w:val="left" w:pos="1440"/>
      </w:tabs>
      <w:suppressAutoHyphens/>
      <w:spacing w:before="240"/>
      <w:ind w:left="2160" w:hanging="2160"/>
      <w:jc w:val="left"/>
    </w:pPr>
    <w:rPr>
      <w:kern w:val="0"/>
      <w:sz w:val="28"/>
    </w:rPr>
  </w:style>
  <w:style w:type="character" w:customStyle="1" w:styleId="BodyTextIndentChar">
    <w:name w:val="Body Text Indent Char"/>
    <w:basedOn w:val="DefaultParagraphFont"/>
    <w:link w:val="BodyTextIndent"/>
    <w:uiPriority w:val="99"/>
    <w:semiHidden/>
    <w:rPr>
      <w:kern w:val="28"/>
      <w:sz w:val="24"/>
    </w:rPr>
  </w:style>
  <w:style w:type="paragraph" w:styleId="BodyTextIndent2">
    <w:name w:val="Body Text Indent 2"/>
    <w:basedOn w:val="Normal"/>
    <w:link w:val="BodyTextIndent2Char"/>
    <w:uiPriority w:val="99"/>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character" w:customStyle="1" w:styleId="BodyTextIndent2Char">
    <w:name w:val="Body Text Indent 2 Char"/>
    <w:basedOn w:val="DefaultParagraphFont"/>
    <w:link w:val="BodyTextIndent2"/>
    <w:uiPriority w:val="99"/>
    <w:semiHidden/>
    <w:rPr>
      <w:kern w:val="28"/>
      <w:sz w:val="24"/>
    </w:rPr>
  </w:style>
  <w:style w:type="paragraph" w:styleId="Title">
    <w:name w:val="Title"/>
    <w:basedOn w:val="Normal"/>
    <w:link w:val="TitleChar"/>
    <w:uiPriority w:val="10"/>
    <w:qFormat/>
    <w:rsid w:val="00C2530F"/>
    <w:pPr>
      <w:jc w:val="center"/>
    </w:pPr>
    <w:rPr>
      <w: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997F8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kern w:val="28"/>
      <w:sz w:val="18"/>
      <w:szCs w:val="18"/>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uiPriority w:val="99"/>
    <w:rsid w:val="002B35DE"/>
    <w:rPr>
      <w:rFonts w:cs="Times New Roman"/>
      <w:sz w:val="16"/>
      <w:szCs w:val="16"/>
    </w:rPr>
  </w:style>
  <w:style w:type="paragraph" w:styleId="CommentText">
    <w:name w:val="annotation text"/>
    <w:basedOn w:val="Normal"/>
    <w:link w:val="CommentTextChar"/>
    <w:uiPriority w:val="99"/>
    <w:rsid w:val="002B35DE"/>
    <w:rPr>
      <w:sz w:val="20"/>
    </w:rPr>
  </w:style>
  <w:style w:type="character" w:customStyle="1" w:styleId="CommentTextChar">
    <w:name w:val="Comment Text Char"/>
    <w:basedOn w:val="DefaultParagraphFont"/>
    <w:link w:val="CommentText"/>
    <w:uiPriority w:val="99"/>
    <w:locked/>
    <w:rsid w:val="002B35DE"/>
    <w:rPr>
      <w:rFonts w:cs="Times New Roman"/>
      <w:kern w:val="28"/>
    </w:rPr>
  </w:style>
  <w:style w:type="paragraph" w:styleId="CommentSubject">
    <w:name w:val="annotation subject"/>
    <w:basedOn w:val="CommentText"/>
    <w:next w:val="CommentText"/>
    <w:link w:val="CommentSubjectChar"/>
    <w:uiPriority w:val="99"/>
    <w:rsid w:val="002B35DE"/>
    <w:rPr>
      <w:b/>
      <w:bCs/>
    </w:rPr>
  </w:style>
  <w:style w:type="character" w:customStyle="1" w:styleId="CommentSubjectChar">
    <w:name w:val="Comment Subject Char"/>
    <w:basedOn w:val="CommentTextChar"/>
    <w:link w:val="CommentSubject"/>
    <w:uiPriority w:val="99"/>
    <w:locked/>
    <w:rsid w:val="002B35DE"/>
    <w:rPr>
      <w:rFonts w:cs="Times New Roman"/>
      <w:b/>
      <w:bCs/>
      <w:kern w:val="28"/>
    </w:rPr>
  </w:style>
  <w:style w:type="paragraph" w:styleId="Revision">
    <w:name w:val="Revision"/>
    <w:hidden/>
    <w:uiPriority w:val="99"/>
    <w:semiHidden/>
    <w:rsid w:val="006B4ADA"/>
    <w:rPr>
      <w:kern w:val="28"/>
      <w:sz w:val="24"/>
    </w:rPr>
  </w:style>
  <w:style w:type="character" w:styleId="Hyperlink">
    <w:name w:val="Hyperlink"/>
    <w:basedOn w:val="DefaultParagraphFont"/>
    <w:uiPriority w:val="99"/>
    <w:rsid w:val="007C1387"/>
    <w:rPr>
      <w:color w:val="0000FF"/>
      <w:u w:val="single"/>
    </w:rPr>
  </w:style>
  <w:style w:type="character" w:styleId="FollowedHyperlink">
    <w:name w:val="FollowedHyperlink"/>
    <w:basedOn w:val="DefaultParagraphFont"/>
    <w:uiPriority w:val="99"/>
    <w:semiHidden/>
    <w:unhideWhenUsed/>
    <w:rsid w:val="004729C1"/>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C35BA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825526406933/200825%20CTL%20Michigan%2063.63%20Appplication.pdf" TargetMode="External" /><Relationship Id="rId2" Type="http://schemas.openxmlformats.org/officeDocument/2006/relationships/hyperlink" Target="https://ecfsapi.fcc.gov/file/100393857755/201002%20Michigan%20Sec%2063%2063%20Supplement%20REDACTED.pdf" TargetMode="External" /><Relationship Id="rId3" Type="http://schemas.openxmlformats.org/officeDocument/2006/relationships/hyperlink" Target="https://ecfsapi.fcc.gov/file/1027817622389/201027%20CTL%20Sec%2063.63%20Supplement%20WC20-278.pdf" TargetMode="External" /><Relationship Id="rId4" Type="http://schemas.openxmlformats.org/officeDocument/2006/relationships/hyperlink" Target="https://ecfsapi.fcc.gov/file/1014247746656/201014%20CTL%20Renewal%20Letter%20Hope%20MI%20WC%2020-278.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