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B6319F" w14:paraId="47133FDE" w14:textId="77777777">
      <w:pPr>
        <w:jc w:val="right"/>
        <w:rPr>
          <w:sz w:val="24"/>
          <w:szCs w:val="24"/>
        </w:rPr>
      </w:pPr>
    </w:p>
    <w:p w:rsidR="00B6319F" w14:paraId="48860E60" w14:textId="23AC2937">
      <w:pPr>
        <w:jc w:val="right"/>
        <w:rPr>
          <w:b/>
          <w:sz w:val="24"/>
          <w:szCs w:val="24"/>
        </w:rPr>
      </w:pPr>
      <w:r>
        <w:rPr>
          <w:rFonts w:ascii="Times" w:hAnsi="Times"/>
          <w:b/>
          <w:sz w:val="24"/>
          <w:szCs w:val="24"/>
        </w:rPr>
        <w:t>DA 20-1394</w:t>
      </w:r>
    </w:p>
    <w:p w:rsidR="00B6319F" w14:paraId="59E253D6" w14:textId="04EE08FE">
      <w:pPr>
        <w:spacing w:before="60"/>
        <w:jc w:val="right"/>
        <w:rPr>
          <w:b/>
          <w:sz w:val="24"/>
          <w:szCs w:val="24"/>
        </w:rPr>
      </w:pPr>
      <w:r w:rsidRPr="008E5B49">
        <w:rPr>
          <w:b/>
          <w:sz w:val="24"/>
          <w:szCs w:val="24"/>
        </w:rPr>
        <w:t xml:space="preserve">Released:  November </w:t>
      </w:r>
      <w:r w:rsidRPr="008E5B49" w:rsidR="00F8668D">
        <w:rPr>
          <w:b/>
          <w:sz w:val="24"/>
          <w:szCs w:val="24"/>
        </w:rPr>
        <w:t>2</w:t>
      </w:r>
      <w:r w:rsidRPr="008E5B49" w:rsidR="008E5B49">
        <w:rPr>
          <w:b/>
          <w:sz w:val="24"/>
          <w:szCs w:val="24"/>
        </w:rPr>
        <w:t>4</w:t>
      </w:r>
      <w:r w:rsidRPr="008E5B49">
        <w:rPr>
          <w:b/>
          <w:sz w:val="24"/>
          <w:szCs w:val="24"/>
        </w:rPr>
        <w:t>, 2020</w:t>
      </w:r>
    </w:p>
    <w:p w:rsidR="00B6319F" w14:paraId="5AB72636" w14:textId="77777777">
      <w:pPr>
        <w:jc w:val="right"/>
        <w:rPr>
          <w:sz w:val="24"/>
          <w:szCs w:val="24"/>
        </w:rPr>
      </w:pPr>
    </w:p>
    <w:p w:rsidR="00B6319F" w14:paraId="3F41CDEB" w14:textId="6408AE82">
      <w:pPr>
        <w:spacing w:after="240"/>
        <w:jc w:val="center"/>
        <w:rPr>
          <w:rFonts w:ascii="Times New Roman Bold" w:hAnsi="Times New Roman Bold"/>
          <w:b/>
          <w:caps/>
          <w:sz w:val="24"/>
          <w:szCs w:val="24"/>
        </w:rPr>
      </w:pPr>
      <w:r>
        <w:rPr>
          <w:rFonts w:ascii="Times New Roman Bold" w:hAnsi="Times New Roman Bold"/>
          <w:b/>
          <w:caps/>
          <w:sz w:val="24"/>
          <w:szCs w:val="24"/>
        </w:rPr>
        <w:t>MEDIA BUREAU SEEKS COMMENT ON PETITION FOR DECLARATORY RULING AND PETITION FOR RULEMAKING OF THE NATIONAL ASSOCIATION OF BROADCASTERS SEEKING TO CLARIFY Treatment of Multicast Streams Under THE NEXT GEN TV LOCAL SIMULCASTING RULES</w:t>
      </w:r>
    </w:p>
    <w:p w:rsidR="00B6319F" w14:paraId="5A858437" w14:textId="77777777">
      <w:pPr>
        <w:jc w:val="center"/>
        <w:rPr>
          <w:b/>
          <w:sz w:val="24"/>
          <w:szCs w:val="24"/>
        </w:rPr>
      </w:pPr>
      <w:r>
        <w:rPr>
          <w:b/>
          <w:sz w:val="24"/>
          <w:szCs w:val="24"/>
        </w:rPr>
        <w:t>GN Docket No. 16-142</w:t>
      </w:r>
    </w:p>
    <w:p w:rsidR="00B6319F" w14:paraId="4F2E15A2" w14:textId="77777777">
      <w:pPr>
        <w:rPr>
          <w:sz w:val="24"/>
          <w:szCs w:val="24"/>
        </w:rPr>
      </w:pPr>
      <w:bookmarkStart w:id="0" w:name="TOChere"/>
    </w:p>
    <w:bookmarkEnd w:id="0"/>
    <w:p w:rsidR="00B6319F" w14:paraId="3600D805" w14:textId="0561E470">
      <w:pPr>
        <w:rPr>
          <w:b/>
          <w:sz w:val="24"/>
          <w:szCs w:val="24"/>
        </w:rPr>
      </w:pPr>
      <w:r>
        <w:rPr>
          <w:b/>
          <w:sz w:val="24"/>
          <w:szCs w:val="24"/>
        </w:rPr>
        <w:t xml:space="preserve">Comment Date:  </w:t>
      </w:r>
      <w:r>
        <w:rPr>
          <w:b/>
          <w:sz w:val="24"/>
          <w:szCs w:val="24"/>
        </w:rPr>
        <w:tab/>
      </w:r>
      <w:r>
        <w:rPr>
          <w:b/>
          <w:sz w:val="24"/>
          <w:szCs w:val="24"/>
        </w:rPr>
        <w:tab/>
        <w:t xml:space="preserve">December </w:t>
      </w:r>
      <w:r w:rsidR="00026646">
        <w:rPr>
          <w:b/>
          <w:sz w:val="24"/>
          <w:szCs w:val="24"/>
        </w:rPr>
        <w:t>2</w:t>
      </w:r>
      <w:r w:rsidR="008E5B49">
        <w:rPr>
          <w:b/>
          <w:sz w:val="24"/>
          <w:szCs w:val="24"/>
        </w:rPr>
        <w:t>4</w:t>
      </w:r>
      <w:r>
        <w:rPr>
          <w:b/>
          <w:sz w:val="24"/>
          <w:szCs w:val="24"/>
        </w:rPr>
        <w:t>, 2020</w:t>
      </w:r>
    </w:p>
    <w:p w:rsidR="00B6319F" w14:paraId="596C0E6F" w14:textId="6EE5BE00">
      <w:pPr>
        <w:rPr>
          <w:b/>
          <w:sz w:val="24"/>
          <w:szCs w:val="24"/>
        </w:rPr>
      </w:pPr>
      <w:r>
        <w:rPr>
          <w:b/>
          <w:sz w:val="24"/>
          <w:szCs w:val="24"/>
        </w:rPr>
        <w:t>Reply Comment Date:</w:t>
      </w:r>
      <w:r>
        <w:rPr>
          <w:b/>
          <w:sz w:val="24"/>
          <w:szCs w:val="24"/>
        </w:rPr>
        <w:tab/>
        <w:t xml:space="preserve">January </w:t>
      </w:r>
      <w:r w:rsidR="00026646">
        <w:rPr>
          <w:b/>
          <w:sz w:val="24"/>
          <w:szCs w:val="24"/>
        </w:rPr>
        <w:t>2</w:t>
      </w:r>
      <w:r w:rsidR="008E5B49">
        <w:rPr>
          <w:b/>
          <w:sz w:val="24"/>
          <w:szCs w:val="24"/>
        </w:rPr>
        <w:t>5</w:t>
      </w:r>
      <w:r>
        <w:rPr>
          <w:b/>
          <w:sz w:val="24"/>
          <w:szCs w:val="24"/>
        </w:rPr>
        <w:t xml:space="preserve">, 2021 </w:t>
      </w:r>
    </w:p>
    <w:p w:rsidR="00B6319F" w14:paraId="21729144" w14:textId="77777777">
      <w:pPr>
        <w:rPr>
          <w:b/>
          <w:sz w:val="24"/>
          <w:szCs w:val="24"/>
        </w:rPr>
      </w:pPr>
    </w:p>
    <w:p w:rsidR="00B6319F" w14:paraId="433BA87B" w14:textId="212EE534">
      <w:pPr>
        <w:widowControl/>
        <w:autoSpaceDE w:val="0"/>
        <w:autoSpaceDN w:val="0"/>
        <w:adjustRightInd w:val="0"/>
        <w:spacing w:after="220"/>
        <w:ind w:firstLine="720"/>
        <w:rPr>
          <w:snapToGrid/>
          <w:kern w:val="0"/>
          <w:sz w:val="24"/>
          <w:szCs w:val="24"/>
        </w:rPr>
      </w:pPr>
      <w:r>
        <w:rPr>
          <w:sz w:val="24"/>
          <w:szCs w:val="24"/>
        </w:rPr>
        <w:t xml:space="preserve">By this </w:t>
      </w:r>
      <w:r>
        <w:rPr>
          <w:snapToGrid/>
          <w:kern w:val="0"/>
          <w:sz w:val="24"/>
          <w:szCs w:val="24"/>
        </w:rPr>
        <w:t xml:space="preserve">Public Notice, we seek comment on the Petition for Declaratory Ruling and Petition for Rulemaking </w:t>
      </w:r>
      <w:r>
        <w:rPr>
          <w:sz w:val="24"/>
          <w:szCs w:val="24"/>
        </w:rPr>
        <w:t>(Petition) filed by t</w:t>
      </w:r>
      <w:r>
        <w:rPr>
          <w:snapToGrid/>
          <w:kern w:val="0"/>
          <w:sz w:val="24"/>
          <w:szCs w:val="24"/>
        </w:rPr>
        <w:t xml:space="preserve">he National Association of Broadcasters (NAB or Petitioner) on </w:t>
      </w:r>
      <w:r>
        <w:rPr>
          <w:sz w:val="24"/>
          <w:szCs w:val="24"/>
        </w:rPr>
        <w:t>November 9, 2020.</w:t>
      </w:r>
      <w:r>
        <w:rPr>
          <w:rStyle w:val="FootnoteReference"/>
          <w:szCs w:val="22"/>
        </w:rPr>
        <w:footnoteReference w:id="3"/>
      </w:r>
      <w:r>
        <w:rPr>
          <w:sz w:val="24"/>
          <w:szCs w:val="24"/>
        </w:rPr>
        <w:t xml:space="preserve">  The Petition asks </w:t>
      </w:r>
      <w:r>
        <w:rPr>
          <w:snapToGrid/>
          <w:kern w:val="0"/>
          <w:sz w:val="24"/>
          <w:szCs w:val="24"/>
        </w:rPr>
        <w:t>the Commission to clarify and, to the extent necessary, change the licensing treatment of a Next Gen TV</w:t>
      </w:r>
      <w:r>
        <w:rPr>
          <w:rStyle w:val="FootnoteReference"/>
          <w:snapToGrid/>
          <w:kern w:val="0"/>
          <w:szCs w:val="24"/>
        </w:rPr>
        <w:footnoteReference w:id="4"/>
      </w:r>
      <w:r>
        <w:rPr>
          <w:snapToGrid/>
          <w:kern w:val="0"/>
          <w:sz w:val="24"/>
          <w:szCs w:val="24"/>
        </w:rPr>
        <w:t xml:space="preserve"> stations</w:t>
      </w:r>
      <w:r w:rsidR="00D0450E">
        <w:rPr>
          <w:snapToGrid/>
          <w:kern w:val="0"/>
          <w:sz w:val="24"/>
          <w:szCs w:val="24"/>
        </w:rPr>
        <w:t>’</w:t>
      </w:r>
      <w:r>
        <w:rPr>
          <w:snapToGrid/>
          <w:kern w:val="0"/>
          <w:sz w:val="24"/>
          <w:szCs w:val="24"/>
        </w:rPr>
        <w:t xml:space="preserve"> multicast streams under the Next Gen TV local simulcasting rules.</w:t>
      </w:r>
      <w:r>
        <w:rPr>
          <w:rStyle w:val="FootnoteReference"/>
          <w:snapToGrid/>
          <w:kern w:val="0"/>
          <w:szCs w:val="24"/>
        </w:rPr>
        <w:footnoteReference w:id="5"/>
      </w:r>
      <w:r>
        <w:rPr>
          <w:snapToGrid/>
          <w:kern w:val="0"/>
          <w:sz w:val="24"/>
          <w:szCs w:val="24"/>
        </w:rPr>
        <w:t xml:space="preserve"> </w:t>
      </w:r>
    </w:p>
    <w:p w:rsidR="00B6319F" w14:paraId="48A523FD" w14:textId="6D2F64A7">
      <w:pPr>
        <w:widowControl/>
        <w:autoSpaceDE w:val="0"/>
        <w:autoSpaceDN w:val="0"/>
        <w:adjustRightInd w:val="0"/>
        <w:spacing w:after="220"/>
        <w:ind w:firstLine="720"/>
        <w:rPr>
          <w:snapToGrid/>
          <w:kern w:val="0"/>
          <w:sz w:val="24"/>
          <w:szCs w:val="24"/>
        </w:rPr>
      </w:pPr>
      <w:r>
        <w:rPr>
          <w:snapToGrid/>
          <w:kern w:val="0"/>
          <w:sz w:val="24"/>
          <w:szCs w:val="24"/>
        </w:rPr>
        <w:t xml:space="preserve">First, Petitioner asks the Commission to clarify that the existing licensing framework for local simulcasting applies to a station’s simulcasted multicast streams as well as its primary </w:t>
      </w:r>
      <w:r>
        <w:rPr>
          <w:snapToGrid/>
          <w:kern w:val="0"/>
          <w:sz w:val="24"/>
          <w:szCs w:val="24"/>
        </w:rPr>
        <w:t>stream.</w:t>
      </w:r>
      <w:r>
        <w:rPr>
          <w:rStyle w:val="FootnoteReference"/>
          <w:snapToGrid/>
          <w:kern w:val="0"/>
          <w:szCs w:val="24"/>
        </w:rPr>
        <w:footnoteReference w:id="6"/>
      </w:r>
      <w:r>
        <w:rPr>
          <w:snapToGrid/>
          <w:kern w:val="0"/>
          <w:sz w:val="24"/>
          <w:szCs w:val="24"/>
        </w:rPr>
        <w:t xml:space="preserve">  Second, Petitioner asks the Commission to clarify, or establish by rulemaking if necessary, that the existing licensing framework for local simulcasting applies to multicast streams, even if such streams are not aired by the originating station.</w:t>
      </w:r>
      <w:r>
        <w:rPr>
          <w:rStyle w:val="FootnoteReference"/>
          <w:snapToGrid/>
          <w:kern w:val="0"/>
          <w:szCs w:val="24"/>
        </w:rPr>
        <w:footnoteReference w:id="7"/>
      </w:r>
      <w:r w:rsidR="008D1938">
        <w:rPr>
          <w:snapToGrid/>
          <w:kern w:val="0"/>
          <w:sz w:val="24"/>
          <w:szCs w:val="24"/>
        </w:rPr>
        <w:t xml:space="preserve">  </w:t>
      </w:r>
      <w:r w:rsidRPr="001A549B" w:rsidR="001A549B">
        <w:rPr>
          <w:snapToGrid/>
          <w:kern w:val="0"/>
          <w:sz w:val="24"/>
          <w:szCs w:val="24"/>
        </w:rPr>
        <w:t>Essentially, NAB asks the Commission to recognize that in simulcasting arrangements involving multicast streams</w:t>
      </w:r>
      <w:r w:rsidR="00D0450E">
        <w:rPr>
          <w:snapToGrid/>
          <w:kern w:val="0"/>
          <w:sz w:val="24"/>
          <w:szCs w:val="24"/>
        </w:rPr>
        <w:t>,</w:t>
      </w:r>
      <w:r w:rsidRPr="001A549B" w:rsidR="001A549B">
        <w:rPr>
          <w:snapToGrid/>
          <w:kern w:val="0"/>
          <w:sz w:val="24"/>
          <w:szCs w:val="24"/>
        </w:rPr>
        <w:t xml:space="preserve"> “the licensee who originated the programming rather than the licensee whose facilities are being used to distribute the programming is responsible for the programming.”</w:t>
      </w:r>
      <w:r>
        <w:rPr>
          <w:rStyle w:val="FootnoteReference"/>
          <w:snapToGrid/>
          <w:kern w:val="0"/>
          <w:szCs w:val="24"/>
        </w:rPr>
        <w:footnoteReference w:id="8"/>
      </w:r>
    </w:p>
    <w:p w:rsidR="00B6319F" w14:paraId="02627090" w14:textId="409E6771">
      <w:pPr>
        <w:widowControl/>
        <w:autoSpaceDE w:val="0"/>
        <w:autoSpaceDN w:val="0"/>
        <w:adjustRightInd w:val="0"/>
        <w:spacing w:after="220"/>
        <w:ind w:firstLine="720"/>
        <w:rPr>
          <w:snapToGrid/>
          <w:kern w:val="0"/>
          <w:sz w:val="24"/>
          <w:szCs w:val="24"/>
        </w:rPr>
      </w:pPr>
      <w:r>
        <w:rPr>
          <w:snapToGrid/>
          <w:kern w:val="0"/>
          <w:sz w:val="24"/>
          <w:szCs w:val="24"/>
        </w:rPr>
        <w:t>NAB states that “some stations have concerns about which station is liable for any potential violations of Commission rules</w:t>
      </w:r>
      <w:r>
        <w:rPr>
          <w:rStyle w:val="FootnoteReference"/>
          <w:sz w:val="24"/>
          <w:szCs w:val="24"/>
        </w:rPr>
        <w:t>”</w:t>
      </w:r>
      <w:r>
        <w:rPr>
          <w:rStyle w:val="FootnoteReference"/>
          <w:szCs w:val="22"/>
        </w:rPr>
        <w:footnoteReference w:id="9"/>
      </w:r>
      <w:r>
        <w:rPr>
          <w:szCs w:val="22"/>
        </w:rPr>
        <w:t xml:space="preserve"> </w:t>
      </w:r>
      <w:r>
        <w:rPr>
          <w:snapToGrid/>
          <w:kern w:val="0"/>
          <w:sz w:val="24"/>
          <w:szCs w:val="24"/>
        </w:rPr>
        <w:t xml:space="preserve">and </w:t>
      </w:r>
      <w:r w:rsidR="00D0450E">
        <w:rPr>
          <w:snapToGrid/>
          <w:kern w:val="0"/>
          <w:sz w:val="24"/>
          <w:szCs w:val="24"/>
        </w:rPr>
        <w:t xml:space="preserve">further </w:t>
      </w:r>
      <w:r>
        <w:rPr>
          <w:snapToGrid/>
          <w:kern w:val="0"/>
          <w:sz w:val="24"/>
          <w:szCs w:val="24"/>
        </w:rPr>
        <w:t xml:space="preserve">observes that “a purely contractual approach </w:t>
      </w:r>
      <w:r w:rsidR="00D0450E">
        <w:rPr>
          <w:snapToGrid/>
          <w:kern w:val="0"/>
          <w:sz w:val="24"/>
          <w:szCs w:val="24"/>
        </w:rPr>
        <w:t xml:space="preserve">[to ATSC 3.0 deployment sharing arrangements] </w:t>
      </w:r>
      <w:r>
        <w:rPr>
          <w:snapToGrid/>
          <w:kern w:val="0"/>
          <w:sz w:val="24"/>
          <w:szCs w:val="24"/>
        </w:rPr>
        <w:t>would exclude noncommercial stations from participating in sharing arrangements to host commercial multicast streams” under section 399B of the of the Communications Act.</w:t>
      </w:r>
      <w:r>
        <w:rPr>
          <w:rStyle w:val="FootnoteReference"/>
          <w:szCs w:val="22"/>
        </w:rPr>
        <w:footnoteReference w:id="10"/>
      </w:r>
      <w:r>
        <w:rPr>
          <w:snapToGrid/>
          <w:kern w:val="0"/>
          <w:sz w:val="24"/>
          <w:szCs w:val="24"/>
        </w:rPr>
        <w:t xml:space="preserve">  NAB contends that </w:t>
      </w:r>
      <w:r w:rsidR="00D0450E">
        <w:rPr>
          <w:snapToGrid/>
          <w:kern w:val="0"/>
          <w:sz w:val="24"/>
          <w:szCs w:val="24"/>
        </w:rPr>
        <w:t>the requested clarification or amendment of the Commission’s rules</w:t>
      </w:r>
      <w:r>
        <w:rPr>
          <w:snapToGrid/>
          <w:kern w:val="0"/>
          <w:sz w:val="24"/>
          <w:szCs w:val="24"/>
        </w:rPr>
        <w:t xml:space="preserve"> “would provide a clear line of Commission authority over the originator of multicast streams (regardless of whether they are simulcast) through the same licensed approach the Commission uses for simulcast programming” and thus “is critical to </w:t>
      </w:r>
      <w:r>
        <w:rPr>
          <w:snapToGrid/>
          <w:kern w:val="0"/>
          <w:sz w:val="24"/>
          <w:szCs w:val="24"/>
        </w:rPr>
        <w:t>ensuring that both commercial and noncommercial stations are willing and able to partner to help preserve service to viewers.”</w:t>
      </w:r>
      <w:r>
        <w:rPr>
          <w:rStyle w:val="FootnoteReference"/>
          <w:szCs w:val="22"/>
        </w:rPr>
        <w:footnoteReference w:id="11"/>
      </w:r>
    </w:p>
    <w:p w:rsidR="00B6319F" w14:paraId="1584FB03" w14:textId="6A3CAAED">
      <w:pPr>
        <w:widowControl/>
        <w:autoSpaceDE w:val="0"/>
        <w:autoSpaceDN w:val="0"/>
        <w:adjustRightInd w:val="0"/>
        <w:spacing w:after="220"/>
        <w:rPr>
          <w:sz w:val="24"/>
          <w:szCs w:val="24"/>
        </w:rPr>
      </w:pPr>
      <w:r>
        <w:rPr>
          <w:snapToGrid/>
          <w:kern w:val="0"/>
          <w:sz w:val="24"/>
          <w:szCs w:val="24"/>
        </w:rPr>
        <w:tab/>
      </w:r>
      <w:r>
        <w:rPr>
          <w:color w:val="010101"/>
          <w:sz w:val="24"/>
          <w:szCs w:val="24"/>
        </w:rPr>
        <w:t xml:space="preserve">The Petition is available electronically through the </w:t>
      </w:r>
      <w:r>
        <w:rPr>
          <w:sz w:val="24"/>
          <w:szCs w:val="24"/>
        </w:rPr>
        <w:t xml:space="preserve">Commission’s Electronic Comment Filing System (ECFS) </w:t>
      </w:r>
      <w:r>
        <w:rPr>
          <w:color w:val="010101"/>
          <w:sz w:val="24"/>
          <w:szCs w:val="24"/>
        </w:rPr>
        <w:t xml:space="preserve">under the above-referenced docket numbers, which may be accessed on the Commission’s Internet website at </w:t>
      </w:r>
      <w:hyperlink r:id="rId5" w:history="1">
        <w:r>
          <w:rPr>
            <w:color w:val="0000FF"/>
            <w:sz w:val="24"/>
            <w:szCs w:val="24"/>
            <w:u w:val="single"/>
          </w:rPr>
          <w:t>http://apps.fcc.gov/ecfs/</w:t>
        </w:r>
      </w:hyperlink>
      <w:r>
        <w:rPr>
          <w:color w:val="010101"/>
          <w:sz w:val="24"/>
          <w:szCs w:val="24"/>
        </w:rPr>
        <w:t xml:space="preserve">.  </w:t>
      </w:r>
    </w:p>
    <w:p w:rsidR="00B6319F" w14:paraId="299E6C7F" w14:textId="77777777">
      <w:pPr>
        <w:keepNext/>
        <w:widowControl/>
        <w:spacing w:after="220"/>
        <w:ind w:firstLine="720"/>
        <w:rPr>
          <w:sz w:val="24"/>
          <w:szCs w:val="24"/>
        </w:rPr>
      </w:pPr>
      <w:r>
        <w:rPr>
          <w:sz w:val="24"/>
          <w:szCs w:val="24"/>
          <w:u w:val="single"/>
        </w:rPr>
        <w:t>Filing Requirements</w:t>
      </w:r>
      <w:r>
        <w:rPr>
          <w:sz w:val="24"/>
          <w:szCs w:val="24"/>
        </w:rPr>
        <w:t>.  Pursuant to sections 1.415 and 1.419 of the Commission’s rules,</w:t>
      </w:r>
      <w:r>
        <w:rPr>
          <w:rStyle w:val="FootnoteReference"/>
          <w:szCs w:val="22"/>
        </w:rPr>
        <w:footnoteReference w:id="12"/>
      </w:r>
      <w:r>
        <w:rPr>
          <w:sz w:val="24"/>
          <w:szCs w:val="24"/>
        </w:rPr>
        <w:t xml:space="preserve"> interested parties may file comments and reply comments on or before the dates indicated on the first page of this document.  Comments may be filed using the ECFS.</w:t>
      </w:r>
      <w:r>
        <w:rPr>
          <w:rStyle w:val="FootnoteReference"/>
          <w:szCs w:val="22"/>
        </w:rPr>
        <w:footnoteReference w:id="13"/>
      </w:r>
      <w:r>
        <w:rPr>
          <w:sz w:val="24"/>
          <w:szCs w:val="24"/>
        </w:rPr>
        <w:t xml:space="preserve"> </w:t>
      </w:r>
    </w:p>
    <w:p w:rsidR="00B6319F" w14:paraId="3DB51CC7" w14:textId="77777777">
      <w:pPr>
        <w:widowControl/>
        <w:numPr>
          <w:ilvl w:val="0"/>
          <w:numId w:val="8"/>
        </w:numPr>
        <w:spacing w:after="120"/>
        <w:rPr>
          <w:sz w:val="24"/>
          <w:szCs w:val="24"/>
        </w:rPr>
      </w:pPr>
      <w:r>
        <w:rPr>
          <w:sz w:val="24"/>
          <w:szCs w:val="24"/>
        </w:rPr>
        <w:t xml:space="preserve">Electronic Filers:  Comments may be filed electronically using the Internet by accessing the ECFS:  </w:t>
      </w:r>
      <w:hyperlink r:id="rId5" w:history="1">
        <w:r>
          <w:rPr>
            <w:rStyle w:val="Hyperlink"/>
            <w:sz w:val="24"/>
            <w:szCs w:val="24"/>
          </w:rPr>
          <w:t>http://apps.fcc.gov/ecfs/</w:t>
        </w:r>
      </w:hyperlink>
      <w:r>
        <w:rPr>
          <w:sz w:val="24"/>
          <w:szCs w:val="24"/>
        </w:rPr>
        <w:t xml:space="preserve">.  </w:t>
      </w:r>
    </w:p>
    <w:p w:rsidR="00B6319F" w14:paraId="681DD38F" w14:textId="77777777">
      <w:pPr>
        <w:widowControl/>
        <w:numPr>
          <w:ilvl w:val="0"/>
          <w:numId w:val="7"/>
        </w:numPr>
        <w:spacing w:after="120"/>
        <w:rPr>
          <w:sz w:val="24"/>
          <w:szCs w:val="24"/>
        </w:rPr>
      </w:pPr>
      <w:r>
        <w:rPr>
          <w:sz w:val="24"/>
          <w:szCs w:val="24"/>
        </w:rPr>
        <w:t xml:space="preserve">Paper Filers:  Parties who choose to file by paper must file an original and one copy of each filing. </w:t>
      </w:r>
    </w:p>
    <w:p w:rsidR="00B6319F" w14:paraId="5B4A09E9" w14:textId="77777777">
      <w:pPr>
        <w:widowControl/>
        <w:numPr>
          <w:ilvl w:val="0"/>
          <w:numId w:val="7"/>
        </w:numPr>
        <w:spacing w:after="120"/>
        <w:rPr>
          <w:sz w:val="24"/>
          <w:szCs w:val="24"/>
        </w:rPr>
      </w:pPr>
      <w:r>
        <w:rPr>
          <w:sz w:val="24"/>
          <w:szCs w:val="24"/>
        </w:rPr>
        <w:t>Filings can be sent by commercial overnight courier, or by first-class or overnight U.S. Postal Service mail.  All filings must be addressed to the Commission’s Secretary, Office of the Secretary, Federal Communications Commission.</w:t>
      </w:r>
    </w:p>
    <w:p w:rsidR="00B6319F" w14:paraId="426B1E3D" w14:textId="77777777">
      <w:pPr>
        <w:widowControl/>
        <w:numPr>
          <w:ilvl w:val="1"/>
          <w:numId w:val="7"/>
        </w:numPr>
        <w:spacing w:after="120"/>
        <w:rPr>
          <w:sz w:val="24"/>
          <w:szCs w:val="24"/>
        </w:rPr>
      </w:pPr>
      <w:r>
        <w:rPr>
          <w:sz w:val="24"/>
          <w:szCs w:val="24"/>
        </w:rPr>
        <w:t xml:space="preserve">Commercial overnight mail (other than U.S. Postal Service Express Mail and Priority Mail) must be sent to 9050 Junction Drive, Annapolis Junction, MD 20701.  </w:t>
      </w:r>
    </w:p>
    <w:p w:rsidR="00B6319F" w14:paraId="2273E7E6" w14:textId="77777777">
      <w:pPr>
        <w:widowControl/>
        <w:numPr>
          <w:ilvl w:val="1"/>
          <w:numId w:val="7"/>
        </w:numPr>
        <w:spacing w:after="120"/>
        <w:rPr>
          <w:sz w:val="24"/>
          <w:szCs w:val="24"/>
        </w:rPr>
      </w:pPr>
      <w:r>
        <w:rPr>
          <w:sz w:val="24"/>
          <w:szCs w:val="24"/>
        </w:rPr>
        <w:t>U.S. Postal Service first-class, Express, and Priority mail must be addressed to 45 L Street NE, Washington, DC 20554</w:t>
      </w:r>
    </w:p>
    <w:p w:rsidR="00B6319F" w14:paraId="53941EF2" w14:textId="77777777">
      <w:pPr>
        <w:pStyle w:val="ListParagraph"/>
        <w:numPr>
          <w:ilvl w:val="0"/>
          <w:numId w:val="7"/>
        </w:numPr>
        <w:spacing w:after="120"/>
        <w:contextualSpacing w:val="0"/>
        <w:rPr>
          <w:sz w:val="24"/>
          <w:szCs w:val="24"/>
        </w:rPr>
      </w:pPr>
      <w:r>
        <w:rPr>
          <w:sz w:val="24"/>
          <w:szCs w:val="24"/>
        </w:rP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szCs w:val="22"/>
        </w:rPr>
        <w:footnoteReference w:id="14"/>
      </w:r>
      <w:r>
        <w:rPr>
          <w:sz w:val="24"/>
          <w:szCs w:val="24"/>
        </w:rPr>
        <w:t xml:space="preserve"> </w:t>
      </w:r>
    </w:p>
    <w:p w:rsidR="00B6319F" w14:paraId="7474132F" w14:textId="77777777">
      <w:pPr>
        <w:pStyle w:val="ParaNum"/>
        <w:numPr>
          <w:ilvl w:val="0"/>
          <w:numId w:val="7"/>
        </w:numPr>
        <w:spacing w:after="220"/>
        <w:rPr>
          <w:sz w:val="24"/>
          <w:szCs w:val="24"/>
        </w:rPr>
      </w:pPr>
      <w:r>
        <w:rPr>
          <w:sz w:val="24"/>
          <w:szCs w:val="24"/>
        </w:rPr>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  </w:t>
      </w:r>
    </w:p>
    <w:p w:rsidR="00B6319F" w14:paraId="2410FA25" w14:textId="77777777">
      <w:pPr>
        <w:widowControl/>
        <w:spacing w:after="220"/>
        <w:ind w:firstLine="720"/>
        <w:rPr>
          <w:sz w:val="24"/>
          <w:szCs w:val="24"/>
        </w:rPr>
      </w:pPr>
      <w:r>
        <w:rPr>
          <w:sz w:val="24"/>
          <w:szCs w:val="24"/>
          <w:u w:val="single"/>
        </w:rPr>
        <w:t>People with Disabilities</w:t>
      </w:r>
      <w:r>
        <w:rPr>
          <w:sz w:val="24"/>
          <w:szCs w:val="24"/>
        </w:rPr>
        <w:t xml:space="preserve">:  To request materials in accessible formats for people with disabilities (braille, large print, electronic files, audio format), send an e-mail to fcc504@fcc.gov </w:t>
      </w:r>
      <w:r>
        <w:rPr>
          <w:sz w:val="24"/>
          <w:szCs w:val="24"/>
        </w:rPr>
        <w:t>or call the Consumer &amp; Governmental Affairs Bureau at 202-418-0530 (voice), 202-418-0432 (TTY).</w:t>
      </w:r>
    </w:p>
    <w:p w:rsidR="00B6319F" w14:paraId="3A5931E3" w14:textId="77777777">
      <w:pPr>
        <w:keepNext/>
        <w:widowControl/>
        <w:spacing w:after="220"/>
        <w:ind w:firstLine="720"/>
        <w:rPr>
          <w:sz w:val="24"/>
          <w:szCs w:val="24"/>
        </w:rPr>
      </w:pPr>
      <w:r>
        <w:rPr>
          <w:i/>
          <w:sz w:val="24"/>
          <w:szCs w:val="24"/>
          <w:u w:val="single"/>
        </w:rPr>
        <w:t xml:space="preserve">Ex </w:t>
      </w:r>
      <w:r>
        <w:rPr>
          <w:i/>
          <w:sz w:val="24"/>
          <w:szCs w:val="24"/>
          <w:u w:val="single"/>
        </w:rPr>
        <w:t>Parte</w:t>
      </w:r>
      <w:r>
        <w:rPr>
          <w:sz w:val="24"/>
          <w:szCs w:val="24"/>
          <w:u w:val="single"/>
        </w:rPr>
        <w:t xml:space="preserve"> Rules</w:t>
      </w:r>
      <w:r>
        <w:rPr>
          <w:sz w:val="24"/>
          <w:szCs w:val="24"/>
        </w:rPr>
        <w:t xml:space="preserve">.  This proceeding shall be treated as a “permit-but-disclose” proceeding in accordance with the Commission’s </w:t>
      </w:r>
      <w:r>
        <w:rPr>
          <w:i/>
          <w:iCs/>
          <w:sz w:val="24"/>
          <w:szCs w:val="24"/>
        </w:rPr>
        <w:t xml:space="preserve">ex </w:t>
      </w:r>
      <w:r>
        <w:rPr>
          <w:i/>
          <w:iCs/>
          <w:sz w:val="24"/>
          <w:szCs w:val="24"/>
        </w:rPr>
        <w:t>parte</w:t>
      </w:r>
      <w:r>
        <w:rPr>
          <w:i/>
          <w:iCs/>
          <w:sz w:val="24"/>
          <w:szCs w:val="24"/>
        </w:rPr>
        <w:t xml:space="preserve"> </w:t>
      </w:r>
      <w:r>
        <w:rPr>
          <w:sz w:val="24"/>
          <w:szCs w:val="24"/>
        </w:rPr>
        <w:t>rules.</w:t>
      </w:r>
      <w:r>
        <w:rPr>
          <w:szCs w:val="22"/>
          <w:vertAlign w:val="superscript"/>
        </w:rPr>
        <w:footnoteReference w:id="15"/>
      </w:r>
      <w:r>
        <w:rPr>
          <w:sz w:val="24"/>
          <w:szCs w:val="24"/>
        </w:rPr>
        <w:t xml:space="preserve">  Persons making </w:t>
      </w:r>
      <w:r>
        <w:rPr>
          <w:i/>
          <w:sz w:val="24"/>
          <w:szCs w:val="24"/>
        </w:rPr>
        <w:t xml:space="preserve">ex </w:t>
      </w:r>
      <w:r>
        <w:rPr>
          <w:i/>
          <w:sz w:val="24"/>
          <w:szCs w:val="24"/>
        </w:rPr>
        <w:t>parte</w:t>
      </w:r>
      <w:r>
        <w:rPr>
          <w:i/>
          <w:sz w:val="24"/>
          <w:szCs w:val="24"/>
        </w:rPr>
        <w:t xml:space="preserve"> </w:t>
      </w:r>
      <w:r>
        <w:rPr>
          <w:sz w:val="24"/>
          <w:szCs w:val="24"/>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 w:val="24"/>
          <w:szCs w:val="24"/>
        </w:rPr>
        <w:t xml:space="preserve">ex </w:t>
      </w:r>
      <w:r>
        <w:rPr>
          <w:i/>
          <w:iCs/>
          <w:sz w:val="24"/>
          <w:szCs w:val="24"/>
        </w:rPr>
        <w:t>parte</w:t>
      </w:r>
      <w:r>
        <w:rPr>
          <w:i/>
          <w:iCs/>
          <w:sz w:val="24"/>
          <w:szCs w:val="24"/>
        </w:rPr>
        <w:t xml:space="preserve"> </w:t>
      </w:r>
      <w:r>
        <w:rPr>
          <w:sz w:val="24"/>
          <w:szCs w:val="24"/>
        </w:rPr>
        <w:t xml:space="preserve">presentations are reminded that memoranda summarizing the presentation must (1) list all persons attending or otherwise participating in the meeting at which the </w:t>
      </w:r>
      <w:r>
        <w:rPr>
          <w:i/>
          <w:iCs/>
          <w:sz w:val="24"/>
          <w:szCs w:val="24"/>
        </w:rPr>
        <w:t xml:space="preserve">ex </w:t>
      </w:r>
      <w:r>
        <w:rPr>
          <w:i/>
          <w:iCs/>
          <w:sz w:val="24"/>
          <w:szCs w:val="24"/>
        </w:rPr>
        <w:t>parte</w:t>
      </w:r>
      <w:r>
        <w:rPr>
          <w:i/>
          <w:iCs/>
          <w:sz w:val="24"/>
          <w:szCs w:val="24"/>
        </w:rPr>
        <w:t xml:space="preserve"> </w:t>
      </w:r>
      <w:r>
        <w:rPr>
          <w:sz w:val="24"/>
          <w:szCs w:val="24"/>
        </w:rPr>
        <w:t>presentation was made, and (2) summarize all data presented and arguments made during the presentation.</w:t>
      </w:r>
      <w:r>
        <w:rPr>
          <w:rStyle w:val="FootnoteReference"/>
          <w:szCs w:val="22"/>
        </w:rPr>
        <w:footnoteReference w:id="16"/>
      </w:r>
      <w:r>
        <w:rPr>
          <w:sz w:val="24"/>
          <w:szCs w:val="24"/>
        </w:rPr>
        <w:t xml:space="preserve">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 w:val="24"/>
          <w:szCs w:val="24"/>
        </w:rPr>
        <w:t xml:space="preserve">ex </w:t>
      </w:r>
      <w:r>
        <w:rPr>
          <w:i/>
          <w:iCs/>
          <w:sz w:val="24"/>
          <w:szCs w:val="24"/>
        </w:rPr>
        <w:t>parte</w:t>
      </w:r>
      <w:r>
        <w:rPr>
          <w:i/>
          <w:iCs/>
          <w:sz w:val="24"/>
          <w:szCs w:val="24"/>
        </w:rPr>
        <w:t xml:space="preserve"> </w:t>
      </w:r>
      <w:r>
        <w:rPr>
          <w:sz w:val="24"/>
          <w:szCs w:val="24"/>
        </w:rPr>
        <w:t xml:space="preserve">meetings are deemed to be written </w:t>
      </w:r>
      <w:r>
        <w:rPr>
          <w:i/>
          <w:iCs/>
          <w:sz w:val="24"/>
          <w:szCs w:val="24"/>
        </w:rPr>
        <w:t xml:space="preserve">ex </w:t>
      </w:r>
      <w:r>
        <w:rPr>
          <w:i/>
          <w:iCs/>
          <w:sz w:val="24"/>
          <w:szCs w:val="24"/>
        </w:rPr>
        <w:t>parte</w:t>
      </w:r>
      <w:r>
        <w:rPr>
          <w:sz w:val="24"/>
          <w:szCs w:val="24"/>
        </w:rPr>
        <w:t xml:space="preserve"> presentations and must be filed consistent with section 1.1206(b) of the rules.  In proceedings governed by section 1.49(f) or for which the Commission has made available a method of electronic filing, written </w:t>
      </w:r>
      <w:r>
        <w:rPr>
          <w:i/>
          <w:iCs/>
          <w:sz w:val="24"/>
          <w:szCs w:val="24"/>
        </w:rPr>
        <w:t xml:space="preserve">ex </w:t>
      </w:r>
      <w:r>
        <w:rPr>
          <w:i/>
          <w:iCs/>
          <w:sz w:val="24"/>
          <w:szCs w:val="24"/>
        </w:rPr>
        <w:t>parte</w:t>
      </w:r>
      <w:r>
        <w:rPr>
          <w:i/>
          <w:iCs/>
          <w:sz w:val="24"/>
          <w:szCs w:val="24"/>
        </w:rPr>
        <w:t xml:space="preserve"> </w:t>
      </w:r>
      <w:r>
        <w:rPr>
          <w:sz w:val="24"/>
          <w:szCs w:val="24"/>
        </w:rPr>
        <w:t xml:space="preserve">presentations and memoranda summarizing oral </w:t>
      </w:r>
      <w:r>
        <w:rPr>
          <w:i/>
          <w:iCs/>
          <w:sz w:val="24"/>
          <w:szCs w:val="24"/>
        </w:rPr>
        <w:t xml:space="preserve">ex </w:t>
      </w:r>
      <w:r>
        <w:rPr>
          <w:i/>
          <w:iCs/>
          <w:sz w:val="24"/>
          <w:szCs w:val="24"/>
        </w:rPr>
        <w:t>parte</w:t>
      </w:r>
      <w:r>
        <w:rPr>
          <w:i/>
          <w:iCs/>
          <w:sz w:val="24"/>
          <w:szCs w:val="24"/>
        </w:rPr>
        <w:t xml:space="preserve"> </w:t>
      </w:r>
      <w:r>
        <w:rPr>
          <w:sz w:val="24"/>
          <w:szCs w:val="24"/>
        </w:rPr>
        <w:t>presentations, and all attachments thereto, must be filed through the electronic comment filing system available for that proceeding, and must be filed in their native format (</w:t>
      </w:r>
      <w:r>
        <w:rPr>
          <w:i/>
          <w:iCs/>
          <w:sz w:val="24"/>
          <w:szCs w:val="24"/>
        </w:rPr>
        <w:t>e.g.</w:t>
      </w:r>
      <w:r>
        <w:rPr>
          <w:sz w:val="24"/>
          <w:szCs w:val="24"/>
        </w:rPr>
        <w:t xml:space="preserve">, .doc, .xml, .ppt, searchable .pdf).  Participants in this proceeding should familiarize themselves with the Commission’s </w:t>
      </w:r>
      <w:r>
        <w:rPr>
          <w:i/>
          <w:iCs/>
          <w:sz w:val="24"/>
          <w:szCs w:val="24"/>
        </w:rPr>
        <w:t xml:space="preserve">ex </w:t>
      </w:r>
      <w:r>
        <w:rPr>
          <w:i/>
          <w:iCs/>
          <w:sz w:val="24"/>
          <w:szCs w:val="24"/>
        </w:rPr>
        <w:t>parte</w:t>
      </w:r>
      <w:r>
        <w:rPr>
          <w:i/>
          <w:iCs/>
          <w:sz w:val="24"/>
          <w:szCs w:val="24"/>
        </w:rPr>
        <w:t xml:space="preserve"> </w:t>
      </w:r>
      <w:r>
        <w:rPr>
          <w:sz w:val="24"/>
          <w:szCs w:val="24"/>
        </w:rPr>
        <w:t>rules.</w:t>
      </w:r>
    </w:p>
    <w:p w:rsidR="00B6319F" w14:paraId="0ADBA025" w14:textId="77777777">
      <w:pPr>
        <w:ind w:firstLine="720"/>
        <w:rPr>
          <w:sz w:val="24"/>
          <w:szCs w:val="24"/>
        </w:rPr>
      </w:pPr>
      <w:r>
        <w:rPr>
          <w:sz w:val="24"/>
          <w:szCs w:val="24"/>
        </w:rPr>
        <w:t xml:space="preserve">For additional information, contact Evan Baranoff, </w:t>
      </w:r>
      <w:hyperlink r:id="rId6" w:history="1">
        <w:r>
          <w:rPr>
            <w:rStyle w:val="Hyperlink"/>
            <w:sz w:val="24"/>
            <w:szCs w:val="24"/>
          </w:rPr>
          <w:t>Evan.Baranoff@fcc.gov</w:t>
        </w:r>
      </w:hyperlink>
      <w:r>
        <w:rPr>
          <w:sz w:val="24"/>
          <w:szCs w:val="24"/>
        </w:rPr>
        <w:t>, of the Media Bureau, Policy Division, (202) 418-7142.  Direct press inquiries to Janice Wise at (202) 418-8165.</w:t>
      </w:r>
    </w:p>
    <w:p w:rsidR="00B6319F" w14:paraId="269B5447" w14:textId="77777777">
      <w:pPr>
        <w:rPr>
          <w:sz w:val="24"/>
          <w:szCs w:val="24"/>
        </w:rPr>
      </w:pPr>
    </w:p>
    <w:p w:rsidR="00B6319F" w14:paraId="2FFD0169" w14:textId="77777777">
      <w:pPr>
        <w:jc w:val="center"/>
        <w:rPr>
          <w:b/>
          <w:sz w:val="24"/>
          <w:szCs w:val="24"/>
        </w:rPr>
      </w:pPr>
      <w:r>
        <w:rPr>
          <w:b/>
          <w:sz w:val="24"/>
          <w:szCs w:val="24"/>
        </w:rPr>
        <w:t xml:space="preserve">-FCC- </w:t>
      </w:r>
    </w:p>
    <w:p w:rsidR="00B6319F" w14:paraId="182BD5EA" w14:textId="77777777">
      <w:pPr>
        <w:rPr>
          <w:sz w:val="24"/>
          <w:szCs w:val="24"/>
        </w:rPr>
      </w:pPr>
    </w:p>
    <w:p w:rsidR="00B6319F" w14:paraId="64BA3165" w14:textId="77777777">
      <w:pPr>
        <w:rPr>
          <w:sz w:val="24"/>
          <w:szCs w:val="24"/>
        </w:rPr>
      </w:pPr>
    </w:p>
    <w:sectPr>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0C7269C8" w14:textId="77777777">
    <w:pPr>
      <w:pStyle w:val="Footer"/>
      <w:framePr w:wrap="around" w:vAnchor="text" w:hAnchor="margin" w:xAlign="center" w:y="1"/>
    </w:pPr>
    <w:r>
      <w:fldChar w:fldCharType="begin"/>
    </w:r>
    <w:r>
      <w:instrText xml:space="preserve">PAGE  </w:instrText>
    </w:r>
    <w:r>
      <w:fldChar w:fldCharType="separate"/>
    </w:r>
    <w:r>
      <w:fldChar w:fldCharType="end"/>
    </w:r>
  </w:p>
  <w:p w:rsidR="00B6319F" w14:paraId="1C50C3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52D0D02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37304CF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C4986" w14:paraId="60F8C9E0" w14:textId="77777777">
      <w:r>
        <w:separator/>
      </w:r>
    </w:p>
  </w:footnote>
  <w:footnote w:type="continuationSeparator" w:id="1">
    <w:p w:rsidR="003C4986" w14:paraId="298B31BE" w14:textId="77777777">
      <w:pPr>
        <w:rPr>
          <w:sz w:val="20"/>
        </w:rPr>
      </w:pPr>
      <w:r>
        <w:rPr>
          <w:sz w:val="20"/>
        </w:rPr>
        <w:t xml:space="preserve">(Continued from previous page)  </w:t>
      </w:r>
      <w:r>
        <w:rPr>
          <w:sz w:val="20"/>
        </w:rPr>
        <w:separator/>
      </w:r>
    </w:p>
  </w:footnote>
  <w:footnote w:type="continuationNotice" w:id="2">
    <w:p w:rsidR="003C4986" w14:paraId="0AFB9CA9" w14:textId="77777777">
      <w:pPr>
        <w:jc w:val="right"/>
        <w:rPr>
          <w:sz w:val="20"/>
        </w:rPr>
      </w:pPr>
      <w:r>
        <w:rPr>
          <w:sz w:val="20"/>
        </w:rPr>
        <w:t>(continued….)</w:t>
      </w:r>
    </w:p>
  </w:footnote>
  <w:footnote w:id="3">
    <w:p w:rsidR="00B6319F" w14:paraId="53B27014" w14:textId="77777777">
      <w:pPr>
        <w:pStyle w:val="FootnoteText"/>
      </w:pPr>
      <w:r>
        <w:rPr>
          <w:rStyle w:val="FootnoteReference"/>
        </w:rPr>
        <w:footnoteRef/>
      </w:r>
      <w:r>
        <w:t xml:space="preserve"> Petition for Declaratory Ruling and Petition for Rulemaking of the National Association of Broadcasters, GN Docket No. 16-142 (filed Nov. 9, 2020) (Petition).  </w:t>
      </w:r>
    </w:p>
  </w:footnote>
  <w:footnote w:id="4">
    <w:p w:rsidR="00B6319F" w14:paraId="7F82A3ED" w14:textId="41A23FF3">
      <w:pPr>
        <w:pStyle w:val="FootnoteText"/>
      </w:pPr>
      <w:r>
        <w:rPr>
          <w:rStyle w:val="FootnoteReference"/>
        </w:rPr>
        <w:footnoteRef/>
      </w:r>
      <w:r>
        <w:t xml:space="preserve"> “Next Gen TV” or “ATSC 3.0” refers to the new broadcast television transmission standard developed by the Advanced Television Systems Committee as the world’s first Internet Protocol (IP)-based broadcast transmission platform.  In the </w:t>
      </w:r>
      <w:r>
        <w:rPr>
          <w:i/>
        </w:rPr>
        <w:t>Next Gen TV Report and Order</w:t>
      </w:r>
      <w:r>
        <w:rPr>
          <w:iCs/>
        </w:rPr>
        <w:t>,</w:t>
      </w:r>
      <w:r>
        <w:rPr>
          <w:i/>
        </w:rPr>
        <w:t xml:space="preserve"> </w:t>
      </w:r>
      <w:r>
        <w:t xml:space="preserve">the Commission authorized television broadcasters to use the Next Gen TV transmission standard on a voluntary, market-driven basis.  </w:t>
      </w:r>
      <w:r>
        <w:rPr>
          <w:i/>
        </w:rPr>
        <w:t>See</w:t>
      </w:r>
      <w:r>
        <w:t xml:space="preserve"> </w:t>
      </w:r>
      <w:r>
        <w:rPr>
          <w:i/>
        </w:rPr>
        <w:t>Authorizing Permissive Use of the “Next Generation” Broadcast Television Standard</w:t>
      </w:r>
      <w:r>
        <w:t>, Report and Order and Further Notice of Proposed Rulemaking, 32 FCC Rcd 9930, 9931, para. 1 (2017) (</w:t>
      </w:r>
      <w:r>
        <w:rPr>
          <w:i/>
        </w:rPr>
        <w:t>Next Gen TV Report and Order and Further Notice</w:t>
      </w:r>
      <w:r>
        <w:rPr>
          <w:iCs/>
        </w:rPr>
        <w:t>)</w:t>
      </w:r>
      <w:r>
        <w:t xml:space="preserve">.  </w:t>
      </w:r>
    </w:p>
  </w:footnote>
  <w:footnote w:id="5">
    <w:p w:rsidR="00B6319F" w14:paraId="51D7B42E" w14:textId="246C0AB0">
      <w:pPr>
        <w:pStyle w:val="FootnoteText"/>
      </w:pPr>
      <w:r>
        <w:rPr>
          <w:rStyle w:val="FootnoteReference"/>
        </w:rPr>
        <w:footnoteRef/>
      </w:r>
      <w:r>
        <w:t xml:space="preserve"> </w:t>
      </w:r>
      <w:r>
        <w:rPr>
          <w:i/>
          <w:iCs/>
        </w:rPr>
        <w:t>See</w:t>
      </w:r>
      <w:r>
        <w:t xml:space="preserve"> </w:t>
      </w:r>
      <w:r>
        <w:rPr>
          <w:szCs w:val="22"/>
        </w:rPr>
        <w:t xml:space="preserve">47 CFR §§ 73.3801, 73.6029, 74.782.  </w:t>
      </w:r>
      <w:r>
        <w:t xml:space="preserve">The Commission required that broadcasters deploying ATSC 3.0 generally must continue to deliver current-generation digital television (DTV) service, using the ATSC 1.0 transmission standard to their viewers through local simulcasting.  </w:t>
      </w:r>
      <w:r w:rsidR="00CA6A85">
        <w:rPr>
          <w:i/>
        </w:rPr>
        <w:t>Next Gen TV Report and Order,</w:t>
      </w:r>
      <w:r w:rsidRPr="00CA6A85" w:rsidR="00CA6A85">
        <w:t xml:space="preserve"> </w:t>
      </w:r>
      <w:r w:rsidR="00CA6A85">
        <w:t>32 FCC Rcd at 9931, para. 1.</w:t>
      </w:r>
      <w:r>
        <w:t xml:space="preserve">  </w:t>
      </w:r>
      <w:r>
        <w:rPr>
          <w:szCs w:val="22"/>
        </w:rPr>
        <w:t>The local simulcasting rules allow television broadcast stations to partner with one or more other stations in a simulcasting arrangement for purposes of airing either an ATSC 1.0 or ATSC 3.0 signal on the facilities of a host station (</w:t>
      </w:r>
      <w:r>
        <w:rPr>
          <w:i/>
          <w:iCs/>
          <w:szCs w:val="22"/>
        </w:rPr>
        <w:t>i.e.</w:t>
      </w:r>
      <w:r>
        <w:rPr>
          <w:szCs w:val="22"/>
        </w:rPr>
        <w:t xml:space="preserve">, a station whose facilities are being used to transmit programming originated by another station).  </w:t>
      </w:r>
      <w:r>
        <w:rPr>
          <w:i/>
          <w:iCs/>
        </w:rPr>
        <w:t>See</w:t>
      </w:r>
      <w:r>
        <w:t xml:space="preserve"> </w:t>
      </w:r>
      <w:r>
        <w:rPr>
          <w:szCs w:val="22"/>
        </w:rPr>
        <w:t xml:space="preserve">47 CFR §§ 73.3801(a), 73.6029(a), 74.782(a).  The local simulcasting rules require a television broadcast station that chooses to air an ATSC 3.0 signal to simulcast the primary video programming stream of that signal in an ATSC 1.0 format.  </w:t>
      </w:r>
      <w:r>
        <w:rPr>
          <w:i/>
          <w:iCs/>
        </w:rPr>
        <w:t>See</w:t>
      </w:r>
      <w:r>
        <w:t xml:space="preserve"> </w:t>
      </w:r>
      <w:r>
        <w:rPr>
          <w:szCs w:val="22"/>
        </w:rPr>
        <w:t>47 CFR §§ 73.3801(b), 73.6029(b), 74.782(b).  This requirement does not apply to any multicast streams aired on the ATSC 3.0 channel.</w:t>
      </w:r>
      <w:r>
        <w:t xml:space="preserve">  </w:t>
      </w:r>
      <w:r>
        <w:rPr>
          <w:i/>
          <w:iCs/>
        </w:rPr>
        <w:t>Id</w:t>
      </w:r>
      <w:r>
        <w:t xml:space="preserve">.  </w:t>
      </w:r>
      <w:r>
        <w:rPr>
          <w:i/>
          <w:iCs/>
        </w:rPr>
        <w:t>See</w:t>
      </w:r>
      <w:r>
        <w:t xml:space="preserve"> </w:t>
      </w:r>
      <w:r>
        <w:rPr>
          <w:i/>
        </w:rPr>
        <w:t>Next Gen TV Report and Order</w:t>
      </w:r>
      <w:r>
        <w:t>, 32 FCC Rcd at 9937-38, para. 13, n.40 (stating that Next Gen TV Broadcasters are not required to simulcast or continue airing their existing multicast streams).</w:t>
      </w:r>
    </w:p>
  </w:footnote>
  <w:footnote w:id="6">
    <w:p w:rsidR="00B6319F" w:rsidP="009072E0" w14:paraId="30D029B8" w14:textId="26D458A3">
      <w:pPr>
        <w:pStyle w:val="FootnoteText"/>
      </w:pPr>
      <w:r>
        <w:rPr>
          <w:rStyle w:val="FootnoteReference"/>
        </w:rPr>
        <w:footnoteRef/>
      </w:r>
      <w:r>
        <w:t xml:space="preserve"> Petition at 3. </w:t>
      </w:r>
      <w:r>
        <w:rPr>
          <w:szCs w:val="22"/>
        </w:rPr>
        <w:t xml:space="preserve"> </w:t>
      </w:r>
      <w:r>
        <w:t xml:space="preserve">Petitioner “request[s] the Commission to clarify that the term ‘simulcasting arrangements’ as used in the FCC’s orders and rules refers to arrangements necessary to give effect to the FCC’s rules requiring simulcasting of the primary video stream and to preserve a station’s ATSC 1.0 multicast streams where possible.  In particular, the FCC should clarify that Section 73.3801 of the Commission’s rules permits a station to partner with one or more other stations that would host the first station’s ATSC 1.0 multicast streams in simulcast to preserve existing service in the market.”  </w:t>
      </w:r>
      <w:r>
        <w:rPr>
          <w:i/>
          <w:iCs/>
        </w:rPr>
        <w:t>Id</w:t>
      </w:r>
      <w:r>
        <w:t xml:space="preserve">. at 4. </w:t>
      </w:r>
      <w:r w:rsidR="00A12347">
        <w:t xml:space="preserve"> </w:t>
      </w:r>
      <w:r w:rsidR="00A12347">
        <w:rPr>
          <w:i/>
          <w:iCs/>
        </w:rPr>
        <w:t xml:space="preserve">See also </w:t>
      </w:r>
      <w:r w:rsidR="00A12347">
        <w:rPr>
          <w:szCs w:val="22"/>
        </w:rPr>
        <w:t>47 CFR §§ 73.3801(f), 73.6029(f), 74.782(g) (stating that “ATSC 1.0 and ATSC 3.0 signals aired on the facilities of a host station will be licensed as temporary second channels of the originating station”).</w:t>
      </w:r>
    </w:p>
  </w:footnote>
  <w:footnote w:id="7">
    <w:p w:rsidR="00B6319F" w14:paraId="10404782" w14:textId="08641223">
      <w:pPr>
        <w:pStyle w:val="FootnoteText"/>
      </w:pPr>
      <w:r>
        <w:rPr>
          <w:rStyle w:val="FootnoteReference"/>
        </w:rPr>
        <w:footnoteRef/>
      </w:r>
      <w:r>
        <w:t xml:space="preserve"> </w:t>
      </w:r>
      <w:r>
        <w:rPr>
          <w:i/>
          <w:iCs/>
        </w:rPr>
        <w:t>Id</w:t>
      </w:r>
      <w:r>
        <w:t xml:space="preserve">. at 5.  </w:t>
      </w:r>
      <w:r w:rsidR="00D0450E">
        <w:t xml:space="preserve">Specifically, </w:t>
      </w:r>
      <w:r>
        <w:t xml:space="preserve">Petitioner urges the Commission to “commence a proceeding to clarify the regulatory treatment of an ATSC 3.0 station’s multicast streams hosted on an ATSC 1.0 station regardless of whether those streams are simulcast.  That treatment should mirror the licensed framework the Commission currently employs with respect to simulcast programming streams.”  </w:t>
      </w:r>
      <w:r>
        <w:rPr>
          <w:i/>
          <w:iCs/>
        </w:rPr>
        <w:t>Id</w:t>
      </w:r>
      <w:r>
        <w:t>.</w:t>
      </w:r>
    </w:p>
  </w:footnote>
  <w:footnote w:id="8">
    <w:p w:rsidR="001A549B" w:rsidP="001A549B" w14:paraId="14749D68" w14:textId="2C42DE3B">
      <w:pPr>
        <w:pStyle w:val="FootnoteText"/>
      </w:pPr>
      <w:r>
        <w:rPr>
          <w:rStyle w:val="FootnoteReference"/>
        </w:rPr>
        <w:footnoteRef/>
      </w:r>
      <w:r>
        <w:t xml:space="preserve"> </w:t>
      </w:r>
      <w:r>
        <w:rPr>
          <w:i/>
          <w:iCs/>
        </w:rPr>
        <w:t>Id</w:t>
      </w:r>
      <w:r>
        <w:t>. at 2.  NAB provides the following examples</w:t>
      </w:r>
      <w:r w:rsidR="00D0450E">
        <w:t xml:space="preserve"> of potential carriage arrangements among stations that are parties to an ATSC 3.0 deployment plan:</w:t>
      </w:r>
    </w:p>
    <w:p w:rsidR="001A549B" w:rsidP="008E5B49" w14:paraId="58C75B06" w14:textId="77777777">
      <w:pPr>
        <w:pStyle w:val="FootnoteText"/>
        <w:numPr>
          <w:ilvl w:val="0"/>
          <w:numId w:val="9"/>
        </w:numPr>
      </w:pPr>
      <w:r>
        <w:t xml:space="preserve">A station transmitting in ATSC 3.0 that has its primary, simulcast stream hosted on ATSC 1.0 Station A, </w:t>
      </w:r>
      <w:r>
        <w:t>and also</w:t>
      </w:r>
      <w:r>
        <w:t xml:space="preserve"> has multicast streams, that are not transmitted in ATSC 3.0, hosted on Station A. </w:t>
      </w:r>
    </w:p>
    <w:p w:rsidR="001A549B" w:rsidP="008E5B49" w14:paraId="72FBD084" w14:textId="77777777">
      <w:pPr>
        <w:pStyle w:val="FootnoteText"/>
        <w:numPr>
          <w:ilvl w:val="0"/>
          <w:numId w:val="9"/>
        </w:numPr>
      </w:pPr>
      <w:r>
        <w:t>A station transmitting in ATSC 3.0 that has its primary, simulcast stream hosted on ATSC 1.0 Station A; a multicast stream transmitted only in ATSC 1.0 hosted on ATSC 1.0 Station B; and a multicast stream transmitted only in ATSC 1.0 hosted on ATSC 1.0 Station C.</w:t>
      </w:r>
    </w:p>
    <w:p w:rsidR="001A549B" w:rsidP="008E5B49" w14:paraId="417B41E7" w14:textId="77777777">
      <w:pPr>
        <w:pStyle w:val="FootnoteText"/>
        <w:numPr>
          <w:ilvl w:val="0"/>
          <w:numId w:val="9"/>
        </w:numPr>
      </w:pPr>
      <w:r>
        <w:t>A station transmitting in ATSC 1.0 that will simulcast some of its programming on ATSC 3.0 Station A, and some of its programming on ATSC 3.0 Station B, potentially including 3.0 multicast streams that are not simulcast in ATSC 1.0.</w:t>
      </w:r>
    </w:p>
    <w:p w:rsidR="001A549B" w:rsidP="008E5B49" w14:paraId="4165C4E8" w14:textId="1C5436D5">
      <w:pPr>
        <w:pStyle w:val="FootnoteText"/>
        <w:numPr>
          <w:ilvl w:val="0"/>
          <w:numId w:val="9"/>
        </w:numPr>
      </w:pPr>
      <w:r>
        <w:t>A station transmitting in ATSC 3.0 that has its primary, simulcast stream as well as a multicast stream hosted on ATSC 1.0 Station A where, to have capacity to carry those streams Station A must arrange for one of its multicast streams to be hosted on ATSC 1.0 Station B.</w:t>
      </w:r>
    </w:p>
  </w:footnote>
  <w:footnote w:id="9">
    <w:p w:rsidR="00B6319F" w14:paraId="441E2207" w14:textId="77777777">
      <w:pPr>
        <w:pStyle w:val="FootnoteText"/>
      </w:pPr>
      <w:r>
        <w:rPr>
          <w:rStyle w:val="FootnoteReference"/>
        </w:rPr>
        <w:footnoteRef/>
      </w:r>
      <w:r>
        <w:t xml:space="preserve"> </w:t>
      </w:r>
      <w:r>
        <w:rPr>
          <w:i/>
          <w:iCs/>
        </w:rPr>
        <w:t>Id.</w:t>
      </w:r>
      <w:r>
        <w:t xml:space="preserve"> at 3.</w:t>
      </w:r>
    </w:p>
  </w:footnote>
  <w:footnote w:id="10">
    <w:p w:rsidR="00B6319F" w14:paraId="530C4121" w14:textId="6A9FF82B">
      <w:pPr>
        <w:pStyle w:val="FootnoteText"/>
      </w:pPr>
      <w:r>
        <w:rPr>
          <w:rStyle w:val="FootnoteReference"/>
        </w:rPr>
        <w:footnoteRef/>
      </w:r>
      <w:r>
        <w:t xml:space="preserve"> </w:t>
      </w:r>
      <w:r>
        <w:rPr>
          <w:i/>
          <w:iCs/>
        </w:rPr>
        <w:t>See</w:t>
      </w:r>
      <w:r>
        <w:t xml:space="preserve"> </w:t>
      </w:r>
      <w:r>
        <w:rPr>
          <w:i/>
          <w:iCs/>
        </w:rPr>
        <w:t>id.</w:t>
      </w:r>
      <w:r>
        <w:t xml:space="preserve"> at 3 and 5-6; 47 U.S.C. § 399B </w:t>
      </w:r>
      <w:r>
        <w:rPr>
          <w:szCs w:val="22"/>
        </w:rPr>
        <w:t>(prohibiting noncommercial stations from making their “facilities available to any person for the broadcasting of any advertisement”)</w:t>
      </w:r>
      <w:r>
        <w:t>.</w:t>
      </w:r>
    </w:p>
  </w:footnote>
  <w:footnote w:id="11">
    <w:p w:rsidR="00B6319F" w14:paraId="57D996BA" w14:textId="16007213">
      <w:pPr>
        <w:pStyle w:val="FootnoteText"/>
      </w:pPr>
      <w:r>
        <w:rPr>
          <w:rStyle w:val="FootnoteReference"/>
        </w:rPr>
        <w:footnoteRef/>
      </w:r>
      <w:r>
        <w:t xml:space="preserve"> Petition at 6-7.  Petitioner states that its requested clarification (or rule change) would not create new carriage rights for multicast streams, which are not entitled to </w:t>
      </w:r>
      <w:r w:rsidR="00D0450E">
        <w:t xml:space="preserve">carriage pursuant to the </w:t>
      </w:r>
      <w:r>
        <w:t xml:space="preserve">must carry </w:t>
      </w:r>
      <w:r w:rsidR="00D0450E">
        <w:t>regime</w:t>
      </w:r>
      <w:r>
        <w:t xml:space="preserve">.  </w:t>
      </w:r>
      <w:r>
        <w:rPr>
          <w:i/>
          <w:iCs/>
        </w:rPr>
        <w:t>Id</w:t>
      </w:r>
      <w:r>
        <w:t xml:space="preserve">. at 6.  </w:t>
      </w:r>
      <w:r>
        <w:rPr>
          <w:i/>
          <w:iCs/>
        </w:rPr>
        <w:t xml:space="preserve">See </w:t>
      </w:r>
      <w:r>
        <w:rPr>
          <w:i/>
        </w:rPr>
        <w:t>Carriage of Digital Television Broadcast Signals: Amendment to Part 76 of the Commission’s Rules</w:t>
      </w:r>
      <w:r>
        <w:t xml:space="preserve">, First Report and Order and FNPRM, 16 FCC Rcd 2598, 2598, para. 54 (2001); </w:t>
      </w:r>
      <w:r>
        <w:rPr>
          <w:i/>
        </w:rPr>
        <w:t>affirmed by</w:t>
      </w:r>
      <w:r>
        <w:t xml:space="preserve"> </w:t>
      </w:r>
      <w:r>
        <w:rPr>
          <w:i/>
        </w:rPr>
        <w:t xml:space="preserve">Carriage of Digital Television Broadcast Signals: Amendment to Part 76 of the Commission’s </w:t>
      </w:r>
      <w:r w:rsidRPr="008E5B49">
        <w:rPr>
          <w:i/>
          <w:iCs/>
        </w:rPr>
        <w:t>Rules</w:t>
      </w:r>
      <w:r>
        <w:t>, Second Report and Order and First Order on Reconsideration, 20 FCC Rcd 4516, 4518, para. 3 (2005).</w:t>
      </w:r>
    </w:p>
  </w:footnote>
  <w:footnote w:id="12">
    <w:p w:rsidR="00B6319F" w14:paraId="51782F8B" w14:textId="77777777">
      <w:pPr>
        <w:pStyle w:val="FootnoteText"/>
      </w:pPr>
      <w:r>
        <w:rPr>
          <w:rStyle w:val="FootnoteReference"/>
        </w:rPr>
        <w:footnoteRef/>
      </w:r>
      <w:r>
        <w:t xml:space="preserve"> </w:t>
      </w:r>
      <w:r>
        <w:rPr>
          <w:szCs w:val="22"/>
        </w:rPr>
        <w:t>47 CFR §§ 1.415, 1.419.</w:t>
      </w:r>
    </w:p>
  </w:footnote>
  <w:footnote w:id="13">
    <w:p w:rsidR="00B6319F" w14:paraId="0AC4B666" w14:textId="77777777">
      <w:pPr>
        <w:pStyle w:val="FootnoteText"/>
      </w:pPr>
      <w:r>
        <w:rPr>
          <w:rStyle w:val="FootnoteReference"/>
        </w:rPr>
        <w:footnoteRef/>
      </w:r>
      <w:r>
        <w:t xml:space="preserve"> </w:t>
      </w:r>
      <w:r>
        <w:rPr>
          <w:i/>
          <w:szCs w:val="22"/>
        </w:rPr>
        <w:t>See</w:t>
      </w:r>
      <w:r>
        <w:rPr>
          <w:szCs w:val="22"/>
        </w:rPr>
        <w:t xml:space="preserve"> </w:t>
      </w:r>
      <w:r>
        <w:rPr>
          <w:i/>
          <w:szCs w:val="22"/>
        </w:rPr>
        <w:t>Electronic Filing of Documents in Rulemaking Proceedings</w:t>
      </w:r>
      <w:r>
        <w:rPr>
          <w:szCs w:val="22"/>
        </w:rPr>
        <w:t>, Report and Order, 13 FCC Rcd 11322 (1998).</w:t>
      </w:r>
    </w:p>
  </w:footnote>
  <w:footnote w:id="14">
    <w:p w:rsidR="00B6319F" w14:paraId="379624CC" w14:textId="77777777">
      <w:pPr>
        <w:pStyle w:val="ParaNum"/>
        <w:numPr>
          <w:ilvl w:val="0"/>
          <w:numId w:val="0"/>
        </w:numPr>
        <w:rPr>
          <w:sz w:val="20"/>
        </w:rPr>
      </w:pPr>
      <w:r>
        <w:rPr>
          <w:rStyle w:val="FootnoteReference"/>
        </w:rPr>
        <w:footnoteRef/>
      </w:r>
      <w:r>
        <w:t xml:space="preserve"> </w:t>
      </w:r>
      <w:r>
        <w:rPr>
          <w:i/>
          <w:iCs/>
          <w:sz w:val="20"/>
        </w:rPr>
        <w:t>See</w:t>
      </w:r>
      <w:r>
        <w:rPr>
          <w:sz w:val="20"/>
        </w:rPr>
        <w:t xml:space="preserve"> </w:t>
      </w:r>
      <w:r>
        <w:rPr>
          <w:i/>
          <w:iCs/>
          <w:sz w:val="20"/>
        </w:rPr>
        <w:t>FCC Announces Closure of FCC Headquarters Open Window and Change in Hand-Delivery Policy</w:t>
      </w:r>
      <w:r>
        <w:rPr>
          <w:sz w:val="20"/>
        </w:rPr>
        <w:t>, Public Notice, 35 FCC Rcd 2788 (2020).</w:t>
      </w:r>
    </w:p>
    <w:p w:rsidR="00B6319F" w14:paraId="160E735D" w14:textId="77777777">
      <w:pPr>
        <w:pStyle w:val="FootnoteText"/>
      </w:pPr>
    </w:p>
  </w:footnote>
  <w:footnote w:id="15">
    <w:p w:rsidR="00B6319F" w14:paraId="436C74AD" w14:textId="77777777">
      <w:pPr>
        <w:pStyle w:val="FootnoteText"/>
        <w:rPr>
          <w:iCs/>
        </w:rPr>
      </w:pPr>
      <w:r>
        <w:rPr>
          <w:rStyle w:val="FootnoteReference"/>
        </w:rPr>
        <w:footnoteRef/>
      </w:r>
      <w:r>
        <w:t xml:space="preserve"> 47 CFR §§ 1.1200 </w:t>
      </w:r>
      <w:r>
        <w:rPr>
          <w:i/>
          <w:iCs/>
        </w:rPr>
        <w:t xml:space="preserve">et seq. </w:t>
      </w:r>
    </w:p>
  </w:footnote>
  <w:footnote w:id="16">
    <w:p w:rsidR="00B6319F" w14:paraId="32C4EC09" w14:textId="77777777">
      <w:pPr>
        <w:pStyle w:val="FootnoteText"/>
      </w:pPr>
      <w:r>
        <w:rPr>
          <w:rStyle w:val="FootnoteReference"/>
        </w:rPr>
        <w:footnoteRef/>
      </w:r>
      <w:r>
        <w:t xml:space="preserve"> </w:t>
      </w:r>
      <w:r>
        <w:rPr>
          <w:i/>
        </w:rPr>
        <w:t>See id</w:t>
      </w:r>
      <w:r>
        <w:t xml:space="preserve">. § 1.1206(b).  Memoranda must contain a summary of the substance of the </w:t>
      </w:r>
      <w:r>
        <w:rPr>
          <w:i/>
        </w:rPr>
        <w:t xml:space="preserve">ex </w:t>
      </w:r>
      <w:r>
        <w:rPr>
          <w:i/>
        </w:rPr>
        <w:t>parte</w:t>
      </w:r>
      <w:r>
        <w:t xml:space="preserve"> presentation and not merely a listing of the subjects discussed.  More than a one or two sentence description of the views and arguments presented is generally required.  </w:t>
      </w:r>
      <w:r>
        <w:rPr>
          <w:i/>
        </w:rPr>
        <w:t>See id</w:t>
      </w:r>
      <w:r>
        <w:t>. § 1.1206(b)(1).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22DDC93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28938CC8" w14:textId="661E5C91">
    <w:pPr>
      <w:tabs>
        <w:tab w:val="center" w:pos="4680"/>
        <w:tab w:val="right" w:pos="9360"/>
      </w:tabs>
    </w:pPr>
    <w:r>
      <w:rPr>
        <w:b/>
      </w:rPr>
      <w:tab/>
      <w:t>Federal Communications Commission</w:t>
    </w:r>
    <w:r>
      <w:rPr>
        <w:b/>
      </w:rPr>
      <w:tab/>
    </w:r>
    <w:r w:rsidR="008762BB">
      <w:rPr>
        <w:b/>
      </w:rPr>
      <w:t xml:space="preserve">DA </w:t>
    </w:r>
    <w:r w:rsidR="008762BB">
      <w:rPr>
        <w:b/>
      </w:rPr>
      <w:t>20-1394</w:t>
    </w:r>
    <w:bookmarkStart w:id="1" w:name="_GoBack"/>
    <w:bookmarkEnd w:id="1"/>
  </w:p>
  <w:p w:rsidR="00B6319F" w14:paraId="3F8C95F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B6319F" w14:paraId="0F631A1A"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19F" w14:paraId="053D2269" w14:textId="77777777">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00663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6319F" w14:textId="77777777">
                          <w:pPr>
                            <w:rPr>
                              <w:rFonts w:ascii="Arial" w:hAnsi="Arial"/>
                              <w:b/>
                            </w:rPr>
                          </w:pPr>
                          <w:r>
                            <w:rPr>
                              <w:rFonts w:ascii="Arial" w:hAnsi="Arial"/>
                              <w:b/>
                            </w:rPr>
                            <w:t>Federal Communications Commission</w:t>
                          </w:r>
                        </w:p>
                        <w:p w:rsidR="00B6319F" w14:textId="77777777">
                          <w:pPr>
                            <w:rPr>
                              <w:rFonts w:ascii="Arial" w:hAnsi="Arial"/>
                              <w:b/>
                            </w:rPr>
                          </w:pPr>
                          <w:r>
                            <w:rPr>
                              <w:rFonts w:ascii="Arial" w:hAnsi="Arial"/>
                              <w:b/>
                            </w:rPr>
                            <w:t>45 L St., N.E.</w:t>
                          </w:r>
                        </w:p>
                        <w:p w:rsidR="00B6319F"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B6319F" w14:paraId="5DF83317" w14:textId="77777777">
                    <w:pPr>
                      <w:rPr>
                        <w:rFonts w:ascii="Arial" w:hAnsi="Arial"/>
                        <w:b/>
                      </w:rPr>
                    </w:pPr>
                    <w:r>
                      <w:rPr>
                        <w:rFonts w:ascii="Arial" w:hAnsi="Arial"/>
                        <w:b/>
                      </w:rPr>
                      <w:t>Federal Communications Commission</w:t>
                    </w:r>
                  </w:p>
                  <w:p w:rsidR="00B6319F" w14:paraId="15CCF4B1" w14:textId="77777777">
                    <w:pPr>
                      <w:rPr>
                        <w:rFonts w:ascii="Arial" w:hAnsi="Arial"/>
                        <w:b/>
                      </w:rPr>
                    </w:pPr>
                    <w:r>
                      <w:rPr>
                        <w:rFonts w:ascii="Arial" w:hAnsi="Arial"/>
                        <w:b/>
                      </w:rPr>
                      <w:t>45 L St., N.E.</w:t>
                    </w:r>
                  </w:p>
                  <w:p w:rsidR="00B6319F" w14:paraId="72D3DD06" w14:textId="77777777">
                    <w:pPr>
                      <w:rPr>
                        <w:rFonts w:ascii="Arial" w:hAnsi="Arial"/>
                        <w:sz w:val="24"/>
                      </w:rPr>
                    </w:pPr>
                    <w:r>
                      <w:rPr>
                        <w:rFonts w:ascii="Arial" w:hAnsi="Arial"/>
                        <w:b/>
                      </w:rPr>
                      <w:t>Washington, D.C. 20554</w:t>
                    </w:r>
                  </w:p>
                </w:txbxContent>
              </v:textbox>
              <w10:wrap anchorx="margin"/>
            </v:shape>
          </w:pict>
        </mc:Fallback>
      </mc:AlternateContent>
    </w:r>
    <w:r>
      <w:rPr>
        <w:rFonts w:ascii="Arial" w:hAnsi="Arial" w:cs="Arial"/>
        <w:b/>
        <w:sz w:val="96"/>
      </w:rPr>
      <w:t>PUBLIC NOTICE</w:t>
    </w:r>
  </w:p>
  <w:p w:rsidR="00B6319F" w14:paraId="155DC13B"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6319F" w14:textId="77777777">
                          <w:pPr>
                            <w:spacing w:before="40"/>
                            <w:jc w:val="right"/>
                            <w:rPr>
                              <w:rFonts w:ascii="Arial" w:hAnsi="Arial"/>
                              <w:b/>
                              <w:sz w:val="16"/>
                            </w:rPr>
                          </w:pPr>
                          <w:r>
                            <w:rPr>
                              <w:rFonts w:ascii="Arial" w:hAnsi="Arial"/>
                              <w:b/>
                              <w:sz w:val="16"/>
                            </w:rPr>
                            <w:t>News Media Information 202 / 418-0500</w:t>
                          </w:r>
                        </w:p>
                        <w:p w:rsidR="00B6319F" w14:textId="7777777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B6319F"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B6319F" w14:paraId="74A27636" w14:textId="77777777">
                    <w:pPr>
                      <w:spacing w:before="40"/>
                      <w:jc w:val="right"/>
                      <w:rPr>
                        <w:rFonts w:ascii="Arial" w:hAnsi="Arial"/>
                        <w:b/>
                        <w:sz w:val="16"/>
                      </w:rPr>
                    </w:pPr>
                    <w:r>
                      <w:rPr>
                        <w:rFonts w:ascii="Arial" w:hAnsi="Arial"/>
                        <w:b/>
                        <w:sz w:val="16"/>
                      </w:rPr>
                      <w:t>News Media Information 202 / 418-0500</w:t>
                    </w:r>
                  </w:p>
                  <w:p w:rsidR="00B6319F" w14:paraId="179DE676" w14:textId="7777777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B6319F" w14:paraId="1F9F05A0" w14:textId="77777777">
                    <w:pPr>
                      <w:jc w:val="right"/>
                    </w:pPr>
                    <w:r>
                      <w:rPr>
                        <w:rFonts w:ascii="Arial" w:hAnsi="Arial"/>
                        <w:b/>
                        <w:sz w:val="16"/>
                      </w:rPr>
                      <w:t>TTY: 1-888-835-5322</w:t>
                    </w:r>
                  </w:p>
                </w:txbxContent>
              </v:textbox>
            </v:shape>
          </w:pict>
        </mc:Fallback>
      </mc:AlternateContent>
    </w:r>
  </w:p>
  <w:p w:rsidR="00B6319F" w14:paraId="48CAB8E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16BEBB2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DEE0C70"/>
    <w:multiLevelType w:val="hybridMultilevel"/>
    <w:tmpl w:val="09C401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9F"/>
    <w:rsid w:val="00026646"/>
    <w:rsid w:val="0014126B"/>
    <w:rsid w:val="001815A3"/>
    <w:rsid w:val="001A549B"/>
    <w:rsid w:val="003C4986"/>
    <w:rsid w:val="00775987"/>
    <w:rsid w:val="008762BB"/>
    <w:rsid w:val="008D1938"/>
    <w:rsid w:val="008E5B49"/>
    <w:rsid w:val="009072E0"/>
    <w:rsid w:val="00A12347"/>
    <w:rsid w:val="00B6319F"/>
    <w:rsid w:val="00CA6A85"/>
    <w:rsid w:val="00D0450E"/>
    <w:rsid w:val="00D42C81"/>
    <w:rsid w:val="00F8668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Footnote Text Char Char1 Char Char Char,Footnote Text Char1 Char Char1 Char,Footnote Text Char2 Char,Footnote Text Char3,Footnote Text Char3 Char Char Char Char Char"/>
    <w:link w:val="FootnoteTextChar"/>
    <w:pPr>
      <w:spacing w:after="120"/>
    </w:pPr>
  </w:style>
  <w:style w:type="character" w:styleId="FootnoteReference">
    <w:name w:val="footnote reference"/>
    <w:aliases w:val="(NECG) Footnote Reference,Appel note de bas de p,FR,Footnote Reference/,Style 12,Style 124,Style 13,Style 17,Style 6,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napToGrid w:val="0"/>
      <w:kern w:val="28"/>
      <w:sz w:val="18"/>
      <w:szCs w:val="18"/>
    </w:rPr>
  </w:style>
  <w:style w:type="character" w:customStyle="1" w:styleId="FootnoteTextChar">
    <w:name w:val="Footnote Text Char"/>
    <w:aliases w:val="ALTS FOOTNOTE Char,Footnote Text Char Char Char Char,Footnote Text Char Char1 Char Char Char Char,Footnote Text Char1 Char Char1 Char Char,Footnote Text Char2 Char Char,Footnote Text Char3 Char"/>
    <w:link w:val="FootnoteText"/>
  </w:style>
  <w:style w:type="paragraph" w:styleId="ListParagraph">
    <w:name w:val="List Paragraph"/>
    <w:basedOn w:val="Normal"/>
    <w:uiPriority w:val="34"/>
    <w:qFormat/>
    <w:pPr>
      <w:ind w:left="720"/>
      <w:contextualSpacing/>
    </w:pPr>
  </w:style>
  <w:style w:type="character" w:customStyle="1" w:styleId="ParaNumChar1">
    <w:name w:val="ParaNum Char1"/>
    <w:link w:val="ParaNum"/>
    <w:locked/>
    <w:rPr>
      <w:snapToGrid w:val="0"/>
      <w:kern w:val="28"/>
      <w:sz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paragraph" w:styleId="Revision">
    <w:name w:val="Revision"/>
    <w:hidden/>
    <w:uiPriority w:val="99"/>
    <w:semiHidden/>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Evan.Baranoff@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