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785AED" w:rsidP="00785AED">
      <w:pPr>
        <w:jc w:val="center"/>
        <w:rPr>
          <w:b/>
        </w:rPr>
      </w:pPr>
      <w:bookmarkStart w:id="0" w:name="_Hlk23927930"/>
      <w:bookmarkStart w:id="1" w:name="_Hlk23927837"/>
      <w:r>
        <w:rPr>
          <w:rFonts w:ascii="Times New Roman Bold" w:hAnsi="Times New Roman Bold"/>
          <w:b/>
          <w:kern w:val="0"/>
          <w:szCs w:val="22"/>
        </w:rPr>
        <w:t>Before</w:t>
      </w:r>
      <w:r>
        <w:rPr>
          <w:b/>
        </w:rPr>
        <w:t xml:space="preserve"> the</w:t>
      </w:r>
    </w:p>
    <w:p w:rsidR="00785AED" w:rsidP="00785AED">
      <w:pPr>
        <w:pStyle w:val="StyleBoldCentered"/>
      </w:pPr>
      <w:r>
        <w:t>F</w:t>
      </w:r>
      <w:r>
        <w:rPr>
          <w:caps w:val="0"/>
        </w:rPr>
        <w:t>ederal Communications Commission</w:t>
      </w:r>
    </w:p>
    <w:p w:rsidR="00785AED" w:rsidP="00785AED">
      <w:pPr>
        <w:pStyle w:val="StyleBoldCentered"/>
      </w:pPr>
      <w:r>
        <w:rPr>
          <w:caps w:val="0"/>
        </w:rPr>
        <w:t>Washington, D.C. 20554</w:t>
      </w:r>
    </w:p>
    <w:p w:rsidR="00785AED" w:rsidP="00785AED"/>
    <w:p w:rsidR="00785AED" w:rsidP="00785AED"/>
    <w:tbl>
      <w:tblPr>
        <w:tblW w:w="0" w:type="auto"/>
        <w:tblLayout w:type="fixed"/>
        <w:tblLook w:val="0000"/>
      </w:tblPr>
      <w:tblGrid>
        <w:gridCol w:w="4698"/>
        <w:gridCol w:w="630"/>
        <w:gridCol w:w="4248"/>
      </w:tblGrid>
      <w:tr w:rsidTr="00ED317A">
        <w:tblPrEx>
          <w:tblW w:w="0" w:type="auto"/>
          <w:tblLayout w:type="fixed"/>
          <w:tblLook w:val="0000"/>
        </w:tblPrEx>
        <w:tc>
          <w:tcPr>
            <w:tcW w:w="4698" w:type="dxa"/>
          </w:tcPr>
          <w:p w:rsidR="00785AED" w:rsidP="00ED317A">
            <w:pPr>
              <w:tabs>
                <w:tab w:val="center" w:pos="4680"/>
              </w:tabs>
              <w:suppressAutoHyphens/>
              <w:rPr>
                <w:spacing w:val="-2"/>
              </w:rPr>
            </w:pPr>
            <w:r>
              <w:rPr>
                <w:spacing w:val="-2"/>
              </w:rPr>
              <w:t>In the Matter of</w:t>
            </w:r>
          </w:p>
          <w:p w:rsidR="00785AED" w:rsidP="00ED317A">
            <w:pPr>
              <w:tabs>
                <w:tab w:val="center" w:pos="4680"/>
              </w:tabs>
              <w:suppressAutoHyphens/>
              <w:rPr>
                <w:spacing w:val="-2"/>
              </w:rPr>
            </w:pPr>
          </w:p>
          <w:p w:rsidR="00785AED" w:rsidP="00ED317A">
            <w:pPr>
              <w:tabs>
                <w:tab w:val="center" w:pos="4680"/>
              </w:tabs>
              <w:suppressAutoHyphens/>
              <w:rPr>
                <w:spacing w:val="-2"/>
              </w:rPr>
            </w:pPr>
            <w:r>
              <w:rPr>
                <w:spacing w:val="-2"/>
              </w:rPr>
              <w:t>Fox Corp. Request for Permanent Waiver of Newspaper-Broadcast Cross-Ownership Rule</w:t>
            </w:r>
          </w:p>
          <w:p w:rsidR="00785AED" w:rsidP="00ED317A">
            <w:pPr>
              <w:tabs>
                <w:tab w:val="center" w:pos="4680"/>
              </w:tabs>
              <w:suppressAutoHyphens/>
              <w:rPr>
                <w:spacing w:val="-2"/>
              </w:rPr>
            </w:pPr>
          </w:p>
        </w:tc>
        <w:tc>
          <w:tcPr>
            <w:tcW w:w="630" w:type="dxa"/>
          </w:tcPr>
          <w:p w:rsidR="00785AED" w:rsidP="00ED317A">
            <w:pPr>
              <w:tabs>
                <w:tab w:val="center" w:pos="4680"/>
              </w:tabs>
              <w:suppressAutoHyphens/>
              <w:rPr>
                <w:b/>
                <w:spacing w:val="-2"/>
              </w:rPr>
            </w:pPr>
            <w:r>
              <w:rPr>
                <w:b/>
                <w:spacing w:val="-2"/>
              </w:rPr>
              <w:t>)</w:t>
            </w:r>
          </w:p>
          <w:p w:rsidR="00785AED" w:rsidP="00ED317A">
            <w:pPr>
              <w:tabs>
                <w:tab w:val="center" w:pos="4680"/>
              </w:tabs>
              <w:suppressAutoHyphens/>
              <w:rPr>
                <w:b/>
                <w:spacing w:val="-2"/>
              </w:rPr>
            </w:pPr>
            <w:r>
              <w:rPr>
                <w:b/>
                <w:spacing w:val="-2"/>
              </w:rPr>
              <w:t>)</w:t>
            </w:r>
          </w:p>
          <w:p w:rsidR="00785AED" w:rsidP="00ED317A">
            <w:pPr>
              <w:tabs>
                <w:tab w:val="center" w:pos="4680"/>
              </w:tabs>
              <w:suppressAutoHyphens/>
              <w:rPr>
                <w:b/>
                <w:spacing w:val="-2"/>
              </w:rPr>
            </w:pPr>
            <w:r>
              <w:rPr>
                <w:b/>
                <w:spacing w:val="-2"/>
              </w:rPr>
              <w:t>)</w:t>
            </w:r>
          </w:p>
          <w:p w:rsidR="00785AED" w:rsidP="00ED317A">
            <w:pPr>
              <w:tabs>
                <w:tab w:val="center" w:pos="4680"/>
              </w:tabs>
              <w:suppressAutoHyphens/>
              <w:rPr>
                <w:b/>
                <w:spacing w:val="-2"/>
              </w:rPr>
            </w:pPr>
            <w:r>
              <w:rPr>
                <w:b/>
                <w:spacing w:val="-2"/>
              </w:rPr>
              <w:t>)</w:t>
            </w:r>
          </w:p>
          <w:p w:rsidR="00785AED" w:rsidP="00ED317A">
            <w:pPr>
              <w:tabs>
                <w:tab w:val="center" w:pos="4680"/>
              </w:tabs>
              <w:suppressAutoHyphens/>
              <w:rPr>
                <w:b/>
                <w:spacing w:val="-2"/>
              </w:rPr>
            </w:pPr>
            <w:r>
              <w:rPr>
                <w:b/>
                <w:spacing w:val="-2"/>
              </w:rPr>
              <w:t>)</w:t>
            </w:r>
          </w:p>
          <w:p w:rsidR="00785AED" w:rsidP="00ED317A">
            <w:pPr>
              <w:tabs>
                <w:tab w:val="center" w:pos="4680"/>
              </w:tabs>
              <w:suppressAutoHyphens/>
              <w:rPr>
                <w:b/>
                <w:spacing w:val="-2"/>
              </w:rPr>
            </w:pPr>
          </w:p>
          <w:p w:rsidR="00785AED" w:rsidP="00ED317A">
            <w:pPr>
              <w:tabs>
                <w:tab w:val="center" w:pos="4680"/>
              </w:tabs>
              <w:suppressAutoHyphens/>
              <w:rPr>
                <w:spacing w:val="-2"/>
              </w:rPr>
            </w:pPr>
          </w:p>
        </w:tc>
        <w:tc>
          <w:tcPr>
            <w:tcW w:w="4248" w:type="dxa"/>
          </w:tcPr>
          <w:p w:rsidR="00785AED" w:rsidP="00ED317A">
            <w:pPr>
              <w:tabs>
                <w:tab w:val="center" w:pos="4680"/>
              </w:tabs>
              <w:suppressAutoHyphens/>
              <w:rPr>
                <w:spacing w:val="-2"/>
              </w:rPr>
            </w:pPr>
          </w:p>
          <w:p w:rsidR="00785AED" w:rsidP="00ED317A">
            <w:pPr>
              <w:pStyle w:val="TOAHeading"/>
              <w:tabs>
                <w:tab w:val="left" w:pos="2385"/>
                <w:tab w:val="clear" w:pos="9360"/>
              </w:tabs>
              <w:rPr>
                <w:spacing w:val="-2"/>
              </w:rPr>
            </w:pPr>
            <w:r>
              <w:rPr>
                <w:spacing w:val="-2"/>
              </w:rPr>
              <w:tab/>
            </w:r>
          </w:p>
          <w:p w:rsidR="00785AED" w:rsidP="00ED317A">
            <w:pPr>
              <w:tabs>
                <w:tab w:val="center" w:pos="4680"/>
              </w:tabs>
              <w:suppressAutoHyphens/>
              <w:rPr>
                <w:spacing w:val="-2"/>
              </w:rPr>
            </w:pPr>
            <w:r>
              <w:rPr>
                <w:spacing w:val="-2"/>
              </w:rPr>
              <w:t xml:space="preserve">MB Docket No. </w:t>
            </w:r>
            <w:r w:rsidR="003F63F1">
              <w:rPr>
                <w:spacing w:val="-2"/>
              </w:rPr>
              <w:t>20-378</w:t>
            </w:r>
          </w:p>
        </w:tc>
      </w:tr>
    </w:tbl>
    <w:p w:rsidR="00785AED" w:rsidP="00785AED"/>
    <w:p w:rsidR="00785AED" w:rsidP="00785AED">
      <w:pPr>
        <w:pStyle w:val="StyleBoldCentered"/>
      </w:pPr>
      <w:r>
        <w:t>order granting extension of time to file Comments and reply comments</w:t>
      </w:r>
    </w:p>
    <w:p w:rsidR="00785AED" w:rsidP="00785AED">
      <w:pPr>
        <w:pStyle w:val="StyleBoldCentered"/>
      </w:pPr>
    </w:p>
    <w:p w:rsidR="00785AED" w:rsidP="00785AED">
      <w:pPr>
        <w:tabs>
          <w:tab w:val="left" w:pos="-720"/>
        </w:tabs>
        <w:suppressAutoHyphens/>
        <w:spacing w:line="227" w:lineRule="auto"/>
        <w:rPr>
          <w:spacing w:val="-2"/>
        </w:rPr>
      </w:pPr>
    </w:p>
    <w:p w:rsidR="00785AED" w:rsidP="00785AED">
      <w:pPr>
        <w:tabs>
          <w:tab w:val="left" w:pos="720"/>
          <w:tab w:val="right" w:pos="9360"/>
        </w:tabs>
        <w:suppressAutoHyphens/>
        <w:spacing w:line="227" w:lineRule="auto"/>
        <w:rPr>
          <w:b/>
          <w:spacing w:val="-2"/>
        </w:rPr>
      </w:pPr>
      <w:r>
        <w:rPr>
          <w:b/>
          <w:spacing w:val="-2"/>
        </w:rPr>
        <w:t xml:space="preserve">Adopted:  </w:t>
      </w:r>
      <w:r w:rsidR="003F63F1">
        <w:rPr>
          <w:b/>
          <w:spacing w:val="-2"/>
        </w:rPr>
        <w:t>November 24, 2020</w:t>
      </w:r>
      <w:r>
        <w:rPr>
          <w:b/>
          <w:spacing w:val="-2"/>
        </w:rPr>
        <w:tab/>
        <w:t xml:space="preserve">Released:  </w:t>
      </w:r>
      <w:r w:rsidR="00FA170B">
        <w:rPr>
          <w:b/>
          <w:spacing w:val="-2"/>
        </w:rPr>
        <w:t>Novemb</w:t>
      </w:r>
      <w:bookmarkStart w:id="2" w:name="_GoBack"/>
      <w:bookmarkEnd w:id="2"/>
      <w:r w:rsidR="00FA170B">
        <w:rPr>
          <w:b/>
          <w:spacing w:val="-2"/>
        </w:rPr>
        <w:t xml:space="preserve">er </w:t>
      </w:r>
      <w:r w:rsidR="003F63F1">
        <w:rPr>
          <w:b/>
          <w:spacing w:val="-2"/>
        </w:rPr>
        <w:t>24</w:t>
      </w:r>
      <w:r w:rsidR="00FA170B">
        <w:rPr>
          <w:b/>
          <w:spacing w:val="-2"/>
        </w:rPr>
        <w:t>, 20</w:t>
      </w:r>
      <w:r w:rsidR="003F63F1">
        <w:rPr>
          <w:b/>
          <w:spacing w:val="-2"/>
        </w:rPr>
        <w:t>20</w:t>
      </w:r>
    </w:p>
    <w:p w:rsidR="00785AED" w:rsidP="00785AED">
      <w:pPr>
        <w:tabs>
          <w:tab w:val="left" w:pos="720"/>
          <w:tab w:val="right" w:pos="9360"/>
        </w:tabs>
        <w:suppressAutoHyphens/>
        <w:spacing w:line="227" w:lineRule="auto"/>
        <w:rPr>
          <w:b/>
          <w:spacing w:val="-2"/>
        </w:rPr>
      </w:pPr>
    </w:p>
    <w:p w:rsidR="00785AED" w:rsidP="00785AED">
      <w:pPr>
        <w:rPr>
          <w:b/>
        </w:rPr>
      </w:pPr>
      <w:r>
        <w:rPr>
          <w:b/>
        </w:rPr>
        <w:t xml:space="preserve"> </w:t>
      </w:r>
    </w:p>
    <w:p w:rsidR="00785AED" w:rsidP="00785AED">
      <w:pPr>
        <w:rPr>
          <w:b/>
        </w:rPr>
      </w:pPr>
      <w:r>
        <w:rPr>
          <w:b/>
        </w:rPr>
        <w:t xml:space="preserve">Comment Date:  </w:t>
      </w:r>
      <w:r w:rsidR="003F63F1">
        <w:rPr>
          <w:b/>
        </w:rPr>
        <w:t>December 1</w:t>
      </w:r>
      <w:r>
        <w:rPr>
          <w:b/>
        </w:rPr>
        <w:t xml:space="preserve">, 2020 </w:t>
      </w:r>
    </w:p>
    <w:p w:rsidR="00785AED" w:rsidP="00785AED">
      <w:pPr>
        <w:rPr>
          <w:b/>
        </w:rPr>
      </w:pPr>
      <w:r>
        <w:rPr>
          <w:b/>
        </w:rPr>
        <w:t xml:space="preserve">Reply Comment Date:  </w:t>
      </w:r>
      <w:r w:rsidR="003F63F1">
        <w:rPr>
          <w:b/>
        </w:rPr>
        <w:t>December 8</w:t>
      </w:r>
      <w:r>
        <w:rPr>
          <w:b/>
        </w:rPr>
        <w:t>, 2020</w:t>
      </w:r>
    </w:p>
    <w:p w:rsidR="00785AED" w:rsidP="00785AED"/>
    <w:p w:rsidR="00785AED" w:rsidP="00785AED">
      <w:pPr>
        <w:rPr>
          <w:spacing w:val="-2"/>
        </w:rPr>
      </w:pPr>
      <w:r>
        <w:t xml:space="preserve">By the </w:t>
      </w:r>
      <w:r>
        <w:rPr>
          <w:spacing w:val="-2"/>
        </w:rPr>
        <w:t>Chief, Media Bureau:</w:t>
      </w:r>
    </w:p>
    <w:p w:rsidR="00785AED" w:rsidP="00785AED">
      <w:pPr>
        <w:rPr>
          <w:spacing w:val="-2"/>
        </w:rPr>
      </w:pPr>
    </w:p>
    <w:p w:rsidR="00785AED" w:rsidP="00E20524">
      <w:pPr>
        <w:pStyle w:val="ParaNum"/>
      </w:pPr>
      <w:r>
        <w:t xml:space="preserve">On </w:t>
      </w:r>
      <w:r w:rsidR="00E20524">
        <w:t>November 13</w:t>
      </w:r>
      <w:r>
        <w:t>, 20</w:t>
      </w:r>
      <w:r w:rsidR="00E20524">
        <w:t>20</w:t>
      </w:r>
      <w:r>
        <w:t>, the Media Bureau released a Public Notice</w:t>
      </w:r>
      <w:r>
        <w:rPr>
          <w:sz w:val="20"/>
          <w:vertAlign w:val="superscript"/>
        </w:rPr>
        <w:footnoteReference w:id="3"/>
      </w:r>
      <w:r>
        <w:t xml:space="preserve"> seeking comment on a </w:t>
      </w:r>
      <w:r w:rsidR="00E20524">
        <w:t>request for permanent waiver</w:t>
      </w:r>
      <w:r>
        <w:t xml:space="preserve"> filed by</w:t>
      </w:r>
      <w:r w:rsidR="00E20524">
        <w:t xml:space="preserve"> Fox Television Stations, LLC</w:t>
      </w:r>
      <w:r>
        <w:t>. (</w:t>
      </w:r>
      <w:r w:rsidR="00E20524">
        <w:t>Fox</w:t>
      </w:r>
      <w:r>
        <w:t>)</w:t>
      </w:r>
      <w:r w:rsidR="000B4ED4">
        <w:t xml:space="preserve">.  By its filing, Fox </w:t>
      </w:r>
      <w:r w:rsidR="00736740">
        <w:t xml:space="preserve">requests </w:t>
      </w:r>
      <w:r>
        <w:t xml:space="preserve">that the Media Bureau grant a </w:t>
      </w:r>
      <w:r w:rsidR="00E20524">
        <w:t>permanent</w:t>
      </w:r>
      <w:r>
        <w:t xml:space="preserve"> waiver of the </w:t>
      </w:r>
      <w:r w:rsidR="00E20524">
        <w:t xml:space="preserve">Commission’s newspaper/broadcast cross-ownership rule, 47 C.F.R. § 73.3555(d), in order to </w:t>
      </w:r>
      <w:r w:rsidR="008D04CF">
        <w:t xml:space="preserve">allow Fox to </w:t>
      </w:r>
      <w:r w:rsidR="00E20524">
        <w:t>continue its common ownership of WWOR-TV, Secaucus, NJ, WNYW(TV), New York, NY, and the New York Post newspaper</w:t>
      </w:r>
      <w:r>
        <w:t>.</w:t>
      </w:r>
      <w:r>
        <w:rPr>
          <w:rStyle w:val="FootnoteReference"/>
        </w:rPr>
        <w:footnoteReference w:id="4"/>
      </w:r>
      <w:r>
        <w:t xml:space="preserve">  The Public Notice established </w:t>
      </w:r>
      <w:r w:rsidR="00E20524">
        <w:t xml:space="preserve">November 27, 2020 </w:t>
      </w:r>
      <w:r>
        <w:t xml:space="preserve">as the initial deadline for filing comments regarding the </w:t>
      </w:r>
      <w:r w:rsidR="00E20524">
        <w:t>request</w:t>
      </w:r>
      <w:r>
        <w:t xml:space="preserve">, and </w:t>
      </w:r>
      <w:r w:rsidR="00E20524">
        <w:t>December 4, 2020</w:t>
      </w:r>
      <w:r>
        <w:t xml:space="preserve"> as the initial deadline for filing reply comments.</w:t>
      </w:r>
      <w:r>
        <w:rPr>
          <w:rStyle w:val="FootnoteReference"/>
        </w:rPr>
        <w:footnoteReference w:id="5"/>
      </w:r>
      <w:r>
        <w:t xml:space="preserve">  </w:t>
      </w:r>
    </w:p>
    <w:p w:rsidR="008D4DD8" w:rsidP="00785AED">
      <w:pPr>
        <w:numPr>
          <w:ilvl w:val="0"/>
          <w:numId w:val="2"/>
        </w:numPr>
        <w:tabs>
          <w:tab w:val="clear" w:pos="1080"/>
          <w:tab w:val="num" w:pos="1440"/>
        </w:tabs>
        <w:spacing w:after="120"/>
      </w:pPr>
      <w:r>
        <w:t xml:space="preserve">On </w:t>
      </w:r>
      <w:r>
        <w:t>November 20, 2020</w:t>
      </w:r>
      <w:r>
        <w:t xml:space="preserve">, </w:t>
      </w:r>
      <w:r>
        <w:t>Free Press filed a Motion for Extension of Time</w:t>
      </w:r>
      <w:r w:rsidR="00736740">
        <w:t xml:space="preserve"> </w:t>
      </w:r>
      <w:r w:rsidR="008D04CF">
        <w:t xml:space="preserve">(Motion) </w:t>
      </w:r>
      <w:r>
        <w:t xml:space="preserve">seeking </w:t>
      </w:r>
      <w:r w:rsidR="008D04CF">
        <w:t xml:space="preserve">an indefinite </w:t>
      </w:r>
      <w:r>
        <w:t xml:space="preserve">extension of the comment period. </w:t>
      </w:r>
      <w:r w:rsidR="008D04CF">
        <w:t xml:space="preserve"> Although t</w:t>
      </w:r>
      <w:r>
        <w:t xml:space="preserve">he Motion </w:t>
      </w:r>
      <w:r w:rsidR="00EA5A8A">
        <w:t>argues</w:t>
      </w:r>
      <w:r w:rsidR="001E1334">
        <w:t xml:space="preserve"> </w:t>
      </w:r>
      <w:r w:rsidR="008D04CF">
        <w:t>generally that the waiver request should not be considered and the comment period suspended indefinitely, it contends that an extension of time is warranted based on the fact</w:t>
      </w:r>
      <w:r>
        <w:t xml:space="preserve"> that </w:t>
      </w:r>
      <w:r w:rsidR="001E1334">
        <w:t>Fox’s waiver request was not accessible in the Electronic Comment Filing System</w:t>
      </w:r>
      <w:r w:rsidR="008D04CF">
        <w:t xml:space="preserve"> (ECFS)</w:t>
      </w:r>
      <w:r w:rsidR="001E1334">
        <w:t xml:space="preserve"> until November 17, 2020.</w:t>
      </w:r>
      <w:r>
        <w:rPr>
          <w:rStyle w:val="FootnoteReference"/>
        </w:rPr>
        <w:footnoteReference w:id="6"/>
      </w:r>
      <w:r w:rsidR="008D04CF">
        <w:t xml:space="preserve"> </w:t>
      </w:r>
      <w:r w:rsidR="001E1334">
        <w:t xml:space="preserve"> On November 23, 2020, Fox filed an Opposition to the Free Press Motion arguing that Free Press does not claim inability to prepare timely comments</w:t>
      </w:r>
      <w:r>
        <w:rPr>
          <w:rStyle w:val="FootnoteReference"/>
        </w:rPr>
        <w:footnoteReference w:id="7"/>
      </w:r>
      <w:r w:rsidR="001E1334">
        <w:t xml:space="preserve"> and that</w:t>
      </w:r>
      <w:r w:rsidR="008857BB">
        <w:t xml:space="preserve"> Free Press</w:t>
      </w:r>
      <w:r w:rsidR="001E1334">
        <w:t xml:space="preserve"> </w:t>
      </w:r>
      <w:r w:rsidR="008D04CF">
        <w:t>had</w:t>
      </w:r>
      <w:r w:rsidR="001E1334">
        <w:t xml:space="preserve"> </w:t>
      </w:r>
      <w:r w:rsidR="008857BB">
        <w:t>notice of the waiver</w:t>
      </w:r>
      <w:r w:rsidR="00EA5A8A">
        <w:t xml:space="preserve"> request</w:t>
      </w:r>
      <w:r w:rsidR="008857BB">
        <w:t xml:space="preserve"> “by citing to a publicly available letter issued on November 9, 2020, concerning the waiver request.”</w:t>
      </w:r>
      <w:r>
        <w:rPr>
          <w:rStyle w:val="FootnoteReference"/>
        </w:rPr>
        <w:footnoteReference w:id="8"/>
      </w:r>
    </w:p>
    <w:p w:rsidR="00785AED" w:rsidP="00785AED">
      <w:pPr>
        <w:numPr>
          <w:ilvl w:val="0"/>
          <w:numId w:val="2"/>
        </w:numPr>
        <w:tabs>
          <w:tab w:val="clear" w:pos="1080"/>
          <w:tab w:val="num" w:pos="1440"/>
        </w:tabs>
        <w:spacing w:after="120"/>
      </w:pPr>
      <w:r>
        <w:t>As set forth in section 1.46 of the Commission’s rules,</w:t>
      </w:r>
      <w:r>
        <w:rPr>
          <w:sz w:val="20"/>
          <w:vertAlign w:val="superscript"/>
        </w:rPr>
        <w:footnoteReference w:id="9"/>
      </w:r>
      <w:r>
        <w:t xml:space="preserve"> it is the policy of the Commission that extensions of time shall not be routinely granted.  However, </w:t>
      </w:r>
      <w:r w:rsidR="008D04CF">
        <w:t xml:space="preserve">in this case, </w:t>
      </w:r>
      <w:r>
        <w:t xml:space="preserve">we find that </w:t>
      </w:r>
      <w:r w:rsidR="00C24B48">
        <w:t>Free Press has</w:t>
      </w:r>
      <w:r>
        <w:t xml:space="preserve"> shown good cause </w:t>
      </w:r>
      <w:r w:rsidR="00C24B48">
        <w:t>for a</w:t>
      </w:r>
      <w:r w:rsidR="001D054C">
        <w:t xml:space="preserve"> limited </w:t>
      </w:r>
      <w:r w:rsidR="00C24B48">
        <w:t>extension</w:t>
      </w:r>
      <w:r>
        <w:t xml:space="preserve"> of the deadlines, </w:t>
      </w:r>
      <w:r w:rsidR="00C24B48">
        <w:t xml:space="preserve">in </w:t>
      </w:r>
      <w:r w:rsidR="00736740">
        <w:t xml:space="preserve">that the </w:t>
      </w:r>
      <w:r w:rsidR="00C24B48">
        <w:t xml:space="preserve">waiver request was not available in </w:t>
      </w:r>
      <w:r w:rsidR="008D04CF">
        <w:t xml:space="preserve">ECFS </w:t>
      </w:r>
      <w:r w:rsidR="00C24B48">
        <w:t xml:space="preserve">under MB Docket No. 20-378 until November 17, 2020 in contrast to the Public Notice’s assertion that it was available on November 13, 2020. </w:t>
      </w:r>
      <w:r w:rsidR="008D04CF">
        <w:t xml:space="preserve"> </w:t>
      </w:r>
      <w:r>
        <w:t xml:space="preserve">We therefore find that </w:t>
      </w:r>
      <w:r w:rsidR="00C24B48">
        <w:t>a</w:t>
      </w:r>
      <w:r w:rsidR="008D04CF">
        <w:t xml:space="preserve"> brief</w:t>
      </w:r>
      <w:r w:rsidR="00C24B48">
        <w:t xml:space="preserve"> extension of </w:t>
      </w:r>
      <w:r w:rsidR="008D04CF">
        <w:t xml:space="preserve">time for interested parties to submit comments </w:t>
      </w:r>
      <w:r w:rsidR="00C24B48">
        <w:t xml:space="preserve">is appropriate. </w:t>
      </w:r>
      <w:r>
        <w:t xml:space="preserve"> </w:t>
      </w:r>
      <w:r w:rsidR="00616FF5">
        <w:t>To</w:t>
      </w:r>
      <w:r w:rsidR="008D04CF">
        <w:t xml:space="preserve"> the extent that Free Press’s Motion seeks </w:t>
      </w:r>
      <w:r w:rsidR="00616FF5">
        <w:t>an indefinite extension</w:t>
      </w:r>
      <w:r w:rsidR="008D04CF">
        <w:t xml:space="preserve"> of time</w:t>
      </w:r>
      <w:r w:rsidR="00A850FB">
        <w:t xml:space="preserve"> </w:t>
      </w:r>
      <w:r w:rsidR="00616FF5">
        <w:t>and suggests that we hold the period for public comment in abeyance, we do not find such action to be warranted and thus</w:t>
      </w:r>
      <w:r w:rsidR="00A850FB">
        <w:t xml:space="preserve"> reject </w:t>
      </w:r>
      <w:r w:rsidR="00616FF5">
        <w:t xml:space="preserve">the </w:t>
      </w:r>
      <w:r w:rsidR="00A850FB">
        <w:t>request</w:t>
      </w:r>
      <w:r w:rsidR="00616FF5">
        <w:t xml:space="preserve"> to extend the period for comment indefinitely</w:t>
      </w:r>
      <w:r w:rsidR="008D04CF">
        <w:t>.</w:t>
      </w:r>
    </w:p>
    <w:p w:rsidR="00785AED" w:rsidP="00785AED">
      <w:pPr>
        <w:numPr>
          <w:ilvl w:val="0"/>
          <w:numId w:val="2"/>
        </w:numPr>
        <w:tabs>
          <w:tab w:val="clear" w:pos="1080"/>
          <w:tab w:val="num" w:pos="1440"/>
        </w:tabs>
        <w:spacing w:after="120"/>
      </w:pPr>
      <w:r>
        <w:t xml:space="preserve">Accordingly, </w:t>
      </w:r>
      <w:r w:rsidRPr="0095523D">
        <w:rPr>
          <w:b/>
        </w:rPr>
        <w:t>IT IS ORDERED</w:t>
      </w:r>
      <w:r>
        <w:t xml:space="preserve">, that the Motion for Extension of Time filed by </w:t>
      </w:r>
      <w:r w:rsidR="008543C0">
        <w:t>Free Press</w:t>
      </w:r>
      <w:r>
        <w:t xml:space="preserve"> is </w:t>
      </w:r>
      <w:r w:rsidRPr="0095523D">
        <w:rPr>
          <w:b/>
        </w:rPr>
        <w:t>GRANTED</w:t>
      </w:r>
      <w:r w:rsidR="008D04CF">
        <w:rPr>
          <w:b/>
        </w:rPr>
        <w:t xml:space="preserve"> in part</w:t>
      </w:r>
      <w:r w:rsidR="001D054C">
        <w:rPr>
          <w:b/>
        </w:rPr>
        <w:t xml:space="preserve"> and otherwise DENIED</w:t>
      </w:r>
      <w:r>
        <w:t>.</w:t>
      </w:r>
    </w:p>
    <w:p w:rsidR="00785AED" w:rsidP="00785AED">
      <w:pPr>
        <w:numPr>
          <w:ilvl w:val="0"/>
          <w:numId w:val="2"/>
        </w:numPr>
        <w:tabs>
          <w:tab w:val="clear" w:pos="1080"/>
          <w:tab w:val="num" w:pos="1440"/>
        </w:tabs>
        <w:spacing w:after="120"/>
      </w:pPr>
      <w:r w:rsidRPr="0095523D">
        <w:rPr>
          <w:b/>
        </w:rPr>
        <w:t>IT IS ALSO ORDERED</w:t>
      </w:r>
      <w:r>
        <w:t xml:space="preserve"> that the date for filing comments on the </w:t>
      </w:r>
      <w:r w:rsidR="008543C0">
        <w:t>waiver request</w:t>
      </w:r>
      <w:r>
        <w:t xml:space="preserve"> </w:t>
      </w:r>
      <w:r>
        <w:rPr>
          <w:b/>
        </w:rPr>
        <w:t xml:space="preserve">IS EXTENDED </w:t>
      </w:r>
      <w:r>
        <w:t xml:space="preserve">to </w:t>
      </w:r>
      <w:r w:rsidR="00A32BF3">
        <w:t>December 1</w:t>
      </w:r>
      <w:r>
        <w:t xml:space="preserve">, 2020, and the date for filing reply comments on the </w:t>
      </w:r>
      <w:r w:rsidR="004145B7">
        <w:t>waiver request</w:t>
      </w:r>
      <w:r>
        <w:t xml:space="preserve"> </w:t>
      </w:r>
      <w:r w:rsidRPr="0095523D">
        <w:rPr>
          <w:b/>
        </w:rPr>
        <w:t xml:space="preserve">IS EXTENDED </w:t>
      </w:r>
      <w:r>
        <w:t xml:space="preserve">to </w:t>
      </w:r>
      <w:r w:rsidR="00A32BF3">
        <w:t>December 8</w:t>
      </w:r>
      <w:r>
        <w:t xml:space="preserve">, 2020. </w:t>
      </w:r>
    </w:p>
    <w:p w:rsidR="00785AED" w:rsidP="00785AED">
      <w:pPr>
        <w:numPr>
          <w:ilvl w:val="0"/>
          <w:numId w:val="2"/>
        </w:numPr>
        <w:tabs>
          <w:tab w:val="clear" w:pos="1080"/>
          <w:tab w:val="num" w:pos="1440"/>
        </w:tabs>
        <w:spacing w:after="120"/>
      </w:pPr>
      <w:r>
        <w:t>This action is taken pursuant to authority found in sections 4(</w:t>
      </w:r>
      <w:r>
        <w:t>i</w:t>
      </w:r>
      <w:r>
        <w:t>) and 303(r) of the Communications Act of 1934, as amended,</w:t>
      </w:r>
      <w:r>
        <w:rPr>
          <w:sz w:val="20"/>
          <w:vertAlign w:val="superscript"/>
        </w:rPr>
        <w:footnoteReference w:id="10"/>
      </w:r>
      <w:r>
        <w:t xml:space="preserve"> and sections 0.204, 0.283 and 1.46 of the Commission’s rules.</w:t>
      </w:r>
      <w:r>
        <w:rPr>
          <w:sz w:val="20"/>
          <w:vertAlign w:val="superscript"/>
        </w:rPr>
        <w:footnoteReference w:id="11"/>
      </w:r>
      <w:r>
        <w:t xml:space="preserve">  </w:t>
      </w:r>
    </w:p>
    <w:p w:rsidR="00785AED" w:rsidP="00A32BF3">
      <w:pPr>
        <w:pStyle w:val="ParaNum"/>
      </w:pPr>
      <w:r>
        <w:t xml:space="preserve">For further information concerning this proceeding, contact </w:t>
      </w:r>
      <w:r w:rsidR="00A32BF3">
        <w:t xml:space="preserve">William </w:t>
      </w:r>
      <w:r w:rsidR="00A32BF3">
        <w:t>Durdach</w:t>
      </w:r>
      <w:r w:rsidR="00A32BF3">
        <w:t xml:space="preserve">, Industry Analysis Division, Media Bureau, </w:t>
      </w:r>
      <w:r w:rsidR="00736740">
        <w:t xml:space="preserve">at </w:t>
      </w:r>
      <w:r w:rsidR="00A32BF3">
        <w:t>William.Durdach@fcc.gov</w:t>
      </w:r>
      <w:r>
        <w:t xml:space="preserve"> or </w:t>
      </w:r>
      <w:r w:rsidRPr="00A32BF3" w:rsidR="00A32BF3">
        <w:t xml:space="preserve">David Roberts, Video Division, Media Bureau, </w:t>
      </w:r>
      <w:r w:rsidR="00736740">
        <w:t>at</w:t>
      </w:r>
      <w:r w:rsidRPr="00A32BF3" w:rsidR="00A32BF3">
        <w:t xml:space="preserve"> David.Roberts@fcc.gov</w:t>
      </w:r>
      <w:r>
        <w:t xml:space="preserve">. </w:t>
      </w:r>
    </w:p>
    <w:p w:rsidR="00785AED" w:rsidP="00785AED">
      <w:pPr>
        <w:spacing w:after="120"/>
        <w:ind w:left="720"/>
      </w:pPr>
      <w:r>
        <w:t xml:space="preserve"> </w:t>
      </w:r>
    </w:p>
    <w:p w:rsidR="00785AED" w:rsidP="00785AED">
      <w:pPr>
        <w:spacing w:after="120"/>
        <w:ind w:left="720"/>
      </w:pPr>
      <w:r>
        <w:tab/>
      </w:r>
      <w:r>
        <w:tab/>
      </w:r>
      <w:r>
        <w:tab/>
      </w:r>
      <w:r>
        <w:tab/>
      </w:r>
      <w:r>
        <w:tab/>
        <w:t>FEDERAL COMMUNICATIONS COMMISSION</w:t>
      </w:r>
    </w:p>
    <w:p w:rsidR="00785AED" w:rsidP="00785AED">
      <w:pPr>
        <w:spacing w:after="120"/>
        <w:ind w:left="720"/>
      </w:pPr>
    </w:p>
    <w:p w:rsidR="008D04CF" w:rsidP="00785AED">
      <w:pPr>
        <w:spacing w:after="120"/>
        <w:ind w:left="720"/>
      </w:pPr>
    </w:p>
    <w:p w:rsidR="008D04CF" w:rsidP="00785AED">
      <w:pPr>
        <w:spacing w:after="120"/>
        <w:ind w:left="720"/>
      </w:pPr>
    </w:p>
    <w:p w:rsidR="00785AED" w:rsidP="00785AED">
      <w:pPr>
        <w:ind w:left="720"/>
      </w:pPr>
      <w:r>
        <w:tab/>
      </w:r>
      <w:r>
        <w:tab/>
      </w:r>
      <w:r>
        <w:tab/>
      </w:r>
      <w:r>
        <w:tab/>
      </w:r>
      <w:r>
        <w:tab/>
        <w:t>Michelle M. Carey</w:t>
      </w:r>
    </w:p>
    <w:p w:rsidR="00785AED" w:rsidP="00785AED">
      <w:pPr>
        <w:ind w:left="720"/>
      </w:pPr>
      <w:r>
        <w:tab/>
      </w:r>
      <w:r>
        <w:tab/>
      </w:r>
      <w:r>
        <w:tab/>
      </w:r>
      <w:r>
        <w:tab/>
      </w:r>
      <w:r>
        <w:tab/>
        <w:t>Chief</w:t>
      </w:r>
      <w:r w:rsidR="001D054C">
        <w:t>, Media Bureau</w:t>
      </w:r>
    </w:p>
    <w:p w:rsidR="00785AED" w:rsidP="00785AED">
      <w:pPr>
        <w:ind w:left="720"/>
      </w:pPr>
      <w:r>
        <w:tab/>
      </w:r>
      <w:r>
        <w:tab/>
      </w:r>
      <w:r>
        <w:tab/>
      </w:r>
      <w:r>
        <w:tab/>
      </w:r>
      <w:r>
        <w:tab/>
      </w:r>
      <w:bookmarkEnd w:id="0"/>
      <w:bookmarkEnd w:id="1"/>
    </w:p>
    <w:p w:rsidR="00412FC5" w:rsidRPr="00785AED" w:rsidP="00785AED"/>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07A55">
      <w:r>
        <w:separator/>
      </w:r>
    </w:p>
  </w:footnote>
  <w:footnote w:type="continuationSeparator" w:id="1">
    <w:p w:rsidR="00607A55" w:rsidP="00C721AC">
      <w:pPr>
        <w:spacing w:before="120"/>
        <w:rPr>
          <w:sz w:val="20"/>
        </w:rPr>
      </w:pPr>
      <w:r>
        <w:rPr>
          <w:sz w:val="20"/>
        </w:rPr>
        <w:t xml:space="preserve">(Continued from previous page)  </w:t>
      </w:r>
      <w:r>
        <w:rPr>
          <w:sz w:val="20"/>
        </w:rPr>
        <w:separator/>
      </w:r>
    </w:p>
  </w:footnote>
  <w:footnote w:type="continuationNotice" w:id="2">
    <w:p w:rsidR="00607A55" w:rsidP="00C721AC">
      <w:pPr>
        <w:jc w:val="right"/>
        <w:rPr>
          <w:sz w:val="20"/>
        </w:rPr>
      </w:pPr>
      <w:r>
        <w:rPr>
          <w:sz w:val="20"/>
        </w:rPr>
        <w:t>(continued….)</w:t>
      </w:r>
    </w:p>
  </w:footnote>
  <w:footnote w:id="3">
    <w:p w:rsidR="00785AED" w:rsidP="00BF4EFD">
      <w:pPr>
        <w:pStyle w:val="FootnoteText"/>
      </w:pPr>
      <w:r>
        <w:rPr>
          <w:rStyle w:val="FootnoteReference"/>
        </w:rPr>
        <w:footnoteRef/>
      </w:r>
      <w:r>
        <w:t xml:space="preserve"> </w:t>
      </w:r>
      <w:r w:rsidRPr="00A60EC1" w:rsidR="00A60EC1">
        <w:rPr>
          <w:i/>
        </w:rPr>
        <w:t>Media Bureau Seeks Comment on Request for Permanent Waiver of Newspaper-Broadcast</w:t>
      </w:r>
      <w:r w:rsidR="00A60EC1">
        <w:rPr>
          <w:i/>
        </w:rPr>
        <w:t xml:space="preserve"> </w:t>
      </w:r>
      <w:r w:rsidRPr="00A60EC1" w:rsidR="00A60EC1">
        <w:rPr>
          <w:i/>
        </w:rPr>
        <w:t>Cross-Ownership Rule Filed by Fox Corp.</w:t>
      </w:r>
      <w:r w:rsidRPr="00A60EC1" w:rsidR="00A60EC1">
        <w:rPr>
          <w:iCs/>
        </w:rPr>
        <w:t>, Public Notice, MB Docket No. 20-378, DA 20-1350 (rel. Nov. 13, 2020) (“Public Notice”).</w:t>
      </w:r>
    </w:p>
  </w:footnote>
  <w:footnote w:id="4">
    <w:p w:rsidR="00785AED" w:rsidRPr="00785AED" w:rsidP="00BF4EFD">
      <w:pPr>
        <w:spacing w:before="100" w:after="120"/>
        <w:rPr>
          <w:sz w:val="20"/>
        </w:rPr>
      </w:pPr>
      <w:r>
        <w:rPr>
          <w:rStyle w:val="FootnoteReference"/>
        </w:rPr>
        <w:footnoteRef/>
      </w:r>
      <w:r>
        <w:t xml:space="preserve"> </w:t>
      </w:r>
      <w:r w:rsidRPr="00F64BE1" w:rsidR="00F64BE1">
        <w:rPr>
          <w:sz w:val="20"/>
        </w:rPr>
        <w:t>Fox Corp. Request for Permanent Waiver of Newspaper-Broadcast Cross-Ownership Rule, 47 C.F.R. § 73.3555(d), MB Docket No. 20-378 (filed Oct. 5, 2020)</w:t>
      </w:r>
      <w:r w:rsidR="00EA5A8A">
        <w:rPr>
          <w:sz w:val="20"/>
        </w:rPr>
        <w:t xml:space="preserve"> (“Waiver Request”)</w:t>
      </w:r>
      <w:r w:rsidRPr="00F64BE1" w:rsidR="00F64BE1">
        <w:rPr>
          <w:sz w:val="20"/>
        </w:rPr>
        <w:t>.</w:t>
      </w:r>
    </w:p>
  </w:footnote>
  <w:footnote w:id="5">
    <w:p w:rsidR="008857BB" w:rsidP="00BF4EFD">
      <w:pPr>
        <w:pStyle w:val="FootnoteText"/>
      </w:pPr>
      <w:r>
        <w:rPr>
          <w:rStyle w:val="FootnoteReference"/>
        </w:rPr>
        <w:footnoteRef/>
      </w:r>
      <w:r>
        <w:t xml:space="preserve"> </w:t>
      </w:r>
      <w:r w:rsidR="00BF4EFD">
        <w:t xml:space="preserve">Public Notice at 1. </w:t>
      </w:r>
    </w:p>
  </w:footnote>
  <w:footnote w:id="6">
    <w:p w:rsidR="00BF4EFD">
      <w:pPr>
        <w:pStyle w:val="FootnoteText"/>
      </w:pPr>
      <w:r>
        <w:rPr>
          <w:rStyle w:val="FootnoteReference"/>
        </w:rPr>
        <w:footnoteRef/>
      </w:r>
      <w:r>
        <w:t xml:space="preserve"> </w:t>
      </w:r>
      <w:r w:rsidRPr="00BF4EFD">
        <w:t>Free Press Motion for Extension of Time, MB Docket No. 20-378</w:t>
      </w:r>
      <w:r w:rsidR="00561ED7">
        <w:t>, at 2</w:t>
      </w:r>
      <w:r w:rsidRPr="00BF4EFD">
        <w:t xml:space="preserve"> (filed Nov. 20, 2020)</w:t>
      </w:r>
      <w:r w:rsidR="00736740">
        <w:t xml:space="preserve"> (</w:t>
      </w:r>
      <w:r w:rsidR="00EA5A8A">
        <w:t>“</w:t>
      </w:r>
      <w:r w:rsidR="00736740">
        <w:t>Motion</w:t>
      </w:r>
      <w:r w:rsidR="00EA5A8A">
        <w:t>”</w:t>
      </w:r>
      <w:r w:rsidR="00736740">
        <w:t>)</w:t>
      </w:r>
      <w:r w:rsidRPr="00BF4EFD">
        <w:t>.</w:t>
      </w:r>
    </w:p>
  </w:footnote>
  <w:footnote w:id="7">
    <w:p w:rsidR="008857BB" w:rsidP="00BF4EFD">
      <w:pPr>
        <w:pStyle w:val="FootnoteText"/>
      </w:pPr>
      <w:r>
        <w:rPr>
          <w:rStyle w:val="FootnoteReference"/>
        </w:rPr>
        <w:footnoteRef/>
      </w:r>
      <w:r>
        <w:t xml:space="preserve"> </w:t>
      </w:r>
      <w:r w:rsidR="00BF4EFD">
        <w:t>Fox Opposition to Motion for Extension of Time, MB Docket No. 20-378</w:t>
      </w:r>
      <w:r w:rsidR="00561ED7">
        <w:t>, at 2</w:t>
      </w:r>
      <w:r w:rsidR="00BF4EFD">
        <w:t xml:space="preserve"> (filed Nov. 23, 2020)</w:t>
      </w:r>
      <w:r w:rsidR="00561ED7">
        <w:t>.</w:t>
      </w:r>
    </w:p>
  </w:footnote>
  <w:footnote w:id="8">
    <w:p w:rsidR="008857BB" w:rsidP="00BF4EFD">
      <w:pPr>
        <w:pStyle w:val="FootnoteText"/>
      </w:pPr>
      <w:r>
        <w:rPr>
          <w:rStyle w:val="FootnoteReference"/>
        </w:rPr>
        <w:footnoteRef/>
      </w:r>
      <w:r>
        <w:t xml:space="preserve"> </w:t>
      </w:r>
      <w:r w:rsidR="00BF4EFD">
        <w:t xml:space="preserve">Id. at 3. </w:t>
      </w:r>
    </w:p>
  </w:footnote>
  <w:footnote w:id="9">
    <w:p w:rsidR="00785AED" w:rsidP="00BF4EFD">
      <w:pPr>
        <w:pStyle w:val="FootnoteText"/>
      </w:pPr>
      <w:r>
        <w:rPr>
          <w:rStyle w:val="FootnoteReference"/>
        </w:rPr>
        <w:footnoteRef/>
      </w:r>
      <w:r>
        <w:t xml:space="preserve"> 47 CFR § 1.46.</w:t>
      </w:r>
    </w:p>
  </w:footnote>
  <w:footnote w:id="10">
    <w:p w:rsidR="00785AED" w:rsidP="00785AED">
      <w:pPr>
        <w:pStyle w:val="FootnoteText"/>
      </w:pPr>
      <w:r>
        <w:rPr>
          <w:rStyle w:val="FootnoteReference"/>
        </w:rPr>
        <w:footnoteRef/>
      </w:r>
      <w:r>
        <w:t xml:space="preserve"> 47 U.S.C. §§ 154(</w:t>
      </w:r>
      <w:r>
        <w:t>i</w:t>
      </w:r>
      <w:r>
        <w:t xml:space="preserve">), 303(r). </w:t>
      </w:r>
    </w:p>
  </w:footnote>
  <w:footnote w:id="11">
    <w:p w:rsidR="00785AED" w:rsidP="00785AED">
      <w:pPr>
        <w:pStyle w:val="FootnoteText"/>
      </w:pPr>
      <w:r>
        <w:rPr>
          <w:rStyle w:val="FootnoteReference"/>
        </w:rPr>
        <w:footnoteRef/>
      </w:r>
      <w:r>
        <w:t xml:space="preserve"> 47 CFR §§ 0.204, 0.283 and 1.46.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FE413C">
      <w:t>DA-20-1401</w:t>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736740" w:rsidP="00810B6F">
    <w:pPr>
      <w:pStyle w:val="Header"/>
      <w:rPr>
        <w:b w:val="0"/>
        <w:color w:val="FF000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FE413C">
      <w:t>DA-20-1401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AED"/>
    <w:rsid w:val="00036039"/>
    <w:rsid w:val="00037F90"/>
    <w:rsid w:val="00072557"/>
    <w:rsid w:val="00084ABA"/>
    <w:rsid w:val="000875BF"/>
    <w:rsid w:val="000948F0"/>
    <w:rsid w:val="00096D8C"/>
    <w:rsid w:val="000B4ED4"/>
    <w:rsid w:val="000C0B65"/>
    <w:rsid w:val="000E05FE"/>
    <w:rsid w:val="000E3D42"/>
    <w:rsid w:val="00122BD5"/>
    <w:rsid w:val="00133F79"/>
    <w:rsid w:val="00194A66"/>
    <w:rsid w:val="001A7E35"/>
    <w:rsid w:val="001D054C"/>
    <w:rsid w:val="001D6BCF"/>
    <w:rsid w:val="001E01CA"/>
    <w:rsid w:val="001E1334"/>
    <w:rsid w:val="002371F4"/>
    <w:rsid w:val="00275CF5"/>
    <w:rsid w:val="0028301F"/>
    <w:rsid w:val="00285017"/>
    <w:rsid w:val="002A2D2E"/>
    <w:rsid w:val="002C00E8"/>
    <w:rsid w:val="002F51EA"/>
    <w:rsid w:val="00313930"/>
    <w:rsid w:val="00343749"/>
    <w:rsid w:val="00343A5A"/>
    <w:rsid w:val="0034541C"/>
    <w:rsid w:val="003660ED"/>
    <w:rsid w:val="003B0550"/>
    <w:rsid w:val="003B694F"/>
    <w:rsid w:val="003F171C"/>
    <w:rsid w:val="003F63F1"/>
    <w:rsid w:val="004053E5"/>
    <w:rsid w:val="00412FC5"/>
    <w:rsid w:val="004145B7"/>
    <w:rsid w:val="00422276"/>
    <w:rsid w:val="004242F1"/>
    <w:rsid w:val="004444A8"/>
    <w:rsid w:val="00445A00"/>
    <w:rsid w:val="00451B0F"/>
    <w:rsid w:val="00490B6F"/>
    <w:rsid w:val="004C2EE3"/>
    <w:rsid w:val="004E4A22"/>
    <w:rsid w:val="00511968"/>
    <w:rsid w:val="005261A2"/>
    <w:rsid w:val="00531658"/>
    <w:rsid w:val="0055614C"/>
    <w:rsid w:val="00561ED7"/>
    <w:rsid w:val="00566D06"/>
    <w:rsid w:val="005B6757"/>
    <w:rsid w:val="005E14C2"/>
    <w:rsid w:val="00604FFF"/>
    <w:rsid w:val="00607A55"/>
    <w:rsid w:val="00607BA5"/>
    <w:rsid w:val="0061180A"/>
    <w:rsid w:val="00616FF5"/>
    <w:rsid w:val="00626EB6"/>
    <w:rsid w:val="00655D03"/>
    <w:rsid w:val="00683388"/>
    <w:rsid w:val="00683F84"/>
    <w:rsid w:val="006A6A81"/>
    <w:rsid w:val="006F7393"/>
    <w:rsid w:val="007005AD"/>
    <w:rsid w:val="0070224F"/>
    <w:rsid w:val="007115F7"/>
    <w:rsid w:val="00712E08"/>
    <w:rsid w:val="00736740"/>
    <w:rsid w:val="00785689"/>
    <w:rsid w:val="00785AED"/>
    <w:rsid w:val="0079754B"/>
    <w:rsid w:val="007A1E6D"/>
    <w:rsid w:val="007B0EB2"/>
    <w:rsid w:val="007D26EE"/>
    <w:rsid w:val="00810B6F"/>
    <w:rsid w:val="00822CE0"/>
    <w:rsid w:val="00841AB1"/>
    <w:rsid w:val="008543C0"/>
    <w:rsid w:val="008857BB"/>
    <w:rsid w:val="008C68F1"/>
    <w:rsid w:val="008D04CF"/>
    <w:rsid w:val="008D4DD8"/>
    <w:rsid w:val="00921803"/>
    <w:rsid w:val="00926503"/>
    <w:rsid w:val="0095523D"/>
    <w:rsid w:val="009726D8"/>
    <w:rsid w:val="009A4EDB"/>
    <w:rsid w:val="009B1170"/>
    <w:rsid w:val="009C25EC"/>
    <w:rsid w:val="009D7308"/>
    <w:rsid w:val="009F76DB"/>
    <w:rsid w:val="00A32BF3"/>
    <w:rsid w:val="00A32C3B"/>
    <w:rsid w:val="00A33AFC"/>
    <w:rsid w:val="00A45F4F"/>
    <w:rsid w:val="00A600A9"/>
    <w:rsid w:val="00A60EC1"/>
    <w:rsid w:val="00A64D29"/>
    <w:rsid w:val="00A850FB"/>
    <w:rsid w:val="00A86CAF"/>
    <w:rsid w:val="00AA55B7"/>
    <w:rsid w:val="00AA5B9E"/>
    <w:rsid w:val="00AB2407"/>
    <w:rsid w:val="00AB53DF"/>
    <w:rsid w:val="00B07E5C"/>
    <w:rsid w:val="00B557AB"/>
    <w:rsid w:val="00B811F7"/>
    <w:rsid w:val="00B97D09"/>
    <w:rsid w:val="00BA5DC6"/>
    <w:rsid w:val="00BA6196"/>
    <w:rsid w:val="00BC6D8C"/>
    <w:rsid w:val="00BF4B1D"/>
    <w:rsid w:val="00BF4EFD"/>
    <w:rsid w:val="00C24B48"/>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20524"/>
    <w:rsid w:val="00E5409F"/>
    <w:rsid w:val="00E743C3"/>
    <w:rsid w:val="00EA5348"/>
    <w:rsid w:val="00EA5A8A"/>
    <w:rsid w:val="00ED317A"/>
    <w:rsid w:val="00EE6488"/>
    <w:rsid w:val="00F021FA"/>
    <w:rsid w:val="00F62E97"/>
    <w:rsid w:val="00F64209"/>
    <w:rsid w:val="00F64BE1"/>
    <w:rsid w:val="00F93BF5"/>
    <w:rsid w:val="00FA170B"/>
    <w:rsid w:val="00FE413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F806BA9-3D77-4D40-BFB5-9BF3843D2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AED"/>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Footnote Text Char Char,Footnote Text Char Char1 Char Char,Footnote Text Char1,Footnote Text Char1 Char Char,Footnote Text Char1 Char Char Char Char Char,Footnote Text Char2 Char Char,Footnote Text Char2 Char Char Char Char,f,fn"/>
    <w:link w:val="FootnoteTextChar"/>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TNOTE Char,Footnote Text Char Char Char,Footnote Text Char Char1 Char Char Char,Footnote Text Char1 Char,Footnote Text Char1 Char Char Char,Footnote Text Char1 Char Char Char Char Char Char,Footnote Text Char2 Char Char Char,f Char"/>
    <w:link w:val="FootnoteText"/>
    <w:rsid w:val="00785AED"/>
  </w:style>
  <w:style w:type="paragraph" w:styleId="BalloonText">
    <w:name w:val="Balloon Text"/>
    <w:basedOn w:val="Normal"/>
    <w:link w:val="BalloonTextChar"/>
    <w:rsid w:val="00FA170B"/>
    <w:rPr>
      <w:rFonts w:ascii="Segoe UI" w:hAnsi="Segoe UI" w:cs="Segoe UI"/>
      <w:sz w:val="18"/>
      <w:szCs w:val="18"/>
    </w:rPr>
  </w:style>
  <w:style w:type="character" w:customStyle="1" w:styleId="BalloonTextChar">
    <w:name w:val="Balloon Text Char"/>
    <w:basedOn w:val="DefaultParagraphFont"/>
    <w:link w:val="BalloonText"/>
    <w:rsid w:val="00FA170B"/>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