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60228B" w14:paraId="37D49599" w14:textId="77777777">
      <w:pPr>
        <w:jc w:val="center"/>
        <w:rPr>
          <w:b/>
        </w:rPr>
      </w:pPr>
      <w:bookmarkStart w:id="0" w:name="_GoBack"/>
      <w:bookmarkEnd w:id="0"/>
      <w:r>
        <w:rPr>
          <w:b/>
        </w:rPr>
        <w:t>Before the</w:t>
      </w:r>
    </w:p>
    <w:p w:rsidR="0060228B" w14:paraId="717BD4F0" w14:textId="77777777">
      <w:pPr>
        <w:jc w:val="center"/>
        <w:rPr>
          <w:b/>
        </w:rPr>
      </w:pPr>
      <w:r>
        <w:rPr>
          <w:b/>
        </w:rPr>
        <w:t>Federal Communications Commission</w:t>
      </w:r>
    </w:p>
    <w:p w:rsidR="0060228B" w14:paraId="36A4EA88" w14:textId="77777777">
      <w:pPr>
        <w:jc w:val="center"/>
        <w:rPr>
          <w:b/>
        </w:rPr>
      </w:pPr>
      <w:smartTag w:uri="urn:schemas-microsoft-com:office:smarttags" w:element="place">
        <w:smartTag w:uri="urn:schemas-microsoft-com:office:smarttags" w:element="City">
          <w:r>
            <w:rPr>
              <w:b/>
            </w:rPr>
            <w:t>Washington</w:t>
          </w:r>
        </w:smartTag>
        <w:r>
          <w:rPr>
            <w:b/>
          </w:rPr>
          <w:t xml:space="preserve">, </w:t>
        </w:r>
        <w:smartTag w:uri="urn:schemas-microsoft-com:office:smarttags" w:element="State">
          <w:r>
            <w:rPr>
              <w:b/>
            </w:rPr>
            <w:t>D.C.</w:t>
          </w:r>
        </w:smartTag>
        <w:r>
          <w:rPr>
            <w:b/>
          </w:rPr>
          <w:t xml:space="preserve"> </w:t>
        </w:r>
        <w:smartTag w:uri="urn:schemas-microsoft-com:office:smarttags" w:element="PostalCode">
          <w:r>
            <w:rPr>
              <w:b/>
            </w:rPr>
            <w:t>20554</w:t>
          </w:r>
        </w:smartTag>
      </w:smartTag>
    </w:p>
    <w:p w:rsidR="0060228B" w14:paraId="6FC63A3F" w14:textId="77777777"/>
    <w:p w:rsidR="0060228B" w14:paraId="22B570BC" w14:textId="77777777"/>
    <w:tbl>
      <w:tblPr>
        <w:tblW w:w="0" w:type="auto"/>
        <w:tblLayout w:type="fixed"/>
        <w:tblLook w:val="0000"/>
      </w:tblPr>
      <w:tblGrid>
        <w:gridCol w:w="4698"/>
        <w:gridCol w:w="720"/>
        <w:gridCol w:w="4230"/>
      </w:tblGrid>
      <w:tr w14:paraId="02797B9E" w14:textId="77777777">
        <w:tblPrEx>
          <w:tblW w:w="0" w:type="auto"/>
          <w:tblLayout w:type="fixed"/>
          <w:tblLook w:val="0000"/>
        </w:tblPrEx>
        <w:tc>
          <w:tcPr>
            <w:tcW w:w="4698" w:type="dxa"/>
          </w:tcPr>
          <w:p w:rsidR="0060228B" w14:paraId="25B29ADD" w14:textId="77777777">
            <w:pPr>
              <w:ind w:right="-18"/>
            </w:pPr>
            <w:r>
              <w:t xml:space="preserve">In the </w:t>
            </w:r>
            <w:r w:rsidR="002A29D2">
              <w:t>M</w:t>
            </w:r>
            <w:r>
              <w:t>atter of</w:t>
            </w:r>
          </w:p>
          <w:p w:rsidR="0060228B" w14:paraId="4FEBDD76" w14:textId="77777777">
            <w:pPr>
              <w:ind w:right="-18"/>
            </w:pPr>
          </w:p>
          <w:p w:rsidR="0060228B" w14:paraId="269BD528" w14:textId="77777777">
            <w:pPr>
              <w:ind w:right="-18"/>
            </w:pPr>
            <w:r>
              <w:t>8YY Access Charge Reform</w:t>
            </w:r>
          </w:p>
        </w:tc>
        <w:tc>
          <w:tcPr>
            <w:tcW w:w="720" w:type="dxa"/>
          </w:tcPr>
          <w:p w:rsidR="0060228B" w14:paraId="434D187A" w14:textId="77777777">
            <w:pPr>
              <w:rPr>
                <w:b/>
              </w:rPr>
            </w:pPr>
            <w:r>
              <w:rPr>
                <w:b/>
              </w:rPr>
              <w:t>)</w:t>
            </w:r>
          </w:p>
          <w:p w:rsidR="0060228B" w14:paraId="7FB0DBF4" w14:textId="77777777">
            <w:pPr>
              <w:rPr>
                <w:b/>
              </w:rPr>
            </w:pPr>
            <w:r>
              <w:rPr>
                <w:b/>
              </w:rPr>
              <w:t>)</w:t>
            </w:r>
          </w:p>
          <w:p w:rsidR="0060228B" w14:paraId="3EF32577" w14:textId="77777777">
            <w:pPr>
              <w:rPr>
                <w:b/>
              </w:rPr>
            </w:pPr>
            <w:r>
              <w:rPr>
                <w:b/>
              </w:rPr>
              <w:t>)</w:t>
            </w:r>
          </w:p>
          <w:p w:rsidR="0060228B" w14:paraId="10F10998" w14:textId="77777777">
            <w:pPr>
              <w:rPr>
                <w:b/>
              </w:rPr>
            </w:pPr>
            <w:r>
              <w:rPr>
                <w:b/>
              </w:rPr>
              <w:t>)</w:t>
            </w:r>
          </w:p>
          <w:p w:rsidR="0060228B" w14:paraId="0A09CB03" w14:textId="77777777">
            <w:pPr>
              <w:rPr>
                <w:b/>
              </w:rPr>
            </w:pPr>
          </w:p>
          <w:p w:rsidR="0060228B" w14:paraId="34BDEDCF" w14:textId="77777777">
            <w:pPr>
              <w:rPr>
                <w:b/>
              </w:rPr>
            </w:pPr>
          </w:p>
        </w:tc>
        <w:tc>
          <w:tcPr>
            <w:tcW w:w="4230" w:type="dxa"/>
          </w:tcPr>
          <w:p w:rsidR="0060228B" w14:paraId="7558EF1E" w14:textId="77777777"/>
          <w:p w:rsidR="0060228B" w14:paraId="6FDA58B1" w14:textId="77777777"/>
          <w:p w:rsidR="0060228B" w:rsidRPr="00EB1A95" w:rsidP="00F25801" w14:paraId="268975D0" w14:textId="77777777">
            <w:pPr>
              <w:rPr>
                <w:b/>
              </w:rPr>
            </w:pPr>
            <w:r>
              <w:rPr>
                <w:b/>
              </w:rPr>
              <w:t>WC Docket No. 18-156</w:t>
            </w:r>
          </w:p>
        </w:tc>
      </w:tr>
    </w:tbl>
    <w:p w:rsidR="0060228B" w14:paraId="098801B7" w14:textId="77777777"/>
    <w:p w:rsidR="0060228B" w:rsidP="002A4E36" w14:paraId="41B68E7E" w14:textId="77777777">
      <w:pPr>
        <w:spacing w:before="120"/>
        <w:jc w:val="center"/>
        <w:rPr>
          <w:b/>
          <w:spacing w:val="-2"/>
        </w:rPr>
      </w:pPr>
      <w:r>
        <w:rPr>
          <w:b/>
          <w:spacing w:val="-2"/>
        </w:rPr>
        <w:t xml:space="preserve">SECOND </w:t>
      </w:r>
      <w:r w:rsidR="002E484C">
        <w:rPr>
          <w:b/>
          <w:spacing w:val="-2"/>
        </w:rPr>
        <w:t>ERRATUM</w:t>
      </w:r>
    </w:p>
    <w:p w:rsidR="00E00E22" w14:paraId="13854D69" w14:textId="77777777">
      <w:pPr>
        <w:tabs>
          <w:tab w:val="left" w:pos="5760"/>
        </w:tabs>
        <w:rPr>
          <w:b/>
        </w:rPr>
      </w:pPr>
    </w:p>
    <w:p w:rsidR="0060228B" w:rsidP="002A29D2" w14:paraId="7BF770EF" w14:textId="36BDC72C">
      <w:pPr>
        <w:jc w:val="right"/>
        <w:rPr>
          <w:b/>
        </w:rPr>
      </w:pPr>
      <w:r>
        <w:rPr>
          <w:b/>
        </w:rPr>
        <w:t xml:space="preserve">Released:  </w:t>
      </w:r>
      <w:r w:rsidR="0045656F">
        <w:rPr>
          <w:b/>
        </w:rPr>
        <w:t xml:space="preserve">November </w:t>
      </w:r>
      <w:r w:rsidR="001C6622">
        <w:rPr>
          <w:b/>
        </w:rPr>
        <w:t>25</w:t>
      </w:r>
      <w:r w:rsidR="0045656F">
        <w:rPr>
          <w:b/>
        </w:rPr>
        <w:t>, 2020</w:t>
      </w:r>
    </w:p>
    <w:p w:rsidR="0060228B" w14:paraId="5EB47F14" w14:textId="77777777">
      <w:pPr>
        <w:tabs>
          <w:tab w:val="left" w:pos="5760"/>
        </w:tabs>
        <w:rPr>
          <w:b/>
        </w:rPr>
      </w:pPr>
    </w:p>
    <w:p w:rsidR="0060228B" w14:paraId="4D7BFEA7" w14:textId="77777777">
      <w:pPr>
        <w:tabs>
          <w:tab w:val="left" w:pos="5760"/>
        </w:tabs>
      </w:pPr>
      <w:r>
        <w:t>By the</w:t>
      </w:r>
      <w:r w:rsidR="00870BE1">
        <w:t xml:space="preserve"> Acting Bureau</w:t>
      </w:r>
      <w:r>
        <w:t xml:space="preserve"> </w:t>
      </w:r>
      <w:r w:rsidR="0045656F">
        <w:t>Chief, Wireline Competition Bureau</w:t>
      </w:r>
      <w:r>
        <w:rPr>
          <w:spacing w:val="-2"/>
        </w:rPr>
        <w:t>:</w:t>
      </w:r>
    </w:p>
    <w:p w:rsidR="0060228B" w14:paraId="28E52516" w14:textId="77777777"/>
    <w:p w:rsidR="0045656F" w:rsidP="0008490A" w14:paraId="79CC7D5A" w14:textId="298EB93B">
      <w:pPr>
        <w:pStyle w:val="ParaNum"/>
        <w:numPr>
          <w:ilvl w:val="0"/>
          <w:numId w:val="0"/>
        </w:numPr>
        <w:ind w:firstLine="720"/>
      </w:pPr>
      <w:r>
        <w:t xml:space="preserve">On </w:t>
      </w:r>
      <w:r>
        <w:t xml:space="preserve">October 9, 2020, the Commission released a </w:t>
      </w:r>
      <w:r>
        <w:rPr>
          <w:i/>
          <w:iCs/>
        </w:rPr>
        <w:t>Report and Order</w:t>
      </w:r>
      <w:r>
        <w:t xml:space="preserve">, FCC 20-143, in the above captioned proceeding.  On October 30, 2020, the Wireline Competition Bureau released an Erratum amending the </w:t>
      </w:r>
      <w:r>
        <w:rPr>
          <w:i/>
          <w:iCs/>
        </w:rPr>
        <w:t>Report and Order</w:t>
      </w:r>
      <w:r>
        <w:t xml:space="preserve">, including Appendix A thereto.  </w:t>
      </w:r>
      <w:r w:rsidRPr="00170B4B" w:rsidR="00170B4B">
        <w:t>To conform to the publishing conventions of the National Archives and Records Administration</w:t>
      </w:r>
      <w:r w:rsidR="00D12899">
        <w:t>’s</w:t>
      </w:r>
      <w:r w:rsidRPr="00170B4B" w:rsidR="00170B4B">
        <w:t xml:space="preserve"> Office of the Federal Register, </w:t>
      </w:r>
      <w:r w:rsidR="00170B4B">
        <w:t>t</w:t>
      </w:r>
      <w:r>
        <w:t xml:space="preserve">his </w:t>
      </w:r>
      <w:r>
        <w:t xml:space="preserve">Second </w:t>
      </w:r>
      <w:r>
        <w:t xml:space="preserve">Erratum </w:t>
      </w:r>
      <w:r>
        <w:t xml:space="preserve">further amends Appendix A of the </w:t>
      </w:r>
      <w:r>
        <w:rPr>
          <w:i/>
          <w:iCs/>
        </w:rPr>
        <w:t>Report and Order</w:t>
      </w:r>
      <w:r>
        <w:t xml:space="preserve"> as indicated below:</w:t>
      </w:r>
    </w:p>
    <w:p w:rsidR="00B07300" w:rsidP="0045656F" w14:paraId="34F1E706" w14:textId="2B87BACB">
      <w:pPr>
        <w:pStyle w:val="ParaNum"/>
        <w:numPr>
          <w:ilvl w:val="0"/>
          <w:numId w:val="28"/>
        </w:numPr>
      </w:pPr>
      <w:r>
        <w:t xml:space="preserve">In paragraph 1, </w:t>
      </w:r>
      <w:r w:rsidR="002B0766">
        <w:t xml:space="preserve">lower case the letter </w:t>
      </w:r>
      <w:r>
        <w:t>“P” to “part”.</w:t>
      </w:r>
    </w:p>
    <w:p w:rsidR="0045656F" w:rsidP="0045656F" w14:paraId="3F389870" w14:textId="1115B9FE">
      <w:pPr>
        <w:pStyle w:val="ParaNum"/>
        <w:numPr>
          <w:ilvl w:val="0"/>
          <w:numId w:val="28"/>
        </w:numPr>
      </w:pPr>
      <w:r>
        <w:t xml:space="preserve">In paragraph 2, </w:t>
      </w:r>
      <w:r w:rsidR="00A32B6D">
        <w:t>replace “Amend</w:t>
      </w:r>
      <w:r w:rsidR="002B0766">
        <w:t xml:space="preserve"> § 51.903</w:t>
      </w:r>
      <w:r w:rsidR="00A32B6D">
        <w:t xml:space="preserve">” with </w:t>
      </w:r>
      <w:r>
        <w:t>“Effective [INSERT DATE 30 DAYS AFTER DATE OF PUBLICATION IN THE FEDERAL REGISTER],</w:t>
      </w:r>
      <w:r w:rsidR="00A32B6D">
        <w:t xml:space="preserve"> amend”. </w:t>
      </w:r>
    </w:p>
    <w:p w:rsidR="00A32B6D" w:rsidP="0045656F" w14:paraId="793CD08F" w14:textId="098CFA40">
      <w:pPr>
        <w:pStyle w:val="ParaNum"/>
        <w:numPr>
          <w:ilvl w:val="0"/>
          <w:numId w:val="28"/>
        </w:numPr>
      </w:pPr>
      <w:r>
        <w:t>In paragraph 3, replace “Amend</w:t>
      </w:r>
      <w:r w:rsidR="002B0766">
        <w:t xml:space="preserve"> § 51.905</w:t>
      </w:r>
      <w:r>
        <w:t>” with “Effective [INSERT DATE 30 DAYS AFTER DATE OF PUBLICATION IN THE FEDERAL REGISTER], amend”.</w:t>
      </w:r>
    </w:p>
    <w:p w:rsidR="00A32B6D" w:rsidP="0045656F" w14:paraId="2D19EFEB" w14:textId="2C64C957">
      <w:pPr>
        <w:pStyle w:val="ParaNum"/>
        <w:numPr>
          <w:ilvl w:val="0"/>
          <w:numId w:val="28"/>
        </w:numPr>
      </w:pPr>
      <w:r>
        <w:t xml:space="preserve">In </w:t>
      </w:r>
      <w:r w:rsidR="001C6622">
        <w:t xml:space="preserve">paragraph (d) of Section 51.905, in </w:t>
      </w:r>
      <w:r w:rsidR="001A038E">
        <w:t>the first sentence</w:t>
      </w:r>
      <w:r w:rsidR="001C6622">
        <w:t>,</w:t>
      </w:r>
      <w:r w:rsidR="001A038E">
        <w:t xml:space="preserve"> </w:t>
      </w:r>
      <w:r w:rsidR="001C6622">
        <w:t>replace</w:t>
      </w:r>
      <w:r>
        <w:t xml:space="preserve"> “the Commission’s rules, only the originating carrier”</w:t>
      </w:r>
      <w:r w:rsidR="001C6622">
        <w:t xml:space="preserve"> with “the Commission’s rules in this chapter, only the originating carrier”</w:t>
      </w:r>
      <w:r>
        <w:t xml:space="preserve">. </w:t>
      </w:r>
    </w:p>
    <w:p w:rsidR="00A32B6D" w:rsidP="0045656F" w14:paraId="5715C87C" w14:textId="318CE659">
      <w:pPr>
        <w:pStyle w:val="ParaNum"/>
        <w:numPr>
          <w:ilvl w:val="0"/>
          <w:numId w:val="28"/>
        </w:numPr>
      </w:pPr>
      <w:r>
        <w:t>In paragraph 4, replace “Amend</w:t>
      </w:r>
      <w:r w:rsidR="002B0766">
        <w:t xml:space="preserve"> § 51.907</w:t>
      </w:r>
      <w:r>
        <w:t>” with “</w:t>
      </w:r>
      <w:r w:rsidR="001A038E">
        <w:t>Delayed until publication of a document announcing the effective date, amend</w:t>
      </w:r>
      <w:r>
        <w:t xml:space="preserve">”.  </w:t>
      </w:r>
    </w:p>
    <w:p w:rsidR="00952308" w:rsidP="0045656F" w14:paraId="79B92D23" w14:textId="75241025">
      <w:pPr>
        <w:pStyle w:val="ParaNum"/>
        <w:numPr>
          <w:ilvl w:val="0"/>
          <w:numId w:val="28"/>
        </w:numPr>
      </w:pPr>
      <w:r>
        <w:t>Paragraph (</w:t>
      </w:r>
      <w:r>
        <w:t>i</w:t>
      </w:r>
      <w:r>
        <w:t xml:space="preserve">) of </w:t>
      </w:r>
      <w:r w:rsidR="007612E2">
        <w:t>Section 51.907</w:t>
      </w:r>
      <w:r>
        <w:t xml:space="preserve"> is corrected </w:t>
      </w:r>
      <w:r w:rsidR="007612E2">
        <w:t>to read as follows:</w:t>
      </w:r>
    </w:p>
    <w:p w:rsidR="007612E2" w:rsidP="0008490A" w14:paraId="50058DBA" w14:textId="038C6371">
      <w:pPr>
        <w:pStyle w:val="ParaNum"/>
        <w:numPr>
          <w:ilvl w:val="0"/>
          <w:numId w:val="0"/>
        </w:numPr>
        <w:ind w:left="825"/>
      </w:pPr>
      <w:r>
        <w:t>“</w:t>
      </w:r>
      <w:r w:rsidR="00B45E5A">
        <w:t>(</w:t>
      </w:r>
      <w:r w:rsidR="00B45E5A">
        <w:t>i</w:t>
      </w:r>
      <w:r w:rsidR="00B45E5A">
        <w:t xml:space="preserve">) </w:t>
      </w:r>
      <w:r>
        <w:rPr>
          <w:i/>
          <w:iCs/>
        </w:rPr>
        <w:t xml:space="preserve">8YY Transition – Step </w:t>
      </w:r>
      <w:r w:rsidRPr="00F70414">
        <w:rPr>
          <w:i/>
          <w:iCs/>
        </w:rPr>
        <w:t>1.</w:t>
      </w:r>
      <w:r>
        <w:t xml:space="preserve">  Beginning July 1, 2021, and notwithstanding any other provision of the Commission’s rules in this </w:t>
      </w:r>
      <w:r w:rsidR="001A038E">
        <w:t>chapter</w:t>
      </w:r>
      <w:r>
        <w:t xml:space="preserve">, each Price Cap Carrier shall:”.  </w:t>
      </w:r>
    </w:p>
    <w:p w:rsidR="00BC4A36" w:rsidP="0045656F" w14:paraId="001AF5B6" w14:textId="19C9ECCE">
      <w:pPr>
        <w:pStyle w:val="ParaNum"/>
        <w:numPr>
          <w:ilvl w:val="0"/>
          <w:numId w:val="28"/>
        </w:numPr>
      </w:pPr>
      <w:r>
        <w:t xml:space="preserve">Paragraph (iii) of </w:t>
      </w:r>
      <w:r w:rsidR="00A32B6D">
        <w:t>Section 51.907(</w:t>
      </w:r>
      <w:r w:rsidR="00A32B6D">
        <w:t>i</w:t>
      </w:r>
      <w:r w:rsidR="00A32B6D">
        <w:t xml:space="preserve">)(2) </w:t>
      </w:r>
      <w:r>
        <w:t xml:space="preserve">is corrected </w:t>
      </w:r>
      <w:r w:rsidR="007612E2">
        <w:t>to read as follows:</w:t>
      </w:r>
    </w:p>
    <w:p w:rsidR="00A32B6D" w:rsidP="0008490A" w14:paraId="2550F221" w14:textId="728E51FB">
      <w:pPr>
        <w:pStyle w:val="ParaNum"/>
        <w:numPr>
          <w:ilvl w:val="0"/>
          <w:numId w:val="0"/>
        </w:numPr>
        <w:ind w:left="825"/>
      </w:pPr>
      <w:r>
        <w:t>“</w:t>
      </w:r>
      <w:r w:rsidR="00B45E5A">
        <w:t xml:space="preserve">(iii) </w:t>
      </w:r>
      <w:r>
        <w:t>If the value in paragraph (</w:t>
      </w:r>
      <w:r>
        <w:t>i</w:t>
      </w:r>
      <w:r>
        <w:t>)(2)(ii) of this section is less than or equal to the value in paragraph (</w:t>
      </w:r>
      <w:r>
        <w:t>i</w:t>
      </w:r>
      <w:r>
        <w:t>)(2)(</w:t>
      </w:r>
      <w:r>
        <w:t>i</w:t>
      </w:r>
      <w:r>
        <w:t>) of this section, the Price Cap Carrier’s intrastate End Office Access Service rates shall remain unchanged.”</w:t>
      </w:r>
      <w:r w:rsidR="001A038E">
        <w:t>.</w:t>
      </w:r>
    </w:p>
    <w:p w:rsidR="00B45E5A" w:rsidP="0045656F" w14:paraId="2D659982" w14:textId="708B5E67">
      <w:pPr>
        <w:pStyle w:val="ParaNum"/>
        <w:numPr>
          <w:ilvl w:val="0"/>
          <w:numId w:val="28"/>
        </w:numPr>
      </w:pPr>
      <w:r>
        <w:t>Paragraph (iv) of</w:t>
      </w:r>
      <w:r w:rsidR="007612E2">
        <w:t xml:space="preserve"> Section 51.907(</w:t>
      </w:r>
      <w:r w:rsidR="007612E2">
        <w:t>i</w:t>
      </w:r>
      <w:r w:rsidR="007612E2">
        <w:t>)(2)</w:t>
      </w:r>
      <w:r>
        <w:t xml:space="preserve"> is corrected</w:t>
      </w:r>
      <w:r w:rsidR="007612E2">
        <w:t xml:space="preserve"> to read as follows:</w:t>
      </w:r>
    </w:p>
    <w:p w:rsidR="00C36AE7" w:rsidP="0008490A" w14:paraId="2DBED6F6" w14:textId="2DB17CF8">
      <w:pPr>
        <w:pStyle w:val="ParaNum"/>
        <w:numPr>
          <w:ilvl w:val="0"/>
          <w:numId w:val="0"/>
        </w:numPr>
        <w:ind w:left="825"/>
      </w:pPr>
      <w:r>
        <w:t>“</w:t>
      </w:r>
      <w:r w:rsidR="00B45E5A">
        <w:t xml:space="preserve">(iv) </w:t>
      </w:r>
      <w:r>
        <w:t>If the value in paragraph (</w:t>
      </w:r>
      <w:r>
        <w:t>i</w:t>
      </w:r>
      <w:r>
        <w:t>)(2)(ii) of this section is greater than the value in paragraph (</w:t>
      </w:r>
      <w:r>
        <w:t>i</w:t>
      </w:r>
      <w:r>
        <w:t>)(2)(</w:t>
      </w:r>
      <w:r>
        <w:t>i</w:t>
      </w:r>
      <w:r>
        <w:t xml:space="preserve">) of this section, the Price Cap Carrier shall reduce intrastate rates for End Office Access Service so that they are equal to the Price Cap Carrier’s functionally equivalent interstate rates for End Office Access Rates and shall be subject to the interstate rate structure and all subsequent rate and rate structure modifications.”.  </w:t>
      </w:r>
    </w:p>
    <w:p w:rsidR="00F70414" w:rsidP="0045656F" w14:paraId="0D4960D4" w14:textId="2C31C90F">
      <w:pPr>
        <w:pStyle w:val="ParaNum"/>
        <w:numPr>
          <w:ilvl w:val="0"/>
          <w:numId w:val="28"/>
        </w:numPr>
      </w:pPr>
      <w:r>
        <w:t>In paragraph (v) of Section 51.907(</w:t>
      </w:r>
      <w:r>
        <w:t>i</w:t>
      </w:r>
      <w:r>
        <w:t>)(2), i</w:t>
      </w:r>
      <w:r w:rsidR="007612E2">
        <w:t>n</w:t>
      </w:r>
      <w:r w:rsidR="001A038E">
        <w:t xml:space="preserve"> the first sentence</w:t>
      </w:r>
      <w:r w:rsidR="007612E2">
        <w:t xml:space="preserve">, </w:t>
      </w:r>
      <w:r w:rsidR="00870BE1">
        <w:t xml:space="preserve">delete “this” before </w:t>
      </w:r>
      <w:r w:rsidR="00032601">
        <w:t xml:space="preserve">the word </w:t>
      </w:r>
      <w:r w:rsidR="00870BE1">
        <w:t xml:space="preserve">“paragraph” and </w:t>
      </w:r>
      <w:r w:rsidR="00032601">
        <w:t xml:space="preserve">replace  “paragraph, nothing in this section allows a Price Cap Carrier” with </w:t>
      </w:r>
      <w:r w:rsidR="00870BE1">
        <w:t>“</w:t>
      </w:r>
      <w:r w:rsidR="00032601">
        <w:t xml:space="preserve">paragraph </w:t>
      </w:r>
      <w:r w:rsidR="00870BE1">
        <w:t>(</w:t>
      </w:r>
      <w:r w:rsidR="00870BE1">
        <w:t>i</w:t>
      </w:r>
      <w:r w:rsidR="00870BE1">
        <w:t xml:space="preserve">)(2) of this section, nothing in this section allows a Price Cap Carrier”.   </w:t>
      </w:r>
    </w:p>
    <w:p w:rsidR="007612E2" w:rsidP="0045656F" w14:paraId="5314671A" w14:textId="15FFCE80">
      <w:pPr>
        <w:pStyle w:val="ParaNum"/>
        <w:numPr>
          <w:ilvl w:val="0"/>
          <w:numId w:val="28"/>
        </w:numPr>
      </w:pPr>
      <w:r>
        <w:t xml:space="preserve">In </w:t>
      </w:r>
      <w:r w:rsidR="00032601">
        <w:t xml:space="preserve">paragraph </w:t>
      </w:r>
      <w:r>
        <w:t>(3)</w:t>
      </w:r>
      <w:r w:rsidR="00032601">
        <w:t xml:space="preserve"> of</w:t>
      </w:r>
      <w:r>
        <w:t xml:space="preserve"> </w:t>
      </w:r>
      <w:r w:rsidR="002B0766">
        <w:t>Section 51.907(</w:t>
      </w:r>
      <w:r w:rsidR="002B0766">
        <w:t>i</w:t>
      </w:r>
      <w:r w:rsidR="002B0766">
        <w:t>)</w:t>
      </w:r>
      <w:r w:rsidR="00032601">
        <w:t xml:space="preserve">, </w:t>
      </w:r>
      <w:r>
        <w:t xml:space="preserve">replace the semicolon after “methodology” with “(as defined in § 51.713).” </w:t>
      </w:r>
    </w:p>
    <w:p w:rsidR="0089264C" w:rsidP="0045656F" w14:paraId="67114BE6" w14:textId="3B9802F8">
      <w:pPr>
        <w:pStyle w:val="ParaNum"/>
        <w:numPr>
          <w:ilvl w:val="0"/>
          <w:numId w:val="28"/>
        </w:numPr>
      </w:pPr>
      <w:r>
        <w:t xml:space="preserve">Paragraph </w:t>
      </w:r>
      <w:r w:rsidR="00F70414">
        <w:t xml:space="preserve">(j) </w:t>
      </w:r>
      <w:r>
        <w:t xml:space="preserve">of Section 51.907 is corrected </w:t>
      </w:r>
      <w:r w:rsidR="00F70414">
        <w:t xml:space="preserve">to read as follows:  </w:t>
      </w:r>
    </w:p>
    <w:p w:rsidR="00F70414" w:rsidP="0008490A" w14:paraId="50C4323A" w14:textId="0965D4B2">
      <w:pPr>
        <w:pStyle w:val="ParaNum"/>
        <w:numPr>
          <w:ilvl w:val="0"/>
          <w:numId w:val="0"/>
        </w:numPr>
        <w:ind w:left="360"/>
      </w:pPr>
      <w:r>
        <w:t>“</w:t>
      </w:r>
      <w:r w:rsidR="0089264C">
        <w:t xml:space="preserve">(j) </w:t>
      </w:r>
      <w:r>
        <w:rPr>
          <w:i/>
          <w:iCs/>
        </w:rPr>
        <w:t>8YY Transition – Step 2.</w:t>
      </w:r>
      <w:r>
        <w:t xml:space="preserve">  Beginning July 1, 2022, and notwithstanding any other provision of the Commission’s rules in this </w:t>
      </w:r>
      <w:r w:rsidR="001A038E">
        <w:t>chapter</w:t>
      </w:r>
      <w:r>
        <w:t xml:space="preserve">, each Price Cap Carrier shall:”.  </w:t>
      </w:r>
    </w:p>
    <w:p w:rsidR="00F70414" w:rsidP="0045656F" w14:paraId="11C7B67C" w14:textId="77777777">
      <w:pPr>
        <w:pStyle w:val="ParaNum"/>
        <w:numPr>
          <w:ilvl w:val="0"/>
          <w:numId w:val="28"/>
        </w:numPr>
      </w:pPr>
      <w:r>
        <w:t xml:space="preserve">In Section 51.907(j)(1), add “of this section” after “paragraph (a)” and before “; and”.  </w:t>
      </w:r>
    </w:p>
    <w:p w:rsidR="00F70414" w:rsidP="0045656F" w14:paraId="35B07D9A" w14:textId="77777777">
      <w:pPr>
        <w:pStyle w:val="ParaNum"/>
        <w:numPr>
          <w:ilvl w:val="0"/>
          <w:numId w:val="28"/>
        </w:numPr>
      </w:pPr>
      <w:r>
        <w:t xml:space="preserve">In Section 51.907(j)(2), add </w:t>
      </w:r>
      <w:r w:rsidR="0001407B">
        <w:t>“of this section” after “paragraph (</w:t>
      </w:r>
      <w:r w:rsidR="0001407B">
        <w:t>i</w:t>
      </w:r>
      <w:r w:rsidR="0001407B">
        <w:t>)(6)”</w:t>
      </w:r>
      <w:r w:rsidR="001A038E">
        <w:t xml:space="preserve"> and before “and the transitional rate of $0.0002”.  </w:t>
      </w:r>
      <w:r w:rsidR="0001407B">
        <w:t xml:space="preserve">  </w:t>
      </w:r>
    </w:p>
    <w:p w:rsidR="0001407B" w:rsidP="0045656F" w14:paraId="4ECF4C85" w14:textId="77777777">
      <w:pPr>
        <w:pStyle w:val="ParaNum"/>
        <w:numPr>
          <w:ilvl w:val="0"/>
          <w:numId w:val="28"/>
        </w:numPr>
      </w:pPr>
      <w:r>
        <w:t xml:space="preserve">In Section 51.907(j)(2), add “of this section.” after “paragraph (k)(2)”.  </w:t>
      </w:r>
    </w:p>
    <w:p w:rsidR="0089264C" w:rsidP="0045656F" w14:paraId="66CC2901" w14:textId="759F88F9">
      <w:pPr>
        <w:pStyle w:val="ParaNum"/>
        <w:numPr>
          <w:ilvl w:val="0"/>
          <w:numId w:val="28"/>
        </w:numPr>
      </w:pPr>
      <w:r>
        <w:t xml:space="preserve">Paragraph (k) of </w:t>
      </w:r>
      <w:r w:rsidR="00A91058">
        <w:t xml:space="preserve">Section </w:t>
      </w:r>
      <w:r w:rsidR="0001407B">
        <w:t>51.907</w:t>
      </w:r>
      <w:r>
        <w:t xml:space="preserve"> is corrected </w:t>
      </w:r>
      <w:r w:rsidR="00A91058">
        <w:t xml:space="preserve">to read as follows:  </w:t>
      </w:r>
    </w:p>
    <w:p w:rsidR="0001407B" w:rsidP="0008490A" w14:paraId="01B7606A" w14:textId="36397FA3">
      <w:pPr>
        <w:pStyle w:val="ParaNum"/>
        <w:numPr>
          <w:ilvl w:val="0"/>
          <w:numId w:val="0"/>
        </w:numPr>
        <w:ind w:left="360"/>
      </w:pPr>
      <w:r>
        <w:t>“</w:t>
      </w:r>
      <w:r w:rsidR="0089264C">
        <w:t xml:space="preserve">(k) </w:t>
      </w:r>
      <w:r>
        <w:rPr>
          <w:i/>
          <w:iCs/>
        </w:rPr>
        <w:t>8YY Transition – Step 3.</w:t>
      </w:r>
      <w:r w:rsidR="00A91058">
        <w:t xml:space="preserve">  Beginning July 1, 2023, and notwithstanding any other provision of the Commission’s rules in this chapter, each Price Cap Carrier shall:”.</w:t>
      </w:r>
    </w:p>
    <w:p w:rsidR="0001407B" w:rsidP="0045656F" w14:paraId="72FA6AAB" w14:textId="346376A5">
      <w:pPr>
        <w:pStyle w:val="ParaNum"/>
        <w:numPr>
          <w:ilvl w:val="0"/>
          <w:numId w:val="28"/>
        </w:numPr>
      </w:pPr>
      <w:r>
        <w:t>In paragraph 5, replace “Amend</w:t>
      </w:r>
      <w:r w:rsidR="00032601">
        <w:t xml:space="preserve"> § 51.909</w:t>
      </w:r>
      <w:r>
        <w:t xml:space="preserve">” with “Delayed until publication of a document announcing the effective date, amend”.  </w:t>
      </w:r>
    </w:p>
    <w:p w:rsidR="0089264C" w:rsidP="0045656F" w14:paraId="573482C0" w14:textId="264052AD">
      <w:pPr>
        <w:pStyle w:val="ParaNum"/>
        <w:numPr>
          <w:ilvl w:val="0"/>
          <w:numId w:val="28"/>
        </w:numPr>
      </w:pPr>
      <w:r>
        <w:t xml:space="preserve"> </w:t>
      </w:r>
      <w:r>
        <w:t xml:space="preserve">Paragraph (l) of </w:t>
      </w:r>
      <w:r w:rsidR="00A91058">
        <w:t>Section 51.909</w:t>
      </w:r>
      <w:r>
        <w:t xml:space="preserve"> is corrected </w:t>
      </w:r>
      <w:r w:rsidR="00A91058">
        <w:t>to read as follows:</w:t>
      </w:r>
    </w:p>
    <w:p w:rsidR="0001407B" w:rsidP="0008490A" w14:paraId="0BDB09C1" w14:textId="0CB06EF9">
      <w:pPr>
        <w:pStyle w:val="ParaNum"/>
        <w:numPr>
          <w:ilvl w:val="0"/>
          <w:numId w:val="0"/>
        </w:numPr>
        <w:ind w:left="360"/>
      </w:pPr>
      <w:r>
        <w:t>“</w:t>
      </w:r>
      <w:r w:rsidR="0089264C">
        <w:t xml:space="preserve">(l) </w:t>
      </w:r>
      <w:r>
        <w:rPr>
          <w:i/>
          <w:iCs/>
        </w:rPr>
        <w:t>8YY Transition – Step 1.</w:t>
      </w:r>
      <w:r>
        <w:t xml:space="preserve">  As of [INSERT DATE 30 DAYS AFTER DATE OF PUBLICATION IN THE FEDERAL REGISTER], each rate-of-return carrier shall cap the rate for all intrastate originating access charge rate elements for Toll Free Calls, including for Toll Free Database Query Charges.”   </w:t>
      </w:r>
    </w:p>
    <w:p w:rsidR="0089264C" w:rsidP="0045656F" w14:paraId="326FDA45" w14:textId="32D1F444">
      <w:pPr>
        <w:pStyle w:val="ParaNum"/>
        <w:numPr>
          <w:ilvl w:val="0"/>
          <w:numId w:val="28"/>
        </w:numPr>
      </w:pPr>
      <w:r>
        <w:t>Paragraph (m) of</w:t>
      </w:r>
      <w:r w:rsidR="00A91058">
        <w:t xml:space="preserve"> Section 51.909 </w:t>
      </w:r>
      <w:r>
        <w:t xml:space="preserve">is corrected </w:t>
      </w:r>
      <w:r w:rsidR="00A91058">
        <w:t>to read as follows:</w:t>
      </w:r>
    </w:p>
    <w:p w:rsidR="00A91058" w:rsidP="0008490A" w14:paraId="6D11DD3E" w14:textId="3B9493CB">
      <w:pPr>
        <w:pStyle w:val="ParaNum"/>
        <w:numPr>
          <w:ilvl w:val="0"/>
          <w:numId w:val="0"/>
        </w:numPr>
        <w:ind w:left="360"/>
      </w:pPr>
      <w:r>
        <w:t>“</w:t>
      </w:r>
      <w:r w:rsidR="0089264C">
        <w:t xml:space="preserve">(m) </w:t>
      </w:r>
      <w:r>
        <w:rPr>
          <w:i/>
          <w:iCs/>
        </w:rPr>
        <w:t>8YY Transition – Step 2.</w:t>
      </w:r>
      <w:r>
        <w:t xml:space="preserve">  Beginning July 1, 2021, and notwithstanding any other provision of the Commission’s rules in this chapter, each Rate-of-Return Carrier shall:”.  </w:t>
      </w:r>
    </w:p>
    <w:p w:rsidR="00A91058" w:rsidP="0045656F" w14:paraId="61619333" w14:textId="4DF6AA56">
      <w:pPr>
        <w:pStyle w:val="ParaNum"/>
        <w:numPr>
          <w:ilvl w:val="0"/>
          <w:numId w:val="28"/>
        </w:numPr>
      </w:pPr>
      <w:r>
        <w:t xml:space="preserve">In </w:t>
      </w:r>
      <w:r w:rsidR="0089264C">
        <w:t xml:space="preserve">paragraph (m)(1) of </w:t>
      </w:r>
      <w:r>
        <w:t xml:space="preserve">Section 51.909, replace “treated as non-toll free charges;” with “treated as non-toll free charges.”.  </w:t>
      </w:r>
    </w:p>
    <w:p w:rsidR="00A91058" w:rsidP="0045656F" w14:paraId="7758F925" w14:textId="0AF18C0C">
      <w:pPr>
        <w:pStyle w:val="ParaNum"/>
        <w:numPr>
          <w:ilvl w:val="0"/>
          <w:numId w:val="28"/>
        </w:numPr>
      </w:pPr>
      <w:r>
        <w:t xml:space="preserve">In </w:t>
      </w:r>
      <w:r w:rsidR="0089264C">
        <w:t xml:space="preserve">paragraph (2) of </w:t>
      </w:r>
      <w:r w:rsidR="002742F5">
        <w:t>S</w:t>
      </w:r>
      <w:r>
        <w:t>ection 51.909(m)</w:t>
      </w:r>
      <w:r w:rsidR="002742F5">
        <w:t xml:space="preserve">, replace “end office access service rates as follows;” with “end office access service rates as follows:”.  </w:t>
      </w:r>
    </w:p>
    <w:p w:rsidR="0089264C" w:rsidP="0045656F" w14:paraId="4D89DFED" w14:textId="77846472">
      <w:pPr>
        <w:pStyle w:val="ParaNum"/>
        <w:numPr>
          <w:ilvl w:val="0"/>
          <w:numId w:val="28"/>
        </w:numPr>
      </w:pPr>
      <w:r>
        <w:t>Paragraph (iii) of</w:t>
      </w:r>
      <w:r w:rsidR="00EB13F4">
        <w:t xml:space="preserve"> </w:t>
      </w:r>
      <w:r w:rsidR="002742F5">
        <w:t>Section 51.909(m)(2)</w:t>
      </w:r>
      <w:r>
        <w:t xml:space="preserve"> is corrected</w:t>
      </w:r>
      <w:r w:rsidR="002742F5">
        <w:t xml:space="preserve"> to read as follows:</w:t>
      </w:r>
    </w:p>
    <w:p w:rsidR="002742F5" w:rsidP="0008490A" w14:paraId="2B5AF6AE" w14:textId="2D0E523D">
      <w:pPr>
        <w:pStyle w:val="ParaNum"/>
        <w:numPr>
          <w:ilvl w:val="0"/>
          <w:numId w:val="0"/>
        </w:numPr>
        <w:ind w:left="360"/>
      </w:pPr>
      <w:r>
        <w:t>“</w:t>
      </w:r>
      <w:r w:rsidR="0089264C">
        <w:t xml:space="preserve">(iii) </w:t>
      </w:r>
      <w:r>
        <w:t>If the value in paragraph (m)(2)(ii) of this section is less than or equal to the value in paragraph (m)(2)(</w:t>
      </w:r>
      <w:r>
        <w:t>i</w:t>
      </w:r>
      <w:r>
        <w:t>) of this section, the Rate-of-Return Carrier’s intrastate End Office Access Service rates shall remain unchanged.”.</w:t>
      </w:r>
    </w:p>
    <w:p w:rsidR="00CB60F9" w:rsidP="002742F5" w14:paraId="2FDFD000" w14:textId="58776650">
      <w:pPr>
        <w:pStyle w:val="ParaNum"/>
        <w:numPr>
          <w:ilvl w:val="0"/>
          <w:numId w:val="28"/>
        </w:numPr>
      </w:pPr>
      <w:r>
        <w:t xml:space="preserve">Paragraph (iv) of </w:t>
      </w:r>
      <w:r w:rsidR="002742F5">
        <w:t xml:space="preserve">Section 51.909(m)(2) </w:t>
      </w:r>
      <w:r>
        <w:t xml:space="preserve">is corrected </w:t>
      </w:r>
      <w:r w:rsidR="002742F5">
        <w:t>to read as follows:</w:t>
      </w:r>
    </w:p>
    <w:p w:rsidR="002742F5" w:rsidP="0008490A" w14:paraId="5BB63CF6" w14:textId="779CEFC3">
      <w:pPr>
        <w:pStyle w:val="ParaNum"/>
        <w:numPr>
          <w:ilvl w:val="0"/>
          <w:numId w:val="0"/>
        </w:numPr>
        <w:ind w:left="360"/>
      </w:pPr>
      <w:r>
        <w:t>“</w:t>
      </w:r>
      <w:r w:rsidR="00CB60F9">
        <w:t xml:space="preserve">(iv) </w:t>
      </w:r>
      <w:r>
        <w:t>If the value in paragraph (m)(2)(ii) of this section is greater than the value in paragraph (m)(2)(</w:t>
      </w:r>
      <w:r>
        <w:t>i</w:t>
      </w:r>
      <w:r>
        <w:t xml:space="preserve">) of this section, the Rate-of-Return Carrier shall reduce intrastate rates for End Office Access Service so that they are equal to the Rate-of-Return Carrier’s functionally equivalent interstate rates for End Office Access Rates and shall be subject to the interstate rate structure and all subsequent rate and rate structure modifications.”.  </w:t>
      </w:r>
    </w:p>
    <w:p w:rsidR="002742F5" w:rsidP="00AC1AA0" w14:paraId="315B4FA3" w14:textId="5339721C">
      <w:pPr>
        <w:pStyle w:val="ParaNum"/>
        <w:numPr>
          <w:ilvl w:val="0"/>
          <w:numId w:val="28"/>
        </w:numPr>
      </w:pPr>
      <w:r>
        <w:t xml:space="preserve">In </w:t>
      </w:r>
      <w:r w:rsidR="00CB60F9">
        <w:t xml:space="preserve">paragraph (v) of </w:t>
      </w:r>
      <w:r>
        <w:t xml:space="preserve">Section 51.909(m)(2), delete “this” before </w:t>
      </w:r>
      <w:r w:rsidR="00CB60F9">
        <w:t xml:space="preserve">the word </w:t>
      </w:r>
      <w:r>
        <w:t>“paragraph”</w:t>
      </w:r>
      <w:r w:rsidR="00AC1AA0">
        <w:t xml:space="preserve"> and replace</w:t>
      </w:r>
      <w:r>
        <w:t xml:space="preserve"> “paragraph</w:t>
      </w:r>
      <w:r w:rsidR="00AC1AA0">
        <w:t>, nothing in this section allows a Rate-of-Return Carrier</w:t>
      </w:r>
      <w:r>
        <w:t xml:space="preserve">” </w:t>
      </w:r>
      <w:r w:rsidR="00AC1AA0">
        <w:t>with “paragraph (m)(2) of this section, nothing in this section allows a Rate-of-Return Carrier”</w:t>
      </w:r>
      <w:r>
        <w:t xml:space="preserve">.  </w:t>
      </w:r>
    </w:p>
    <w:p w:rsidR="002742F5" w:rsidP="002742F5" w14:paraId="170AF4D0" w14:textId="2FDEC246">
      <w:pPr>
        <w:pStyle w:val="ParaNum"/>
        <w:numPr>
          <w:ilvl w:val="0"/>
          <w:numId w:val="28"/>
        </w:numPr>
      </w:pPr>
      <w:r>
        <w:t xml:space="preserve">In </w:t>
      </w:r>
      <w:r w:rsidR="00AC1AA0">
        <w:t xml:space="preserve">paragraph (3) of </w:t>
      </w:r>
      <w:r>
        <w:t xml:space="preserve">Section 51.909(m), </w:t>
      </w:r>
      <w:r w:rsidR="00AC1AA0">
        <w:t xml:space="preserve">replace the word “methodology” with the phrase </w:t>
      </w:r>
      <w:r>
        <w:t>“</w:t>
      </w:r>
      <w:r w:rsidR="00AC1AA0">
        <w:t xml:space="preserve">methodology </w:t>
      </w:r>
      <w:r w:rsidR="00AE0670">
        <w:t>(</w:t>
      </w:r>
      <w:r>
        <w:t>as defined in § 51.713</w:t>
      </w:r>
      <w:r w:rsidR="00AE0670">
        <w:t>)</w:t>
      </w:r>
      <w:r w:rsidR="00AC1AA0">
        <w:t>.</w:t>
      </w:r>
      <w:r>
        <w:t xml:space="preserve">”.  </w:t>
      </w:r>
    </w:p>
    <w:p w:rsidR="00AC1AA0" w:rsidP="002742F5" w14:paraId="012B4A24" w14:textId="2F015F41">
      <w:pPr>
        <w:pStyle w:val="ParaNum"/>
        <w:numPr>
          <w:ilvl w:val="0"/>
          <w:numId w:val="28"/>
        </w:numPr>
      </w:pPr>
      <w:r>
        <w:t>Paragraph (n) of</w:t>
      </w:r>
      <w:r w:rsidR="002742F5">
        <w:t xml:space="preserve"> Section 51.909</w:t>
      </w:r>
      <w:r>
        <w:t xml:space="preserve"> is corrected</w:t>
      </w:r>
      <w:r w:rsidR="002742F5">
        <w:t xml:space="preserve"> to read as follows:</w:t>
      </w:r>
    </w:p>
    <w:p w:rsidR="002742F5" w:rsidP="0008490A" w14:paraId="1A5E85D0" w14:textId="62B00625">
      <w:pPr>
        <w:pStyle w:val="ParaNum"/>
        <w:numPr>
          <w:ilvl w:val="0"/>
          <w:numId w:val="0"/>
        </w:numPr>
        <w:ind w:left="360"/>
      </w:pPr>
      <w:r>
        <w:t>“</w:t>
      </w:r>
      <w:r w:rsidR="00AC1AA0">
        <w:t xml:space="preserve">(n) </w:t>
      </w:r>
      <w:r>
        <w:rPr>
          <w:i/>
          <w:iCs/>
        </w:rPr>
        <w:t>8YY Transition – Step 3.</w:t>
      </w:r>
      <w:r>
        <w:t xml:space="preserve">  Beginning July 1, 2022, and notwithstanding any other provision of the Commission’s rules in this chapter, each Rate-of-Return Carrier shall:”.  </w:t>
      </w:r>
    </w:p>
    <w:p w:rsidR="00EB13F4" w:rsidP="00524665" w14:paraId="23AB324D" w14:textId="1122A915">
      <w:pPr>
        <w:pStyle w:val="ParaNum"/>
        <w:numPr>
          <w:ilvl w:val="0"/>
          <w:numId w:val="28"/>
        </w:numPr>
      </w:pPr>
      <w:r>
        <w:t xml:space="preserve">In paragraph (n)(1) of </w:t>
      </w:r>
      <w:r w:rsidR="00B74B67">
        <w:t>Section 51.909</w:t>
      </w:r>
      <w:r>
        <w:t>,</w:t>
      </w:r>
      <w:r w:rsidR="002742F5">
        <w:t xml:space="preserve"> </w:t>
      </w:r>
      <w:r w:rsidR="00AC1AA0">
        <w:t>replace</w:t>
      </w:r>
      <w:r w:rsidR="002742F5">
        <w:t xml:space="preserve"> “</w:t>
      </w:r>
      <w:r w:rsidR="00AC1AA0">
        <w:t xml:space="preserve">paragraph (a) and” with “paragraph (a) </w:t>
      </w:r>
      <w:r w:rsidR="002742F5">
        <w:t>of this section</w:t>
      </w:r>
      <w:r w:rsidRPr="00AC1AA0" w:rsidR="00AC1AA0">
        <w:t xml:space="preserve"> </w:t>
      </w:r>
      <w:r w:rsidR="00AC1AA0">
        <w:t>, and</w:t>
      </w:r>
      <w:r w:rsidR="002742F5">
        <w:t>”</w:t>
      </w:r>
      <w:r>
        <w:t>; and i</w:t>
      </w:r>
      <w:r w:rsidR="002742F5">
        <w:t xml:space="preserve">n </w:t>
      </w:r>
      <w:r w:rsidR="00B74B67">
        <w:t xml:space="preserve">paragraph </w:t>
      </w:r>
      <w:r>
        <w:t>(n)</w:t>
      </w:r>
      <w:r w:rsidR="00B74B67">
        <w:t>(2)</w:t>
      </w:r>
      <w:r w:rsidR="002742F5">
        <w:t>, replace “</w:t>
      </w:r>
      <w:r w:rsidR="00B74B67">
        <w:t xml:space="preserve">paragraph </w:t>
      </w:r>
      <w:r w:rsidR="002742F5">
        <w:t>(n)</w:t>
      </w:r>
      <w:r w:rsidR="00B74B67">
        <w:t>(6)</w:t>
      </w:r>
      <w:r w:rsidR="002742F5">
        <w:t>” with “</w:t>
      </w:r>
      <w:r w:rsidR="00B74B67">
        <w:t xml:space="preserve">paragraph </w:t>
      </w:r>
      <w:r w:rsidR="002742F5">
        <w:t>(m)</w:t>
      </w:r>
      <w:r w:rsidR="00B74B67">
        <w:t>(6) of this section</w:t>
      </w:r>
      <w:r w:rsidR="002742F5">
        <w:t>”</w:t>
      </w:r>
      <w:r>
        <w:t xml:space="preserve"> before “and the transitional rate”</w:t>
      </w:r>
      <w:r w:rsidR="00B74B67">
        <w:t xml:space="preserve"> and</w:t>
      </w:r>
      <w:r>
        <w:t xml:space="preserve"> replace “</w:t>
      </w:r>
      <w:r w:rsidR="00B74B67">
        <w:t xml:space="preserve">paragraph </w:t>
      </w:r>
      <w:r>
        <w:t>(p)</w:t>
      </w:r>
      <w:r w:rsidR="00B74B67">
        <w:t>(2)</w:t>
      </w:r>
      <w:r>
        <w:t>” with “</w:t>
      </w:r>
      <w:r w:rsidR="00B74B67">
        <w:t xml:space="preserve">paragraph </w:t>
      </w:r>
      <w:r>
        <w:t>(o)</w:t>
      </w:r>
      <w:r w:rsidR="00B74B67">
        <w:t>(2) of this section.</w:t>
      </w:r>
      <w:r>
        <w:t xml:space="preserve">”.  </w:t>
      </w:r>
    </w:p>
    <w:p w:rsidR="00B74B67" w:rsidP="00EB13F4" w14:paraId="74479ED2" w14:textId="653A4D1C">
      <w:pPr>
        <w:pStyle w:val="ParaNum"/>
        <w:numPr>
          <w:ilvl w:val="0"/>
          <w:numId w:val="28"/>
        </w:numPr>
      </w:pPr>
      <w:r>
        <w:t>Paragraph (o) of</w:t>
      </w:r>
      <w:r w:rsidR="00EB13F4">
        <w:t xml:space="preserve"> Section 51.909</w:t>
      </w:r>
      <w:r>
        <w:t xml:space="preserve"> is corrected</w:t>
      </w:r>
      <w:r w:rsidR="00EB13F4">
        <w:t xml:space="preserve"> to read as follows:</w:t>
      </w:r>
    </w:p>
    <w:p w:rsidR="00EB13F4" w:rsidP="0008490A" w14:paraId="79B57083" w14:textId="08AD0936">
      <w:pPr>
        <w:pStyle w:val="ParaNum"/>
        <w:numPr>
          <w:ilvl w:val="0"/>
          <w:numId w:val="0"/>
        </w:numPr>
        <w:ind w:left="360"/>
      </w:pPr>
      <w:r>
        <w:t>“</w:t>
      </w:r>
      <w:r w:rsidR="00B74B67">
        <w:t xml:space="preserve">(o) </w:t>
      </w:r>
      <w:r>
        <w:rPr>
          <w:i/>
          <w:iCs/>
        </w:rPr>
        <w:t>8YY Transition – Step 4.</w:t>
      </w:r>
      <w:r>
        <w:t xml:space="preserve">  Beginning on July 1, 2023, and notwithstanding any other provision of the Commission’s rules in this chapter, each Rate-of-Return Carrier shall:”.</w:t>
      </w:r>
    </w:p>
    <w:p w:rsidR="00EB13F4" w:rsidP="00EB13F4" w14:paraId="40AA48CD" w14:textId="71470E84">
      <w:pPr>
        <w:pStyle w:val="ParaNum"/>
        <w:numPr>
          <w:ilvl w:val="0"/>
          <w:numId w:val="28"/>
        </w:numPr>
      </w:pPr>
      <w:r>
        <w:t>P</w:t>
      </w:r>
      <w:r>
        <w:t xml:space="preserve">aragraph 6 </w:t>
      </w:r>
      <w:r>
        <w:t xml:space="preserve">is corrected </w:t>
      </w:r>
      <w:r>
        <w:t xml:space="preserve">to read as follows:  </w:t>
      </w:r>
    </w:p>
    <w:p w:rsidR="00EB13F4" w:rsidP="00EB13F4" w14:paraId="5FB7BA03" w14:textId="2BA33817">
      <w:pPr>
        <w:pStyle w:val="ParaNum"/>
        <w:numPr>
          <w:ilvl w:val="0"/>
          <w:numId w:val="0"/>
        </w:numPr>
        <w:ind w:left="825"/>
      </w:pPr>
      <w:r>
        <w:t>“</w:t>
      </w:r>
      <w:r>
        <w:t>6.</w:t>
      </w:r>
      <w:r>
        <w:tab/>
        <w:t>Amend § 51.911 by:</w:t>
      </w:r>
    </w:p>
    <w:p w:rsidR="00EB13F4" w:rsidP="00EB13F4" w14:paraId="2667E141" w14:textId="77777777">
      <w:pPr>
        <w:pStyle w:val="ParaNum"/>
        <w:numPr>
          <w:ilvl w:val="0"/>
          <w:numId w:val="29"/>
        </w:numPr>
      </w:pPr>
      <w:r>
        <w:t>Effective [INSERT DATE 30 DAYS AFTER DATE OF PUBLICATION IN THE FEDERAL REGISTER], adding paragraphs (d); and</w:t>
      </w:r>
    </w:p>
    <w:p w:rsidR="00EB13F4" w:rsidP="00EB13F4" w14:paraId="7A393E1F" w14:textId="77777777">
      <w:pPr>
        <w:pStyle w:val="ParaNum"/>
        <w:numPr>
          <w:ilvl w:val="0"/>
          <w:numId w:val="29"/>
        </w:numPr>
      </w:pPr>
      <w:r>
        <w:t xml:space="preserve">Delayed until publication of a document announcing the effective date, adding paragraph (e).  </w:t>
      </w:r>
    </w:p>
    <w:p w:rsidR="00EB13F4" w:rsidP="00870BE1" w14:paraId="01111E5B" w14:textId="2FAB97AF">
      <w:pPr>
        <w:pStyle w:val="ParaNum"/>
        <w:numPr>
          <w:ilvl w:val="0"/>
          <w:numId w:val="0"/>
        </w:numPr>
        <w:ind w:left="720" w:firstLine="720"/>
      </w:pPr>
      <w:r>
        <w:t xml:space="preserve">The additions to read as follows:” </w:t>
      </w:r>
    </w:p>
    <w:p w:rsidR="00262AF3" w:rsidP="00EB13F4" w14:paraId="71086155" w14:textId="71D4DF71">
      <w:pPr>
        <w:pStyle w:val="ParaNum"/>
        <w:numPr>
          <w:ilvl w:val="0"/>
          <w:numId w:val="28"/>
        </w:numPr>
      </w:pPr>
      <w:r>
        <w:t>Corrections to Section 51.911 are as follows:</w:t>
      </w:r>
    </w:p>
    <w:p w:rsidR="00EB13F4" w:rsidP="0008490A" w14:paraId="08C63C8A" w14:textId="07304E65">
      <w:pPr>
        <w:pStyle w:val="ParaNum"/>
        <w:numPr>
          <w:ilvl w:val="0"/>
          <w:numId w:val="31"/>
        </w:numPr>
      </w:pPr>
      <w:r>
        <w:t xml:space="preserve">In </w:t>
      </w:r>
      <w:r w:rsidR="00262AF3">
        <w:t>the first paragraph</w:t>
      </w:r>
      <w:r>
        <w:t xml:space="preserve">, delete </w:t>
      </w:r>
      <w:r w:rsidR="001C6622">
        <w:t xml:space="preserve">the paragraph letter </w:t>
      </w:r>
      <w:r>
        <w:t xml:space="preserve">“(a)” and replace </w:t>
      </w:r>
      <w:r w:rsidR="00B74B67">
        <w:t xml:space="preserve">the 3 asterisks </w:t>
      </w:r>
      <w:r>
        <w:t xml:space="preserve">“* * *” with </w:t>
      </w:r>
      <w:r w:rsidR="00262AF3">
        <w:t xml:space="preserve">5 asterisks </w:t>
      </w:r>
      <w:r>
        <w:t xml:space="preserve">“* * * * *”.   </w:t>
      </w:r>
    </w:p>
    <w:p w:rsidR="00D5077C" w:rsidP="0008490A" w14:paraId="380D2571" w14:textId="633C2EB6">
      <w:pPr>
        <w:pStyle w:val="ParaNum"/>
        <w:numPr>
          <w:ilvl w:val="0"/>
          <w:numId w:val="31"/>
        </w:numPr>
      </w:pPr>
      <w:r>
        <w:t xml:space="preserve">In </w:t>
      </w:r>
      <w:r w:rsidR="00262AF3">
        <w:t xml:space="preserve">paragraph </w:t>
      </w:r>
      <w:r>
        <w:t>(d), add “</w:t>
      </w:r>
      <w:r>
        <w:rPr>
          <w:i/>
          <w:iCs/>
        </w:rPr>
        <w:t>Cap on Database Query Charge.</w:t>
      </w:r>
      <w:r>
        <w:t xml:space="preserve">” </w:t>
      </w:r>
      <w:r w:rsidR="00870BE1">
        <w:t>b</w:t>
      </w:r>
      <w:r>
        <w:t xml:space="preserve">efore “A Competitive Local Exchange Carrier”.  </w:t>
      </w:r>
    </w:p>
    <w:p w:rsidR="00D5077C" w:rsidP="0008490A" w14:paraId="6B6244F0" w14:textId="16D8FAE6">
      <w:pPr>
        <w:pStyle w:val="ParaNum"/>
        <w:numPr>
          <w:ilvl w:val="0"/>
          <w:numId w:val="31"/>
        </w:numPr>
      </w:pPr>
      <w:r>
        <w:t xml:space="preserve">In </w:t>
      </w:r>
      <w:r w:rsidR="00262AF3">
        <w:t xml:space="preserve">paragraph </w:t>
      </w:r>
      <w:r>
        <w:t>(e), add “</w:t>
      </w:r>
      <w:r>
        <w:rPr>
          <w:i/>
          <w:iCs/>
        </w:rPr>
        <w:t>Transition of cap on Database Query Charge.</w:t>
      </w:r>
      <w:r>
        <w:t xml:space="preserve">” </w:t>
      </w:r>
      <w:r w:rsidR="00870BE1">
        <w:t>b</w:t>
      </w:r>
      <w:r>
        <w:t xml:space="preserve">efore “Beginning July 1, 2021”.  </w:t>
      </w:r>
    </w:p>
    <w:p w:rsidR="00D5077C" w:rsidP="0008490A" w14:paraId="33FBAE77" w14:textId="4FAECDB2">
      <w:pPr>
        <w:pStyle w:val="ParaNum"/>
        <w:numPr>
          <w:ilvl w:val="0"/>
          <w:numId w:val="31"/>
        </w:numPr>
      </w:pPr>
      <w:r>
        <w:t xml:space="preserve">In </w:t>
      </w:r>
      <w:r w:rsidR="00262AF3">
        <w:t xml:space="preserve">paragraph </w:t>
      </w:r>
      <w:r>
        <w:t xml:space="preserve">(e), </w:t>
      </w:r>
      <w:r w:rsidR="00262AF3">
        <w:t xml:space="preserve">replace “provision of the Commission’s rules, a Competitive Local Exchange Carrier” </w:t>
      </w:r>
      <w:r w:rsidR="00262AF3">
        <w:t>wtih</w:t>
      </w:r>
      <w:r>
        <w:t xml:space="preserve"> “</w:t>
      </w:r>
      <w:r w:rsidR="00262AF3">
        <w:t xml:space="preserve">provision of the Commission’s rules </w:t>
      </w:r>
      <w:r>
        <w:t xml:space="preserve">in this chapter, a Competitive Local Exchange Carrier”.  </w:t>
      </w:r>
    </w:p>
    <w:p w:rsidR="00D5077C" w:rsidP="0008490A" w14:paraId="5960C7B2" w14:textId="2749FFBB">
      <w:pPr>
        <w:pStyle w:val="ParaNum"/>
        <w:numPr>
          <w:ilvl w:val="0"/>
          <w:numId w:val="31"/>
        </w:numPr>
      </w:pPr>
      <w:r>
        <w:t>M</w:t>
      </w:r>
      <w:r>
        <w:t xml:space="preserve">ove </w:t>
      </w:r>
      <w:r>
        <w:t xml:space="preserve">the 5 asterisks </w:t>
      </w:r>
      <w:r>
        <w:t xml:space="preserve">“* * * * *” up </w:t>
      </w:r>
      <w:r>
        <w:t xml:space="preserve">to appear just below paragraph </w:t>
      </w:r>
      <w:r>
        <w:t xml:space="preserve">(e).  </w:t>
      </w:r>
    </w:p>
    <w:p w:rsidR="00262AF3" w:rsidP="005A09E4" w14:paraId="266CC040" w14:textId="77777777">
      <w:pPr>
        <w:pStyle w:val="Heading1"/>
        <w:numPr>
          <w:ilvl w:val="0"/>
          <w:numId w:val="0"/>
        </w:numPr>
        <w:spacing w:before="220" w:after="0"/>
        <w:rPr>
          <w:b w:val="0"/>
          <w:caps w:val="0"/>
          <w:spacing w:val="-2"/>
        </w:rPr>
      </w:pPr>
    </w:p>
    <w:p w:rsidR="00B07300" w:rsidRPr="002A29D2" w:rsidP="005A09E4" w14:paraId="70D9E7E7" w14:textId="5EC4292E">
      <w:pPr>
        <w:pStyle w:val="Heading1"/>
        <w:numPr>
          <w:ilvl w:val="0"/>
          <w:numId w:val="0"/>
        </w:numPr>
        <w:spacing w:before="220" w:after="0"/>
        <w:rPr>
          <w:rFonts w:ascii="Times New Roman" w:hAnsi="Times New Roman"/>
          <w:b w:val="0"/>
          <w:caps w:val="0"/>
          <w:spacing w:val="-2"/>
        </w:rPr>
      </w:pPr>
      <w:r>
        <w:rPr>
          <w:b w:val="0"/>
          <w:caps w:val="0"/>
          <w:spacing w:val="-2"/>
        </w:rPr>
        <w:tab/>
      </w:r>
      <w:r>
        <w:rPr>
          <w:b w:val="0"/>
          <w:caps w:val="0"/>
          <w:spacing w:val="-2"/>
        </w:rPr>
        <w:tab/>
      </w:r>
      <w:r>
        <w:rPr>
          <w:b w:val="0"/>
          <w:caps w:val="0"/>
          <w:spacing w:val="-2"/>
        </w:rPr>
        <w:tab/>
      </w:r>
      <w:r>
        <w:rPr>
          <w:b w:val="0"/>
          <w:caps w:val="0"/>
          <w:spacing w:val="-2"/>
        </w:rPr>
        <w:tab/>
      </w:r>
      <w:r>
        <w:rPr>
          <w:b w:val="0"/>
          <w:caps w:val="0"/>
          <w:spacing w:val="-2"/>
        </w:rPr>
        <w:tab/>
      </w:r>
      <w:r>
        <w:rPr>
          <w:b w:val="0"/>
          <w:caps w:val="0"/>
          <w:spacing w:val="-2"/>
        </w:rPr>
        <w:tab/>
      </w:r>
      <w:r w:rsidRPr="002A29D2">
        <w:rPr>
          <w:rFonts w:ascii="Times New Roman" w:hAnsi="Times New Roman"/>
          <w:b w:val="0"/>
          <w:caps w:val="0"/>
          <w:spacing w:val="-2"/>
        </w:rPr>
        <w:t>FEDERAL COMMUNICATIONS COMMISSION</w:t>
      </w:r>
    </w:p>
    <w:p w:rsidR="00B07300" w:rsidP="002A29D2" w14:paraId="72A28CDD" w14:textId="77777777">
      <w:pPr>
        <w:pStyle w:val="Heading1"/>
        <w:numPr>
          <w:ilvl w:val="0"/>
          <w:numId w:val="0"/>
        </w:numPr>
        <w:spacing w:after="0"/>
        <w:rPr>
          <w:rFonts w:ascii="Times New Roman" w:hAnsi="Times New Roman"/>
          <w:b w:val="0"/>
          <w:caps w:val="0"/>
          <w:spacing w:val="-2"/>
        </w:rPr>
      </w:pPr>
    </w:p>
    <w:p w:rsidR="002A29D2" w:rsidP="002A29D2" w14:paraId="6102F58A" w14:textId="77777777">
      <w:pPr>
        <w:pStyle w:val="ParaNum"/>
        <w:numPr>
          <w:ilvl w:val="0"/>
          <w:numId w:val="0"/>
        </w:numPr>
        <w:spacing w:after="0"/>
      </w:pPr>
    </w:p>
    <w:p w:rsidR="002A29D2" w:rsidP="002A29D2" w14:paraId="4992A7B1" w14:textId="77777777">
      <w:pPr>
        <w:pStyle w:val="ParaNum"/>
        <w:numPr>
          <w:ilvl w:val="0"/>
          <w:numId w:val="0"/>
        </w:numPr>
        <w:spacing w:after="0"/>
      </w:pPr>
    </w:p>
    <w:p w:rsidR="002A29D2" w:rsidRPr="002A29D2" w:rsidP="002A29D2" w14:paraId="1A38151C" w14:textId="77777777">
      <w:pPr>
        <w:pStyle w:val="ParaNum"/>
        <w:numPr>
          <w:ilvl w:val="0"/>
          <w:numId w:val="0"/>
        </w:numPr>
        <w:spacing w:after="0"/>
      </w:pPr>
    </w:p>
    <w:p w:rsidR="00B07300" w:rsidRPr="002A29D2" w:rsidP="002A29D2" w14:paraId="748E848C" w14:textId="77777777">
      <w:pPr>
        <w:pStyle w:val="Heading1"/>
        <w:numPr>
          <w:ilvl w:val="0"/>
          <w:numId w:val="0"/>
        </w:numPr>
        <w:spacing w:after="0"/>
        <w:rPr>
          <w:rFonts w:ascii="Times New Roman" w:hAnsi="Times New Roman"/>
          <w:b w:val="0"/>
          <w:caps w:val="0"/>
          <w:spacing w:val="-2"/>
        </w:rPr>
      </w:pP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00870BE1">
        <w:rPr>
          <w:rFonts w:ascii="Times New Roman" w:hAnsi="Times New Roman"/>
          <w:b w:val="0"/>
          <w:caps w:val="0"/>
          <w:spacing w:val="-2"/>
        </w:rPr>
        <w:t xml:space="preserve">Trent Harkrader </w:t>
      </w:r>
      <w:r w:rsidRPr="002A29D2">
        <w:rPr>
          <w:rFonts w:ascii="Times New Roman" w:hAnsi="Times New Roman"/>
          <w:b w:val="0"/>
          <w:caps w:val="0"/>
          <w:spacing w:val="-2"/>
        </w:rPr>
        <w:t xml:space="preserve"> </w:t>
      </w:r>
    </w:p>
    <w:p w:rsidR="00B07300" w:rsidRPr="002A29D2" w:rsidP="00B07300" w14:paraId="1A7FE39A" w14:textId="77777777">
      <w:pPr>
        <w:pStyle w:val="Heading1"/>
        <w:numPr>
          <w:ilvl w:val="0"/>
          <w:numId w:val="0"/>
        </w:numPr>
        <w:spacing w:after="0"/>
        <w:rPr>
          <w:rFonts w:ascii="Times New Roman" w:hAnsi="Times New Roman"/>
          <w:b w:val="0"/>
          <w:caps w:val="0"/>
          <w:spacing w:val="-2"/>
        </w:rPr>
      </w:pP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00870BE1">
        <w:rPr>
          <w:rFonts w:ascii="Times New Roman" w:hAnsi="Times New Roman"/>
          <w:b w:val="0"/>
          <w:caps w:val="0"/>
          <w:spacing w:val="-2"/>
        </w:rPr>
        <w:t>Acting Bureau Chief</w:t>
      </w:r>
    </w:p>
    <w:p w:rsidR="0060228B" w:rsidRPr="002A29D2" w:rsidP="002A29D2" w14:paraId="374B3E6C" w14:textId="77777777">
      <w:pPr>
        <w:pStyle w:val="Heading1"/>
        <w:numPr>
          <w:ilvl w:val="0"/>
          <w:numId w:val="0"/>
        </w:numPr>
        <w:spacing w:after="0"/>
        <w:rPr>
          <w:rFonts w:ascii="Times New Roman" w:hAnsi="Times New Roman"/>
          <w:b w:val="0"/>
          <w:i/>
        </w:rPr>
      </w:pP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00D5077C">
        <w:rPr>
          <w:rFonts w:ascii="Times New Roman" w:hAnsi="Times New Roman"/>
          <w:b w:val="0"/>
          <w:caps w:val="0"/>
          <w:spacing w:val="-2"/>
        </w:rPr>
        <w:t xml:space="preserve">Wireline Competition Bureau </w:t>
      </w:r>
    </w:p>
    <w:p w:rsidR="002E484C" w:rsidP="00E00E22" w14:paraId="5CA686E8" w14:textId="77777777">
      <w:pPr>
        <w:pStyle w:val="Heading1"/>
        <w:numPr>
          <w:ilvl w:val="0"/>
          <w:numId w:val="0"/>
        </w:numPr>
      </w:pPr>
    </w:p>
    <w:sectPr>
      <w:headerReference w:type="default" r:id="rId4"/>
      <w:footerReference w:type="default" r:id="rId5"/>
      <w:headerReference w:type="first" r:id="rId6"/>
      <w:pgSz w:w="12240" w:h="15840"/>
      <w:pgMar w:top="1440" w:right="1440" w:bottom="72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28B" w14:paraId="74FD41C4"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28B" w:rsidP="002A29D2" w14:paraId="33796956" w14:textId="77777777">
    <w:pPr>
      <w:pStyle w:val="Header"/>
    </w:pPr>
    <w:r>
      <w:tab/>
      <w:t>Federal Communications Commission</w:t>
    </w:r>
    <w:r>
      <w:tab/>
    </w:r>
    <w:r w:rsidR="001C6622">
      <w:t>DA 20-1405</w:t>
    </w:r>
    <w:r>
      <w:t xml:space="preserve"> </w:t>
    </w:r>
  </w:p>
  <w:p w:rsidR="0060228B" w:rsidP="002A29D2" w14:paraId="53CAC5E8" w14:textId="77777777">
    <w:pPr>
      <w:pStyle w:val="Header"/>
    </w:pPr>
    <w:r>
      <w:rPr>
        <w:noProof/>
        <w:snapToGrid/>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22225</wp:posOffset>
              </wp:positionV>
              <wp:extent cx="5943600" cy="0"/>
              <wp:effectExtent l="0" t="0" r="0" b="0"/>
              <wp:wrapNone/>
              <wp:docPr id="2" name="Line 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49" style="mso-height-percent:0;mso-height-relative:page;mso-width-percent:0;mso-width-relative:page;mso-wrap-distance-bottom:0;mso-wrap-distance-left:9pt;mso-wrap-distance-right:9pt;mso-wrap-distance-top:0;mso-wrap-style:square;position:absolute;visibility:visible;z-index:251661312" from="0,1.75pt" to="468pt,1.75pt" o:allowincell="f"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28B" w:rsidRPr="002A29D2" w:rsidP="002A29D2" w14:paraId="174A69B4" w14:textId="5CE46985">
    <w:pPr>
      <w:pStyle w:val="Header"/>
    </w:pPr>
    <w:r>
      <w:tab/>
    </w:r>
    <w:r w:rsidRPr="002A29D2">
      <w:t>Federal Communications Commission</w:t>
    </w:r>
    <w:r w:rsidRPr="002A29D2">
      <w:tab/>
    </w:r>
    <w:r w:rsidR="001C6622">
      <w:t>DA 20-1405</w:t>
    </w:r>
    <w:r w:rsidRPr="002A29D2">
      <w:t xml:space="preserve"> </w:t>
    </w:r>
  </w:p>
  <w:p w:rsidR="0060228B" w:rsidP="002A29D2" w14:paraId="1CC5D218" w14:textId="77777777">
    <w:pPr>
      <w:pStyle w:val="Header"/>
    </w:pPr>
    <w:r>
      <w:rPr>
        <w:noProof/>
        <w:snapToGrid/>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width-percent:0;mso-width-relative:page;mso-wrap-distance-bottom:0;mso-wrap-distance-left:9pt;mso-wrap-distance-right:9pt;mso-wrap-distance-top:0;mso-wrap-style:square;position:absolute;visibility:visible;z-index:251659264" from="0,1.75pt" to="468pt,1.75pt" o:allowincell="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1F8F5E96"/>
    <w:multiLevelType w:val="hybridMultilevel"/>
    <w:tmpl w:val="95BA9B0C"/>
    <w:lvl w:ilvl="0">
      <w:start w:val="1"/>
      <w:numFmt w:val="decimal"/>
      <w:lvlText w:val="%1."/>
      <w:lvlJc w:val="left"/>
      <w:pPr>
        <w:tabs>
          <w:tab w:val="num" w:pos="720"/>
        </w:tabs>
        <w:ind w:left="0" w:firstLine="360"/>
      </w:pPr>
      <w:rPr>
        <w:rFonts w:hint="default"/>
      </w:rPr>
    </w:lvl>
    <w:lvl w:ilvl="1" w:tentative="1">
      <w:start w:val="1"/>
      <w:numFmt w:val="lowerLetter"/>
      <w:lvlText w:val="%2."/>
      <w:lvlJc w:val="left"/>
      <w:pPr>
        <w:ind w:left="1545" w:hanging="360"/>
      </w:pPr>
    </w:lvl>
    <w:lvl w:ilvl="2" w:tentative="1">
      <w:start w:val="1"/>
      <w:numFmt w:val="lowerRoman"/>
      <w:lvlText w:val="%3."/>
      <w:lvlJc w:val="right"/>
      <w:pPr>
        <w:ind w:left="2265" w:hanging="180"/>
      </w:pPr>
    </w:lvl>
    <w:lvl w:ilvl="3" w:tentative="1">
      <w:start w:val="1"/>
      <w:numFmt w:val="decimal"/>
      <w:lvlText w:val="%4."/>
      <w:lvlJc w:val="left"/>
      <w:pPr>
        <w:ind w:left="2985" w:hanging="360"/>
      </w:pPr>
    </w:lvl>
    <w:lvl w:ilvl="4" w:tentative="1">
      <w:start w:val="1"/>
      <w:numFmt w:val="lowerLetter"/>
      <w:lvlText w:val="%5."/>
      <w:lvlJc w:val="left"/>
      <w:pPr>
        <w:ind w:left="3705" w:hanging="360"/>
      </w:pPr>
    </w:lvl>
    <w:lvl w:ilvl="5" w:tentative="1">
      <w:start w:val="1"/>
      <w:numFmt w:val="lowerRoman"/>
      <w:lvlText w:val="%6."/>
      <w:lvlJc w:val="right"/>
      <w:pPr>
        <w:ind w:left="4425" w:hanging="180"/>
      </w:pPr>
    </w:lvl>
    <w:lvl w:ilvl="6" w:tentative="1">
      <w:start w:val="1"/>
      <w:numFmt w:val="decimal"/>
      <w:lvlText w:val="%7."/>
      <w:lvlJc w:val="left"/>
      <w:pPr>
        <w:ind w:left="5145" w:hanging="360"/>
      </w:pPr>
    </w:lvl>
    <w:lvl w:ilvl="7" w:tentative="1">
      <w:start w:val="1"/>
      <w:numFmt w:val="lowerLetter"/>
      <w:lvlText w:val="%8."/>
      <w:lvlJc w:val="left"/>
      <w:pPr>
        <w:ind w:left="5865" w:hanging="360"/>
      </w:pPr>
    </w:lvl>
    <w:lvl w:ilvl="8" w:tentative="1">
      <w:start w:val="1"/>
      <w:numFmt w:val="lowerRoman"/>
      <w:lvlText w:val="%9."/>
      <w:lvlJc w:val="right"/>
      <w:pPr>
        <w:ind w:left="6585"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296835EF"/>
    <w:multiLevelType w:val="hybridMultilevel"/>
    <w:tmpl w:val="B7023A1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1">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3">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4">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5">
    <w:nsid w:val="320704BB"/>
    <w:multiLevelType w:val="hybridMultilevel"/>
    <w:tmpl w:val="EAA20D22"/>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6">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7">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9">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0">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3">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4">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5">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26">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8">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9">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0">
    <w:nsid w:val="7CBD2580"/>
    <w:multiLevelType w:val="hybridMultilevel"/>
    <w:tmpl w:val="B45A52D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28"/>
  </w:num>
  <w:num w:numId="2">
    <w:abstractNumId w:val="29"/>
  </w:num>
  <w:num w:numId="3">
    <w:abstractNumId w:val="4"/>
  </w:num>
  <w:num w:numId="4">
    <w:abstractNumId w:val="23"/>
  </w:num>
  <w:num w:numId="5">
    <w:abstractNumId w:val="10"/>
  </w:num>
  <w:num w:numId="6">
    <w:abstractNumId w:val="26"/>
  </w:num>
  <w:num w:numId="7">
    <w:abstractNumId w:val="19"/>
  </w:num>
  <w:num w:numId="8">
    <w:abstractNumId w:val="11"/>
  </w:num>
  <w:num w:numId="9">
    <w:abstractNumId w:val="25"/>
  </w:num>
  <w:num w:numId="10">
    <w:abstractNumId w:val="17"/>
  </w:num>
  <w:num w:numId="11">
    <w:abstractNumId w:val="16"/>
  </w:num>
  <w:num w:numId="12">
    <w:abstractNumId w:val="12"/>
  </w:num>
  <w:num w:numId="13">
    <w:abstractNumId w:val="18"/>
  </w:num>
  <w:num w:numId="14">
    <w:abstractNumId w:val="24"/>
  </w:num>
  <w:num w:numId="15">
    <w:abstractNumId w:val="2"/>
  </w:num>
  <w:num w:numId="16">
    <w:abstractNumId w:val="3"/>
  </w:num>
  <w:num w:numId="17">
    <w:abstractNumId w:val="13"/>
  </w:num>
  <w:num w:numId="18">
    <w:abstractNumId w:val="1"/>
  </w:num>
  <w:num w:numId="19">
    <w:abstractNumId w:val="14"/>
  </w:num>
  <w:num w:numId="20">
    <w:abstractNumId w:val="20"/>
  </w:num>
  <w:num w:numId="21">
    <w:abstractNumId w:val="22"/>
  </w:num>
  <w:num w:numId="22">
    <w:abstractNumId w:val="6"/>
  </w:num>
  <w:num w:numId="23">
    <w:abstractNumId w:val="27"/>
  </w:num>
  <w:num w:numId="24">
    <w:abstractNumId w:val="8"/>
  </w:num>
  <w:num w:numId="25">
    <w:abstractNumId w:val="21"/>
  </w:num>
  <w:num w:numId="26">
    <w:abstractNumId w:val="7"/>
  </w:num>
  <w:num w:numId="27">
    <w:abstractNumId w:val="0"/>
  </w:num>
  <w:num w:numId="28">
    <w:abstractNumId w:val="5"/>
  </w:num>
  <w:num w:numId="29">
    <w:abstractNumId w:val="15"/>
  </w:num>
  <w:num w:numId="30">
    <w:abstractNumId w:val="30"/>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Setting w:name="differentiateMultirowTableHeaders" w:uri="http://schemas.microsoft.com/office/word" w:val="1"/>
  </w:compat>
  <w:rsids>
    <w:rsidRoot w:val="0045656F"/>
    <w:rsid w:val="0001378C"/>
    <w:rsid w:val="0001407B"/>
    <w:rsid w:val="00032601"/>
    <w:rsid w:val="0007334C"/>
    <w:rsid w:val="00074159"/>
    <w:rsid w:val="0008490A"/>
    <w:rsid w:val="00090A8D"/>
    <w:rsid w:val="000D7A6D"/>
    <w:rsid w:val="00170B4B"/>
    <w:rsid w:val="001A038E"/>
    <w:rsid w:val="001C6622"/>
    <w:rsid w:val="00262AF3"/>
    <w:rsid w:val="002742F5"/>
    <w:rsid w:val="002A29D2"/>
    <w:rsid w:val="002A4E36"/>
    <w:rsid w:val="002B0766"/>
    <w:rsid w:val="002E484C"/>
    <w:rsid w:val="0045656F"/>
    <w:rsid w:val="00456E40"/>
    <w:rsid w:val="00524665"/>
    <w:rsid w:val="005A09E4"/>
    <w:rsid w:val="005D7EF4"/>
    <w:rsid w:val="0060228B"/>
    <w:rsid w:val="00635451"/>
    <w:rsid w:val="00727991"/>
    <w:rsid w:val="007612E2"/>
    <w:rsid w:val="00870BE1"/>
    <w:rsid w:val="00880AC7"/>
    <w:rsid w:val="00891ADC"/>
    <w:rsid w:val="0089264C"/>
    <w:rsid w:val="00913CD3"/>
    <w:rsid w:val="00952308"/>
    <w:rsid w:val="00A32B6D"/>
    <w:rsid w:val="00A421DA"/>
    <w:rsid w:val="00A91058"/>
    <w:rsid w:val="00AC1AA0"/>
    <w:rsid w:val="00AE0670"/>
    <w:rsid w:val="00B04D4A"/>
    <w:rsid w:val="00B07300"/>
    <w:rsid w:val="00B45E5A"/>
    <w:rsid w:val="00B74B67"/>
    <w:rsid w:val="00BC4A36"/>
    <w:rsid w:val="00C36AE7"/>
    <w:rsid w:val="00CB60F9"/>
    <w:rsid w:val="00D12899"/>
    <w:rsid w:val="00D5077C"/>
    <w:rsid w:val="00DF142E"/>
    <w:rsid w:val="00E00E22"/>
    <w:rsid w:val="00E60467"/>
    <w:rsid w:val="00E81AF1"/>
    <w:rsid w:val="00EB13F4"/>
    <w:rsid w:val="00EB1A95"/>
    <w:rsid w:val="00ED2EA8"/>
    <w:rsid w:val="00F15C49"/>
    <w:rsid w:val="00F25801"/>
    <w:rsid w:val="00F7041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830599D8-84A5-4337-AE66-4EE473F7E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42E"/>
    <w:pPr>
      <w:widowControl w:val="0"/>
    </w:pPr>
    <w:rPr>
      <w:snapToGrid w:val="0"/>
      <w:kern w:val="28"/>
      <w:sz w:val="22"/>
    </w:rPr>
  </w:style>
  <w:style w:type="paragraph" w:styleId="Heading1">
    <w:name w:val="heading 1"/>
    <w:basedOn w:val="Normal"/>
    <w:next w:val="ParaNum"/>
    <w:qFormat/>
    <w:rsid w:val="00DF142E"/>
    <w:pPr>
      <w:keepNext/>
      <w:numPr>
        <w:numId w:val="2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F142E"/>
    <w:pPr>
      <w:keepNext/>
      <w:numPr>
        <w:ilvl w:val="1"/>
        <w:numId w:val="24"/>
      </w:numPr>
      <w:spacing w:after="120"/>
      <w:outlineLvl w:val="1"/>
    </w:pPr>
    <w:rPr>
      <w:b/>
    </w:rPr>
  </w:style>
  <w:style w:type="paragraph" w:styleId="Heading3">
    <w:name w:val="heading 3"/>
    <w:basedOn w:val="Normal"/>
    <w:next w:val="ParaNum"/>
    <w:qFormat/>
    <w:rsid w:val="00DF142E"/>
    <w:pPr>
      <w:keepNext/>
      <w:numPr>
        <w:ilvl w:val="2"/>
        <w:numId w:val="24"/>
      </w:numPr>
      <w:tabs>
        <w:tab w:val="left" w:pos="2160"/>
      </w:tabs>
      <w:spacing w:after="120"/>
      <w:outlineLvl w:val="2"/>
    </w:pPr>
    <w:rPr>
      <w:b/>
    </w:rPr>
  </w:style>
  <w:style w:type="paragraph" w:styleId="Heading4">
    <w:name w:val="heading 4"/>
    <w:basedOn w:val="Normal"/>
    <w:next w:val="ParaNum"/>
    <w:qFormat/>
    <w:rsid w:val="00DF142E"/>
    <w:pPr>
      <w:keepNext/>
      <w:numPr>
        <w:ilvl w:val="3"/>
        <w:numId w:val="24"/>
      </w:numPr>
      <w:tabs>
        <w:tab w:val="left" w:pos="2880"/>
      </w:tabs>
      <w:spacing w:after="120"/>
      <w:outlineLvl w:val="3"/>
    </w:pPr>
    <w:rPr>
      <w:b/>
    </w:rPr>
  </w:style>
  <w:style w:type="paragraph" w:styleId="Heading5">
    <w:name w:val="heading 5"/>
    <w:basedOn w:val="Normal"/>
    <w:next w:val="ParaNum"/>
    <w:qFormat/>
    <w:rsid w:val="00DF142E"/>
    <w:pPr>
      <w:keepNext/>
      <w:numPr>
        <w:ilvl w:val="4"/>
        <w:numId w:val="24"/>
      </w:numPr>
      <w:tabs>
        <w:tab w:val="left" w:pos="3600"/>
      </w:tabs>
      <w:suppressAutoHyphens/>
      <w:spacing w:after="120"/>
      <w:outlineLvl w:val="4"/>
    </w:pPr>
    <w:rPr>
      <w:b/>
    </w:rPr>
  </w:style>
  <w:style w:type="paragraph" w:styleId="Heading6">
    <w:name w:val="heading 6"/>
    <w:basedOn w:val="Normal"/>
    <w:next w:val="ParaNum"/>
    <w:qFormat/>
    <w:rsid w:val="00DF142E"/>
    <w:pPr>
      <w:numPr>
        <w:ilvl w:val="5"/>
        <w:numId w:val="24"/>
      </w:numPr>
      <w:tabs>
        <w:tab w:val="left" w:pos="4320"/>
      </w:tabs>
      <w:spacing w:after="120"/>
      <w:outlineLvl w:val="5"/>
    </w:pPr>
    <w:rPr>
      <w:b/>
    </w:rPr>
  </w:style>
  <w:style w:type="paragraph" w:styleId="Heading7">
    <w:name w:val="heading 7"/>
    <w:basedOn w:val="Normal"/>
    <w:next w:val="ParaNum"/>
    <w:qFormat/>
    <w:rsid w:val="00DF142E"/>
    <w:pPr>
      <w:numPr>
        <w:ilvl w:val="6"/>
        <w:numId w:val="24"/>
      </w:numPr>
      <w:tabs>
        <w:tab w:val="left" w:pos="5040"/>
      </w:tabs>
      <w:spacing w:after="120"/>
      <w:ind w:left="5040" w:hanging="720"/>
      <w:outlineLvl w:val="6"/>
    </w:pPr>
    <w:rPr>
      <w:b/>
    </w:rPr>
  </w:style>
  <w:style w:type="paragraph" w:styleId="Heading8">
    <w:name w:val="heading 8"/>
    <w:basedOn w:val="Normal"/>
    <w:next w:val="ParaNum"/>
    <w:qFormat/>
    <w:rsid w:val="00DF142E"/>
    <w:pPr>
      <w:numPr>
        <w:ilvl w:val="7"/>
        <w:numId w:val="24"/>
      </w:numPr>
      <w:tabs>
        <w:tab w:val="clear" w:pos="5400"/>
        <w:tab w:val="left" w:pos="5760"/>
      </w:tabs>
      <w:spacing w:after="120"/>
      <w:ind w:left="5760" w:hanging="720"/>
      <w:outlineLvl w:val="7"/>
    </w:pPr>
    <w:rPr>
      <w:b/>
    </w:rPr>
  </w:style>
  <w:style w:type="paragraph" w:styleId="Heading9">
    <w:name w:val="heading 9"/>
    <w:basedOn w:val="Normal"/>
    <w:next w:val="ParaNum"/>
    <w:qFormat/>
    <w:rsid w:val="00DF142E"/>
    <w:pPr>
      <w:numPr>
        <w:ilvl w:val="8"/>
        <w:numId w:val="2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F142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F142E"/>
  </w:style>
  <w:style w:type="paragraph" w:styleId="Caption">
    <w:name w:val="caption"/>
    <w:basedOn w:val="Normal"/>
    <w:next w:val="Normal"/>
    <w:qFormat/>
    <w:rsid w:val="00DF142E"/>
    <w:pPr>
      <w:spacing w:before="120" w:after="120"/>
    </w:pPr>
    <w:rPr>
      <w:b/>
    </w:rPr>
  </w:style>
  <w:style w:type="paragraph" w:customStyle="1" w:styleId="ParaNum">
    <w:name w:val="ParaNum"/>
    <w:basedOn w:val="Normal"/>
    <w:rsid w:val="00DF142E"/>
    <w:pPr>
      <w:numPr>
        <w:numId w:val="23"/>
      </w:numPr>
      <w:tabs>
        <w:tab w:val="clear" w:pos="1080"/>
        <w:tab w:val="num" w:pos="1440"/>
      </w:tabs>
      <w:spacing w:after="120"/>
    </w:pPr>
  </w:style>
  <w:style w:type="paragraph" w:styleId="FootnoteText">
    <w:name w:val="footnote text"/>
    <w:rsid w:val="00DF142E"/>
    <w:pPr>
      <w:spacing w:after="120"/>
    </w:pPr>
  </w:style>
  <w:style w:type="paragraph" w:customStyle="1" w:styleId="Bullet">
    <w:name w:val="Bullet"/>
    <w:basedOn w:val="Normal"/>
    <w:rsid w:val="00DF142E"/>
    <w:pPr>
      <w:tabs>
        <w:tab w:val="left" w:pos="2160"/>
      </w:tabs>
      <w:spacing w:after="220"/>
      <w:ind w:left="2160" w:hanging="720"/>
    </w:pPr>
  </w:style>
  <w:style w:type="paragraph" w:styleId="BlockText">
    <w:name w:val="Block Text"/>
    <w:basedOn w:val="Normal"/>
    <w:rsid w:val="00DF142E"/>
    <w:pPr>
      <w:spacing w:after="240"/>
      <w:ind w:left="1440" w:right="1440"/>
    </w:pPr>
  </w:style>
  <w:style w:type="paragraph" w:customStyle="1" w:styleId="TableFormat">
    <w:name w:val="TableFormat"/>
    <w:basedOn w:val="Bullet"/>
    <w:rsid w:val="00DF142E"/>
    <w:pPr>
      <w:tabs>
        <w:tab w:val="clear" w:pos="2160"/>
        <w:tab w:val="left" w:pos="5040"/>
      </w:tabs>
      <w:ind w:left="5040" w:hanging="3600"/>
    </w:pPr>
  </w:style>
  <w:style w:type="character" w:styleId="FootnoteReference">
    <w:name w:val="footnote reference"/>
    <w:rsid w:val="00DF142E"/>
    <w:rPr>
      <w:rFonts w:ascii="Times New Roman" w:hAnsi="Times New Roman"/>
      <w:dstrike w:val="0"/>
      <w:color w:val="auto"/>
      <w:sz w:val="20"/>
      <w:vertAlign w:val="superscript"/>
    </w:rPr>
  </w:style>
  <w:style w:type="paragraph" w:styleId="Header">
    <w:name w:val="header"/>
    <w:basedOn w:val="Normal"/>
    <w:autoRedefine/>
    <w:rsid w:val="00DF142E"/>
    <w:pPr>
      <w:tabs>
        <w:tab w:val="center" w:pos="4680"/>
        <w:tab w:val="right" w:pos="9360"/>
      </w:tabs>
    </w:pPr>
    <w:rPr>
      <w:b/>
    </w:rPr>
  </w:style>
  <w:style w:type="paragraph" w:styleId="Footer">
    <w:name w:val="footer"/>
    <w:basedOn w:val="Normal"/>
    <w:rsid w:val="00DF142E"/>
    <w:pPr>
      <w:tabs>
        <w:tab w:val="center" w:pos="4320"/>
        <w:tab w:val="right" w:pos="8640"/>
      </w:tabs>
    </w:pPr>
  </w:style>
  <w:style w:type="paragraph" w:styleId="TOC2">
    <w:name w:val="toc 2"/>
    <w:basedOn w:val="Normal"/>
    <w:next w:val="Normal"/>
    <w:semiHidden/>
    <w:rsid w:val="00DF142E"/>
    <w:pPr>
      <w:tabs>
        <w:tab w:val="left" w:pos="720"/>
        <w:tab w:val="right" w:leader="dot" w:pos="9360"/>
      </w:tabs>
      <w:suppressAutoHyphens/>
      <w:ind w:left="720" w:right="720" w:hanging="360"/>
    </w:pPr>
    <w:rPr>
      <w:noProof/>
    </w:rPr>
  </w:style>
  <w:style w:type="paragraph" w:customStyle="1" w:styleId="NumberedList">
    <w:name w:val="Numbered List"/>
    <w:basedOn w:val="Normal"/>
    <w:rsid w:val="00DF142E"/>
    <w:pPr>
      <w:numPr>
        <w:numId w:val="21"/>
      </w:numPr>
      <w:tabs>
        <w:tab w:val="clear" w:pos="1080"/>
      </w:tabs>
      <w:spacing w:after="220"/>
      <w:ind w:firstLine="0"/>
    </w:pPr>
  </w:style>
  <w:style w:type="paragraph" w:styleId="TOC1">
    <w:name w:val="toc 1"/>
    <w:basedOn w:val="Normal"/>
    <w:next w:val="Normal"/>
    <w:semiHidden/>
    <w:rsid w:val="00DF142E"/>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DF142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F142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F142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F142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F142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F142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F142E"/>
    <w:pPr>
      <w:tabs>
        <w:tab w:val="left" w:pos="3240"/>
        <w:tab w:val="right" w:leader="dot" w:pos="9360"/>
      </w:tabs>
      <w:suppressAutoHyphens/>
      <w:ind w:left="3240" w:hanging="360"/>
    </w:pPr>
    <w:rPr>
      <w:noProof/>
    </w:rPr>
  </w:style>
  <w:style w:type="character" w:styleId="PageNumber">
    <w:name w:val="page number"/>
    <w:basedOn w:val="DefaultParagraphFont"/>
    <w:rsid w:val="00DF142E"/>
  </w:style>
  <w:style w:type="paragraph" w:styleId="Title">
    <w:name w:val="Title"/>
    <w:basedOn w:val="Normal"/>
    <w:qFormat/>
    <w:rsid w:val="00DF142E"/>
    <w:pPr>
      <w:jc w:val="center"/>
    </w:pPr>
    <w:rPr>
      <w:b/>
    </w:rPr>
  </w:style>
  <w:style w:type="paragraph" w:styleId="EndnoteText">
    <w:name w:val="endnote text"/>
    <w:basedOn w:val="Normal"/>
    <w:link w:val="EndnoteTextChar"/>
    <w:rsid w:val="00DF142E"/>
    <w:rPr>
      <w:sz w:val="20"/>
    </w:rPr>
  </w:style>
  <w:style w:type="character" w:customStyle="1" w:styleId="EndnoteTextChar">
    <w:name w:val="Endnote Text Char"/>
    <w:basedOn w:val="DefaultParagraphFont"/>
    <w:link w:val="EndnoteText"/>
    <w:rsid w:val="00DF142E"/>
    <w:rPr>
      <w:snapToGrid w:val="0"/>
      <w:kern w:val="28"/>
    </w:rPr>
  </w:style>
  <w:style w:type="character" w:styleId="EndnoteReference">
    <w:name w:val="endnote reference"/>
    <w:rsid w:val="00DF142E"/>
    <w:rPr>
      <w:vertAlign w:val="superscript"/>
    </w:rPr>
  </w:style>
  <w:style w:type="paragraph" w:styleId="TOAHeading">
    <w:name w:val="toa heading"/>
    <w:basedOn w:val="Normal"/>
    <w:next w:val="Normal"/>
    <w:rsid w:val="00DF142E"/>
    <w:pPr>
      <w:tabs>
        <w:tab w:val="right" w:pos="9360"/>
      </w:tabs>
      <w:suppressAutoHyphens/>
    </w:pPr>
  </w:style>
  <w:style w:type="character" w:customStyle="1" w:styleId="EquationCaption">
    <w:name w:val="_Equation Caption"/>
    <w:rsid w:val="00DF142E"/>
  </w:style>
  <w:style w:type="paragraph" w:customStyle="1" w:styleId="Paratitle">
    <w:name w:val="Para title"/>
    <w:basedOn w:val="Normal"/>
    <w:rsid w:val="00DF142E"/>
    <w:pPr>
      <w:tabs>
        <w:tab w:val="center" w:pos="9270"/>
      </w:tabs>
      <w:spacing w:after="240"/>
    </w:pPr>
    <w:rPr>
      <w:spacing w:val="-2"/>
    </w:rPr>
  </w:style>
  <w:style w:type="paragraph" w:customStyle="1" w:styleId="TOCTitle">
    <w:name w:val="TOC Title"/>
    <w:basedOn w:val="Normal"/>
    <w:rsid w:val="00DF142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F142E"/>
    <w:pPr>
      <w:jc w:val="center"/>
    </w:pPr>
    <w:rPr>
      <w:rFonts w:ascii="Times New Roman Bold" w:hAnsi="Times New Roman Bold"/>
      <w:b/>
      <w:bCs/>
      <w:caps/>
      <w:szCs w:val="22"/>
    </w:rPr>
  </w:style>
  <w:style w:type="character" w:styleId="Hyperlink">
    <w:name w:val="Hyperlink"/>
    <w:rsid w:val="00DF142E"/>
    <w:rPr>
      <w:color w:val="0000FF"/>
      <w:u w:val="single"/>
    </w:rPr>
  </w:style>
  <w:style w:type="paragraph" w:styleId="BalloonText">
    <w:name w:val="Balloon Text"/>
    <w:basedOn w:val="Normal"/>
    <w:link w:val="BalloonTextChar"/>
    <w:rsid w:val="0045656F"/>
    <w:rPr>
      <w:rFonts w:ascii="Segoe UI" w:hAnsi="Segoe UI" w:cs="Segoe UI"/>
      <w:sz w:val="18"/>
      <w:szCs w:val="18"/>
    </w:rPr>
  </w:style>
  <w:style w:type="character" w:customStyle="1" w:styleId="BalloonTextChar">
    <w:name w:val="Balloon Text Char"/>
    <w:basedOn w:val="DefaultParagraphFont"/>
    <w:link w:val="BalloonText"/>
    <w:rsid w:val="0045656F"/>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erratum-order.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erratum-order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