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702774" w:rsidP="00216B29" w14:paraId="3DDCEC92" w14:textId="77777777">
      <w:pPr>
        <w:jc w:val="center"/>
        <w:rPr>
          <w:b/>
        </w:rPr>
      </w:pPr>
      <w:r w:rsidRPr="0070224F">
        <w:rPr>
          <w:b/>
        </w:rPr>
        <w:t>Before</w:t>
      </w:r>
      <w:r>
        <w:rPr>
          <w:b/>
        </w:rPr>
        <w:t xml:space="preserve"> the</w:t>
      </w:r>
    </w:p>
    <w:p w:rsidR="00702774" w:rsidP="00702774" w14:paraId="5F6C6259" w14:textId="77777777">
      <w:pPr>
        <w:pStyle w:val="StyleBoldCentered"/>
      </w:pPr>
      <w:r>
        <w:t>F</w:t>
      </w:r>
      <w:r>
        <w:rPr>
          <w:caps w:val="0"/>
        </w:rPr>
        <w:t>ederal Communications Commission</w:t>
      </w:r>
    </w:p>
    <w:p w:rsidR="00702774" w:rsidP="00702774" w14:paraId="5C05CAD8" w14:textId="77777777">
      <w:pPr>
        <w:pStyle w:val="StyleBoldCentered"/>
      </w:pPr>
      <w:r>
        <w:rPr>
          <w:caps w:val="0"/>
        </w:rPr>
        <w:t>Washington, D.C. 20554</w:t>
      </w:r>
    </w:p>
    <w:p w:rsidR="00702774" w:rsidP="00702774" w14:paraId="6543AA7E" w14:textId="77777777"/>
    <w:p w:rsidR="00702774" w:rsidP="00702774" w14:paraId="6FF07E6F" w14:textId="77777777"/>
    <w:tbl>
      <w:tblPr>
        <w:tblW w:w="0" w:type="auto"/>
        <w:tblLayout w:type="fixed"/>
        <w:tblLook w:val="0000"/>
      </w:tblPr>
      <w:tblGrid>
        <w:gridCol w:w="4698"/>
        <w:gridCol w:w="630"/>
        <w:gridCol w:w="4248"/>
      </w:tblGrid>
      <w:tr w14:paraId="48474F72" w14:textId="77777777" w:rsidTr="00A47A2A">
        <w:tblPrEx>
          <w:tblW w:w="0" w:type="auto"/>
          <w:tblLayout w:type="fixed"/>
          <w:tblLook w:val="0000"/>
        </w:tblPrEx>
        <w:tc>
          <w:tcPr>
            <w:tcW w:w="4698" w:type="dxa"/>
          </w:tcPr>
          <w:p w:rsidR="00702774" w:rsidP="00A47A2A" w14:paraId="782F6048" w14:textId="77777777">
            <w:pPr>
              <w:tabs>
                <w:tab w:val="center" w:pos="4680"/>
              </w:tabs>
              <w:suppressAutoHyphens/>
              <w:rPr>
                <w:spacing w:val="-2"/>
              </w:rPr>
            </w:pPr>
            <w:r>
              <w:rPr>
                <w:spacing w:val="-2"/>
              </w:rPr>
              <w:t>In the Matter of</w:t>
            </w:r>
          </w:p>
          <w:p w:rsidR="00702774" w:rsidP="00A47A2A" w14:paraId="4C8DA304" w14:textId="77777777">
            <w:pPr>
              <w:tabs>
                <w:tab w:val="center" w:pos="4680"/>
              </w:tabs>
              <w:suppressAutoHyphens/>
              <w:rPr>
                <w:spacing w:val="-2"/>
              </w:rPr>
            </w:pPr>
          </w:p>
          <w:p w:rsidR="00702774" w:rsidRPr="007115F7" w:rsidP="00A47A2A" w14:paraId="70B3A9D7" w14:textId="77777777">
            <w:pPr>
              <w:tabs>
                <w:tab w:val="center" w:pos="4680"/>
              </w:tabs>
              <w:suppressAutoHyphens/>
              <w:rPr>
                <w:spacing w:val="-2"/>
              </w:rPr>
            </w:pPr>
            <w:r>
              <w:rPr>
                <w:spacing w:val="-2"/>
              </w:rPr>
              <w:t>Modernizing the E-Rate Program for Schools and Libraries</w:t>
            </w:r>
          </w:p>
        </w:tc>
        <w:tc>
          <w:tcPr>
            <w:tcW w:w="630" w:type="dxa"/>
          </w:tcPr>
          <w:p w:rsidR="00702774" w:rsidP="00A47A2A" w14:paraId="378791B2" w14:textId="77777777">
            <w:pPr>
              <w:tabs>
                <w:tab w:val="center" w:pos="4680"/>
              </w:tabs>
              <w:suppressAutoHyphens/>
              <w:rPr>
                <w:b/>
                <w:spacing w:val="-2"/>
              </w:rPr>
            </w:pPr>
            <w:r>
              <w:rPr>
                <w:b/>
                <w:spacing w:val="-2"/>
              </w:rPr>
              <w:t>)</w:t>
            </w:r>
          </w:p>
          <w:p w:rsidR="00702774" w:rsidP="00A47A2A" w14:paraId="66ED256A" w14:textId="77777777">
            <w:pPr>
              <w:tabs>
                <w:tab w:val="center" w:pos="4680"/>
              </w:tabs>
              <w:suppressAutoHyphens/>
              <w:rPr>
                <w:b/>
                <w:spacing w:val="-2"/>
              </w:rPr>
            </w:pPr>
            <w:r>
              <w:rPr>
                <w:b/>
                <w:spacing w:val="-2"/>
              </w:rPr>
              <w:t>)</w:t>
            </w:r>
          </w:p>
          <w:p w:rsidR="00702774" w:rsidP="00A47A2A" w14:paraId="32C145D9" w14:textId="77777777">
            <w:pPr>
              <w:tabs>
                <w:tab w:val="center" w:pos="4680"/>
              </w:tabs>
              <w:suppressAutoHyphens/>
              <w:rPr>
                <w:b/>
                <w:spacing w:val="-2"/>
              </w:rPr>
            </w:pPr>
            <w:r>
              <w:rPr>
                <w:b/>
                <w:spacing w:val="-2"/>
              </w:rPr>
              <w:t>)</w:t>
            </w:r>
          </w:p>
          <w:p w:rsidR="00702774" w:rsidP="00A47A2A" w14:paraId="3C541F00" w14:textId="5C7BE8C8">
            <w:pPr>
              <w:tabs>
                <w:tab w:val="center" w:pos="4680"/>
              </w:tabs>
              <w:suppressAutoHyphens/>
              <w:rPr>
                <w:spacing w:val="-2"/>
              </w:rPr>
            </w:pPr>
            <w:r>
              <w:rPr>
                <w:b/>
                <w:spacing w:val="-2"/>
              </w:rPr>
              <w:t>)</w:t>
            </w:r>
          </w:p>
        </w:tc>
        <w:tc>
          <w:tcPr>
            <w:tcW w:w="4248" w:type="dxa"/>
          </w:tcPr>
          <w:p w:rsidR="00702774" w:rsidP="00A47A2A" w14:paraId="023618A6" w14:textId="77777777">
            <w:pPr>
              <w:tabs>
                <w:tab w:val="center" w:pos="4680"/>
              </w:tabs>
              <w:suppressAutoHyphens/>
              <w:rPr>
                <w:spacing w:val="-2"/>
              </w:rPr>
            </w:pPr>
          </w:p>
          <w:p w:rsidR="00702774" w:rsidP="00A47A2A" w14:paraId="705C3D04" w14:textId="77777777">
            <w:pPr>
              <w:pStyle w:val="TOAHeading"/>
              <w:tabs>
                <w:tab w:val="center" w:pos="4680"/>
                <w:tab w:val="clear" w:pos="9360"/>
              </w:tabs>
              <w:rPr>
                <w:spacing w:val="-2"/>
              </w:rPr>
            </w:pPr>
          </w:p>
          <w:p w:rsidR="00702774" w:rsidP="00A47A2A" w14:paraId="1D9DC2CF" w14:textId="77777777">
            <w:pPr>
              <w:tabs>
                <w:tab w:val="center" w:pos="4680"/>
              </w:tabs>
              <w:suppressAutoHyphens/>
              <w:rPr>
                <w:spacing w:val="-2"/>
              </w:rPr>
            </w:pPr>
            <w:r>
              <w:rPr>
                <w:spacing w:val="-2"/>
              </w:rPr>
              <w:t>WC Docket No. 13-184</w:t>
            </w:r>
          </w:p>
        </w:tc>
      </w:tr>
    </w:tbl>
    <w:p w:rsidR="00702774" w:rsidP="00702774" w14:paraId="72BFB6DB" w14:textId="77777777"/>
    <w:p w:rsidR="00702774" w:rsidP="006359EA" w14:paraId="3FD6E5B9" w14:textId="6037793B">
      <w:pPr>
        <w:pStyle w:val="StyleBoldCentered"/>
      </w:pPr>
      <w:r>
        <w:t>Order</w:t>
      </w:r>
    </w:p>
    <w:p w:rsidR="00702774" w:rsidP="00702774" w14:paraId="3237AEEB" w14:textId="77777777">
      <w:pPr>
        <w:tabs>
          <w:tab w:val="left" w:pos="-720"/>
        </w:tabs>
        <w:suppressAutoHyphens/>
        <w:spacing w:line="227" w:lineRule="auto"/>
        <w:rPr>
          <w:spacing w:val="-2"/>
        </w:rPr>
      </w:pPr>
    </w:p>
    <w:p w:rsidR="00702774" w:rsidP="00702774" w14:paraId="1D3E3681" w14:textId="1637B3BC">
      <w:pPr>
        <w:tabs>
          <w:tab w:val="left" w:pos="720"/>
          <w:tab w:val="right" w:pos="9360"/>
        </w:tabs>
        <w:suppressAutoHyphens/>
        <w:spacing w:line="227" w:lineRule="auto"/>
        <w:rPr>
          <w:spacing w:val="-2"/>
        </w:rPr>
      </w:pPr>
      <w:r>
        <w:rPr>
          <w:b/>
          <w:spacing w:val="-2"/>
        </w:rPr>
        <w:t xml:space="preserve">Adopted:  </w:t>
      </w:r>
      <w:r w:rsidR="00F934CD">
        <w:rPr>
          <w:b/>
          <w:spacing w:val="-2"/>
        </w:rPr>
        <w:t>November 30, 2020</w:t>
      </w:r>
      <w:r>
        <w:rPr>
          <w:b/>
          <w:spacing w:val="-2"/>
        </w:rPr>
        <w:tab/>
        <w:t xml:space="preserve">Released:  </w:t>
      </w:r>
      <w:r w:rsidR="00F934CD">
        <w:rPr>
          <w:b/>
          <w:spacing w:val="-2"/>
        </w:rPr>
        <w:t>November 30, 2020</w:t>
      </w:r>
    </w:p>
    <w:p w:rsidR="00702774" w:rsidP="00702774" w14:paraId="76BDB120" w14:textId="77777777"/>
    <w:p w:rsidR="00702774" w:rsidP="00702774" w14:paraId="664116A7" w14:textId="77777777">
      <w:pPr>
        <w:rPr>
          <w:spacing w:val="-2"/>
        </w:rPr>
      </w:pPr>
      <w:r>
        <w:t xml:space="preserve">By the </w:t>
      </w:r>
      <w:r>
        <w:rPr>
          <w:spacing w:val="-2"/>
        </w:rPr>
        <w:t>Chief, Wireline Competition Bureau:</w:t>
      </w:r>
    </w:p>
    <w:p w:rsidR="00702774" w:rsidP="00702774" w14:paraId="6A0EF296" w14:textId="77777777">
      <w:pPr>
        <w:rPr>
          <w:spacing w:val="-2"/>
        </w:rPr>
      </w:pPr>
    </w:p>
    <w:p w:rsidR="00702774" w:rsidP="00702774" w14:paraId="5A7D503D" w14:textId="77777777">
      <w:pPr>
        <w:pStyle w:val="Heading1"/>
      </w:pPr>
      <w:r>
        <w:t>Introduction</w:t>
      </w:r>
    </w:p>
    <w:p w:rsidR="00702774" w:rsidP="00702774" w14:paraId="147C15A5" w14:textId="10B37529">
      <w:pPr>
        <w:pStyle w:val="ParaNum"/>
      </w:pPr>
      <w:r>
        <w:t>In this Order, the Wireline Competition Bureau (Bureau) adopts the final eligible services list for funding year 202</w:t>
      </w:r>
      <w:r w:rsidR="008F1490">
        <w:t>1</w:t>
      </w:r>
      <w:r>
        <w:t xml:space="preserve"> for the schools and libraries universal service support program (more commonly referred to as the E-Rate program).</w:t>
      </w:r>
      <w:r>
        <w:rPr>
          <w:rStyle w:val="FootnoteReference"/>
        </w:rPr>
        <w:footnoteReference w:id="3"/>
      </w:r>
      <w:r>
        <w:t xml:space="preserve">  Specifically, </w:t>
      </w:r>
      <w:r w:rsidR="0004657F">
        <w:t xml:space="preserve">based on the record before us, </w:t>
      </w:r>
      <w:r>
        <w:t xml:space="preserve">we adopt the </w:t>
      </w:r>
      <w:r w:rsidR="0004657F">
        <w:t xml:space="preserve">proposals set forth in </w:t>
      </w:r>
      <w:r>
        <w:t xml:space="preserve">the Bureau’s Public Notice seeking comment on the proposed eligible services </w:t>
      </w:r>
      <w:r w:rsidR="0004657F">
        <w:t xml:space="preserve">list </w:t>
      </w:r>
      <w:r>
        <w:t>for funding year 202</w:t>
      </w:r>
      <w:r w:rsidR="008F1490">
        <w:t>1</w:t>
      </w:r>
      <w:r>
        <w:t>.</w:t>
      </w:r>
      <w:r>
        <w:rPr>
          <w:rStyle w:val="FootnoteReference"/>
        </w:rPr>
        <w:footnoteReference w:id="4"/>
      </w:r>
      <w:r>
        <w:t xml:space="preserve">  In addition, we </w:t>
      </w:r>
      <w:r w:rsidR="0058697B">
        <w:t>release the eligible services list for funding year 202</w:t>
      </w:r>
      <w:r w:rsidR="006C1F29">
        <w:t>1</w:t>
      </w:r>
      <w:r w:rsidR="0058697B">
        <w:t xml:space="preserve"> and </w:t>
      </w:r>
      <w:r>
        <w:t xml:space="preserve">authorize the Universal Service Administrative Company (USAC) to open the annual application filing window </w:t>
      </w:r>
      <w:r w:rsidR="001525C2">
        <w:t>within</w:t>
      </w:r>
      <w:r w:rsidR="00751C32">
        <w:t xml:space="preserve"> </w:t>
      </w:r>
      <w:r w:rsidR="008F1490">
        <w:t xml:space="preserve">60 </w:t>
      </w:r>
      <w:r>
        <w:t>days after release of this Order.</w:t>
      </w:r>
      <w:r>
        <w:rPr>
          <w:rStyle w:val="FootnoteReference"/>
        </w:rPr>
        <w:footnoteReference w:id="5"/>
      </w:r>
      <w:r w:rsidR="001525C2">
        <w:t xml:space="preserve">  In doing so, we </w:t>
      </w:r>
      <w:r w:rsidR="006472BC">
        <w:t xml:space="preserve">find good cause to </w:t>
      </w:r>
      <w:r w:rsidR="001525C2">
        <w:t xml:space="preserve">waive the requirement </w:t>
      </w:r>
      <w:r w:rsidR="006472BC">
        <w:t xml:space="preserve">in section 54.502(d) of the Commission’s rules </w:t>
      </w:r>
      <w:r w:rsidR="001525C2">
        <w:t>that the final eligible services list be released at least 60 days prior to the opening of the application filing window</w:t>
      </w:r>
      <w:r w:rsidR="00BC49E0">
        <w:t xml:space="preserve"> to ensure that the funding year 2021 filing window is opened with enough time for USAC to process and applicants to submit applications</w:t>
      </w:r>
      <w:r w:rsidR="001525C2">
        <w:t>.</w:t>
      </w:r>
      <w:r>
        <w:rPr>
          <w:rStyle w:val="FootnoteReference"/>
        </w:rPr>
        <w:footnoteReference w:id="6"/>
      </w:r>
    </w:p>
    <w:p w:rsidR="00702774" w:rsidP="00702774" w14:paraId="77571A7A" w14:textId="7CEAA8F4">
      <w:pPr>
        <w:pStyle w:val="Heading1"/>
      </w:pPr>
      <w:r>
        <w:t>Funding Year 202</w:t>
      </w:r>
      <w:r w:rsidR="0004657F">
        <w:t>1</w:t>
      </w:r>
      <w:r>
        <w:t xml:space="preserve"> Eligible Services List</w:t>
      </w:r>
    </w:p>
    <w:p w:rsidR="00702774" w:rsidP="000236BD" w14:paraId="639FBBB8" w14:textId="77777777">
      <w:pPr>
        <w:pStyle w:val="Heading2"/>
      </w:pPr>
      <w:r>
        <w:t>Background</w:t>
      </w:r>
    </w:p>
    <w:p w:rsidR="00702774" w:rsidRPr="00C7006E" w:rsidP="00702774" w14:paraId="01F1765D" w14:textId="77777777">
      <w:pPr>
        <w:pStyle w:val="ParaNum"/>
      </w:pPr>
      <w:r w:rsidRPr="004308FC">
        <w:t>Sections 254(c)(1), (c)(3), (h)(1)(</w:t>
      </w:r>
      <w:r w:rsidRPr="004308FC">
        <w:rPr>
          <w:rFonts w:eastAsia="Segoe UI Emoji"/>
        </w:rPr>
        <w:t>B), and (h)(2</w:t>
      </w:r>
      <w:r>
        <w:rPr>
          <w:rFonts w:eastAsia="Segoe UI Emoji"/>
        </w:rPr>
        <w:t>) of the Communications Act collectively grant the Commission authority to specify the services that will be supported for eligible schools and libraries and to design the specific mechanisms for support.</w:t>
      </w:r>
      <w:r>
        <w:rPr>
          <w:rStyle w:val="FootnoteReference"/>
          <w:rFonts w:eastAsia="Segoe UI Emoji"/>
        </w:rPr>
        <w:footnoteReference w:id="7"/>
      </w:r>
      <w:r>
        <w:rPr>
          <w:rFonts w:eastAsia="Segoe UI Emoji"/>
        </w:rPr>
        <w:t xml:space="preserve">  Pursuant to this authority, the Commission delegated responsibility to the Bureau to annually seek public comment on the proposed eligible services list.</w:t>
      </w:r>
      <w:r>
        <w:rPr>
          <w:rStyle w:val="FootnoteReference"/>
          <w:rFonts w:eastAsia="Segoe UI Emoji"/>
        </w:rPr>
        <w:footnoteReference w:id="8"/>
      </w:r>
    </w:p>
    <w:p w:rsidR="008F1490" w:rsidRPr="00426F29" w:rsidP="00F934CD" w14:paraId="27566C35" w14:textId="1B37F496">
      <w:pPr>
        <w:pStyle w:val="ParaNum"/>
        <w:widowControl/>
      </w:pPr>
      <w:r>
        <w:rPr>
          <w:rFonts w:eastAsia="Segoe UI Emoji"/>
        </w:rPr>
        <w:t xml:space="preserve">In the </w:t>
      </w:r>
      <w:r w:rsidRPr="00385712">
        <w:rPr>
          <w:rFonts w:eastAsia="Segoe UI Emoji"/>
          <w:i/>
        </w:rPr>
        <w:t>Funding Year</w:t>
      </w:r>
      <w:r>
        <w:rPr>
          <w:rFonts w:eastAsia="Segoe UI Emoji"/>
        </w:rPr>
        <w:t xml:space="preserve"> </w:t>
      </w:r>
      <w:r w:rsidRPr="00426F29">
        <w:rPr>
          <w:rFonts w:eastAsia="Segoe UI Emoji"/>
          <w:i/>
        </w:rPr>
        <w:t>20</w:t>
      </w:r>
      <w:r>
        <w:rPr>
          <w:rFonts w:eastAsia="Segoe UI Emoji"/>
          <w:i/>
        </w:rPr>
        <w:t>21</w:t>
      </w:r>
      <w:r w:rsidRPr="00426F29">
        <w:rPr>
          <w:rFonts w:eastAsia="Segoe UI Emoji"/>
          <w:i/>
        </w:rPr>
        <w:t xml:space="preserve"> </w:t>
      </w:r>
      <w:r>
        <w:rPr>
          <w:rFonts w:eastAsia="Segoe UI Emoji"/>
          <w:i/>
        </w:rPr>
        <w:t>Eligible Services List</w:t>
      </w:r>
      <w:r w:rsidRPr="00426F29">
        <w:rPr>
          <w:rFonts w:eastAsia="Segoe UI Emoji"/>
          <w:i/>
        </w:rPr>
        <w:t xml:space="preserve"> Public Notice</w:t>
      </w:r>
      <w:r>
        <w:rPr>
          <w:rFonts w:eastAsia="Segoe UI Emoji"/>
        </w:rPr>
        <w:t>, we sought comment on the proposed eligible services list for funding year 2021.</w:t>
      </w:r>
      <w:r>
        <w:rPr>
          <w:rStyle w:val="FootnoteReference"/>
          <w:rFonts w:eastAsia="Segoe UI Emoji"/>
        </w:rPr>
        <w:footnoteReference w:id="9"/>
      </w:r>
      <w:r>
        <w:rPr>
          <w:rFonts w:eastAsia="Segoe UI Emoji"/>
        </w:rPr>
        <w:t xml:space="preserve">  </w:t>
      </w:r>
      <w:r w:rsidR="00EB7FC6">
        <w:rPr>
          <w:rFonts w:eastAsia="Segoe UI Emoji"/>
        </w:rPr>
        <w:t>In this re</w:t>
      </w:r>
      <w:r w:rsidR="00694C54">
        <w:rPr>
          <w:rFonts w:eastAsia="Segoe UI Emoji"/>
        </w:rPr>
        <w:t>gard</w:t>
      </w:r>
      <w:r>
        <w:rPr>
          <w:rFonts w:eastAsia="Segoe UI Emoji"/>
        </w:rPr>
        <w:t xml:space="preserve">, we </w:t>
      </w:r>
      <w:r w:rsidR="00EB7FC6">
        <w:rPr>
          <w:rFonts w:eastAsia="Segoe UI Emoji"/>
        </w:rPr>
        <w:t>identified</w:t>
      </w:r>
      <w:r>
        <w:rPr>
          <w:rFonts w:eastAsia="Segoe UI Emoji"/>
        </w:rPr>
        <w:t xml:space="preserve"> two changes</w:t>
      </w:r>
      <w:r w:rsidR="00EB7FC6">
        <w:rPr>
          <w:rFonts w:eastAsia="Segoe UI Emoji"/>
        </w:rPr>
        <w:t xml:space="preserve"> made between the funding year 2020 eligible services list and the proposed funding year 2021 eligible services list</w:t>
      </w:r>
      <w:r>
        <w:rPr>
          <w:rFonts w:eastAsia="Segoe UI Emoji"/>
        </w:rPr>
        <w:t xml:space="preserve">.  First, </w:t>
      </w:r>
      <w:r w:rsidR="00BD4945">
        <w:t>under the “Eligibility Explanations for Certain Category One and Category Two Services” section</w:t>
      </w:r>
      <w:r w:rsidR="009F29FB">
        <w:rPr>
          <w:rFonts w:eastAsia="Segoe UI Emoji"/>
        </w:rPr>
        <w:t>,</w:t>
      </w:r>
      <w:r w:rsidR="00BD4945">
        <w:rPr>
          <w:rFonts w:eastAsia="Segoe UI Emoji"/>
        </w:rPr>
        <w:t xml:space="preserve"> and </w:t>
      </w:r>
      <w:r w:rsidR="00EB7FC6">
        <w:rPr>
          <w:rFonts w:eastAsia="Segoe UI Emoji"/>
        </w:rPr>
        <w:t xml:space="preserve">consistent with the 2019 </w:t>
      </w:r>
      <w:r w:rsidR="00EB7FC6">
        <w:rPr>
          <w:rFonts w:eastAsia="Segoe UI Emoji"/>
          <w:i/>
          <w:iCs/>
        </w:rPr>
        <w:t xml:space="preserve">Protecting Against National Security Threats </w:t>
      </w:r>
      <w:r w:rsidRPr="00EB7FC6" w:rsidR="00EB7FC6">
        <w:rPr>
          <w:rFonts w:eastAsia="Segoe UI Emoji"/>
          <w:i/>
          <w:iCs/>
        </w:rPr>
        <w:t>Or</w:t>
      </w:r>
      <w:r w:rsidRPr="00694C54" w:rsidR="00EB7FC6">
        <w:rPr>
          <w:rFonts w:eastAsia="Segoe UI Emoji"/>
          <w:i/>
          <w:iCs/>
        </w:rPr>
        <w:t>der</w:t>
      </w:r>
      <w:r w:rsidR="00EB7FC6">
        <w:rPr>
          <w:rFonts w:eastAsia="Segoe UI Emoji"/>
        </w:rPr>
        <w:t xml:space="preserve">, </w:t>
      </w:r>
      <w:r w:rsidRPr="00EB7FC6">
        <w:rPr>
          <w:rFonts w:eastAsia="Segoe UI Emoji"/>
        </w:rPr>
        <w:t>we</w:t>
      </w:r>
      <w:r>
        <w:rPr>
          <w:rFonts w:eastAsia="Segoe UI Emoji"/>
        </w:rPr>
        <w:t xml:space="preserve"> proposed adding </w:t>
      </w:r>
      <w:r w:rsidR="00EB7FC6">
        <w:rPr>
          <w:rFonts w:eastAsia="Segoe UI Emoji"/>
        </w:rPr>
        <w:t>a note</w:t>
      </w:r>
      <w:r>
        <w:t xml:space="preserve"> </w:t>
      </w:r>
      <w:r w:rsidR="00EB7FC6">
        <w:t xml:space="preserve">to </w:t>
      </w:r>
      <w:r>
        <w:t>reflect the Commission</w:t>
      </w:r>
      <w:r w:rsidR="00EB7FC6">
        <w:t>’</w:t>
      </w:r>
      <w:r>
        <w:t xml:space="preserve">s prohibition on the use of E-Rate </w:t>
      </w:r>
      <w:r w:rsidR="00694C54">
        <w:t>funds</w:t>
      </w:r>
      <w:r>
        <w:t xml:space="preserve"> to purchase </w:t>
      </w:r>
      <w:r w:rsidR="009C3B3C">
        <w:t xml:space="preserve">or </w:t>
      </w:r>
      <w:r>
        <w:t>obtain</w:t>
      </w:r>
      <w:r w:rsidR="009C3B3C">
        <w:t xml:space="preserve"> any </w:t>
      </w:r>
      <w:r>
        <w:t xml:space="preserve">equipment or services produced or provided by </w:t>
      </w:r>
      <w:r w:rsidR="009C3B3C">
        <w:t>a company that the Commission has designated as a national security threat to the integrity of communications networks or the communications supply chain</w:t>
      </w:r>
      <w:r>
        <w:t>.</w:t>
      </w:r>
      <w:r>
        <w:rPr>
          <w:rStyle w:val="FootnoteReference"/>
        </w:rPr>
        <w:footnoteReference w:id="10"/>
      </w:r>
      <w:r>
        <w:t xml:space="preserve">  Second, </w:t>
      </w:r>
      <w:r w:rsidR="00F54380">
        <w:t>consistent with</w:t>
      </w:r>
      <w:r w:rsidRPr="00177913">
        <w:t xml:space="preserve"> the 2019 </w:t>
      </w:r>
      <w:r w:rsidRPr="00D16B19">
        <w:rPr>
          <w:i/>
          <w:iCs/>
        </w:rPr>
        <w:t>Category Two Report and Order</w:t>
      </w:r>
      <w:r w:rsidRPr="00177913">
        <w:t xml:space="preserve">, </w:t>
      </w:r>
      <w:r w:rsidR="00F54380">
        <w:t>we</w:t>
      </w:r>
      <w:r w:rsidRPr="00177913">
        <w:t xml:space="preserve"> proposed </w:t>
      </w:r>
      <w:r w:rsidR="00052795">
        <w:t xml:space="preserve">adding language to the funding year </w:t>
      </w:r>
      <w:r w:rsidRPr="00177913">
        <w:t xml:space="preserve">2021 </w:t>
      </w:r>
      <w:r w:rsidR="00052795">
        <w:t>eligible services list to</w:t>
      </w:r>
      <w:r w:rsidRPr="00177913">
        <w:t xml:space="preserve"> reflect th</w:t>
      </w:r>
      <w:r w:rsidR="00052795">
        <w:t>e</w:t>
      </w:r>
      <w:r w:rsidRPr="00177913">
        <w:t xml:space="preserve"> </w:t>
      </w:r>
      <w:r w:rsidR="00052795">
        <w:t>Commission</w:t>
      </w:r>
      <w:r w:rsidR="00976FC1">
        <w:t>’s</w:t>
      </w:r>
      <w:r w:rsidR="00052795">
        <w:t xml:space="preserve"> adopt</w:t>
      </w:r>
      <w:r w:rsidR="00976FC1">
        <w:t xml:space="preserve">ion of </w:t>
      </w:r>
      <w:r w:rsidR="00BD4945">
        <w:t xml:space="preserve">school district-wide and library system-wide </w:t>
      </w:r>
      <w:r w:rsidR="002F7802">
        <w:t xml:space="preserve">category two </w:t>
      </w:r>
      <w:r w:rsidR="00BD4945">
        <w:t>budgets effective in funding year 2021</w:t>
      </w:r>
      <w:r w:rsidRPr="00177913">
        <w:t>.</w:t>
      </w:r>
      <w:r>
        <w:rPr>
          <w:rStyle w:val="FootnoteReference"/>
        </w:rPr>
        <w:footnoteReference w:id="11"/>
      </w:r>
      <w:r w:rsidRPr="00177913">
        <w:t xml:space="preserve"> </w:t>
      </w:r>
      <w:r w:rsidR="00BD4945">
        <w:t xml:space="preserve"> </w:t>
      </w:r>
      <w:r>
        <w:rPr>
          <w:rFonts w:eastAsia="Segoe UI Emoji"/>
        </w:rPr>
        <w:t xml:space="preserve">The comment cycle for the </w:t>
      </w:r>
      <w:r w:rsidRPr="006C1B82">
        <w:rPr>
          <w:rFonts w:eastAsia="Segoe UI Emoji"/>
          <w:i/>
        </w:rPr>
        <w:t>F</w:t>
      </w:r>
      <w:r>
        <w:rPr>
          <w:rFonts w:eastAsia="Segoe UI Emoji"/>
          <w:i/>
        </w:rPr>
        <w:t xml:space="preserve">unding Year </w:t>
      </w:r>
      <w:r w:rsidRPr="006C1B82">
        <w:rPr>
          <w:rFonts w:eastAsia="Segoe UI Emoji"/>
          <w:i/>
        </w:rPr>
        <w:t>202</w:t>
      </w:r>
      <w:r>
        <w:rPr>
          <w:rFonts w:eastAsia="Segoe UI Emoji"/>
          <w:i/>
        </w:rPr>
        <w:t>1 Eligible Services List Public Notice</w:t>
      </w:r>
      <w:r>
        <w:rPr>
          <w:rFonts w:eastAsia="Segoe UI Emoji"/>
        </w:rPr>
        <w:t xml:space="preserve"> closed on September 4, 2020.</w:t>
      </w:r>
      <w:r>
        <w:rPr>
          <w:rStyle w:val="FootnoteReference"/>
          <w:rFonts w:eastAsia="Segoe UI Emoji"/>
        </w:rPr>
        <w:footnoteReference w:id="12"/>
      </w:r>
    </w:p>
    <w:p w:rsidR="00702774" w:rsidP="000236BD" w14:paraId="4AE15D35" w14:textId="77777777">
      <w:pPr>
        <w:pStyle w:val="Heading2"/>
      </w:pPr>
      <w:r>
        <w:t>Discussion</w:t>
      </w:r>
    </w:p>
    <w:p w:rsidR="006472BC" w:rsidP="00702774" w14:paraId="4E91E076" w14:textId="6B8BFB11">
      <w:pPr>
        <w:pStyle w:val="ParaNum"/>
      </w:pPr>
      <w:r>
        <w:t>As an initial matter, we waive the requirement in section 54.502(d) of the Commission’s rules that the eligible services list be released at least 60 days prior to the opening of the application filing window.</w:t>
      </w:r>
      <w:r>
        <w:rPr>
          <w:rStyle w:val="FootnoteReference"/>
        </w:rPr>
        <w:footnoteReference w:id="13"/>
      </w:r>
      <w:r>
        <w:t xml:space="preserve">  Section 1.3 of the Commission’s rules allows the Commission to waive a rule on its own motion for good cause shown.</w:t>
      </w:r>
      <w:r>
        <w:rPr>
          <w:rStyle w:val="FootnoteReference"/>
        </w:rPr>
        <w:footnoteReference w:id="14"/>
      </w:r>
      <w:r>
        <w:t xml:space="preserve">  To ensure that the application filing window opens with enough time to allow USAC to process </w:t>
      </w:r>
      <w:r w:rsidR="00BC49E0">
        <w:t xml:space="preserve">and applicants to submit </w:t>
      </w:r>
      <w:r>
        <w:t>applications for funding year 2021</w:t>
      </w:r>
      <w:r w:rsidR="00BC49E0">
        <w:t xml:space="preserve">, </w:t>
      </w:r>
      <w:r w:rsidR="00636A3F">
        <w:t>we find a waiver of our rule is appropriate and in the public interest.</w:t>
      </w:r>
      <w:r>
        <w:rPr>
          <w:rStyle w:val="FootnoteReference"/>
        </w:rPr>
        <w:footnoteReference w:id="15"/>
      </w:r>
      <w:r w:rsidR="00636A3F">
        <w:t xml:space="preserve">  In waiving our rule, we are particularly cognizant of the need to ensure both USAC and applicants have as much time as they had last year to process and submit applications </w:t>
      </w:r>
      <w:r w:rsidR="006C2522">
        <w:t xml:space="preserve">as </w:t>
      </w:r>
      <w:r w:rsidR="00636A3F">
        <w:t xml:space="preserve">they continue to face the ongoing challenges and disruptions </w:t>
      </w:r>
      <w:r w:rsidR="006C2522">
        <w:t>caused by the coronavirus (COVID-19) pandemic.  We therefore find special circumstances to waive our rule.</w:t>
      </w:r>
      <w:r>
        <w:rPr>
          <w:rStyle w:val="FootnoteReference"/>
        </w:rPr>
        <w:footnoteReference w:id="16"/>
      </w:r>
      <w:r w:rsidR="006C2522">
        <w:t xml:space="preserve"> </w:t>
      </w:r>
      <w:r w:rsidR="00636A3F">
        <w:t xml:space="preserve"> </w:t>
      </w:r>
    </w:p>
    <w:p w:rsidR="00702774" w:rsidP="00702774" w14:paraId="42C1893A" w14:textId="742BB994">
      <w:pPr>
        <w:pStyle w:val="ParaNum"/>
      </w:pPr>
      <w:r>
        <w:t>Next, h</w:t>
      </w:r>
      <w:r w:rsidR="0091455E">
        <w:t xml:space="preserve">aving </w:t>
      </w:r>
      <w:r w:rsidR="008F1490">
        <w:t xml:space="preserve">considered the record, we update the eligible services list for funding year 2021, which is attached as Appendix </w:t>
      </w:r>
      <w:r w:rsidR="00B517D1">
        <w:t>B</w:t>
      </w:r>
      <w:r w:rsidR="008F1490">
        <w:t xml:space="preserve"> to this Order, by </w:t>
      </w:r>
      <w:r w:rsidR="00247AFA">
        <w:t>adopting</w:t>
      </w:r>
      <w:r w:rsidR="007A746E">
        <w:t xml:space="preserve"> </w:t>
      </w:r>
      <w:r w:rsidR="00247AFA">
        <w:t xml:space="preserve">the </w:t>
      </w:r>
      <w:r w:rsidR="00E40B28">
        <w:t xml:space="preserve">two </w:t>
      </w:r>
      <w:r w:rsidR="00247AFA">
        <w:t xml:space="preserve">changes proposed in the </w:t>
      </w:r>
      <w:r w:rsidRPr="00385712" w:rsidR="00247AFA">
        <w:rPr>
          <w:rFonts w:eastAsia="Segoe UI Emoji"/>
          <w:i/>
        </w:rPr>
        <w:t>Funding Year</w:t>
      </w:r>
      <w:r w:rsidR="00247AFA">
        <w:rPr>
          <w:rFonts w:eastAsia="Segoe UI Emoji"/>
        </w:rPr>
        <w:t xml:space="preserve"> </w:t>
      </w:r>
      <w:r w:rsidRPr="00426F29" w:rsidR="00247AFA">
        <w:rPr>
          <w:rFonts w:eastAsia="Segoe UI Emoji"/>
          <w:i/>
        </w:rPr>
        <w:t>20</w:t>
      </w:r>
      <w:r w:rsidR="00247AFA">
        <w:rPr>
          <w:rFonts w:eastAsia="Segoe UI Emoji"/>
          <w:i/>
        </w:rPr>
        <w:t>21</w:t>
      </w:r>
      <w:r w:rsidRPr="00426F29" w:rsidR="00247AFA">
        <w:rPr>
          <w:rFonts w:eastAsia="Segoe UI Emoji"/>
          <w:i/>
        </w:rPr>
        <w:t xml:space="preserve"> </w:t>
      </w:r>
      <w:r w:rsidR="00247AFA">
        <w:rPr>
          <w:rFonts w:eastAsia="Segoe UI Emoji"/>
          <w:i/>
        </w:rPr>
        <w:t>Eligible Services List</w:t>
      </w:r>
      <w:r w:rsidRPr="00426F29" w:rsidR="00247AFA">
        <w:rPr>
          <w:rFonts w:eastAsia="Segoe UI Emoji"/>
          <w:i/>
        </w:rPr>
        <w:t xml:space="preserve"> Public Notice</w:t>
      </w:r>
      <w:r w:rsidRPr="002B5A89" w:rsidR="008F1490">
        <w:t xml:space="preserve">. </w:t>
      </w:r>
      <w:r w:rsidR="00247AFA">
        <w:t xml:space="preserve"> </w:t>
      </w:r>
      <w:r w:rsidR="00ED727D">
        <w:t>W</w:t>
      </w:r>
      <w:r w:rsidR="008F1490">
        <w:t>e decline to make any further changes to the eligible services list for the reasons discussed below.</w:t>
      </w:r>
    </w:p>
    <w:p w:rsidR="00E519C6" w:rsidP="00702774" w14:paraId="1C5E722D" w14:textId="31628DF1">
      <w:pPr>
        <w:pStyle w:val="ParaNum"/>
      </w:pPr>
      <w:r>
        <w:t xml:space="preserve">First, </w:t>
      </w:r>
      <w:r w:rsidR="00022EC0">
        <w:rPr>
          <w:rFonts w:eastAsia="Segoe UI Emoji"/>
        </w:rPr>
        <w:t xml:space="preserve">we add </w:t>
      </w:r>
      <w:r w:rsidR="007A746E">
        <w:rPr>
          <w:rFonts w:eastAsia="Segoe UI Emoji"/>
        </w:rPr>
        <w:t>a note</w:t>
      </w:r>
      <w:r w:rsidR="00022EC0">
        <w:rPr>
          <w:rFonts w:eastAsia="Segoe UI Emoji"/>
        </w:rPr>
        <w:t xml:space="preserve"> </w:t>
      </w:r>
      <w:r w:rsidR="00022EC0">
        <w:t xml:space="preserve">under the “Eligibility Explanations for Certain Category One and Category Two Services” section </w:t>
      </w:r>
      <w:r>
        <w:t xml:space="preserve">to </w:t>
      </w:r>
      <w:r w:rsidR="00022EC0">
        <w:t xml:space="preserve">reflect the Commission’s prohibition on </w:t>
      </w:r>
      <w:r w:rsidR="000774EE">
        <w:rPr>
          <w:rFonts w:eastAsia="Segoe UI Emoji"/>
        </w:rPr>
        <w:t xml:space="preserve">the use of E-Rate funds to </w:t>
      </w:r>
      <w:r w:rsidR="000774EE">
        <w:rPr>
          <w:rFonts w:eastAsia="Segoe UI Emoji"/>
        </w:rPr>
        <w:t>purchase or obtain any equipment or services produced or provided by a covered company posing a national security threat to the integrity of communications networks or the communications supply chain</w:t>
      </w:r>
      <w:r w:rsidR="00022EC0">
        <w:t xml:space="preserve">. </w:t>
      </w:r>
      <w:r w:rsidR="00247AFA">
        <w:t xml:space="preserve"> </w:t>
      </w:r>
      <w:r w:rsidR="009A1769">
        <w:t xml:space="preserve">As we stated in the </w:t>
      </w:r>
      <w:r w:rsidR="009A1769">
        <w:rPr>
          <w:i/>
          <w:iCs/>
        </w:rPr>
        <w:t>Funding Year 2021 Eligible Services List Public Notice</w:t>
      </w:r>
      <w:r w:rsidR="009A1769">
        <w:t>,</w:t>
      </w:r>
      <w:r w:rsidR="009A1769">
        <w:rPr>
          <w:i/>
          <w:iCs/>
        </w:rPr>
        <w:t xml:space="preserve"> </w:t>
      </w:r>
      <w:r w:rsidR="009A1769">
        <w:t xml:space="preserve">this change is consistent with the </w:t>
      </w:r>
      <w:r w:rsidR="009A1769">
        <w:rPr>
          <w:rFonts w:eastAsia="Segoe UI Emoji"/>
        </w:rPr>
        <w:t xml:space="preserve">2019 </w:t>
      </w:r>
      <w:r w:rsidR="009A1769">
        <w:rPr>
          <w:rFonts w:eastAsia="Segoe UI Emoji"/>
          <w:i/>
          <w:iCs/>
        </w:rPr>
        <w:t xml:space="preserve">Protecting Against National Security Threats </w:t>
      </w:r>
      <w:r w:rsidRPr="00EB7FC6" w:rsidR="009A1769">
        <w:rPr>
          <w:rFonts w:eastAsia="Segoe UI Emoji"/>
          <w:i/>
          <w:iCs/>
        </w:rPr>
        <w:t>Or</w:t>
      </w:r>
      <w:r w:rsidRPr="00694C54" w:rsidR="009A1769">
        <w:rPr>
          <w:rFonts w:eastAsia="Segoe UI Emoji"/>
          <w:i/>
          <w:iCs/>
        </w:rPr>
        <w:t>der</w:t>
      </w:r>
      <w:r w:rsidR="009A1769">
        <w:rPr>
          <w:rFonts w:eastAsia="Segoe UI Emoji"/>
        </w:rPr>
        <w:t>, where the Commission adopted a rule prohibiting</w:t>
      </w:r>
      <w:r w:rsidR="003F6A84">
        <w:rPr>
          <w:rFonts w:eastAsia="Segoe UI Emoji"/>
        </w:rPr>
        <w:t xml:space="preserve"> </w:t>
      </w:r>
      <w:r w:rsidR="003F6A84">
        <w:t xml:space="preserve">the use of </w:t>
      </w:r>
      <w:r w:rsidR="00120C1F">
        <w:t>universal service supp</w:t>
      </w:r>
      <w:r w:rsidR="00F851E8">
        <w:t xml:space="preserve">ort, including </w:t>
      </w:r>
      <w:r w:rsidR="003F6A84">
        <w:t>E-Rate funds</w:t>
      </w:r>
      <w:r w:rsidR="00F851E8">
        <w:t>,</w:t>
      </w:r>
      <w:r w:rsidR="003F6A84">
        <w:t xml:space="preserve"> to purchase, obtain, maintain, improve, modify, or otherwise support equipment or services produced or provided by any covered companies designated by the Public Safety and Homeland Security Bureau, as well as their parents, affiliates, and subsidiaries</w:t>
      </w:r>
      <w:r w:rsidR="009A1769">
        <w:rPr>
          <w:rFonts w:eastAsia="Segoe UI Emoji"/>
        </w:rPr>
        <w:t>.</w:t>
      </w:r>
      <w:r>
        <w:rPr>
          <w:rStyle w:val="FootnoteReference"/>
          <w:rFonts w:eastAsia="Segoe UI Emoji"/>
        </w:rPr>
        <w:footnoteReference w:id="17"/>
      </w:r>
      <w:r w:rsidR="009A1769">
        <w:rPr>
          <w:rFonts w:eastAsia="Segoe UI Emoji"/>
        </w:rPr>
        <w:t xml:space="preserve">  </w:t>
      </w:r>
      <w:r w:rsidR="009A1769">
        <w:t xml:space="preserve">   </w:t>
      </w:r>
    </w:p>
    <w:p w:rsidR="00702774" w:rsidP="00702774" w14:paraId="15BA6125" w14:textId="7BBAE9BD">
      <w:pPr>
        <w:pStyle w:val="ParaNum"/>
      </w:pPr>
      <w:r>
        <w:t xml:space="preserve">Second, we add language to the eligible services list to reflect the Commission’s decision in the 2019 </w:t>
      </w:r>
      <w:r>
        <w:rPr>
          <w:i/>
          <w:iCs/>
        </w:rPr>
        <w:t xml:space="preserve">Category Two Report and Order </w:t>
      </w:r>
      <w:r>
        <w:t xml:space="preserve">to </w:t>
      </w:r>
      <w:r w:rsidR="005B214A">
        <w:t xml:space="preserve">move </w:t>
      </w:r>
      <w:r w:rsidR="00022EC0">
        <w:t xml:space="preserve">from entity-level budgets to </w:t>
      </w:r>
      <w:r w:rsidR="005B214A">
        <w:t xml:space="preserve">school </w:t>
      </w:r>
      <w:r w:rsidR="00022EC0">
        <w:t xml:space="preserve">district-wide and </w:t>
      </w:r>
      <w:r w:rsidR="005B214A">
        <w:t xml:space="preserve">library </w:t>
      </w:r>
      <w:r w:rsidR="00022EC0">
        <w:t xml:space="preserve">system-wide budgets, effective in </w:t>
      </w:r>
      <w:r w:rsidR="005B214A">
        <w:t>funding</w:t>
      </w:r>
      <w:r w:rsidR="00022EC0">
        <w:t xml:space="preserve"> </w:t>
      </w:r>
      <w:r w:rsidR="005B214A">
        <w:t>y</w:t>
      </w:r>
      <w:r w:rsidR="00022EC0">
        <w:t>ear 2021.</w:t>
      </w:r>
      <w:r>
        <w:rPr>
          <w:rStyle w:val="FootnoteReference"/>
        </w:rPr>
        <w:footnoteReference w:id="18"/>
      </w:r>
      <w:r w:rsidR="00022EC0">
        <w:t xml:space="preserve">  </w:t>
      </w:r>
      <w:r w:rsidR="005B214A">
        <w:t>We note that we received no comment</w:t>
      </w:r>
      <w:r w:rsidR="001842D4">
        <w:t>s</w:t>
      </w:r>
      <w:r w:rsidR="005B214A">
        <w:t xml:space="preserve"> objecting to </w:t>
      </w:r>
      <w:r w:rsidR="00DB2B83">
        <w:t xml:space="preserve">either of these </w:t>
      </w:r>
      <w:r w:rsidR="005B214A">
        <w:t>change</w:t>
      </w:r>
      <w:r w:rsidR="00DB2B83">
        <w:t>s</w:t>
      </w:r>
      <w:r w:rsidR="005B214A">
        <w:t xml:space="preserve"> to the eligible services list.</w:t>
      </w:r>
    </w:p>
    <w:p w:rsidR="00702774" w:rsidP="00702774" w14:paraId="313672AB" w14:textId="5020712D">
      <w:pPr>
        <w:pStyle w:val="ParaNum"/>
      </w:pPr>
      <w:r w:rsidRPr="00F8006E">
        <w:t>Third, we decline several requests that are beyond the scope of this proceeding</w:t>
      </w:r>
      <w:r w:rsidR="00983437">
        <w:t>, including</w:t>
      </w:r>
      <w:r w:rsidR="00420656">
        <w:t>, for example,</w:t>
      </w:r>
      <w:r w:rsidR="00983437">
        <w:t xml:space="preserve"> those requests to make off-campus use of </w:t>
      </w:r>
      <w:r w:rsidR="00D67172">
        <w:t>E-Rate funded</w:t>
      </w:r>
      <w:r w:rsidR="00983437">
        <w:t xml:space="preserve"> services and equipment</w:t>
      </w:r>
      <w:r w:rsidR="00D67172">
        <w:t xml:space="preserve"> eligible</w:t>
      </w:r>
      <w:r w:rsidRPr="00F8006E">
        <w:t>.</w:t>
      </w:r>
      <w:r>
        <w:rPr>
          <w:rStyle w:val="FootnoteReference"/>
        </w:rPr>
        <w:footnoteReference w:id="19"/>
      </w:r>
      <w:r w:rsidRPr="00F8006E">
        <w:t xml:space="preserve">  </w:t>
      </w:r>
      <w:r w:rsidR="00905DFE">
        <w:t>C</w:t>
      </w:r>
      <w:r w:rsidRPr="2A43A49E" w:rsidR="00905DFE">
        <w:t>onsistent with section 254 of the Telecommunications Act directive that E-Rate support may only be used to “enhance… access to advanced telecommunications and information services for… school classrooms,” we remind applicants that off-campus use of eligible services, even if used for an educational purpose, is generally ineligible for support.</w:t>
      </w:r>
      <w:r>
        <w:rPr>
          <w:rStyle w:val="FootnoteReference"/>
        </w:rPr>
        <w:footnoteReference w:id="20"/>
      </w:r>
      <w:r w:rsidR="00905DFE">
        <w:rPr>
          <w:szCs w:val="22"/>
        </w:rPr>
        <w:t xml:space="preserve">  </w:t>
      </w:r>
      <w:r w:rsidR="00A74D5F">
        <w:t>Further</w:t>
      </w:r>
      <w:r w:rsidR="00CF7DA5">
        <w:t>,</w:t>
      </w:r>
      <w:r w:rsidRPr="00F8006E" w:rsidR="00A74D5F">
        <w:t xml:space="preserve"> </w:t>
      </w:r>
      <w:r w:rsidRPr="00F8006E">
        <w:t>the eligible services list process “is limited to determining what services are eligible under the Commission’s current rules and is generally not intended to be a vehicle for changing any eligibility rules.”</w:t>
      </w:r>
      <w:r>
        <w:rPr>
          <w:rStyle w:val="FootnoteReference"/>
        </w:rPr>
        <w:footnoteReference w:id="21"/>
      </w:r>
      <w:r w:rsidRPr="00F8006E">
        <w:t xml:space="preserve">  Accordingly, we decline to address comments requesting that we add </w:t>
      </w:r>
      <w:r w:rsidR="00834516">
        <w:t xml:space="preserve">new </w:t>
      </w:r>
      <w:r w:rsidRPr="00F8006E">
        <w:t>services to the eligible services list</w:t>
      </w:r>
      <w:r w:rsidR="002B0939">
        <w:t>.</w:t>
      </w:r>
      <w:r>
        <w:rPr>
          <w:rStyle w:val="FootnoteReference"/>
        </w:rPr>
        <w:footnoteReference w:id="22"/>
      </w:r>
      <w:r w:rsidRPr="00D16B19">
        <w:t xml:space="preserve">  </w:t>
      </w:r>
      <w:r w:rsidR="002B0939">
        <w:t>W</w:t>
      </w:r>
      <w:r>
        <w:t xml:space="preserve">e </w:t>
      </w:r>
      <w:r w:rsidR="002B0939">
        <w:t xml:space="preserve">also </w:t>
      </w:r>
      <w:r>
        <w:t xml:space="preserve">decline to address </w:t>
      </w:r>
      <w:r>
        <w:t>comments that recommended changes to program forms,</w:t>
      </w:r>
      <w:r>
        <w:rPr>
          <w:rStyle w:val="FootnoteReference"/>
        </w:rPr>
        <w:footnoteReference w:id="23"/>
      </w:r>
      <w:r>
        <w:t xml:space="preserve"> which are the subject of a separate, on-going proceeding.</w:t>
      </w:r>
      <w:r>
        <w:rPr>
          <w:rStyle w:val="FootnoteReference"/>
        </w:rPr>
        <w:footnoteReference w:id="24"/>
      </w:r>
    </w:p>
    <w:p w:rsidR="00702774" w:rsidP="00702774" w14:paraId="10D9E1CA" w14:textId="77777777">
      <w:pPr>
        <w:pStyle w:val="Heading1"/>
      </w:pPr>
      <w:bookmarkStart w:id="0" w:name="_GoBack"/>
      <w:bookmarkEnd w:id="0"/>
      <w:r>
        <w:t>Ordering Clause</w:t>
      </w:r>
    </w:p>
    <w:p w:rsidR="00702774" w:rsidP="00702774" w14:paraId="11B7C9CB" w14:textId="404B1844">
      <w:pPr>
        <w:pStyle w:val="ParaNum"/>
      </w:pPr>
      <w:r>
        <w:t xml:space="preserve">ACCORDINGLY, IT IS ORDERED, that pursuant to the authority contained in sections 1 through 4, 254, 303(r), and 403 of the Communications Act of 1934, as amended, 47 U.S.C. §§ 151- 154, 254, 303(r), and 403, sections 0.91 and 54.502 of the Commission’s rules, 47 CFR §§ 0.91 and 54.502, </w:t>
      </w:r>
      <w:r w:rsidRPr="00E6108B">
        <w:t>this</w:t>
      </w:r>
      <w:r>
        <w:t xml:space="preserve"> Order is ADOPTED.</w:t>
      </w:r>
    </w:p>
    <w:p w:rsidR="008477B1" w:rsidP="00702774" w14:paraId="1BEEAEC3" w14:textId="536D5D40">
      <w:pPr>
        <w:pStyle w:val="ParaNum"/>
      </w:pPr>
      <w:r>
        <w:t>IT IS FURTHER ORDERED</w:t>
      </w:r>
      <w:r w:rsidR="009D55B9">
        <w:t xml:space="preserve">, that pursuant to the authority contained in sections 1 through 4 and 254 of the Communications Act of 1934, as amended, 47 U.S.C. §§ 151-154 and 254, and </w:t>
      </w:r>
      <w:r w:rsidR="009D55B9">
        <w:t>pursuant to the authority in section 1.3 of the Commission’s rules, 47 CFR § 1.3, that section 54.502(d), 47 CFR § 54.502(d) IS WAIVED, and such waiver SHALL BECOME EFFECTIVE upon release.</w:t>
      </w:r>
    </w:p>
    <w:p w:rsidR="00F934CD" w:rsidP="00F934CD" w14:paraId="259F542A" w14:textId="77777777">
      <w:pPr>
        <w:pStyle w:val="ParaNum"/>
        <w:numPr>
          <w:ilvl w:val="0"/>
          <w:numId w:val="0"/>
        </w:numPr>
      </w:pPr>
    </w:p>
    <w:p w:rsidR="00F934CD" w:rsidP="0017296B" w14:paraId="189804B5" w14:textId="77777777">
      <w:r>
        <w:tab/>
      </w:r>
      <w:r>
        <w:tab/>
      </w:r>
      <w:r>
        <w:tab/>
      </w:r>
      <w:r>
        <w:tab/>
      </w:r>
      <w:r>
        <w:tab/>
      </w:r>
      <w:r>
        <w:tab/>
        <w:t>FEDERAL COMMUNICATIONS COMMISSION</w:t>
      </w:r>
    </w:p>
    <w:p w:rsidR="00F934CD" w:rsidP="0017296B" w14:paraId="1AF93F97" w14:textId="77777777"/>
    <w:p w:rsidR="00F934CD" w:rsidP="0017296B" w14:paraId="6709414B" w14:textId="77777777"/>
    <w:p w:rsidR="00F934CD" w:rsidP="0017296B" w14:paraId="691AD859" w14:textId="77777777"/>
    <w:p w:rsidR="00F934CD" w:rsidP="0017296B" w14:paraId="45EAC312" w14:textId="77777777"/>
    <w:p w:rsidR="00F934CD" w:rsidP="00F934CD" w14:paraId="0D06EA73" w14:textId="66D6A548">
      <w:pPr>
        <w:pStyle w:val="ParaNum"/>
        <w:numPr>
          <w:ilvl w:val="0"/>
          <w:numId w:val="0"/>
        </w:numPr>
        <w:spacing w:after="0"/>
        <w:ind w:left="4320"/>
      </w:pPr>
      <w:r>
        <w:t>Kris Anne Monteith</w:t>
      </w:r>
    </w:p>
    <w:p w:rsidR="00F934CD" w:rsidP="00F934CD" w14:paraId="5D5CF2E6" w14:textId="3B81EA5A">
      <w:pPr>
        <w:pStyle w:val="ParaNum"/>
        <w:numPr>
          <w:ilvl w:val="0"/>
          <w:numId w:val="0"/>
        </w:numPr>
        <w:spacing w:after="0"/>
        <w:ind w:left="3600" w:firstLine="720"/>
      </w:pPr>
      <w:r>
        <w:t>Chief</w:t>
      </w:r>
    </w:p>
    <w:p w:rsidR="00F934CD" w:rsidP="00F934CD" w14:paraId="51DF5970" w14:textId="18C25D7C">
      <w:pPr>
        <w:pStyle w:val="ParaNum"/>
        <w:numPr>
          <w:ilvl w:val="0"/>
          <w:numId w:val="0"/>
        </w:numPr>
        <w:spacing w:after="0"/>
        <w:ind w:left="3600" w:firstLine="720"/>
      </w:pPr>
      <w:r w:rsidRPr="00950979">
        <w:t>Wireline Competition Bureau</w:t>
      </w:r>
    </w:p>
    <w:p w:rsidR="00F934CD" w:rsidP="00F934CD" w14:paraId="72CD922A" w14:textId="00770F82"/>
    <w:p w:rsidR="00702774" w:rsidP="00F934CD" w14:paraId="5676FED5" w14:textId="77777777">
      <w:pPr>
        <w:pStyle w:val="ParaNum"/>
        <w:numPr>
          <w:ilvl w:val="0"/>
          <w:numId w:val="0"/>
        </w:numPr>
      </w:pPr>
    </w:p>
    <w:p w:rsidR="00702774" w:rsidP="00D16B19" w14:paraId="2E1B139C" w14:textId="77777777">
      <w:pPr>
        <w:pStyle w:val="ParaNum"/>
        <w:numPr>
          <w:ilvl w:val="0"/>
          <w:numId w:val="0"/>
        </w:numPr>
      </w:pPr>
    </w:p>
    <w:p w:rsidR="00D26D58" w:rsidP="00F934CD" w14:paraId="68B16AAC" w14:textId="60B9A0C1">
      <w:pPr>
        <w:pStyle w:val="ParaNum"/>
        <w:numPr>
          <w:ilvl w:val="0"/>
          <w:numId w:val="0"/>
        </w:numPr>
        <w:spacing w:after="0"/>
        <w:ind w:left="4320"/>
      </w:pPr>
      <w:r>
        <w:t xml:space="preserve">        </w:t>
      </w:r>
      <w:r w:rsidR="00EC19ED">
        <w:t xml:space="preserve"> </w:t>
      </w:r>
    </w:p>
    <w:p w:rsidR="002F55E1" w:rsidRPr="00D16B19" w:rsidP="00D16B19" w14:paraId="53C12E53" w14:textId="093707BE">
      <w:pPr>
        <w:jc w:val="center"/>
        <w:rPr>
          <w:b/>
          <w:bCs/>
        </w:rPr>
      </w:pPr>
      <w:r>
        <w:br w:type="page"/>
      </w:r>
      <w:r w:rsidRPr="00D16B19">
        <w:rPr>
          <w:b/>
          <w:bCs/>
        </w:rPr>
        <w:t>APPENDIX A</w:t>
      </w:r>
    </w:p>
    <w:p w:rsidR="002F55E1" w:rsidRPr="00D16B19" w:rsidP="00D16B19" w14:paraId="351B0D08" w14:textId="77777777">
      <w:pPr>
        <w:jc w:val="center"/>
        <w:rPr>
          <w:b/>
          <w:bCs/>
        </w:rPr>
      </w:pPr>
    </w:p>
    <w:p w:rsidR="002F55E1" w:rsidRPr="00D16B19" w:rsidP="00D16B19" w14:paraId="69CFAE71" w14:textId="77777777">
      <w:pPr>
        <w:jc w:val="center"/>
        <w:rPr>
          <w:b/>
          <w:bCs/>
        </w:rPr>
      </w:pPr>
      <w:r w:rsidRPr="6DB7A133">
        <w:rPr>
          <w:b/>
          <w:bCs/>
        </w:rPr>
        <w:t>List of Commenters</w:t>
      </w:r>
    </w:p>
    <w:p w:rsidR="002F55E1" w:rsidRPr="00D16B19" w:rsidP="00D16B19" w14:paraId="5F640A47" w14:textId="77777777">
      <w:pPr>
        <w:jc w:val="center"/>
        <w:rPr>
          <w:b/>
          <w:bCs/>
        </w:rPr>
      </w:pPr>
    </w:p>
    <w:p w:rsidR="002F55E1" w:rsidRPr="00D16B19" w:rsidP="00D16B19" w14:paraId="1BEB2ED8" w14:textId="6F4F4C74">
      <w:pPr>
        <w:jc w:val="center"/>
        <w:rPr>
          <w:b/>
          <w:bCs/>
        </w:rPr>
      </w:pPr>
      <w:r w:rsidRPr="00D16B19">
        <w:rPr>
          <w:b/>
          <w:bCs/>
        </w:rPr>
        <w:t>Comments and Reply Comments in Response to the</w:t>
      </w:r>
    </w:p>
    <w:p w:rsidR="002F55E1" w:rsidRPr="00567BB9" w:rsidP="00D16B19" w14:paraId="2870E146" w14:textId="1666D413">
      <w:pPr>
        <w:jc w:val="center"/>
        <w:rPr>
          <w:b/>
          <w:bCs/>
          <w:i/>
          <w:iCs/>
        </w:rPr>
      </w:pPr>
      <w:r w:rsidRPr="00567BB9">
        <w:rPr>
          <w:b/>
          <w:bCs/>
          <w:i/>
          <w:iCs/>
        </w:rPr>
        <w:t>F</w:t>
      </w:r>
      <w:r w:rsidR="00463BDD">
        <w:rPr>
          <w:b/>
          <w:bCs/>
          <w:i/>
          <w:iCs/>
        </w:rPr>
        <w:t xml:space="preserve">unding </w:t>
      </w:r>
      <w:r w:rsidRPr="00567BB9">
        <w:rPr>
          <w:b/>
          <w:bCs/>
          <w:i/>
          <w:iCs/>
        </w:rPr>
        <w:t>Y</w:t>
      </w:r>
      <w:r w:rsidR="00463BDD">
        <w:rPr>
          <w:b/>
          <w:bCs/>
          <w:i/>
          <w:iCs/>
        </w:rPr>
        <w:t xml:space="preserve">ear </w:t>
      </w:r>
      <w:r w:rsidRPr="00567BB9">
        <w:rPr>
          <w:b/>
          <w:bCs/>
          <w:i/>
          <w:iCs/>
        </w:rPr>
        <w:t xml:space="preserve">2021 </w:t>
      </w:r>
      <w:r w:rsidR="00463BDD">
        <w:rPr>
          <w:b/>
          <w:bCs/>
          <w:i/>
          <w:iCs/>
        </w:rPr>
        <w:t>Eligible Services List</w:t>
      </w:r>
      <w:r w:rsidRPr="00567BB9" w:rsidR="00463BDD">
        <w:rPr>
          <w:b/>
          <w:bCs/>
          <w:i/>
          <w:iCs/>
        </w:rPr>
        <w:t xml:space="preserve"> </w:t>
      </w:r>
      <w:r w:rsidRPr="00567BB9">
        <w:rPr>
          <w:b/>
          <w:bCs/>
          <w:i/>
          <w:iCs/>
        </w:rPr>
        <w:t>Public Notice</w:t>
      </w:r>
    </w:p>
    <w:p w:rsidR="002F55E1" w:rsidRPr="00D16B19" w:rsidP="00D16B19" w14:paraId="0D7EF4E1" w14:textId="77777777">
      <w:pPr>
        <w:jc w:val="center"/>
        <w:rPr>
          <w:b/>
          <w:bCs/>
        </w:rPr>
      </w:pPr>
    </w:p>
    <w:p w:rsidR="002F55E1" w:rsidRPr="00D16B19" w:rsidP="00D16B19" w14:paraId="5A8502ED" w14:textId="77777777">
      <w:pPr>
        <w:jc w:val="center"/>
        <w:rPr>
          <w:b/>
          <w:bCs/>
        </w:rPr>
      </w:pPr>
      <w:r w:rsidRPr="00D16B19">
        <w:rPr>
          <w:b/>
          <w:bCs/>
        </w:rPr>
        <w:t>WC Docket No. 13-184</w:t>
      </w:r>
    </w:p>
    <w:p w:rsidR="00E1692B" w:rsidP="002F55E1" w14:paraId="6FF44B6C" w14:textId="3BCE17DD">
      <w:pPr>
        <w:ind w:firstLine="720"/>
        <w:jc w:val="center"/>
        <w:rPr>
          <w:b/>
        </w:rPr>
      </w:pPr>
    </w:p>
    <w:p w:rsidR="00E1692B" w:rsidRPr="00E1692B" w:rsidP="00567BB9" w14:paraId="7D225B92" w14:textId="77777777">
      <w:pPr>
        <w:ind w:firstLine="720"/>
        <w:rPr>
          <w:b/>
        </w:rPr>
      </w:pPr>
    </w:p>
    <w:p w:rsidR="00BB2F52" w:rsidRPr="00567BB9" w:rsidP="00873495" w14:paraId="73C6CC52" w14:textId="7B3532D7">
      <w:pPr>
        <w:pStyle w:val="ParaNum"/>
        <w:numPr>
          <w:ilvl w:val="0"/>
          <w:numId w:val="0"/>
        </w:numPr>
        <w:spacing w:after="0"/>
        <w:rPr>
          <w:b/>
          <w:bCs/>
          <w:u w:val="single"/>
        </w:rPr>
      </w:pPr>
      <w:r w:rsidRPr="00567BB9">
        <w:rPr>
          <w:b/>
          <w:bCs/>
          <w:u w:val="single"/>
        </w:rPr>
        <w:t>Commenters</w:t>
      </w:r>
    </w:p>
    <w:p w:rsidR="00DF32FE" w:rsidP="00DF32FE" w14:paraId="42EC514D" w14:textId="7EF7BFB9">
      <w:pPr>
        <w:pStyle w:val="ParaNum"/>
        <w:numPr>
          <w:ilvl w:val="0"/>
          <w:numId w:val="0"/>
        </w:numPr>
        <w:spacing w:after="0"/>
      </w:pPr>
    </w:p>
    <w:p w:rsidR="00DF32FE" w:rsidP="00DF32FE" w14:paraId="01832ABA" w14:textId="58EB04F1">
      <w:pPr>
        <w:pStyle w:val="ParaNum"/>
        <w:numPr>
          <w:ilvl w:val="0"/>
          <w:numId w:val="18"/>
        </w:numPr>
        <w:spacing w:after="0"/>
      </w:pPr>
      <w:r>
        <w:t>Ad</w:t>
      </w:r>
      <w:r w:rsidR="00BE094F">
        <w:t>Tec</w:t>
      </w:r>
      <w:r w:rsidR="00BE094F">
        <w:t>, Inc.</w:t>
      </w:r>
    </w:p>
    <w:p w:rsidR="00BE094F" w:rsidP="00DF32FE" w14:paraId="4B2972E2" w14:textId="6F19EF25">
      <w:pPr>
        <w:pStyle w:val="ParaNum"/>
        <w:numPr>
          <w:ilvl w:val="0"/>
          <w:numId w:val="18"/>
        </w:numPr>
        <w:spacing w:after="0"/>
      </w:pPr>
      <w:r>
        <w:t>Anderson School District</w:t>
      </w:r>
    </w:p>
    <w:p w:rsidR="00766E14" w:rsidP="00DF32FE" w14:paraId="66B3950C" w14:textId="248B288D">
      <w:pPr>
        <w:pStyle w:val="ParaNum"/>
        <w:numPr>
          <w:ilvl w:val="0"/>
          <w:numId w:val="18"/>
        </w:numPr>
        <w:spacing w:after="0"/>
      </w:pPr>
      <w:r>
        <w:t xml:space="preserve">Department of </w:t>
      </w:r>
      <w:r w:rsidR="002D5828">
        <w:t>Interior</w:t>
      </w:r>
    </w:p>
    <w:p w:rsidR="004D3998" w:rsidP="00DF32FE" w14:paraId="50F8470A" w14:textId="4F8D0C7A">
      <w:pPr>
        <w:pStyle w:val="ParaNum"/>
        <w:numPr>
          <w:ilvl w:val="0"/>
          <w:numId w:val="18"/>
        </w:numPr>
        <w:spacing w:after="0"/>
      </w:pPr>
      <w:r>
        <w:t>Des Plain</w:t>
      </w:r>
      <w:r w:rsidR="00BF61DB">
        <w:t>e</w:t>
      </w:r>
      <w:r>
        <w:t xml:space="preserve">s </w:t>
      </w:r>
      <w:r w:rsidR="00FA5582">
        <w:t>Public Library</w:t>
      </w:r>
    </w:p>
    <w:p w:rsidR="00FA5582" w:rsidP="00DF32FE" w14:paraId="5F62593C" w14:textId="5AE9E3F4">
      <w:pPr>
        <w:pStyle w:val="ParaNum"/>
        <w:numPr>
          <w:ilvl w:val="0"/>
          <w:numId w:val="18"/>
        </w:numPr>
        <w:spacing w:after="0"/>
      </w:pPr>
      <w:r>
        <w:t>Fort Bend Independent School</w:t>
      </w:r>
      <w:r w:rsidR="00E3510E">
        <w:t xml:space="preserve"> District</w:t>
      </w:r>
    </w:p>
    <w:p w:rsidR="00E3510E" w:rsidP="00DF32FE" w14:paraId="59DAFFAD" w14:textId="5F0C5C5D">
      <w:pPr>
        <w:pStyle w:val="ParaNum"/>
        <w:numPr>
          <w:ilvl w:val="0"/>
          <w:numId w:val="18"/>
        </w:numPr>
        <w:spacing w:after="0"/>
      </w:pPr>
      <w:r>
        <w:t>Fortinet</w:t>
      </w:r>
    </w:p>
    <w:p w:rsidR="00957314" w:rsidP="00DF32FE" w14:paraId="78403EB0" w14:textId="4DC8863C">
      <w:pPr>
        <w:pStyle w:val="ParaNum"/>
        <w:numPr>
          <w:ilvl w:val="0"/>
          <w:numId w:val="18"/>
        </w:numPr>
        <w:spacing w:after="0"/>
      </w:pPr>
      <w:r>
        <w:t>Funds for Learning (FFL)</w:t>
      </w:r>
    </w:p>
    <w:p w:rsidR="00972A67" w:rsidP="00DF32FE" w14:paraId="20D29DC4" w14:textId="0068F8C5">
      <w:pPr>
        <w:pStyle w:val="ParaNum"/>
        <w:numPr>
          <w:ilvl w:val="0"/>
          <w:numId w:val="18"/>
        </w:numPr>
        <w:spacing w:after="0"/>
      </w:pPr>
      <w:r>
        <w:t>State E-</w:t>
      </w:r>
      <w:r w:rsidR="00683627">
        <w:t>r</w:t>
      </w:r>
      <w:r>
        <w:t>ate Coordinators</w:t>
      </w:r>
      <w:r w:rsidR="00E9002F">
        <w:t xml:space="preserve">’ </w:t>
      </w:r>
      <w:r w:rsidR="00C41946">
        <w:t>Alliance (SECA)</w:t>
      </w:r>
    </w:p>
    <w:p w:rsidR="0048650B" w:rsidP="0048650B" w14:paraId="665FF0E9" w14:textId="2D273210">
      <w:pPr>
        <w:pStyle w:val="ParaNum"/>
        <w:numPr>
          <w:ilvl w:val="0"/>
          <w:numId w:val="0"/>
        </w:numPr>
        <w:spacing w:after="0"/>
      </w:pPr>
    </w:p>
    <w:p w:rsidR="00700CB5" w:rsidRPr="00567BB9" w:rsidP="0048650B" w14:paraId="53B85B31" w14:textId="5FE74063">
      <w:pPr>
        <w:pStyle w:val="ParaNum"/>
        <w:numPr>
          <w:ilvl w:val="0"/>
          <w:numId w:val="0"/>
        </w:numPr>
        <w:spacing w:after="0"/>
        <w:rPr>
          <w:b/>
          <w:bCs/>
          <w:u w:val="single"/>
        </w:rPr>
      </w:pPr>
      <w:r w:rsidRPr="00567BB9">
        <w:rPr>
          <w:b/>
          <w:bCs/>
          <w:u w:val="single"/>
        </w:rPr>
        <w:t>Reply</w:t>
      </w:r>
      <w:r w:rsidRPr="00567BB9" w:rsidR="00C33E28">
        <w:rPr>
          <w:b/>
          <w:bCs/>
          <w:u w:val="single"/>
        </w:rPr>
        <w:t xml:space="preserve"> Commenters</w:t>
      </w:r>
    </w:p>
    <w:p w:rsidR="00C33E28" w:rsidP="00C33E28" w14:paraId="1B0E4784" w14:textId="0ABAC598">
      <w:pPr>
        <w:pStyle w:val="ParaNum"/>
        <w:numPr>
          <w:ilvl w:val="0"/>
          <w:numId w:val="0"/>
        </w:numPr>
        <w:spacing w:after="0"/>
      </w:pPr>
    </w:p>
    <w:p w:rsidR="00C33E28" w:rsidP="00C33E28" w14:paraId="3A3B0A1F" w14:textId="58E52708">
      <w:pPr>
        <w:pStyle w:val="ParaNum"/>
        <w:numPr>
          <w:ilvl w:val="0"/>
          <w:numId w:val="20"/>
        </w:numPr>
        <w:spacing w:after="0"/>
      </w:pPr>
      <w:r>
        <w:t>American Library Association</w:t>
      </w:r>
      <w:r w:rsidR="00D839EE">
        <w:t xml:space="preserve"> (ALA)</w:t>
      </w:r>
    </w:p>
    <w:p w:rsidR="00D839EE" w:rsidP="00C33E28" w14:paraId="0221D122" w14:textId="3851DBA0">
      <w:pPr>
        <w:pStyle w:val="ParaNum"/>
        <w:numPr>
          <w:ilvl w:val="0"/>
          <w:numId w:val="20"/>
        </w:numPr>
        <w:spacing w:after="0"/>
      </w:pPr>
      <w:r>
        <w:t xml:space="preserve">Aruba, </w:t>
      </w:r>
      <w:r w:rsidRPr="00950979">
        <w:t>a Hewlett Packard Enterprise Company (Aruba)</w:t>
      </w:r>
    </w:p>
    <w:p w:rsidR="007C3FE3" w:rsidP="00C33E28" w14:paraId="37635FAB" w14:textId="3C79A4D3">
      <w:pPr>
        <w:pStyle w:val="ParaNum"/>
        <w:numPr>
          <w:ilvl w:val="0"/>
          <w:numId w:val="20"/>
        </w:numPr>
        <w:spacing w:after="0"/>
      </w:pPr>
      <w:r>
        <w:t>Cox Communications (Cox)</w:t>
      </w:r>
    </w:p>
    <w:p w:rsidR="00307089" w:rsidP="00C33E28" w14:paraId="21B4FACF" w14:textId="02F2BD30">
      <w:pPr>
        <w:pStyle w:val="ParaNum"/>
        <w:numPr>
          <w:ilvl w:val="0"/>
          <w:numId w:val="20"/>
        </w:numPr>
        <w:spacing w:after="0"/>
      </w:pPr>
      <w:r>
        <w:t xml:space="preserve">Funds </w:t>
      </w:r>
      <w:r w:rsidR="006F2ED3">
        <w:t>f</w:t>
      </w:r>
      <w:r>
        <w:t>or Learning (FFL)</w:t>
      </w:r>
    </w:p>
    <w:p w:rsidR="00955EC5" w:rsidP="00C33E28" w14:paraId="4AA1E414" w14:textId="507F7CC6">
      <w:pPr>
        <w:pStyle w:val="ParaNum"/>
        <w:numPr>
          <w:ilvl w:val="0"/>
          <w:numId w:val="20"/>
        </w:numPr>
        <w:spacing w:after="0"/>
      </w:pPr>
      <w:r>
        <w:t xml:space="preserve">Illinois Office of </w:t>
      </w:r>
      <w:r w:rsidR="00B22071">
        <w:t>Broadband</w:t>
      </w:r>
    </w:p>
    <w:p w:rsidR="00B22071" w:rsidP="00C33E28" w14:paraId="45E29D75" w14:textId="307DAAE5">
      <w:pPr>
        <w:pStyle w:val="ParaNum"/>
        <w:numPr>
          <w:ilvl w:val="0"/>
          <w:numId w:val="20"/>
        </w:numPr>
        <w:spacing w:after="0"/>
      </w:pPr>
      <w:r>
        <w:t>Lake County Public Library</w:t>
      </w:r>
    </w:p>
    <w:p w:rsidR="00C827E9" w:rsidP="00C33E28" w14:paraId="6011DE58" w14:textId="0BD136EE">
      <w:pPr>
        <w:pStyle w:val="ParaNum"/>
        <w:numPr>
          <w:ilvl w:val="0"/>
          <w:numId w:val="20"/>
        </w:numPr>
        <w:spacing w:after="0"/>
      </w:pPr>
      <w:r>
        <w:t xml:space="preserve">Mount Vernon </w:t>
      </w:r>
      <w:r w:rsidR="006206FE">
        <w:t xml:space="preserve">School District </w:t>
      </w:r>
      <w:r>
        <w:t xml:space="preserve">Director of </w:t>
      </w:r>
      <w:r w:rsidR="006206FE">
        <w:t>Technology</w:t>
      </w:r>
    </w:p>
    <w:p w:rsidR="004908C5" w:rsidP="00C33E28" w14:paraId="7434F288" w14:textId="6E66F06F">
      <w:pPr>
        <w:pStyle w:val="ParaNum"/>
        <w:numPr>
          <w:ilvl w:val="0"/>
          <w:numId w:val="20"/>
        </w:numPr>
        <w:spacing w:after="0"/>
      </w:pPr>
      <w:r>
        <w:t>SECA</w:t>
      </w:r>
    </w:p>
    <w:p w:rsidR="00465F46" w:rsidP="00C33E28" w14:paraId="0AFB3D52" w14:textId="249242FB">
      <w:pPr>
        <w:pStyle w:val="ParaNum"/>
        <w:numPr>
          <w:ilvl w:val="0"/>
          <w:numId w:val="20"/>
        </w:numPr>
        <w:spacing w:after="0"/>
      </w:pPr>
      <w:r>
        <w:t>Talbot County Public Schools</w:t>
      </w:r>
    </w:p>
    <w:p w:rsidR="00141849" w:rsidP="00C33E28" w14:paraId="1A206EDA" w14:textId="2ED27940">
      <w:pPr>
        <w:pStyle w:val="ParaNum"/>
        <w:numPr>
          <w:ilvl w:val="0"/>
          <w:numId w:val="20"/>
        </w:numPr>
        <w:spacing w:after="0"/>
      </w:pPr>
      <w:r w:rsidRPr="00141849">
        <w:t>Zachray</w:t>
      </w:r>
      <w:r w:rsidRPr="00141849">
        <w:t xml:space="preserve"> Leiter</w:t>
      </w:r>
    </w:p>
    <w:p w:rsidR="00BB2F52" w:rsidP="00D16B19" w14:paraId="4F4A38BE" w14:textId="1A98D241">
      <w:pPr>
        <w:pStyle w:val="ParaNum"/>
        <w:numPr>
          <w:ilvl w:val="0"/>
          <w:numId w:val="0"/>
        </w:numPr>
        <w:spacing w:after="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013987" w:rsidP="00013987" w14:paraId="52855E9E" w14:textId="7EEA2B05">
      <w:pPr>
        <w:jc w:val="center"/>
        <w:rPr>
          <w:b/>
        </w:rPr>
      </w:pPr>
      <w:r w:rsidRPr="00950979">
        <w:rPr>
          <w:b/>
        </w:rPr>
        <w:t>APPENDIX B</w:t>
      </w:r>
    </w:p>
    <w:p w:rsidR="00292197" w:rsidP="00013987" w14:paraId="637D594D" w14:textId="77777777">
      <w:pPr>
        <w:tabs>
          <w:tab w:val="center" w:pos="4680"/>
          <w:tab w:val="right" w:pos="9360"/>
        </w:tabs>
        <w:jc w:val="center"/>
      </w:pPr>
    </w:p>
    <w:p w:rsidR="00013987" w:rsidRPr="00950979" w:rsidP="00013987" w14:paraId="096FFD59" w14:textId="5080F6B8">
      <w:pPr>
        <w:tabs>
          <w:tab w:val="center" w:pos="4680"/>
          <w:tab w:val="right" w:pos="9360"/>
        </w:tabs>
        <w:jc w:val="center"/>
        <w:rPr>
          <w:b/>
          <w:szCs w:val="22"/>
        </w:rPr>
      </w:pPr>
      <w:r w:rsidRPr="00950979">
        <w:rPr>
          <w:b/>
          <w:bCs/>
          <w:szCs w:val="22"/>
        </w:rPr>
        <w:t>Eligible Services List for Funding Year 20</w:t>
      </w:r>
      <w:r w:rsidR="00A92BBB">
        <w:rPr>
          <w:b/>
          <w:bCs/>
          <w:szCs w:val="22"/>
        </w:rPr>
        <w:t>21</w:t>
      </w:r>
    </w:p>
    <w:p w:rsidR="00013987" w:rsidRPr="00950979" w:rsidP="00013987" w14:paraId="2856EFBD" w14:textId="77777777">
      <w:pPr>
        <w:tabs>
          <w:tab w:val="center" w:pos="4680"/>
          <w:tab w:val="right" w:pos="9360"/>
        </w:tabs>
        <w:jc w:val="center"/>
        <w:rPr>
          <w:b/>
          <w:bCs/>
          <w:szCs w:val="22"/>
        </w:rPr>
      </w:pPr>
      <w:r w:rsidRPr="00950979">
        <w:rPr>
          <w:b/>
          <w:bCs/>
          <w:szCs w:val="22"/>
        </w:rPr>
        <w:t>Schools and Libraries Universal Service Support Mechanism</w:t>
      </w:r>
    </w:p>
    <w:p w:rsidR="00013987" w:rsidRPr="00950979" w:rsidP="00013987" w14:paraId="2A37E62D" w14:textId="77777777">
      <w:pPr>
        <w:jc w:val="center"/>
        <w:rPr>
          <w:szCs w:val="22"/>
          <w:u w:val="single"/>
        </w:rPr>
      </w:pPr>
    </w:p>
    <w:p w:rsidR="00013987" w:rsidRPr="004A6D96" w:rsidP="00013987" w14:paraId="3D860EE2" w14:textId="77777777">
      <w:pPr>
        <w:jc w:val="center"/>
        <w:rPr>
          <w:b/>
          <w:bCs/>
          <w:szCs w:val="22"/>
        </w:rPr>
      </w:pPr>
      <w:r w:rsidRPr="004A6D96">
        <w:rPr>
          <w:b/>
          <w:szCs w:val="22"/>
        </w:rPr>
        <w:t>WC Docket No. 13-184</w:t>
      </w:r>
    </w:p>
    <w:p w:rsidR="00B40693" w:rsidRPr="00AB1D42" w:rsidP="00B40693" w14:paraId="4251D58D" w14:textId="77777777">
      <w:pPr>
        <w:spacing w:before="120" w:after="120"/>
        <w:rPr>
          <w:szCs w:val="22"/>
        </w:rPr>
      </w:pPr>
      <w:r w:rsidRPr="00950979">
        <w:rPr>
          <w:szCs w:val="22"/>
        </w:rPr>
        <w:t xml:space="preserve">The Federal Communications Commission’s (FCC) rules provide that all services that are eligible to receive discounts under the Schools and Libraries Universal Service Support Mechanism (otherwise known as the E-Rate program or E-Rate) are listed in this Eligible Services List (ESL).  47 CFR § 54.502(a). </w:t>
      </w:r>
      <w:r>
        <w:rPr>
          <w:szCs w:val="22"/>
        </w:rPr>
        <w:t xml:space="preserve"> </w:t>
      </w:r>
      <w:r w:rsidRPr="00950979">
        <w:rPr>
          <w:szCs w:val="22"/>
        </w:rPr>
        <w:t xml:space="preserve">The E-Rate program is administered by the Universal Service Administrative Company (USAC).  47 CFR § 54.5.  Eligible schools and libraries may seek E-Rate support for eligible Category One telecommunications services, telecommunications, and Internet access, and Category Two internal connections, basic maintenance, and managed internal broadband services as identified herein.  47 CFR §§ 54.500 </w:t>
      </w:r>
      <w:r w:rsidRPr="00950979">
        <w:rPr>
          <w:i/>
          <w:szCs w:val="22"/>
        </w:rPr>
        <w:t>et seq</w:t>
      </w:r>
      <w:r w:rsidRPr="00950979">
        <w:rPr>
          <w:szCs w:val="22"/>
        </w:rPr>
        <w:t>.</w:t>
      </w:r>
      <w:r>
        <w:rPr>
          <w:szCs w:val="22"/>
        </w:rPr>
        <w:t xml:space="preserve">  </w:t>
      </w:r>
    </w:p>
    <w:p w:rsidR="00B40693" w:rsidRPr="00950979" w:rsidP="00B40693" w14:paraId="587A56D1" w14:textId="77777777">
      <w:pPr>
        <w:spacing w:before="120" w:after="240"/>
        <w:rPr>
          <w:bCs/>
          <w:color w:val="010101"/>
          <w:szCs w:val="22"/>
        </w:rPr>
      </w:pPr>
      <w:r w:rsidRPr="00950979">
        <w:rPr>
          <w:szCs w:val="22"/>
        </w:rPr>
        <w:t xml:space="preserve">Additional guidance from USAC about the E-Rate application process and about eligible services, including a glossary of terms, is available at USAC’s website at </w:t>
      </w:r>
      <w:hyperlink r:id="rId10" w:history="1">
        <w:r>
          <w:rPr>
            <w:rStyle w:val="Hyperlink"/>
          </w:rPr>
          <w:t>https://www.usac.org/e-rate/applicant-process/before-you-begin/eligible-services-list/</w:t>
        </w:r>
      </w:hyperlink>
      <w:r w:rsidRPr="00950979">
        <w:rPr>
          <w:szCs w:val="22"/>
        </w:rPr>
        <w:t xml:space="preserve">.  The documents on USAC’s website are not incorporated by reference into the ESL and do not bind the Commission.  Thus, they will not be used to determine whether a service or product is eligible.  Applicants and service providers may refer to those documents, but </w:t>
      </w:r>
      <w:r>
        <w:rPr>
          <w:szCs w:val="22"/>
        </w:rPr>
        <w:t xml:space="preserve">they </w:t>
      </w:r>
      <w:r w:rsidRPr="00950979">
        <w:rPr>
          <w:szCs w:val="22"/>
        </w:rPr>
        <w:t>should do so only for informal guidance.  This ESL applies to funding requests for Funding Year</w:t>
      </w:r>
      <w:r>
        <w:rPr>
          <w:szCs w:val="22"/>
        </w:rPr>
        <w:t xml:space="preserve"> (FY)</w:t>
      </w:r>
      <w:r w:rsidRPr="00950979">
        <w:rPr>
          <w:szCs w:val="22"/>
        </w:rPr>
        <w:t xml:space="preserve"> 20</w:t>
      </w:r>
      <w:r>
        <w:rPr>
          <w:szCs w:val="22"/>
        </w:rPr>
        <w:t>21</w:t>
      </w:r>
      <w:r w:rsidRPr="00950979">
        <w:rPr>
          <w:szCs w:val="22"/>
        </w:rPr>
        <w:t>.</w:t>
      </w:r>
    </w:p>
    <w:p w:rsidR="00B40693" w:rsidRPr="00950979" w:rsidP="00B40693" w14:paraId="68616C89" w14:textId="77777777">
      <w:pPr>
        <w:spacing w:after="120"/>
        <w:rPr>
          <w:b/>
          <w:szCs w:val="22"/>
          <w:u w:val="single"/>
        </w:rPr>
      </w:pPr>
      <w:r w:rsidRPr="00950979">
        <w:rPr>
          <w:b/>
          <w:bCs/>
          <w:szCs w:val="22"/>
          <w:u w:val="single"/>
        </w:rPr>
        <w:t>Category One</w:t>
      </w:r>
    </w:p>
    <w:p w:rsidR="00B40693" w:rsidRPr="00950979" w:rsidP="00B40693" w14:paraId="7C8DB116" w14:textId="77777777">
      <w:pPr>
        <w:spacing w:before="120" w:after="240"/>
        <w:rPr>
          <w:bCs/>
          <w:szCs w:val="22"/>
        </w:rPr>
      </w:pPr>
      <w:r w:rsidRPr="00950979">
        <w:rPr>
          <w:szCs w:val="22"/>
        </w:rPr>
        <w:t>The first category of supported services, Category One, includes the services needed to support broadband connectivity to schools and libraries.  Eligible Category One services are listed in the entries for data transmission and/or Internet access.  This category consists of the services that provide broadband to eligible locations including data links that connect multiple points, services used to connect eligible locations to the Internet, and services that provide basic conduit access to the Internet.  With the exception</w:t>
      </w:r>
      <w:r>
        <w:rPr>
          <w:szCs w:val="22"/>
        </w:rPr>
        <w:t xml:space="preserve"> </w:t>
      </w:r>
      <w:r w:rsidRPr="00950979">
        <w:rPr>
          <w:szCs w:val="22"/>
        </w:rPr>
        <w:t>of leased dark fiber and self-provisioned broadband networks, maintenance and technical support appropriate to maintain reliable operation are only eligible for support when provided as a component of these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14:paraId="0A90DFAE" w14:textId="77777777" w:rsidTr="009834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5"/>
          <w:jc w:val="center"/>
        </w:trPr>
        <w:tc>
          <w:tcPr>
            <w:tcW w:w="9175" w:type="dxa"/>
            <w:shd w:val="clear" w:color="auto" w:fill="auto"/>
          </w:tcPr>
          <w:p w:rsidR="00B40693" w:rsidRPr="00950979" w:rsidP="00983437" w14:paraId="62CF99B8" w14:textId="77777777">
            <w:pPr>
              <w:spacing w:after="120"/>
              <w:jc w:val="center"/>
              <w:rPr>
                <w:b/>
                <w:szCs w:val="22"/>
              </w:rPr>
            </w:pPr>
            <w:r w:rsidRPr="00950979">
              <w:rPr>
                <w:b/>
                <w:bCs/>
                <w:szCs w:val="22"/>
              </w:rPr>
              <w:t>Data Transmission and/or Internet Access</w:t>
            </w:r>
          </w:p>
          <w:p w:rsidR="00B40693" w:rsidRPr="00950979" w:rsidP="00983437" w14:paraId="51490414" w14:textId="77777777">
            <w:pPr>
              <w:spacing w:before="120"/>
              <w:rPr>
                <w:szCs w:val="22"/>
              </w:rPr>
            </w:pPr>
            <w:r w:rsidRPr="00950979">
              <w:rPr>
                <w:szCs w:val="22"/>
              </w:rPr>
              <w:t>Data transmission and/or Internet access services are eligible in Category One.  These services include:</w:t>
            </w:r>
          </w:p>
          <w:p w:rsidR="00B40693" w:rsidRPr="00950979" w:rsidP="00B40693" w14:paraId="792E641B" w14:textId="77777777">
            <w:pPr>
              <w:widowControl/>
              <w:numPr>
                <w:ilvl w:val="0"/>
                <w:numId w:val="7"/>
              </w:numPr>
              <w:contextualSpacing/>
              <w:rPr>
                <w:szCs w:val="22"/>
              </w:rPr>
            </w:pPr>
            <w:r w:rsidRPr="00950979">
              <w:rPr>
                <w:szCs w:val="22"/>
              </w:rPr>
              <w:t>Asynchronous Transfer Mode (ATM)</w:t>
            </w:r>
          </w:p>
          <w:p w:rsidR="00B40693" w:rsidRPr="00950979" w:rsidP="00B40693" w14:paraId="03C34EC8" w14:textId="77777777">
            <w:pPr>
              <w:widowControl/>
              <w:numPr>
                <w:ilvl w:val="0"/>
                <w:numId w:val="7"/>
              </w:numPr>
              <w:contextualSpacing/>
              <w:rPr>
                <w:szCs w:val="22"/>
              </w:rPr>
            </w:pPr>
            <w:r w:rsidRPr="00950979">
              <w:rPr>
                <w:szCs w:val="22"/>
              </w:rPr>
              <w:t>Broadband over Power Lines</w:t>
            </w:r>
          </w:p>
          <w:p w:rsidR="00B40693" w:rsidRPr="00950979" w:rsidP="00B40693" w14:paraId="76B20294" w14:textId="77777777">
            <w:pPr>
              <w:widowControl/>
              <w:numPr>
                <w:ilvl w:val="0"/>
                <w:numId w:val="7"/>
              </w:numPr>
              <w:contextualSpacing/>
              <w:rPr>
                <w:szCs w:val="22"/>
              </w:rPr>
            </w:pPr>
            <w:r w:rsidRPr="00950979">
              <w:rPr>
                <w:szCs w:val="22"/>
              </w:rPr>
              <w:t>Cable Modem</w:t>
            </w:r>
          </w:p>
          <w:p w:rsidR="00B40693" w:rsidRPr="00950979" w:rsidP="00B40693" w14:paraId="2619E340" w14:textId="77777777">
            <w:pPr>
              <w:widowControl/>
              <w:numPr>
                <w:ilvl w:val="0"/>
                <w:numId w:val="7"/>
              </w:numPr>
              <w:contextualSpacing/>
              <w:rPr>
                <w:szCs w:val="22"/>
              </w:rPr>
            </w:pPr>
            <w:r w:rsidRPr="00950979">
              <w:rPr>
                <w:szCs w:val="22"/>
              </w:rPr>
              <w:t>Digital Subscriber Line (DSL)</w:t>
            </w:r>
          </w:p>
          <w:p w:rsidR="00B40693" w:rsidRPr="00950979" w:rsidP="00B40693" w14:paraId="4A2FCEEA" w14:textId="77777777">
            <w:pPr>
              <w:widowControl/>
              <w:numPr>
                <w:ilvl w:val="0"/>
                <w:numId w:val="7"/>
              </w:numPr>
              <w:contextualSpacing/>
              <w:rPr>
                <w:szCs w:val="22"/>
              </w:rPr>
            </w:pPr>
            <w:r w:rsidRPr="00950979">
              <w:rPr>
                <w:szCs w:val="22"/>
              </w:rPr>
              <w:t>DS-1 (T-1), DS-3 (T-3), and Fractional T-1 or T-3</w:t>
            </w:r>
          </w:p>
          <w:p w:rsidR="00B40693" w:rsidRPr="00950979" w:rsidP="00B40693" w14:paraId="2721B77C" w14:textId="77777777">
            <w:pPr>
              <w:widowControl/>
              <w:numPr>
                <w:ilvl w:val="0"/>
                <w:numId w:val="7"/>
              </w:numPr>
              <w:contextualSpacing/>
              <w:rPr>
                <w:szCs w:val="22"/>
              </w:rPr>
            </w:pPr>
            <w:r w:rsidRPr="00950979">
              <w:rPr>
                <w:szCs w:val="22"/>
              </w:rPr>
              <w:t>Ethernet</w:t>
            </w:r>
          </w:p>
          <w:p w:rsidR="00B40693" w:rsidRPr="00950979" w:rsidP="00B40693" w14:paraId="5388C6AB" w14:textId="77777777">
            <w:pPr>
              <w:widowControl/>
              <w:numPr>
                <w:ilvl w:val="0"/>
                <w:numId w:val="7"/>
              </w:numPr>
              <w:contextualSpacing/>
              <w:rPr>
                <w:szCs w:val="22"/>
              </w:rPr>
            </w:pPr>
            <w:r w:rsidRPr="00950979">
              <w:rPr>
                <w:szCs w:val="22"/>
              </w:rPr>
              <w:t>Integrated Services Digital Network (ISDN)</w:t>
            </w:r>
          </w:p>
          <w:p w:rsidR="00B40693" w:rsidRPr="00950979" w:rsidP="00B40693" w14:paraId="413A77EC" w14:textId="77777777">
            <w:pPr>
              <w:widowControl/>
              <w:numPr>
                <w:ilvl w:val="1"/>
                <w:numId w:val="7"/>
              </w:numPr>
              <w:contextualSpacing/>
              <w:rPr>
                <w:szCs w:val="22"/>
              </w:rPr>
            </w:pPr>
            <w:r w:rsidRPr="00950979">
              <w:rPr>
                <w:i/>
                <w:szCs w:val="22"/>
              </w:rPr>
              <w:t>Note</w:t>
            </w:r>
            <w:r w:rsidRPr="00950979">
              <w:rPr>
                <w:szCs w:val="22"/>
              </w:rPr>
              <w:t>:  Dedicated voice channels on an ISDN circuit are no longer eligible.</w:t>
            </w:r>
          </w:p>
          <w:p w:rsidR="00B40693" w:rsidRPr="00950979" w:rsidP="00B40693" w14:paraId="7B175E7D" w14:textId="77777777">
            <w:pPr>
              <w:widowControl/>
              <w:numPr>
                <w:ilvl w:val="0"/>
                <w:numId w:val="7"/>
              </w:numPr>
              <w:contextualSpacing/>
              <w:rPr>
                <w:szCs w:val="22"/>
              </w:rPr>
            </w:pPr>
            <w:r w:rsidRPr="00950979">
              <w:rPr>
                <w:szCs w:val="22"/>
              </w:rPr>
              <w:t>Leased Lit Fiber</w:t>
            </w:r>
          </w:p>
          <w:p w:rsidR="00B40693" w:rsidRPr="00950979" w:rsidP="00B40693" w14:paraId="4A90E5BC" w14:textId="77777777">
            <w:pPr>
              <w:widowControl/>
              <w:numPr>
                <w:ilvl w:val="0"/>
                <w:numId w:val="7"/>
              </w:numPr>
              <w:contextualSpacing/>
              <w:rPr>
                <w:szCs w:val="22"/>
              </w:rPr>
            </w:pPr>
            <w:r w:rsidRPr="00950979">
              <w:rPr>
                <w:szCs w:val="22"/>
              </w:rPr>
              <w:t>Leased Dark Fiber (including dark fiber indefeasible rights of use (IRUs) for a set term)</w:t>
            </w:r>
          </w:p>
          <w:p w:rsidR="00B40693" w:rsidRPr="00950979" w:rsidP="00B40693" w14:paraId="33CA2EBF" w14:textId="77777777">
            <w:pPr>
              <w:widowControl/>
              <w:numPr>
                <w:ilvl w:val="0"/>
                <w:numId w:val="7"/>
              </w:numPr>
              <w:contextualSpacing/>
              <w:rPr>
                <w:szCs w:val="22"/>
              </w:rPr>
            </w:pPr>
            <w:r w:rsidRPr="00950979">
              <w:rPr>
                <w:szCs w:val="22"/>
              </w:rPr>
              <w:t>Self-Provisioned Broadband Networks (applicant owned and operated networks)</w:t>
            </w:r>
          </w:p>
          <w:p w:rsidR="00B40693" w:rsidRPr="00950979" w:rsidP="00B40693" w14:paraId="6E7019DE" w14:textId="77777777">
            <w:pPr>
              <w:widowControl/>
              <w:numPr>
                <w:ilvl w:val="0"/>
                <w:numId w:val="7"/>
              </w:numPr>
              <w:contextualSpacing/>
              <w:rPr>
                <w:szCs w:val="22"/>
              </w:rPr>
            </w:pPr>
            <w:r w:rsidRPr="00950979">
              <w:rPr>
                <w:szCs w:val="22"/>
              </w:rPr>
              <w:t>Frame Relay</w:t>
            </w:r>
          </w:p>
          <w:p w:rsidR="00B40693" w:rsidRPr="00950979" w:rsidP="00B40693" w14:paraId="5D9D5A99" w14:textId="77777777">
            <w:pPr>
              <w:widowControl/>
              <w:numPr>
                <w:ilvl w:val="0"/>
                <w:numId w:val="7"/>
              </w:numPr>
              <w:contextualSpacing/>
              <w:rPr>
                <w:szCs w:val="22"/>
              </w:rPr>
            </w:pPr>
            <w:r w:rsidRPr="00950979">
              <w:rPr>
                <w:szCs w:val="22"/>
              </w:rPr>
              <w:t>Multi-Protocol Label Switching (MPLS)</w:t>
            </w:r>
          </w:p>
          <w:p w:rsidR="00B40693" w:rsidRPr="00950979" w:rsidP="00B40693" w14:paraId="78A990A5" w14:textId="77777777">
            <w:pPr>
              <w:widowControl/>
              <w:numPr>
                <w:ilvl w:val="0"/>
                <w:numId w:val="7"/>
              </w:numPr>
              <w:contextualSpacing/>
              <w:rPr>
                <w:szCs w:val="22"/>
              </w:rPr>
            </w:pPr>
            <w:r w:rsidRPr="00950979">
              <w:rPr>
                <w:szCs w:val="22"/>
              </w:rPr>
              <w:t>OC-1, OC-3, OC-12, OC-n</w:t>
            </w:r>
          </w:p>
          <w:p w:rsidR="00B40693" w:rsidRPr="00950979" w:rsidP="00B40693" w14:paraId="1C1F0DD1" w14:textId="77777777">
            <w:pPr>
              <w:widowControl/>
              <w:numPr>
                <w:ilvl w:val="0"/>
                <w:numId w:val="7"/>
              </w:numPr>
              <w:contextualSpacing/>
              <w:rPr>
                <w:szCs w:val="22"/>
              </w:rPr>
            </w:pPr>
            <w:r w:rsidRPr="00950979">
              <w:rPr>
                <w:szCs w:val="22"/>
              </w:rPr>
              <w:t>Satellite</w:t>
            </w:r>
          </w:p>
          <w:p w:rsidR="00B40693" w:rsidRPr="00950979" w:rsidP="00B40693" w14:paraId="6E61D8C6" w14:textId="77777777">
            <w:pPr>
              <w:widowControl/>
              <w:numPr>
                <w:ilvl w:val="0"/>
                <w:numId w:val="7"/>
              </w:numPr>
              <w:contextualSpacing/>
              <w:rPr>
                <w:szCs w:val="22"/>
              </w:rPr>
            </w:pPr>
            <w:r w:rsidRPr="00950979">
              <w:rPr>
                <w:szCs w:val="22"/>
              </w:rPr>
              <w:t>Switched Multimegabit Data Service</w:t>
            </w:r>
          </w:p>
          <w:p w:rsidR="00B40693" w:rsidRPr="00950979" w:rsidP="00B40693" w14:paraId="3AC61991" w14:textId="77777777">
            <w:pPr>
              <w:widowControl/>
              <w:numPr>
                <w:ilvl w:val="0"/>
                <w:numId w:val="7"/>
              </w:numPr>
              <w:contextualSpacing/>
              <w:rPr>
                <w:szCs w:val="22"/>
              </w:rPr>
            </w:pPr>
            <w:r w:rsidRPr="00950979">
              <w:rPr>
                <w:szCs w:val="22"/>
              </w:rPr>
              <w:t>Telephone dial-up</w:t>
            </w:r>
          </w:p>
          <w:p w:rsidR="00B40693" w:rsidRPr="00950979" w:rsidP="00B40693" w14:paraId="5CCFB068" w14:textId="77777777">
            <w:pPr>
              <w:widowControl/>
              <w:numPr>
                <w:ilvl w:val="0"/>
                <w:numId w:val="7"/>
              </w:numPr>
              <w:contextualSpacing/>
              <w:rPr>
                <w:szCs w:val="22"/>
              </w:rPr>
            </w:pPr>
            <w:r w:rsidRPr="00950979">
              <w:rPr>
                <w:szCs w:val="22"/>
              </w:rPr>
              <w:t>Wireless (e.g., microwave)</w:t>
            </w:r>
          </w:p>
          <w:p w:rsidR="00B40693" w:rsidRPr="00950979" w:rsidP="00983437" w14:paraId="26AF72BB" w14:textId="77777777">
            <w:pPr>
              <w:spacing w:before="120" w:after="120"/>
              <w:rPr>
                <w:bCs/>
                <w:szCs w:val="22"/>
              </w:rPr>
            </w:pPr>
            <w:r w:rsidRPr="00950979">
              <w:rPr>
                <w:i/>
                <w:iCs/>
                <w:szCs w:val="22"/>
              </w:rPr>
              <w:t>Notes</w:t>
            </w:r>
            <w:r w:rsidRPr="000A1CE1">
              <w:rPr>
                <w:i/>
                <w:szCs w:val="22"/>
              </w:rPr>
              <w:t>:</w:t>
            </w:r>
            <w:r w:rsidRPr="00950979">
              <w:rPr>
                <w:szCs w:val="22"/>
              </w:rPr>
              <w:t xml:space="preserve"> (1) Eligible costs include monthly charges, special construction, installation and activation charges, modulating electronics and other equipment necessary to make a Category One broadband service functional (“Network Equipment”), and maintenance and operation charges.  Network Equipment and maintenance and operation costs for existing networks are eligible.  All equipment and services, including maintenance and operation, must be competitively bid.</w:t>
            </w:r>
          </w:p>
          <w:p w:rsidR="00B40693" w:rsidRPr="00950979" w:rsidP="00983437" w14:paraId="33D12775" w14:textId="77777777">
            <w:pPr>
              <w:spacing w:before="120" w:after="120"/>
              <w:rPr>
                <w:bCs/>
                <w:szCs w:val="22"/>
              </w:rPr>
            </w:pPr>
            <w:r w:rsidRPr="00950979">
              <w:rPr>
                <w:szCs w:val="22"/>
              </w:rPr>
              <w:t>(2) Applicants that seek bids for leased dark fiber must also seek bids for leased lit fiber service and fully consider all responsive bids.  Similarly, applicants that seek bids for self-provisioned broadband networks must also seek bids for the needed connectivity via services provided over third-party networks, and fully consider all responsive bids.</w:t>
            </w:r>
          </w:p>
          <w:p w:rsidR="00B40693" w:rsidRPr="00950979" w:rsidP="00983437" w14:paraId="79E37DD4" w14:textId="77777777">
            <w:pPr>
              <w:spacing w:before="120" w:after="120"/>
              <w:rPr>
                <w:bCs/>
                <w:szCs w:val="22"/>
              </w:rPr>
            </w:pPr>
            <w:r w:rsidRPr="00950979">
              <w:rPr>
                <w:szCs w:val="22"/>
              </w:rPr>
              <w:t>(3) Applicants may seek special construction funding for the upfront, non-recurring costs for the deployment of new or upgraded facilities.  The eligible components of special construction are construction of network facilities, design and engineering, and project management.</w:t>
            </w:r>
          </w:p>
          <w:p w:rsidR="00B40693" w:rsidRPr="00950979" w:rsidP="00983437" w14:paraId="275F356A" w14:textId="77777777">
            <w:pPr>
              <w:spacing w:before="120" w:after="240"/>
              <w:rPr>
                <w:szCs w:val="22"/>
              </w:rPr>
            </w:pPr>
            <w:r w:rsidRPr="00950979">
              <w:rPr>
                <w:szCs w:val="22"/>
              </w:rPr>
              <w:t>(4) Staff salaries and labor costs for personnel of the applicant or underlying beneficiary are not E-Rate eligible.</w:t>
            </w:r>
          </w:p>
        </w:tc>
      </w:tr>
    </w:tbl>
    <w:p w:rsidR="00B40693" w:rsidP="00B40693" w14:paraId="72E1C437" w14:textId="77777777">
      <w:pPr>
        <w:rPr>
          <w:b/>
          <w:sz w:val="24"/>
        </w:rPr>
      </w:pPr>
    </w:p>
    <w:p w:rsidR="00B40693" w:rsidRPr="00950979" w:rsidP="00B40693" w14:paraId="5A31600D" w14:textId="77777777">
      <w:pPr>
        <w:spacing w:after="120"/>
        <w:rPr>
          <w:szCs w:val="22"/>
        </w:rPr>
      </w:pPr>
      <w:r>
        <w:rPr>
          <w:b/>
          <w:sz w:val="24"/>
        </w:rPr>
        <w:br w:type="page"/>
      </w:r>
      <w:r w:rsidRPr="00950979">
        <w:rPr>
          <w:b/>
          <w:bCs/>
          <w:szCs w:val="22"/>
          <w:u w:val="single"/>
        </w:rPr>
        <w:t>Category Two</w:t>
      </w:r>
    </w:p>
    <w:p w:rsidR="00B40693" w:rsidP="00B40693" w14:paraId="333EA61E" w14:textId="77777777">
      <w:pPr>
        <w:rPr>
          <w:szCs w:val="22"/>
        </w:rPr>
      </w:pPr>
      <w:r w:rsidRPr="00950979">
        <w:rPr>
          <w:szCs w:val="22"/>
        </w:rPr>
        <w:t>The second category of equipment and services eligible for E-Rate support, Category Two, includes the internal connections needed for broadband connectivity within schools and libraries.  Support is limited to the internal connections necessary to bring broadband into, and provide it throughout, schools and libraries.  These are broadband connections used for educational purposes within, between, or among instructional buildings that comprise a school campus (as defined below in the section titled “Eligibility Explanations for Certain Category One and Category Two Services”) or library branch, and basic maintenance of these connections, as well as services that manage and operate owned or leased broadband internal connections (</w:t>
      </w:r>
      <w:r w:rsidRPr="00CC4A8D">
        <w:rPr>
          <w:szCs w:val="22"/>
        </w:rPr>
        <w:t>e.g.</w:t>
      </w:r>
      <w:r w:rsidRPr="00950979">
        <w:rPr>
          <w:szCs w:val="22"/>
        </w:rPr>
        <w:t>,</w:t>
      </w:r>
      <w:r w:rsidRPr="00950979">
        <w:rPr>
          <w:i/>
          <w:iCs/>
          <w:szCs w:val="22"/>
        </w:rPr>
        <w:t xml:space="preserve"> </w:t>
      </w:r>
      <w:r w:rsidRPr="00950979">
        <w:rPr>
          <w:szCs w:val="22"/>
        </w:rPr>
        <w:t xml:space="preserve">managed internal broadband services or managed Wi-Fi).  Category Two support is subject to </w:t>
      </w:r>
      <w:r>
        <w:rPr>
          <w:szCs w:val="22"/>
        </w:rPr>
        <w:t>district-</w:t>
      </w:r>
      <w:r w:rsidRPr="00950979">
        <w:rPr>
          <w:szCs w:val="22"/>
        </w:rPr>
        <w:t xml:space="preserve"> or </w:t>
      </w:r>
      <w:r>
        <w:rPr>
          <w:szCs w:val="22"/>
        </w:rPr>
        <w:t>library system-wide</w:t>
      </w:r>
      <w:r w:rsidRPr="00950979">
        <w:rPr>
          <w:szCs w:val="22"/>
        </w:rPr>
        <w:t xml:space="preserve"> budgets as set forth in 47 CFR § 54.502.</w:t>
      </w:r>
      <w:r w:rsidRPr="00950979">
        <w:rPr>
          <w:rFonts w:eastAsia="Verdana"/>
          <w:szCs w:val="22"/>
        </w:rPr>
        <w:t xml:space="preserve">  </w:t>
      </w:r>
      <w:r w:rsidRPr="00950979">
        <w:rPr>
          <w:szCs w:val="22"/>
        </w:rPr>
        <w:t>The eligible components and services in Category Two are</w:t>
      </w:r>
      <w:r>
        <w:rPr>
          <w:szCs w:val="22"/>
        </w:rPr>
        <w:t>.</w:t>
      </w:r>
    </w:p>
    <w:p w:rsidR="00B40693" w:rsidP="00B40693" w14:paraId="0577AD1C" w14:textId="77777777">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14:paraId="7F9748AD" w14:textId="77777777" w:rsidTr="009834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175" w:type="dxa"/>
            <w:shd w:val="clear" w:color="auto" w:fill="auto"/>
          </w:tcPr>
          <w:p w:rsidR="00B40693" w:rsidRPr="00950979" w:rsidP="00983437" w14:paraId="5B38C757" w14:textId="77777777">
            <w:pPr>
              <w:spacing w:after="120"/>
              <w:jc w:val="center"/>
              <w:rPr>
                <w:b/>
                <w:szCs w:val="22"/>
              </w:rPr>
            </w:pPr>
            <w:r w:rsidRPr="00950979">
              <w:rPr>
                <w:b/>
                <w:bCs/>
                <w:szCs w:val="22"/>
              </w:rPr>
              <w:t>Eligible Broadband Internal Connections</w:t>
            </w:r>
          </w:p>
          <w:p w:rsidR="00B40693" w:rsidRPr="00950979" w:rsidP="00B40693" w14:paraId="2C4428FA" w14:textId="77777777">
            <w:pPr>
              <w:widowControl/>
              <w:numPr>
                <w:ilvl w:val="0"/>
                <w:numId w:val="8"/>
              </w:numPr>
              <w:contextualSpacing/>
              <w:rPr>
                <w:szCs w:val="22"/>
              </w:rPr>
            </w:pPr>
            <w:r w:rsidRPr="00950979">
              <w:rPr>
                <w:szCs w:val="22"/>
              </w:rPr>
              <w:t>Antennas, connectors, and related components used for internal broadband connections</w:t>
            </w:r>
          </w:p>
          <w:p w:rsidR="00B40693" w:rsidRPr="00950979" w:rsidP="00B40693" w14:paraId="4DE4C687" w14:textId="77777777">
            <w:pPr>
              <w:widowControl/>
              <w:numPr>
                <w:ilvl w:val="0"/>
                <w:numId w:val="8"/>
              </w:numPr>
              <w:contextualSpacing/>
              <w:rPr>
                <w:szCs w:val="22"/>
              </w:rPr>
            </w:pPr>
            <w:r w:rsidRPr="00950979">
              <w:rPr>
                <w:szCs w:val="22"/>
              </w:rPr>
              <w:t>Cabling</w:t>
            </w:r>
          </w:p>
          <w:p w:rsidR="00B40693" w:rsidRPr="00950979" w:rsidP="00B40693" w14:paraId="5CA0FC5D" w14:textId="77777777">
            <w:pPr>
              <w:widowControl/>
              <w:numPr>
                <w:ilvl w:val="0"/>
                <w:numId w:val="8"/>
              </w:numPr>
              <w:contextualSpacing/>
              <w:rPr>
                <w:rFonts w:eastAsia="Verdana"/>
                <w:szCs w:val="22"/>
              </w:rPr>
            </w:pPr>
            <w:r w:rsidRPr="00950979">
              <w:rPr>
                <w:szCs w:val="22"/>
              </w:rPr>
              <w:t>Caching</w:t>
            </w:r>
          </w:p>
          <w:p w:rsidR="00B40693" w:rsidRPr="00950979" w:rsidP="00B40693" w14:paraId="26FE5507" w14:textId="77777777">
            <w:pPr>
              <w:widowControl/>
              <w:numPr>
                <w:ilvl w:val="0"/>
                <w:numId w:val="8"/>
              </w:numPr>
              <w:contextualSpacing/>
              <w:rPr>
                <w:rFonts w:eastAsia="Verdana"/>
                <w:szCs w:val="22"/>
              </w:rPr>
            </w:pPr>
            <w:r w:rsidRPr="00950979">
              <w:rPr>
                <w:szCs w:val="22"/>
              </w:rPr>
              <w:t>Firewall services and firewall components separate from basic firewall protection provided as a standard component of a vendor’s Internet access service</w:t>
            </w:r>
          </w:p>
          <w:p w:rsidR="00B40693" w:rsidRPr="00950979" w:rsidP="00B40693" w14:paraId="0610ADD6" w14:textId="77777777">
            <w:pPr>
              <w:widowControl/>
              <w:numPr>
                <w:ilvl w:val="0"/>
                <w:numId w:val="8"/>
              </w:numPr>
              <w:contextualSpacing/>
              <w:rPr>
                <w:rFonts w:eastAsia="Verdana"/>
                <w:szCs w:val="22"/>
              </w:rPr>
            </w:pPr>
            <w:r w:rsidRPr="00950979">
              <w:rPr>
                <w:szCs w:val="22"/>
              </w:rPr>
              <w:t>Racks</w:t>
            </w:r>
          </w:p>
          <w:p w:rsidR="00B40693" w:rsidRPr="00950979" w:rsidP="00B40693" w14:paraId="48E99860" w14:textId="77777777">
            <w:pPr>
              <w:widowControl/>
              <w:numPr>
                <w:ilvl w:val="0"/>
                <w:numId w:val="8"/>
              </w:numPr>
              <w:contextualSpacing/>
              <w:rPr>
                <w:rFonts w:eastAsia="Verdana"/>
                <w:szCs w:val="22"/>
              </w:rPr>
            </w:pPr>
            <w:r w:rsidRPr="00950979">
              <w:rPr>
                <w:szCs w:val="22"/>
              </w:rPr>
              <w:t>Routers</w:t>
            </w:r>
          </w:p>
          <w:p w:rsidR="00B40693" w:rsidRPr="00950979" w:rsidP="00B40693" w14:paraId="4487661A" w14:textId="77777777">
            <w:pPr>
              <w:widowControl/>
              <w:numPr>
                <w:ilvl w:val="0"/>
                <w:numId w:val="8"/>
              </w:numPr>
              <w:contextualSpacing/>
              <w:rPr>
                <w:rFonts w:eastAsia="Verdana"/>
                <w:szCs w:val="22"/>
              </w:rPr>
            </w:pPr>
            <w:r w:rsidRPr="00950979">
              <w:rPr>
                <w:szCs w:val="22"/>
              </w:rPr>
              <w:t>Switches</w:t>
            </w:r>
          </w:p>
          <w:p w:rsidR="00B40693" w:rsidRPr="00950979" w:rsidP="00B40693" w14:paraId="1964DB60" w14:textId="77777777">
            <w:pPr>
              <w:widowControl/>
              <w:numPr>
                <w:ilvl w:val="0"/>
                <w:numId w:val="8"/>
              </w:numPr>
              <w:contextualSpacing/>
              <w:rPr>
                <w:rFonts w:eastAsia="Verdana"/>
                <w:szCs w:val="22"/>
              </w:rPr>
            </w:pPr>
            <w:r w:rsidRPr="00950979">
              <w:rPr>
                <w:szCs w:val="22"/>
              </w:rPr>
              <w:t>Uninterruptible Power Supply (UPS)/Battery Backup</w:t>
            </w:r>
          </w:p>
          <w:p w:rsidR="00B40693" w:rsidRPr="00950979" w:rsidP="00B40693" w14:paraId="4D40A2E1" w14:textId="77777777">
            <w:pPr>
              <w:widowControl/>
              <w:numPr>
                <w:ilvl w:val="0"/>
                <w:numId w:val="8"/>
              </w:numPr>
              <w:contextualSpacing/>
              <w:rPr>
                <w:rFonts w:eastAsia="Verdana"/>
                <w:szCs w:val="22"/>
              </w:rPr>
            </w:pPr>
            <w:r w:rsidRPr="00950979">
              <w:rPr>
                <w:szCs w:val="22"/>
              </w:rPr>
              <w:t>Access points used in a local area network (LAN) or wireless local area network (WLAN) environment (such as wireless access points)</w:t>
            </w:r>
          </w:p>
          <w:p w:rsidR="00B40693" w:rsidRPr="00950979" w:rsidP="00B40693" w14:paraId="43B563A3" w14:textId="77777777">
            <w:pPr>
              <w:widowControl/>
              <w:numPr>
                <w:ilvl w:val="0"/>
                <w:numId w:val="8"/>
              </w:numPr>
              <w:contextualSpacing/>
              <w:rPr>
                <w:rFonts w:eastAsia="Verdana"/>
                <w:szCs w:val="22"/>
              </w:rPr>
            </w:pPr>
            <w:r w:rsidRPr="00950979">
              <w:rPr>
                <w:szCs w:val="22"/>
              </w:rPr>
              <w:t>Wireless controller systems</w:t>
            </w:r>
          </w:p>
          <w:p w:rsidR="00B40693" w:rsidRPr="00950979" w:rsidP="00B40693" w14:paraId="20BC2C26" w14:textId="77777777">
            <w:pPr>
              <w:widowControl/>
              <w:numPr>
                <w:ilvl w:val="0"/>
                <w:numId w:val="8"/>
              </w:numPr>
              <w:spacing w:after="120"/>
              <w:rPr>
                <w:rFonts w:eastAsia="Verdana"/>
                <w:szCs w:val="22"/>
              </w:rPr>
            </w:pPr>
            <w:r w:rsidRPr="00950979">
              <w:rPr>
                <w:szCs w:val="22"/>
              </w:rPr>
              <w:t>Software supporting the components on this list used to distribute high-speed broadband throughout school buildings and libraries (applicants should request software in the same category as the associated service being obtained or installed)</w:t>
            </w:r>
          </w:p>
          <w:p w:rsidR="00B40693" w:rsidRPr="00950979" w:rsidP="00983437" w14:paraId="6DF66FAA" w14:textId="77777777">
            <w:pPr>
              <w:spacing w:before="120" w:after="120"/>
              <w:rPr>
                <w:szCs w:val="22"/>
              </w:rPr>
            </w:pPr>
            <w:r w:rsidRPr="00950979">
              <w:rPr>
                <w:i/>
                <w:iCs/>
                <w:szCs w:val="22"/>
              </w:rPr>
              <w:t>Notes</w:t>
            </w:r>
            <w:r w:rsidRPr="00EB2F15">
              <w:rPr>
                <w:szCs w:val="22"/>
              </w:rPr>
              <w:t>:</w:t>
            </w:r>
            <w:r w:rsidRPr="00950979">
              <w:rPr>
                <w:szCs w:val="22"/>
              </w:rPr>
              <w:t xml:space="preserve"> </w:t>
            </w:r>
            <w:r>
              <w:rPr>
                <w:szCs w:val="22"/>
              </w:rPr>
              <w:t xml:space="preserve"> </w:t>
            </w:r>
            <w:r w:rsidRPr="00950979">
              <w:rPr>
                <w:szCs w:val="22"/>
              </w:rPr>
              <w:t>(1) Functionalities listed above that can be virtualized in the cloud, and equipment that combines eligible functionalities, like routing and switching, are also eligible.</w:t>
            </w:r>
          </w:p>
          <w:p w:rsidR="00B40693" w:rsidRPr="00950979" w:rsidP="00983437" w14:paraId="2226C000" w14:textId="77777777">
            <w:pPr>
              <w:spacing w:before="120" w:after="120"/>
              <w:rPr>
                <w:szCs w:val="22"/>
              </w:rPr>
            </w:pPr>
            <w:r w:rsidRPr="00950979">
              <w:rPr>
                <w:szCs w:val="22"/>
              </w:rPr>
              <w:t xml:space="preserve">(2) </w:t>
            </w:r>
            <w:r>
              <w:rPr>
                <w:szCs w:val="22"/>
              </w:rPr>
              <w:t xml:space="preserve"> </w:t>
            </w:r>
            <w:r w:rsidRPr="00950979">
              <w:rPr>
                <w:szCs w:val="22"/>
              </w:rPr>
              <w:t>A manufacturer’s multi-year warranty for a period up to three years that is provided as an integral part of an eligible component, without a separately identifiable cost, may be included in the cost of the component.</w:t>
            </w:r>
          </w:p>
          <w:p w:rsidR="00B40693" w:rsidRPr="00950979" w:rsidP="00983437" w14:paraId="43A08190" w14:textId="77777777">
            <w:pPr>
              <w:spacing w:before="120" w:after="240"/>
              <w:rPr>
                <w:szCs w:val="22"/>
              </w:rPr>
            </w:pPr>
            <w:r w:rsidRPr="00950979">
              <w:rPr>
                <w:szCs w:val="22"/>
              </w:rPr>
              <w:t xml:space="preserve">(3) </w:t>
            </w:r>
            <w:r>
              <w:rPr>
                <w:szCs w:val="22"/>
              </w:rPr>
              <w:t xml:space="preserve"> </w:t>
            </w:r>
            <w:r w:rsidRPr="00950979">
              <w:rPr>
                <w:szCs w:val="22"/>
              </w:rPr>
              <w:t>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tc>
      </w:tr>
      <w:tr w14:paraId="413CDC67" w14:textId="77777777" w:rsidTr="00983437">
        <w:tblPrEx>
          <w:tblW w:w="0" w:type="auto"/>
          <w:jc w:val="center"/>
          <w:tblLook w:val="04A0"/>
        </w:tblPrEx>
        <w:trPr>
          <w:jc w:val="center"/>
        </w:trPr>
        <w:tc>
          <w:tcPr>
            <w:tcW w:w="9175" w:type="dxa"/>
            <w:shd w:val="clear" w:color="auto" w:fill="auto"/>
          </w:tcPr>
          <w:p w:rsidR="00B40693" w:rsidRPr="00950979" w:rsidP="00983437" w14:paraId="69CC0D1B" w14:textId="77777777">
            <w:pPr>
              <w:keepNext/>
              <w:keepLines/>
              <w:spacing w:after="120"/>
              <w:jc w:val="center"/>
              <w:rPr>
                <w:b/>
                <w:szCs w:val="22"/>
              </w:rPr>
            </w:pPr>
            <w:r w:rsidRPr="00950979">
              <w:rPr>
                <w:b/>
                <w:bCs/>
                <w:szCs w:val="22"/>
              </w:rPr>
              <w:t>Eligible Managed Internal Broadband Services</w:t>
            </w:r>
          </w:p>
          <w:p w:rsidR="00B40693" w:rsidRPr="00950979" w:rsidP="00B40693" w14:paraId="541FB32D" w14:textId="77777777">
            <w:pPr>
              <w:keepNext/>
              <w:keepLines/>
              <w:widowControl/>
              <w:numPr>
                <w:ilvl w:val="0"/>
                <w:numId w:val="10"/>
              </w:numPr>
              <w:contextualSpacing/>
              <w:rPr>
                <w:szCs w:val="22"/>
              </w:rPr>
            </w:pPr>
            <w:r w:rsidRPr="00950979">
              <w:rPr>
                <w:szCs w:val="22"/>
              </w:rPr>
              <w:t>Services provided by a third party for the operation, management, and monitoring of eligible broadband internal connections are eligible managed internal broadband services (</w:t>
            </w:r>
            <w:r w:rsidRPr="00CC4A8D">
              <w:rPr>
                <w:szCs w:val="22"/>
              </w:rPr>
              <w:t>e.g.</w:t>
            </w:r>
            <w:r w:rsidRPr="00950979">
              <w:rPr>
                <w:szCs w:val="22"/>
              </w:rPr>
              <w:t>, managed Wi-Fi).</w:t>
            </w:r>
          </w:p>
          <w:p w:rsidR="00B40693" w:rsidRPr="00950979" w:rsidP="00B40693" w14:paraId="5F29B48A" w14:textId="77777777">
            <w:pPr>
              <w:keepLines/>
              <w:widowControl/>
              <w:numPr>
                <w:ilvl w:val="0"/>
                <w:numId w:val="10"/>
              </w:numPr>
              <w:contextualSpacing/>
              <w:rPr>
                <w:szCs w:val="22"/>
              </w:rPr>
            </w:pPr>
            <w:r w:rsidRPr="00950979">
              <w:rPr>
                <w:szCs w:val="22"/>
              </w:rPr>
              <w:t>E-Rate support is limited to eligible expenses or portions of expenses that directly support and are necessary for the broadband connectivity within schools and libraries.  Eligible expenses include the management and operation of the LAN/WLAN, including installation, activation</w:t>
            </w:r>
            <w:r>
              <w:rPr>
                <w:szCs w:val="22"/>
              </w:rPr>
              <w:t>,</w:t>
            </w:r>
            <w:r w:rsidRPr="00950979">
              <w:rPr>
                <w:szCs w:val="22"/>
              </w:rPr>
              <w:t xml:space="preserve"> and initial configuration of eligible components and on-site training on the use of eligible equipment.</w:t>
            </w:r>
          </w:p>
          <w:p w:rsidR="00B40693" w:rsidRPr="00950979" w:rsidP="00B40693" w14:paraId="5E000140" w14:textId="77777777">
            <w:pPr>
              <w:keepLines/>
              <w:widowControl/>
              <w:numPr>
                <w:ilvl w:val="0"/>
                <w:numId w:val="10"/>
              </w:numPr>
              <w:spacing w:after="240"/>
              <w:rPr>
                <w:szCs w:val="22"/>
              </w:rPr>
            </w:pPr>
            <w:r w:rsidRPr="00950979">
              <w:rPr>
                <w:szCs w:val="22"/>
              </w:rPr>
              <w:t>In some eligible managed internal broadband services models, the third-party manager owns and installs the equipment and school and library applicants lease the equipment as part of the managed services contract.  In other cases, the school or library may own the equipment, but have a third party manage the equipment for it.</w:t>
            </w:r>
          </w:p>
        </w:tc>
      </w:tr>
      <w:tr w14:paraId="37CD6F9E" w14:textId="77777777" w:rsidTr="00983437">
        <w:tblPrEx>
          <w:tblW w:w="0" w:type="auto"/>
          <w:jc w:val="center"/>
          <w:tblLook w:val="04A0"/>
        </w:tblPrEx>
        <w:trPr>
          <w:trHeight w:val="3122"/>
          <w:jc w:val="center"/>
        </w:trPr>
        <w:tc>
          <w:tcPr>
            <w:tcW w:w="9175" w:type="dxa"/>
            <w:shd w:val="clear" w:color="auto" w:fill="auto"/>
          </w:tcPr>
          <w:p w:rsidR="00B40693" w:rsidRPr="00950979" w:rsidP="00983437" w14:paraId="56E02153" w14:textId="77777777">
            <w:pPr>
              <w:spacing w:after="120"/>
              <w:jc w:val="center"/>
              <w:rPr>
                <w:szCs w:val="22"/>
              </w:rPr>
            </w:pPr>
            <w:r w:rsidRPr="00950979">
              <w:rPr>
                <w:b/>
                <w:bCs/>
                <w:szCs w:val="22"/>
              </w:rPr>
              <w:t>Basic Maintenance of Eligible Broadband Internal Connections</w:t>
            </w:r>
          </w:p>
          <w:p w:rsidR="00B40693" w:rsidRPr="00950979" w:rsidP="00983437" w14:paraId="6F6B590C" w14:textId="77777777">
            <w:pPr>
              <w:spacing w:after="120"/>
              <w:rPr>
                <w:bCs/>
                <w:szCs w:val="22"/>
              </w:rPr>
            </w:pPr>
            <w:r w:rsidRPr="00950979">
              <w:rPr>
                <w:szCs w:val="22"/>
              </w:rPr>
              <w:t>E-Rate support is available for basic maintenance and technical support appropriate to maintain reliable operation when provided for eligible broadband internal connections.</w:t>
            </w:r>
          </w:p>
          <w:p w:rsidR="00B40693" w:rsidRPr="00950979" w:rsidP="00983437" w14:paraId="044410C8" w14:textId="77777777">
            <w:pPr>
              <w:spacing w:before="120"/>
              <w:rPr>
                <w:bCs/>
                <w:szCs w:val="22"/>
              </w:rPr>
            </w:pPr>
            <w:r w:rsidRPr="00950979">
              <w:rPr>
                <w:szCs w:val="22"/>
              </w:rPr>
              <w:t>The following basic maintenance services are eligible:</w:t>
            </w:r>
          </w:p>
          <w:p w:rsidR="00B40693" w:rsidRPr="00950979" w:rsidP="00B40693" w14:paraId="42448007" w14:textId="77777777">
            <w:pPr>
              <w:widowControl/>
              <w:numPr>
                <w:ilvl w:val="0"/>
                <w:numId w:val="9"/>
              </w:numPr>
              <w:contextualSpacing/>
              <w:rPr>
                <w:szCs w:val="22"/>
              </w:rPr>
            </w:pPr>
            <w:r w:rsidRPr="00950979">
              <w:rPr>
                <w:szCs w:val="22"/>
              </w:rPr>
              <w:t>Repair and upkeep of eligible hardware</w:t>
            </w:r>
          </w:p>
          <w:p w:rsidR="00B40693" w:rsidRPr="00950979" w:rsidP="00B40693" w14:paraId="58F06F4C" w14:textId="77777777">
            <w:pPr>
              <w:widowControl/>
              <w:numPr>
                <w:ilvl w:val="0"/>
                <w:numId w:val="9"/>
              </w:numPr>
              <w:contextualSpacing/>
              <w:rPr>
                <w:szCs w:val="22"/>
              </w:rPr>
            </w:pPr>
            <w:r w:rsidRPr="00950979">
              <w:rPr>
                <w:szCs w:val="22"/>
              </w:rPr>
              <w:t>Wire and cable maintenance</w:t>
            </w:r>
          </w:p>
          <w:p w:rsidR="00B40693" w:rsidRPr="00950979" w:rsidP="00B40693" w14:paraId="1AEA9FE3" w14:textId="77777777">
            <w:pPr>
              <w:widowControl/>
              <w:numPr>
                <w:ilvl w:val="0"/>
                <w:numId w:val="9"/>
              </w:numPr>
              <w:contextualSpacing/>
              <w:rPr>
                <w:szCs w:val="22"/>
              </w:rPr>
            </w:pPr>
            <w:r w:rsidRPr="00950979">
              <w:rPr>
                <w:szCs w:val="22"/>
              </w:rPr>
              <w:t>Configuration changes</w:t>
            </w:r>
          </w:p>
          <w:p w:rsidR="00B40693" w:rsidRPr="00950979" w:rsidP="00B40693" w14:paraId="360482CF" w14:textId="77777777">
            <w:pPr>
              <w:widowControl/>
              <w:numPr>
                <w:ilvl w:val="0"/>
                <w:numId w:val="9"/>
              </w:numPr>
              <w:contextualSpacing/>
              <w:rPr>
                <w:szCs w:val="22"/>
              </w:rPr>
            </w:pPr>
            <w:r w:rsidRPr="00950979">
              <w:rPr>
                <w:szCs w:val="22"/>
              </w:rPr>
              <w:t>Basic technical support including online and telephone-based technical support</w:t>
            </w:r>
          </w:p>
          <w:p w:rsidR="00B40693" w:rsidRPr="00950979" w:rsidP="00B40693" w14:paraId="661B13A4" w14:textId="77777777">
            <w:pPr>
              <w:widowControl/>
              <w:numPr>
                <w:ilvl w:val="0"/>
                <w:numId w:val="9"/>
              </w:numPr>
              <w:spacing w:after="240"/>
              <w:contextualSpacing/>
              <w:rPr>
                <w:b/>
                <w:szCs w:val="22"/>
              </w:rPr>
            </w:pPr>
            <w:r w:rsidRPr="00950979">
              <w:rPr>
                <w:rFonts w:eastAsia="Calibri"/>
                <w:szCs w:val="22"/>
              </w:rPr>
              <w:t>Software upgrades and patches</w:t>
            </w:r>
            <w:r w:rsidRPr="00950979">
              <w:rPr>
                <w:szCs w:val="22"/>
              </w:rPr>
              <w:t xml:space="preserve"> including b</w:t>
            </w:r>
            <w:r w:rsidRPr="00950979">
              <w:rPr>
                <w:rFonts w:eastAsia="Calibri"/>
                <w:szCs w:val="22"/>
              </w:rPr>
              <w:t>ug fixes and security patches</w:t>
            </w:r>
          </w:p>
        </w:tc>
      </w:tr>
    </w:tbl>
    <w:p w:rsidR="00B40693" w:rsidP="00B40693" w14:paraId="5F3FCF99" w14:textId="77777777">
      <w:pPr>
        <w:spacing w:before="120" w:after="120"/>
        <w:rPr>
          <w:b/>
          <w:bCs/>
          <w:szCs w:val="22"/>
          <w:u w:val="single"/>
        </w:rPr>
      </w:pPr>
      <w:r>
        <w:rPr>
          <w:sz w:val="24"/>
        </w:rPr>
        <w:br w:type="page"/>
      </w:r>
      <w:r w:rsidRPr="00950979">
        <w:rPr>
          <w:b/>
          <w:bCs/>
          <w:szCs w:val="22"/>
          <w:u w:val="single"/>
        </w:rPr>
        <w:t>Eligibility Limitations for Category Two</w:t>
      </w:r>
      <w:r>
        <w:rPr>
          <w:b/>
          <w:bCs/>
          <w:szCs w:val="22"/>
          <w:u w:val="single"/>
        </w:rPr>
        <w:t xml:space="preserve"> Services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14:paraId="1C8A334C" w14:textId="77777777" w:rsidTr="00983437">
        <w:tblPrEx>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90"/>
        </w:trPr>
        <w:tc>
          <w:tcPr>
            <w:tcW w:w="9180" w:type="dxa"/>
            <w:shd w:val="clear" w:color="auto" w:fill="auto"/>
          </w:tcPr>
          <w:p w:rsidR="00B40693" w:rsidRPr="00950979" w:rsidP="00983437" w14:paraId="2E0BFA33" w14:textId="77777777">
            <w:pPr>
              <w:spacing w:before="120" w:after="240"/>
              <w:rPr>
                <w:szCs w:val="22"/>
              </w:rPr>
            </w:pPr>
            <w:r w:rsidRPr="00950979">
              <w:rPr>
                <w:b/>
                <w:bCs/>
                <w:szCs w:val="22"/>
              </w:rPr>
              <w:t>Eligibility limitations for managed internal broadband services</w:t>
            </w:r>
            <w:r w:rsidRPr="00950979">
              <w:rPr>
                <w:szCs w:val="22"/>
              </w:rPr>
              <w:t xml:space="preserve"> – The equipment eligible for support as part of a managed internal broadband service may include only equipment listed above as broadband internal connections.  Upfront charges that are part of a managed service contract are eligible for E-Rate support except to the extent that the upfront charges are for any ineligible internal connections (e.g.</w:t>
            </w:r>
            <w:r w:rsidRPr="00950979">
              <w:rPr>
                <w:i/>
                <w:iCs/>
                <w:szCs w:val="22"/>
              </w:rPr>
              <w:t>,</w:t>
            </w:r>
            <w:r w:rsidRPr="00950979">
              <w:rPr>
                <w:szCs w:val="22"/>
              </w:rPr>
              <w:t xml:space="preserve"> servers other than those that are necessary to provide caching), which, if included in the contract, must be cost allocated out of any funding request.</w:t>
            </w:r>
          </w:p>
        </w:tc>
      </w:tr>
      <w:tr w14:paraId="07DF1A25" w14:textId="77777777" w:rsidTr="00983437">
        <w:tblPrEx>
          <w:tblW w:w="0" w:type="auto"/>
          <w:tblInd w:w="85" w:type="dxa"/>
          <w:tblLook w:val="04A0"/>
        </w:tblPrEx>
        <w:trPr>
          <w:trHeight w:val="4193"/>
        </w:trPr>
        <w:tc>
          <w:tcPr>
            <w:tcW w:w="9180" w:type="dxa"/>
            <w:shd w:val="clear" w:color="auto" w:fill="auto"/>
          </w:tcPr>
          <w:p w:rsidR="00B40693" w:rsidRPr="00950979" w:rsidP="00983437" w14:paraId="7CDEA9FF" w14:textId="77777777">
            <w:pPr>
              <w:spacing w:before="120" w:after="120"/>
              <w:rPr>
                <w:szCs w:val="22"/>
              </w:rPr>
            </w:pPr>
            <w:r w:rsidRPr="00950979">
              <w:rPr>
                <w:b/>
                <w:bCs/>
                <w:szCs w:val="22"/>
              </w:rPr>
              <w:t>Eligibility limitations for basic maintenance</w:t>
            </w:r>
            <w:r w:rsidRPr="00950979">
              <w:rPr>
                <w:szCs w:val="22"/>
              </w:rPr>
              <w:t xml:space="preserve"> – Basic maintenance is eligible for support only if it is a component of a maintenance agreement or contract for eligible broadband internal connections.  The agreement or contract must specifically identify the eligible internal connections covered, including product name, model number, and location.  Support for basic maintenance will be paid for the actual work performed under the agreement or contract.  Support for bug fixes, security patches, and technical support is not subject to this limitation.</w:t>
            </w:r>
          </w:p>
          <w:p w:rsidR="00B40693" w:rsidRPr="00950979" w:rsidP="00983437" w14:paraId="052C8F1B" w14:textId="77777777">
            <w:pPr>
              <w:spacing w:before="120"/>
              <w:contextualSpacing/>
              <w:rPr>
                <w:bCs/>
                <w:szCs w:val="22"/>
              </w:rPr>
            </w:pPr>
            <w:r w:rsidRPr="00950979">
              <w:rPr>
                <w:szCs w:val="22"/>
              </w:rPr>
              <w:t>Basic maintenance does not include:</w:t>
            </w:r>
          </w:p>
          <w:p w:rsidR="00B40693" w:rsidRPr="00950979" w:rsidP="00B40693" w14:paraId="197AAED7" w14:textId="77777777">
            <w:pPr>
              <w:widowControl/>
              <w:numPr>
                <w:ilvl w:val="0"/>
                <w:numId w:val="11"/>
              </w:numPr>
              <w:contextualSpacing/>
              <w:rPr>
                <w:rFonts w:eastAsia="Verdana"/>
                <w:szCs w:val="22"/>
              </w:rPr>
            </w:pPr>
            <w:r w:rsidRPr="00950979">
              <w:rPr>
                <w:szCs w:val="22"/>
              </w:rPr>
              <w:t>Services that maintain ineligible equipment</w:t>
            </w:r>
          </w:p>
          <w:p w:rsidR="00B40693" w:rsidRPr="00950979" w:rsidP="00B40693" w14:paraId="12923225" w14:textId="77777777">
            <w:pPr>
              <w:widowControl/>
              <w:numPr>
                <w:ilvl w:val="0"/>
                <w:numId w:val="11"/>
              </w:numPr>
              <w:contextualSpacing/>
              <w:rPr>
                <w:rFonts w:eastAsia="Verdana"/>
                <w:szCs w:val="22"/>
              </w:rPr>
            </w:pPr>
            <w:r w:rsidRPr="00950979">
              <w:rPr>
                <w:szCs w:val="22"/>
              </w:rPr>
              <w:t>Upfront estimates that cover the full cost of every piece of eligible equipment</w:t>
            </w:r>
          </w:p>
          <w:p w:rsidR="00B40693" w:rsidRPr="00950979" w:rsidP="00B40693" w14:paraId="0D9A6639" w14:textId="77777777">
            <w:pPr>
              <w:widowControl/>
              <w:numPr>
                <w:ilvl w:val="0"/>
                <w:numId w:val="11"/>
              </w:numPr>
              <w:contextualSpacing/>
              <w:rPr>
                <w:rFonts w:eastAsia="Verdana"/>
                <w:szCs w:val="22"/>
              </w:rPr>
            </w:pPr>
            <w:r w:rsidRPr="00950979">
              <w:rPr>
                <w:szCs w:val="22"/>
              </w:rPr>
              <w:t>Services that enhance the utility of equipment beyond the transport of information, or diagnostic services in excess of those necessary to maintain the equipment’s ability to transport information</w:t>
            </w:r>
          </w:p>
          <w:p w:rsidR="00B40693" w:rsidRPr="00950979" w:rsidP="00B40693" w14:paraId="775055B2" w14:textId="77777777">
            <w:pPr>
              <w:widowControl/>
              <w:numPr>
                <w:ilvl w:val="0"/>
                <w:numId w:val="11"/>
              </w:numPr>
              <w:contextualSpacing/>
              <w:rPr>
                <w:rFonts w:eastAsia="Verdana"/>
                <w:szCs w:val="22"/>
              </w:rPr>
            </w:pPr>
            <w:r w:rsidRPr="00950979">
              <w:rPr>
                <w:szCs w:val="22"/>
              </w:rPr>
              <w:t>Network management services, including 24-hour network monitoring</w:t>
            </w:r>
          </w:p>
          <w:p w:rsidR="00B40693" w:rsidRPr="00950979" w:rsidP="00B40693" w14:paraId="5FF48852" w14:textId="77777777">
            <w:pPr>
              <w:widowControl/>
              <w:numPr>
                <w:ilvl w:val="0"/>
                <w:numId w:val="11"/>
              </w:numPr>
              <w:contextualSpacing/>
              <w:rPr>
                <w:rFonts w:eastAsia="Verdana"/>
                <w:szCs w:val="22"/>
              </w:rPr>
            </w:pPr>
            <w:r w:rsidRPr="00950979">
              <w:rPr>
                <w:szCs w:val="22"/>
              </w:rPr>
              <w:t>On-site technical support (</w:t>
            </w:r>
            <w:r w:rsidRPr="00CC4A8D">
              <w:rPr>
                <w:szCs w:val="22"/>
              </w:rPr>
              <w:t>i.e.</w:t>
            </w:r>
            <w:r w:rsidRPr="00950979">
              <w:rPr>
                <w:szCs w:val="22"/>
              </w:rPr>
              <w:t>, contractor duty station at the applicant site), unless applicants present sufficient evidence of cost-effectiveness</w:t>
            </w:r>
          </w:p>
          <w:p w:rsidR="00B40693" w:rsidRPr="00950979" w:rsidP="00B40693" w14:paraId="431E98F7" w14:textId="77777777">
            <w:pPr>
              <w:widowControl/>
              <w:numPr>
                <w:ilvl w:val="0"/>
                <w:numId w:val="11"/>
              </w:numPr>
              <w:spacing w:after="240"/>
              <w:rPr>
                <w:b/>
                <w:bCs/>
                <w:szCs w:val="22"/>
              </w:rPr>
            </w:pPr>
            <w:r w:rsidRPr="00950979">
              <w:rPr>
                <w:szCs w:val="22"/>
              </w:rPr>
              <w:t>Unbundled warranties</w:t>
            </w:r>
          </w:p>
        </w:tc>
      </w:tr>
    </w:tbl>
    <w:p w:rsidR="00B40693" w:rsidRPr="000A41C2" w:rsidP="00B40693" w14:paraId="14FAABD3" w14:textId="77777777">
      <w:pPr>
        <w:spacing w:before="120" w:after="120"/>
        <w:rPr>
          <w:szCs w:val="22"/>
        </w:rPr>
      </w:pPr>
      <w:r>
        <w:rPr>
          <w:sz w:val="24"/>
        </w:rPr>
        <w:br w:type="page"/>
      </w:r>
      <w:r w:rsidRPr="00950979">
        <w:rPr>
          <w:b/>
          <w:bCs/>
          <w:szCs w:val="22"/>
          <w:u w:val="single"/>
        </w:rPr>
        <w:t>Eligibility Explanations for Certain Category One and Category Two Services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7"/>
      </w:tblGrid>
      <w:tr w14:paraId="2EE7D3D2" w14:textId="77777777" w:rsidTr="00983437">
        <w:tblPrEx>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247" w:type="dxa"/>
            <w:shd w:val="clear" w:color="auto" w:fill="auto"/>
          </w:tcPr>
          <w:p w:rsidR="00B40693" w:rsidRPr="00950979" w:rsidP="00983437" w14:paraId="6F9E81D6" w14:textId="77777777">
            <w:pPr>
              <w:spacing w:before="120" w:after="240"/>
              <w:rPr>
                <w:b/>
                <w:bCs/>
                <w:szCs w:val="22"/>
              </w:rPr>
            </w:pPr>
            <w:r w:rsidRPr="00D33D80">
              <w:rPr>
                <w:b/>
                <w:bCs/>
              </w:rPr>
              <w:t>Note</w:t>
            </w:r>
            <w:r>
              <w:t>:  E</w:t>
            </w:r>
            <w:r w:rsidRPr="005912E8">
              <w:t xml:space="preserve">quipment or services produced or provided by </w:t>
            </w:r>
            <w:r>
              <w:t>a company</w:t>
            </w:r>
            <w:r w:rsidRPr="005912E8">
              <w:t xml:space="preserve"> </w:t>
            </w:r>
            <w:r>
              <w:t xml:space="preserve">that the FCC has designated as </w:t>
            </w:r>
            <w:r w:rsidRPr="005912E8">
              <w:t>a national security threat to the integrity of communications networks or the communications supply chain</w:t>
            </w:r>
            <w:r>
              <w:t xml:space="preserve"> are not eligible for E-Rate support</w:t>
            </w:r>
            <w:r w:rsidRPr="005912E8">
              <w:t>.</w:t>
            </w:r>
            <w:r>
              <w:t xml:space="preserve">  47 CFR § 54.9(a).</w:t>
            </w:r>
          </w:p>
        </w:tc>
      </w:tr>
      <w:tr w14:paraId="7656F654" w14:textId="77777777" w:rsidTr="00983437">
        <w:tblPrEx>
          <w:tblW w:w="9247" w:type="dxa"/>
          <w:tblInd w:w="108" w:type="dxa"/>
          <w:tblLook w:val="04A0"/>
        </w:tblPrEx>
        <w:tc>
          <w:tcPr>
            <w:tcW w:w="9247" w:type="dxa"/>
            <w:shd w:val="clear" w:color="auto" w:fill="auto"/>
          </w:tcPr>
          <w:p w:rsidR="00B40693" w:rsidRPr="000A41C2" w:rsidP="00983437" w14:paraId="0EB5FA7B" w14:textId="77777777">
            <w:pPr>
              <w:spacing w:before="120" w:after="240"/>
              <w:rPr>
                <w:szCs w:val="22"/>
              </w:rPr>
            </w:pPr>
            <w:r w:rsidRPr="00950979">
              <w:rPr>
                <w:b/>
                <w:bCs/>
                <w:szCs w:val="22"/>
              </w:rPr>
              <w:t>Internet access/ISP service</w:t>
            </w:r>
            <w:r w:rsidRPr="00950979">
              <w:rPr>
                <w:szCs w:val="22"/>
              </w:rPr>
              <w:t xml:space="preserve"> – Eligible Internet access services may include features such as basic firewall protection, domain name service, and dynamic host configuration when these features are provided as a standard component of a vendor’s Internet access service.  </w:t>
            </w:r>
            <w:r w:rsidRPr="00950979">
              <w:rPr>
                <w:color w:val="010101"/>
                <w:szCs w:val="22"/>
              </w:rPr>
              <w:t xml:space="preserve">Firewall protection that is provided by a vendor other than the Internet access service provider or priced out separately will be considered a Category Two internal connections component. </w:t>
            </w:r>
            <w:r w:rsidRPr="00950979">
              <w:rPr>
                <w:bCs/>
                <w:color w:val="010101"/>
                <w:szCs w:val="22"/>
              </w:rPr>
              <w:t xml:space="preserve"> </w:t>
            </w:r>
            <w:r w:rsidRPr="00950979">
              <w:rPr>
                <w:szCs w:val="22"/>
              </w:rPr>
              <w:t>Examples of items that are ineligible components of Internet access services include applications, content, e-mail, and end-user devices and equipment such as computers, laptops, and tablets.</w:t>
            </w:r>
          </w:p>
        </w:tc>
      </w:tr>
      <w:tr w14:paraId="59ACFE3A" w14:textId="77777777" w:rsidTr="00983437">
        <w:tblPrEx>
          <w:tblW w:w="9247" w:type="dxa"/>
          <w:tblInd w:w="108" w:type="dxa"/>
          <w:tblLook w:val="04A0"/>
        </w:tblPrEx>
        <w:tc>
          <w:tcPr>
            <w:tcW w:w="9247" w:type="dxa"/>
            <w:shd w:val="clear" w:color="auto" w:fill="auto"/>
          </w:tcPr>
          <w:p w:rsidR="00B40693" w:rsidRPr="00950979" w:rsidP="00983437" w14:paraId="0134F6D2" w14:textId="77777777">
            <w:pPr>
              <w:spacing w:before="120" w:after="120"/>
              <w:rPr>
                <w:szCs w:val="22"/>
              </w:rPr>
            </w:pPr>
            <w:r w:rsidRPr="00950979">
              <w:rPr>
                <w:b/>
                <w:bCs/>
                <w:szCs w:val="22"/>
              </w:rPr>
              <w:t>Wireless services</w:t>
            </w:r>
            <w:r w:rsidRPr="00950979">
              <w:rPr>
                <w:szCs w:val="22"/>
              </w:rPr>
              <w:t xml:space="preserve"> </w:t>
            </w:r>
            <w:r w:rsidRPr="00950979">
              <w:rPr>
                <w:b/>
                <w:bCs/>
                <w:szCs w:val="22"/>
              </w:rPr>
              <w:t>and wireless Internet access</w:t>
            </w:r>
            <w:r w:rsidRPr="00950979">
              <w:rPr>
                <w:bCs/>
                <w:szCs w:val="22"/>
              </w:rPr>
              <w:t xml:space="preserve"> </w:t>
            </w:r>
            <w:r w:rsidRPr="00950979">
              <w:rPr>
                <w:szCs w:val="22"/>
              </w:rPr>
              <w:t xml:space="preserve">– As clarified in the </w:t>
            </w:r>
            <w:r w:rsidRPr="00950979">
              <w:rPr>
                <w:i/>
                <w:iCs/>
                <w:szCs w:val="22"/>
              </w:rPr>
              <w:t xml:space="preserve">2014 </w:t>
            </w:r>
            <w:r>
              <w:rPr>
                <w:i/>
                <w:iCs/>
                <w:szCs w:val="22"/>
              </w:rPr>
              <w:t xml:space="preserve">Second </w:t>
            </w:r>
            <w:r w:rsidRPr="00950979">
              <w:rPr>
                <w:i/>
                <w:iCs/>
                <w:szCs w:val="22"/>
              </w:rPr>
              <w:t>E-Rate Order</w:t>
            </w:r>
            <w:r w:rsidRPr="00950979">
              <w:rPr>
                <w:iCs/>
                <w:szCs w:val="22"/>
              </w:rPr>
              <w:t xml:space="preserve"> (</w:t>
            </w:r>
            <w:r w:rsidRPr="00950979">
              <w:rPr>
                <w:szCs w:val="22"/>
              </w:rPr>
              <w:t>FCC 14-189), data plans and air cards for mobile devices are eligible only in instances when the school or library seeking support demonstrates that the individual data plans are the most cost-effective option for providing internal broadband access for mobile devices at schools and libraries.  Applicants should compare the cost of data plans or air cards for mobile devices to the total cost of all components necessary to deliver connectivity to the end user device, including the cost of data transmission and/or Internet access to the school or library.  Seeking support for data plans or air cards for mobile devices for use in a school or library with an existing broadband connection and WLAN implicates the E-Rate program’s prohibition on requests for duplicative services.</w:t>
            </w:r>
          </w:p>
          <w:p w:rsidR="00B40693" w:rsidRPr="00950979" w:rsidP="00983437" w14:paraId="67ED84F8" w14:textId="77777777">
            <w:pPr>
              <w:keepNext/>
              <w:keepLines/>
              <w:spacing w:before="120" w:after="120"/>
              <w:rPr>
                <w:szCs w:val="22"/>
              </w:rPr>
            </w:pPr>
            <w:r w:rsidRPr="00950979">
              <w:rPr>
                <w:szCs w:val="22"/>
              </w:rPr>
              <w:t>Off-campus use, even if used for an educational purpose, is ineligible for support and must be cost allocated out of any funding request.</w:t>
            </w:r>
          </w:p>
          <w:p w:rsidR="00B40693" w:rsidRPr="00950979" w:rsidP="00983437" w14:paraId="1E12FE28" w14:textId="77777777">
            <w:pPr>
              <w:keepNext/>
              <w:keepLines/>
              <w:spacing w:before="120" w:after="240"/>
              <w:rPr>
                <w:b/>
                <w:szCs w:val="22"/>
              </w:rPr>
            </w:pPr>
            <w:r w:rsidRPr="00950979">
              <w:rPr>
                <w:szCs w:val="22"/>
              </w:rPr>
              <w:t>Managed internal broadband services, such as managed Wi-Fi, are eligible only for Category Two support.</w:t>
            </w:r>
          </w:p>
        </w:tc>
      </w:tr>
      <w:tr w14:paraId="7522B816" w14:textId="77777777" w:rsidTr="00983437">
        <w:tblPrEx>
          <w:tblW w:w="9247" w:type="dxa"/>
          <w:tblInd w:w="108" w:type="dxa"/>
          <w:tblLook w:val="04A0"/>
        </w:tblPrEx>
        <w:tc>
          <w:tcPr>
            <w:tcW w:w="9247" w:type="dxa"/>
            <w:shd w:val="clear" w:color="auto" w:fill="auto"/>
          </w:tcPr>
          <w:p w:rsidR="00B40693" w:rsidRPr="00950979" w:rsidP="00983437" w14:paraId="5CA1CBAA" w14:textId="77777777">
            <w:pPr>
              <w:keepNext/>
              <w:keepLines/>
              <w:spacing w:before="120" w:after="120"/>
              <w:rPr>
                <w:bCs/>
                <w:szCs w:val="22"/>
              </w:rPr>
            </w:pPr>
            <w:r w:rsidRPr="00950979">
              <w:rPr>
                <w:b/>
                <w:bCs/>
                <w:szCs w:val="22"/>
              </w:rPr>
              <w:t>Connections between buildings of a single school</w:t>
            </w:r>
            <w:r w:rsidRPr="00950979">
              <w:rPr>
                <w:szCs w:val="22"/>
              </w:rPr>
              <w:t xml:space="preserve"> – The classification of connections between multiple buildings of a single school is determined by whether the buildings are located on the same campus.  A “campus” is defined as the geographically contiguous grounds where the instructional buildings of a single eligible school are located.  A single school may have multiple campuses if it has instructional buildings located on grounds that are not geographically contiguous.  Different schools located on the same grounds do not comprise a single campus.  The portion of the grounds occupied by the instructional buildings for each school is a campus for that school.</w:t>
            </w:r>
          </w:p>
          <w:p w:rsidR="00B40693" w:rsidRPr="00950979" w:rsidP="00B40693" w14:paraId="460F155E" w14:textId="77777777">
            <w:pPr>
              <w:keepNext/>
              <w:keepLines/>
              <w:widowControl/>
              <w:numPr>
                <w:ilvl w:val="0"/>
                <w:numId w:val="12"/>
              </w:numPr>
            </w:pPr>
            <w:r w:rsidRPr="00950979">
              <w:t>Connections between buildings on different campuses of a single school are considered to be Category One data transmission services.</w:t>
            </w:r>
          </w:p>
          <w:p w:rsidR="00B40693" w:rsidRPr="00950979" w:rsidP="00B40693" w14:paraId="4BB3A478" w14:textId="77777777">
            <w:pPr>
              <w:keepNext/>
              <w:keepLines/>
              <w:widowControl/>
              <w:numPr>
                <w:ilvl w:val="0"/>
                <w:numId w:val="12"/>
              </w:numPr>
            </w:pPr>
            <w:r w:rsidRPr="00950979">
              <w:t>Connections between different schools with campuses located on the same property (e.g., an elementary school and middle school located on the same property) are considered to be Category One data transmission services, unless they share the same building.</w:t>
            </w:r>
          </w:p>
          <w:p w:rsidR="00B40693" w:rsidRPr="00950979" w:rsidP="00B40693" w14:paraId="45B969F5" w14:textId="77777777">
            <w:pPr>
              <w:keepNext/>
              <w:keepLines/>
              <w:widowControl/>
              <w:numPr>
                <w:ilvl w:val="0"/>
                <w:numId w:val="12"/>
              </w:numPr>
              <w:spacing w:after="240"/>
              <w:contextualSpacing/>
              <w:rPr>
                <w:b/>
                <w:bCs/>
              </w:rPr>
            </w:pPr>
            <w:r w:rsidRPr="00950979">
              <w:t>Connections between buildings of a single school on the same campus are considered to be Category Two internal connections.</w:t>
            </w:r>
          </w:p>
        </w:tc>
      </w:tr>
      <w:tr w14:paraId="3EBE3430" w14:textId="77777777" w:rsidTr="00983437">
        <w:tblPrEx>
          <w:tblW w:w="9247" w:type="dxa"/>
          <w:tblInd w:w="108" w:type="dxa"/>
          <w:tblLook w:val="04A0"/>
        </w:tblPrEx>
        <w:tc>
          <w:tcPr>
            <w:tcW w:w="9247" w:type="dxa"/>
            <w:shd w:val="clear" w:color="auto" w:fill="auto"/>
          </w:tcPr>
          <w:p w:rsidR="00B40693" w:rsidRPr="00950979" w:rsidP="00983437" w14:paraId="4FFD2D43" w14:textId="77777777">
            <w:pPr>
              <w:autoSpaceDE w:val="0"/>
              <w:autoSpaceDN w:val="0"/>
              <w:adjustRightInd w:val="0"/>
              <w:spacing w:before="120" w:after="240"/>
              <w:rPr>
                <w:bCs/>
                <w:szCs w:val="22"/>
              </w:rPr>
            </w:pPr>
            <w:r w:rsidRPr="00950979">
              <w:rPr>
                <w:b/>
                <w:bCs/>
                <w:szCs w:val="22"/>
              </w:rPr>
              <w:t>Network equipment with mixed eligibility</w:t>
            </w:r>
            <w:r w:rsidRPr="00950979">
              <w:rPr>
                <w:bCs/>
                <w:szCs w:val="22"/>
              </w:rPr>
              <w:t xml:space="preserve"> – On-premises equipment that connects to a Category Two-eligible LAN is eligible for Category One support if it is necessary to make a Category One broadband service functional.  </w:t>
            </w:r>
            <w:r w:rsidRPr="00950979">
              <w:rPr>
                <w:szCs w:val="22"/>
              </w:rPr>
              <w:t>If the price for components that enable the LAN can be isolated from the price of the components that enable the Category One service, those costs should be cost-allocated out of the Category One funding request.</w:t>
            </w:r>
          </w:p>
        </w:tc>
      </w:tr>
    </w:tbl>
    <w:p w:rsidR="00B40693" w:rsidRPr="00950979" w:rsidP="00B40693" w14:paraId="21E4EEE7" w14:textId="77777777">
      <w:pPr>
        <w:spacing w:after="120"/>
        <w:rPr>
          <w:b/>
          <w:bCs/>
          <w:szCs w:val="22"/>
          <w:u w:val="single"/>
        </w:rPr>
      </w:pPr>
      <w:r>
        <w:rPr>
          <w:sz w:val="24"/>
        </w:rPr>
        <w:br w:type="page"/>
      </w:r>
      <w:r w:rsidRPr="00950979">
        <w:rPr>
          <w:b/>
          <w:bCs/>
          <w:szCs w:val="22"/>
          <w:u w:val="single"/>
        </w:rPr>
        <w:t>Miscellaneous</w:t>
      </w:r>
    </w:p>
    <w:p w:rsidR="00B40693" w:rsidRPr="00950979" w:rsidP="00B40693" w14:paraId="66ADE91C" w14:textId="77777777">
      <w:pPr>
        <w:spacing w:before="120" w:after="240"/>
        <w:jc w:val="both"/>
        <w:rPr>
          <w:szCs w:val="22"/>
        </w:rPr>
      </w:pPr>
      <w:r w:rsidRPr="00950979">
        <w:rPr>
          <w:szCs w:val="22"/>
        </w:rPr>
        <w:t>As described below, various miscellaneous services associated with Category One or Category Two are eligible for support.  Applicants should request eligible miscellaneous services in the same category as the associated service being obtained or installed.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14:paraId="35CFA9EF" w14:textId="77777777" w:rsidTr="009834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175" w:type="dxa"/>
            <w:shd w:val="clear" w:color="auto" w:fill="auto"/>
          </w:tcPr>
          <w:p w:rsidR="00B40693" w:rsidRPr="00950979" w:rsidP="00983437" w14:paraId="38D4C52B" w14:textId="77777777">
            <w:pPr>
              <w:spacing w:after="120"/>
              <w:jc w:val="center"/>
              <w:rPr>
                <w:b/>
                <w:szCs w:val="22"/>
              </w:rPr>
            </w:pPr>
            <w:r w:rsidRPr="00950979">
              <w:rPr>
                <w:b/>
                <w:bCs/>
                <w:szCs w:val="22"/>
              </w:rPr>
              <w:t>Fees</w:t>
            </w:r>
          </w:p>
          <w:p w:rsidR="00B40693" w:rsidRPr="00950979" w:rsidP="00983437" w14:paraId="559CCEF9" w14:textId="77777777">
            <w:pPr>
              <w:rPr>
                <w:rFonts w:eastAsia="Calibri"/>
                <w:bCs/>
                <w:szCs w:val="22"/>
              </w:rPr>
            </w:pPr>
            <w:r w:rsidRPr="00950979">
              <w:rPr>
                <w:szCs w:val="22"/>
              </w:rPr>
              <w:t>Fees and charges that are a necessary component of an eligible product or service are eligible, including:</w:t>
            </w:r>
          </w:p>
          <w:p w:rsidR="00B40693" w:rsidRPr="00950979" w:rsidP="00B40693" w14:paraId="7BBD03D0" w14:textId="77777777">
            <w:pPr>
              <w:widowControl/>
              <w:numPr>
                <w:ilvl w:val="0"/>
                <w:numId w:val="13"/>
              </w:numPr>
              <w:contextualSpacing/>
              <w:rPr>
                <w:szCs w:val="22"/>
              </w:rPr>
            </w:pPr>
            <w:r w:rsidRPr="00950979">
              <w:rPr>
                <w:szCs w:val="22"/>
              </w:rPr>
              <w:t>Change fees</w:t>
            </w:r>
          </w:p>
          <w:p w:rsidR="00B40693" w:rsidRPr="00950979" w:rsidP="00B40693" w14:paraId="1D484F35" w14:textId="77777777">
            <w:pPr>
              <w:widowControl/>
              <w:numPr>
                <w:ilvl w:val="0"/>
                <w:numId w:val="13"/>
              </w:numPr>
              <w:contextualSpacing/>
              <w:rPr>
                <w:szCs w:val="22"/>
              </w:rPr>
            </w:pPr>
            <w:r w:rsidRPr="00950979">
              <w:rPr>
                <w:szCs w:val="22"/>
              </w:rPr>
              <w:t>Contingency fees are eligible if they are reasonable and a regular business practice of the service provider.  Contingency fees will be reimbursed only if the work is performed.</w:t>
            </w:r>
          </w:p>
          <w:p w:rsidR="00B40693" w:rsidRPr="00950979" w:rsidP="00B40693" w14:paraId="7A13557B" w14:textId="77777777">
            <w:pPr>
              <w:widowControl/>
              <w:numPr>
                <w:ilvl w:val="0"/>
                <w:numId w:val="13"/>
              </w:numPr>
              <w:contextualSpacing/>
              <w:rPr>
                <w:szCs w:val="22"/>
              </w:rPr>
            </w:pPr>
            <w:r w:rsidRPr="00950979">
              <w:rPr>
                <w:szCs w:val="22"/>
              </w:rPr>
              <w:t>Freight assurance fees</w:t>
            </w:r>
          </w:p>
          <w:p w:rsidR="00B40693" w:rsidRPr="00950979" w:rsidP="00B40693" w14:paraId="52C3367C" w14:textId="77777777">
            <w:pPr>
              <w:widowControl/>
              <w:numPr>
                <w:ilvl w:val="0"/>
                <w:numId w:val="13"/>
              </w:numPr>
              <w:contextualSpacing/>
              <w:rPr>
                <w:szCs w:val="22"/>
              </w:rPr>
            </w:pPr>
            <w:r w:rsidRPr="00950979">
              <w:rPr>
                <w:szCs w:val="22"/>
              </w:rPr>
              <w:t>Lease or rental fees on eligible equipment</w:t>
            </w:r>
          </w:p>
          <w:p w:rsidR="00B40693" w:rsidRPr="00950979" w:rsidP="00B40693" w14:paraId="260E14FB" w14:textId="77777777">
            <w:pPr>
              <w:widowControl/>
              <w:numPr>
                <w:ilvl w:val="0"/>
                <w:numId w:val="13"/>
              </w:numPr>
              <w:contextualSpacing/>
              <w:rPr>
                <w:szCs w:val="22"/>
              </w:rPr>
            </w:pPr>
            <w:r w:rsidRPr="00950979">
              <w:rPr>
                <w:szCs w:val="22"/>
              </w:rPr>
              <w:t>Per diem and/or travel time costs are eligible only if a contract with a vendor for the eligible product or services specifically provides for these costs</w:t>
            </w:r>
            <w:r>
              <w:rPr>
                <w:szCs w:val="22"/>
              </w:rPr>
              <w:t>.</w:t>
            </w:r>
          </w:p>
          <w:p w:rsidR="00B40693" w:rsidRPr="00950979" w:rsidP="00B40693" w14:paraId="0547A42C" w14:textId="77777777">
            <w:pPr>
              <w:widowControl/>
              <w:numPr>
                <w:ilvl w:val="0"/>
                <w:numId w:val="13"/>
              </w:numPr>
              <w:contextualSpacing/>
              <w:rPr>
                <w:szCs w:val="22"/>
              </w:rPr>
            </w:pPr>
            <w:r w:rsidRPr="00950979">
              <w:rPr>
                <w:szCs w:val="22"/>
              </w:rPr>
              <w:t>Shipping charges</w:t>
            </w:r>
          </w:p>
          <w:p w:rsidR="00B40693" w:rsidRPr="00950979" w:rsidP="00B40693" w14:paraId="2871EE4C" w14:textId="77777777">
            <w:pPr>
              <w:widowControl/>
              <w:numPr>
                <w:ilvl w:val="0"/>
                <w:numId w:val="13"/>
              </w:numPr>
              <w:spacing w:after="240"/>
              <w:rPr>
                <w:b/>
                <w:bCs/>
                <w:szCs w:val="22"/>
              </w:rPr>
            </w:pPr>
            <w:r w:rsidRPr="00950979">
              <w:rPr>
                <w:szCs w:val="22"/>
              </w:rPr>
              <w:t>Taxes, surcharges, and other similar, reasonable charges incurred in obtaining an eligible product or service are eligible.  These types of charges include customer charges for universal service fees, but do not include additional charges for universal service administration.</w:t>
            </w:r>
          </w:p>
        </w:tc>
      </w:tr>
      <w:tr w14:paraId="04F54B45" w14:textId="77777777" w:rsidTr="00983437">
        <w:tblPrEx>
          <w:tblW w:w="0" w:type="auto"/>
          <w:jc w:val="center"/>
          <w:tblLook w:val="04A0"/>
        </w:tblPrEx>
        <w:trPr>
          <w:trHeight w:val="3284"/>
          <w:jc w:val="center"/>
        </w:trPr>
        <w:tc>
          <w:tcPr>
            <w:tcW w:w="9175" w:type="dxa"/>
            <w:shd w:val="clear" w:color="auto" w:fill="auto"/>
          </w:tcPr>
          <w:p w:rsidR="00B40693" w:rsidRPr="00950979" w:rsidP="00983437" w14:paraId="7AB704DF" w14:textId="77777777">
            <w:pPr>
              <w:spacing w:after="120"/>
              <w:jc w:val="center"/>
              <w:rPr>
                <w:b/>
                <w:bCs/>
                <w:szCs w:val="22"/>
              </w:rPr>
            </w:pPr>
            <w:r w:rsidRPr="00950979">
              <w:rPr>
                <w:b/>
                <w:bCs/>
                <w:szCs w:val="22"/>
              </w:rPr>
              <w:t>Installation, Activation, and Initial Configuration</w:t>
            </w:r>
          </w:p>
          <w:p w:rsidR="00B40693" w:rsidRPr="00950979" w:rsidP="00983437" w14:paraId="5A42D10D" w14:textId="77777777">
            <w:pPr>
              <w:rPr>
                <w:bCs/>
                <w:szCs w:val="22"/>
              </w:rPr>
            </w:pPr>
            <w:r w:rsidRPr="00950979">
              <w:rPr>
                <w:szCs w:val="22"/>
              </w:rPr>
              <w:t>Installation, activation, and initial configuration of eligible components are eligible.  These services may include:</w:t>
            </w:r>
          </w:p>
          <w:p w:rsidR="00B40693" w:rsidRPr="00950979" w:rsidP="00B40693" w14:paraId="505ACB3E" w14:textId="77777777">
            <w:pPr>
              <w:widowControl/>
              <w:numPr>
                <w:ilvl w:val="0"/>
                <w:numId w:val="14"/>
              </w:numPr>
              <w:contextualSpacing/>
              <w:rPr>
                <w:szCs w:val="22"/>
              </w:rPr>
            </w:pPr>
            <w:r w:rsidRPr="00950979">
              <w:rPr>
                <w:szCs w:val="22"/>
              </w:rPr>
              <w:t>Design and engineering costs if these services are provided as an integral component of the installation of the relevant services</w:t>
            </w:r>
          </w:p>
          <w:p w:rsidR="00B40693" w:rsidRPr="00950979" w:rsidP="00B40693" w14:paraId="4633FC77" w14:textId="77777777">
            <w:pPr>
              <w:widowControl/>
              <w:numPr>
                <w:ilvl w:val="0"/>
                <w:numId w:val="14"/>
              </w:numPr>
              <w:contextualSpacing/>
              <w:rPr>
                <w:szCs w:val="22"/>
              </w:rPr>
            </w:pPr>
            <w:r w:rsidRPr="00950979">
              <w:rPr>
                <w:szCs w:val="22"/>
              </w:rPr>
              <w:t>Project management costs if these services are provided as an integral component of the installation of the relevant services</w:t>
            </w:r>
          </w:p>
          <w:p w:rsidR="00B40693" w:rsidRPr="00950979" w:rsidP="00B40693" w14:paraId="53692D22" w14:textId="77777777">
            <w:pPr>
              <w:widowControl/>
              <w:numPr>
                <w:ilvl w:val="0"/>
                <w:numId w:val="14"/>
              </w:numPr>
              <w:spacing w:after="240"/>
              <w:rPr>
                <w:szCs w:val="22"/>
              </w:rPr>
            </w:pPr>
            <w:r w:rsidRPr="00950979">
              <w:rPr>
                <w:szCs w:val="22"/>
              </w:rPr>
              <w:t>On-site training is eligible as a part of installation services but only if it is basic instruction on the use of eligible equipment, directly associated with equipment installation, and is part of the contract or agreement for the equipment.  Training must occur coincidently or within a reasonable time after installation.</w:t>
            </w:r>
          </w:p>
        </w:tc>
      </w:tr>
    </w:tbl>
    <w:p w:rsidR="00B40693" w:rsidRPr="00930ECF" w:rsidP="00B40693" w14:paraId="51554858" w14:textId="77777777">
      <w:pPr>
        <w:rPr>
          <w:sz w:val="24"/>
        </w:rPr>
      </w:pPr>
    </w:p>
    <w:p w:rsidR="00412FC5" w:rsidRPr="00702774" w:rsidP="00B40693" w14:paraId="4FC52D3D" w14:textId="77777777">
      <w:pPr>
        <w:tabs>
          <w:tab w:val="center" w:pos="4680"/>
          <w:tab w:val="right" w:pos="9360"/>
        </w:tabs>
        <w:jc w:val="center"/>
      </w:pPr>
    </w:p>
    <w:sectPr w:rsidSect="00E12F28">
      <w:headerReference w:type="even" r:id="rId11"/>
      <w:headerReference w:type="default" r:id="rId12"/>
      <w:footerReference w:type="even" r:id="rId13"/>
      <w:footerReference w:type="default" r:id="rId14"/>
      <w:headerReference w:type="first" r:id="rId15"/>
      <w:endnotePr>
        <w:numFmt w:val="decimal"/>
      </w:endnotePr>
      <w:pgSz w:w="12240" w:h="15840"/>
      <w:pgMar w:top="1440" w:right="1440" w:bottom="720" w:left="1440" w:header="63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437" w:rsidP="0055614C" w14:paraId="268A88C2" w14:textId="77777777">
    <w:pPr>
      <w:pStyle w:val="Footer"/>
      <w:framePr w:wrap="around" w:vAnchor="text" w:hAnchor="margin" w:xAlign="center" w:y="1"/>
    </w:pPr>
    <w:r>
      <w:fldChar w:fldCharType="begin"/>
    </w:r>
    <w:r>
      <w:instrText xml:space="preserve">PAGE  </w:instrText>
    </w:r>
    <w:r>
      <w:fldChar w:fldCharType="separate"/>
    </w:r>
    <w:r>
      <w:fldChar w:fldCharType="end"/>
    </w:r>
  </w:p>
  <w:p w:rsidR="00983437" w14:paraId="2BAD4E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437" w:rsidP="00F934CD" w14:paraId="6DD6A9F9" w14:textId="7647095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437" w14:paraId="10156DD2"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437" w:rsidP="0055614C" w14:paraId="0DA557A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83437" w14:paraId="1B1FDA90" w14:textId="77777777">
    <w:pPr>
      <w:pStyle w:val="Footer"/>
    </w:pPr>
  </w:p>
  <w:p w:rsidR="00983437" w14:paraId="301091B1" w14:textId="77777777"/>
  <w:p w:rsidR="00983437" w14:paraId="06B202CE" w14:textId="77777777"/>
  <w:p w:rsidR="00983437" w14:paraId="76224198"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437" w:rsidP="00983437" w14:paraId="4F74616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251358" w14:paraId="4C1D536C" w14:textId="77777777">
      <w:r>
        <w:separator/>
      </w:r>
    </w:p>
  </w:footnote>
  <w:footnote w:type="continuationSeparator" w:id="1">
    <w:p w:rsidR="00251358" w:rsidP="00C721AC" w14:paraId="1DA8F343" w14:textId="77777777">
      <w:pPr>
        <w:spacing w:before="120"/>
        <w:rPr>
          <w:sz w:val="20"/>
        </w:rPr>
      </w:pPr>
      <w:r>
        <w:rPr>
          <w:sz w:val="20"/>
        </w:rPr>
        <w:t xml:space="preserve">(Continued from previous page)  </w:t>
      </w:r>
      <w:r>
        <w:rPr>
          <w:sz w:val="20"/>
        </w:rPr>
        <w:separator/>
      </w:r>
    </w:p>
  </w:footnote>
  <w:footnote w:type="continuationNotice" w:id="2">
    <w:p w:rsidR="00251358" w:rsidP="00C721AC" w14:paraId="2673419D" w14:textId="77777777">
      <w:pPr>
        <w:jc w:val="right"/>
        <w:rPr>
          <w:sz w:val="20"/>
        </w:rPr>
      </w:pPr>
      <w:r>
        <w:rPr>
          <w:sz w:val="20"/>
        </w:rPr>
        <w:t>(continued….)</w:t>
      </w:r>
    </w:p>
  </w:footnote>
  <w:footnote w:id="3">
    <w:p w:rsidR="00983437" w:rsidRPr="004308FC" w:rsidP="00702774" w14:paraId="0C7ED2D4" w14:textId="26B1B183">
      <w:pPr>
        <w:pStyle w:val="FootnoteText"/>
      </w:pPr>
      <w:r>
        <w:rPr>
          <w:rStyle w:val="FootnoteReference"/>
        </w:rPr>
        <w:footnoteRef/>
      </w:r>
      <w:r>
        <w:t xml:space="preserve"> The Bureau annually updates the eligible services list, which specifies the services and products that are eligible for E-Rate funding each funding year.  </w:t>
      </w:r>
      <w:r>
        <w:rPr>
          <w:i/>
        </w:rPr>
        <w:t xml:space="preserve">See </w:t>
      </w:r>
      <w:r>
        <w:t>47 CFR § 54.502(a) (“</w:t>
      </w:r>
      <w:r w:rsidR="007C611D">
        <w:t>A</w:t>
      </w:r>
      <w:r>
        <w:t>ll supported services are listed in the Eligible Services List as updated annually in accordance with paragraph (d) of this section</w:t>
      </w:r>
      <w:r w:rsidR="007C611D">
        <w:t>.”</w:t>
      </w:r>
      <w:r>
        <w:t xml:space="preserve">); </w:t>
      </w:r>
      <w:r>
        <w:rPr>
          <w:i/>
        </w:rPr>
        <w:t>see also</w:t>
      </w:r>
      <w:r>
        <w:t xml:space="preserve"> 47 CFR § 54.502(d) (detailing the procedures for seeking comment on the draft eligible services list).</w:t>
      </w:r>
    </w:p>
  </w:footnote>
  <w:footnote w:id="4">
    <w:p w:rsidR="00983437" w:rsidP="00702774" w14:paraId="786AD392" w14:textId="09F3A6A4">
      <w:pPr>
        <w:pStyle w:val="FootnoteText"/>
      </w:pPr>
      <w:r>
        <w:rPr>
          <w:rStyle w:val="FootnoteReference"/>
        </w:rPr>
        <w:footnoteRef/>
      </w:r>
      <w:r>
        <w:t xml:space="preserve"> </w:t>
      </w:r>
      <w:r w:rsidRPr="00EC152F">
        <w:rPr>
          <w:i/>
        </w:rPr>
        <w:t>Wireline Competition Bureau Seeks Comment on Proposed Eligible Services List for the E-Rate Program</w:t>
      </w:r>
      <w:r>
        <w:t xml:space="preserve">, WC Docket No. 13-184, Public Notice, DA </w:t>
      </w:r>
      <w:r w:rsidR="00186488">
        <w:t>20</w:t>
      </w:r>
      <w:r>
        <w:t>-767, 1 (WCB 2020) (</w:t>
      </w:r>
      <w:r w:rsidRPr="004308FC">
        <w:rPr>
          <w:i/>
        </w:rPr>
        <w:t>F</w:t>
      </w:r>
      <w:r>
        <w:rPr>
          <w:i/>
        </w:rPr>
        <w:t xml:space="preserve">unding Year </w:t>
      </w:r>
      <w:r w:rsidRPr="004308FC">
        <w:rPr>
          <w:i/>
        </w:rPr>
        <w:t>20</w:t>
      </w:r>
      <w:r>
        <w:rPr>
          <w:i/>
        </w:rPr>
        <w:t>21</w:t>
      </w:r>
      <w:r w:rsidRPr="004308FC">
        <w:rPr>
          <w:i/>
        </w:rPr>
        <w:t xml:space="preserve"> </w:t>
      </w:r>
      <w:r>
        <w:rPr>
          <w:i/>
        </w:rPr>
        <w:t>Eligible Services List</w:t>
      </w:r>
      <w:r w:rsidRPr="004308FC">
        <w:rPr>
          <w:i/>
        </w:rPr>
        <w:t xml:space="preserve"> Public Notice</w:t>
      </w:r>
      <w:r>
        <w:t>).</w:t>
      </w:r>
    </w:p>
  </w:footnote>
  <w:footnote w:id="5">
    <w:p w:rsidR="00983437" w:rsidP="00702774" w14:paraId="35438FF6" w14:textId="51833D11">
      <w:pPr>
        <w:pStyle w:val="FootnoteText"/>
      </w:pPr>
      <w:r>
        <w:rPr>
          <w:rStyle w:val="FootnoteReference"/>
        </w:rPr>
        <w:footnoteRef/>
      </w:r>
      <w:r>
        <w:t xml:space="preserve"> </w:t>
      </w:r>
      <w:r>
        <w:rPr>
          <w:i/>
        </w:rPr>
        <w:t xml:space="preserve">See Schools and Libraries Universal Service Support </w:t>
      </w:r>
      <w:r w:rsidRPr="0058697B">
        <w:rPr>
          <w:i/>
        </w:rPr>
        <w:t>Mechanism</w:t>
      </w:r>
      <w:r w:rsidRPr="006C1F29">
        <w:rPr>
          <w:i/>
        </w:rPr>
        <w:t>,</w:t>
      </w:r>
      <w:r>
        <w:rPr>
          <w:i/>
        </w:rPr>
        <w:t xml:space="preserve"> Eligible Services List for Funding Year 2021</w:t>
      </w:r>
      <w:r>
        <w:rPr>
          <w:iCs/>
        </w:rPr>
        <w:t xml:space="preserve"> </w:t>
      </w:r>
      <w:r>
        <w:rPr>
          <w:i/>
        </w:rPr>
        <w:t>(FY2021 Eligible Services List)</w:t>
      </w:r>
      <w:r>
        <w:rPr>
          <w:iCs/>
        </w:rPr>
        <w:t xml:space="preserve">, Appendix </w:t>
      </w:r>
      <w:r w:rsidR="008420A6">
        <w:rPr>
          <w:iCs/>
        </w:rPr>
        <w:t>B</w:t>
      </w:r>
      <w:r>
        <w:rPr>
          <w:iCs/>
        </w:rPr>
        <w:t xml:space="preserve">, below.  </w:t>
      </w:r>
      <w:r>
        <w:t>47 CFR § 54.502(d) (requiring the final eligible services list to be released at least 60 days prior to the opening of the application filing window).</w:t>
      </w:r>
    </w:p>
  </w:footnote>
  <w:footnote w:id="6">
    <w:p w:rsidR="001525C2" w14:paraId="106001B1" w14:textId="07E24BE8">
      <w:pPr>
        <w:pStyle w:val="FootnoteText"/>
      </w:pPr>
      <w:r>
        <w:rPr>
          <w:rStyle w:val="FootnoteReference"/>
        </w:rPr>
        <w:footnoteRef/>
      </w:r>
      <w:r>
        <w:t xml:space="preserve"> </w:t>
      </w:r>
      <w:r w:rsidR="006472BC">
        <w:t>47 CFR § 54.502(d).</w:t>
      </w:r>
    </w:p>
  </w:footnote>
  <w:footnote w:id="7">
    <w:p w:rsidR="00983437" w:rsidP="00702774" w14:paraId="7BF69705" w14:textId="77777777">
      <w:pPr>
        <w:pStyle w:val="FootnoteText"/>
      </w:pPr>
      <w:r>
        <w:rPr>
          <w:rStyle w:val="FootnoteReference"/>
        </w:rPr>
        <w:footnoteRef/>
      </w:r>
      <w:r>
        <w:t xml:space="preserve"> 47 U.S.C. §§ 254(c)(1), (c)(3), (h)(1)(B), (h)(2).</w:t>
      </w:r>
    </w:p>
  </w:footnote>
  <w:footnote w:id="8">
    <w:p w:rsidR="00983437" w:rsidRPr="00426F29" w:rsidP="00702774" w14:paraId="3E0CA609" w14:textId="1A560E29">
      <w:pPr>
        <w:pStyle w:val="FootnoteText"/>
        <w:rPr>
          <w:i/>
        </w:rPr>
      </w:pPr>
      <w:r>
        <w:rPr>
          <w:rStyle w:val="FootnoteReference"/>
        </w:rPr>
        <w:footnoteRef/>
      </w:r>
      <w:r>
        <w:t xml:space="preserve"> </w:t>
      </w:r>
      <w:r>
        <w:rPr>
          <w:i/>
        </w:rPr>
        <w:t xml:space="preserve">See </w:t>
      </w:r>
      <w:r w:rsidRPr="00426F29">
        <w:t>47 CFR § 54.502(d)</w:t>
      </w:r>
      <w:r>
        <w:t xml:space="preserve">. </w:t>
      </w:r>
    </w:p>
  </w:footnote>
  <w:footnote w:id="9">
    <w:p w:rsidR="00983437" w:rsidP="008F1490" w14:paraId="064A6DA2" w14:textId="77777777">
      <w:pPr>
        <w:pStyle w:val="FootnoteText"/>
      </w:pPr>
      <w:r>
        <w:rPr>
          <w:rStyle w:val="FootnoteReference"/>
        </w:rPr>
        <w:footnoteRef/>
      </w:r>
      <w:r>
        <w:t xml:space="preserve"> </w:t>
      </w:r>
      <w:r w:rsidRPr="004308FC">
        <w:rPr>
          <w:i/>
        </w:rPr>
        <w:t>F</w:t>
      </w:r>
      <w:r>
        <w:rPr>
          <w:i/>
        </w:rPr>
        <w:t xml:space="preserve">unding Year </w:t>
      </w:r>
      <w:r w:rsidRPr="004308FC">
        <w:rPr>
          <w:i/>
        </w:rPr>
        <w:t>20</w:t>
      </w:r>
      <w:r>
        <w:rPr>
          <w:i/>
        </w:rPr>
        <w:t>21</w:t>
      </w:r>
      <w:r w:rsidRPr="004308FC">
        <w:rPr>
          <w:i/>
        </w:rPr>
        <w:t xml:space="preserve"> </w:t>
      </w:r>
      <w:r>
        <w:rPr>
          <w:i/>
        </w:rPr>
        <w:t>Eligible Services List</w:t>
      </w:r>
      <w:r w:rsidRPr="004308FC">
        <w:rPr>
          <w:i/>
        </w:rPr>
        <w:t xml:space="preserve"> Public Notice</w:t>
      </w:r>
      <w:r>
        <w:t xml:space="preserve"> at 1.</w:t>
      </w:r>
    </w:p>
  </w:footnote>
  <w:footnote w:id="10">
    <w:p w:rsidR="00983437" w:rsidRPr="00D37801" w:rsidP="008F1490" w14:paraId="705C8277" w14:textId="2366E6E2">
      <w:pPr>
        <w:pStyle w:val="FootnoteText"/>
        <w:rPr>
          <w:iCs/>
        </w:rPr>
      </w:pPr>
      <w:r>
        <w:rPr>
          <w:rStyle w:val="FootnoteReference"/>
        </w:rPr>
        <w:footnoteRef/>
      </w:r>
      <w:r>
        <w:t xml:space="preserve"> </w:t>
      </w:r>
      <w:r>
        <w:rPr>
          <w:i/>
        </w:rPr>
        <w:t>Id.</w:t>
      </w:r>
      <w:r>
        <w:rPr>
          <w:iCs/>
        </w:rPr>
        <w:t xml:space="preserve">; </w:t>
      </w:r>
      <w:r>
        <w:rPr>
          <w:i/>
        </w:rPr>
        <w:t xml:space="preserve">see also </w:t>
      </w:r>
      <w:r>
        <w:rPr>
          <w:i/>
          <w:iCs/>
        </w:rPr>
        <w:t>Protecting Against National Security Threats to the Communications Supply Chain Through FCC Programs</w:t>
      </w:r>
      <w:r>
        <w:t>,</w:t>
      </w:r>
      <w:r>
        <w:rPr>
          <w:i/>
          <w:iCs/>
        </w:rPr>
        <w:t xml:space="preserve"> </w:t>
      </w:r>
      <w:r>
        <w:t xml:space="preserve">WC Docket No. 18-89, PS Docket Nos. 19-351, 19-352, </w:t>
      </w:r>
      <w:r w:rsidRPr="00656169">
        <w:t>Report and Order</w:t>
      </w:r>
      <w:r>
        <w:t xml:space="preserve">, Further Notice of Proposed Rulemaking, and Order, </w:t>
      </w:r>
      <w:r w:rsidRPr="00017817">
        <w:t>34 FCC Rcd 11423</w:t>
      </w:r>
      <w:r>
        <w:t>, 11433, para. 26 (2019) (</w:t>
      </w:r>
      <w:r>
        <w:rPr>
          <w:i/>
          <w:iCs/>
        </w:rPr>
        <w:t>Protecting Against National Security Threats</w:t>
      </w:r>
      <w:r w:rsidRPr="004463CB">
        <w:rPr>
          <w:i/>
          <w:iCs/>
        </w:rPr>
        <w:t xml:space="preserve"> Order</w:t>
      </w:r>
      <w:r>
        <w:t>); 47 CFR § 54.9</w:t>
      </w:r>
      <w:r>
        <w:rPr>
          <w:iCs/>
        </w:rPr>
        <w:t>.</w:t>
      </w:r>
    </w:p>
  </w:footnote>
  <w:footnote w:id="11">
    <w:p w:rsidR="00983437" w:rsidRPr="00D16B19" w14:paraId="4133BD03" w14:textId="0F946218">
      <w:pPr>
        <w:pStyle w:val="FootnoteText"/>
        <w:rPr>
          <w:i/>
          <w:iCs/>
        </w:rPr>
      </w:pPr>
      <w:r>
        <w:rPr>
          <w:rStyle w:val="FootnoteReference"/>
        </w:rPr>
        <w:footnoteRef/>
      </w:r>
      <w:r>
        <w:t xml:space="preserve"> </w:t>
      </w:r>
      <w:r>
        <w:rPr>
          <w:i/>
          <w:iCs/>
        </w:rPr>
        <w:t>Id.</w:t>
      </w:r>
      <w:r>
        <w:t xml:space="preserve">; </w:t>
      </w:r>
      <w:r>
        <w:rPr>
          <w:i/>
          <w:iCs/>
        </w:rPr>
        <w:t xml:space="preserve">see also </w:t>
      </w:r>
      <w:r w:rsidRPr="000A41C2">
        <w:rPr>
          <w:i/>
        </w:rPr>
        <w:t>Modernizing the E-Rate Program for Schools and Libraries</w:t>
      </w:r>
      <w:r>
        <w:t>, WC Docket No. 13-184, Report and Order, 34 FCC Rcd 11219 (2019) (</w:t>
      </w:r>
      <w:r w:rsidRPr="000A41C2">
        <w:rPr>
          <w:i/>
        </w:rPr>
        <w:t>Category Two Report and Order</w:t>
      </w:r>
      <w:r>
        <w:t>).</w:t>
      </w:r>
    </w:p>
  </w:footnote>
  <w:footnote w:id="12">
    <w:p w:rsidR="00983437" w:rsidRPr="00ED2AE8" w:rsidP="008F1490" w14:paraId="28060C4A" w14:textId="268D4442">
      <w:pPr>
        <w:pStyle w:val="FootnoteText"/>
      </w:pPr>
      <w:r>
        <w:rPr>
          <w:rStyle w:val="FootnoteReference"/>
        </w:rPr>
        <w:footnoteRef/>
      </w:r>
      <w:r>
        <w:t xml:space="preserve"> </w:t>
      </w:r>
      <w:r>
        <w:rPr>
          <w:i/>
        </w:rPr>
        <w:t>Funding Year 2021 Eligible Services List Public Notice</w:t>
      </w:r>
      <w:r>
        <w:t xml:space="preserve"> at 1.  The Bureau received </w:t>
      </w:r>
      <w:r w:rsidR="00697ED8">
        <w:t xml:space="preserve">eight </w:t>
      </w:r>
      <w:r>
        <w:t xml:space="preserve">comments and ten reply comments in response to the </w:t>
      </w:r>
      <w:r>
        <w:rPr>
          <w:i/>
        </w:rPr>
        <w:t>Funding Year 2021 Eligible Services List Public Notice</w:t>
      </w:r>
      <w:r>
        <w:t>.  Appendix A contains a list of the commenters and the acronyms, if any, used herein to refer to these commenters.</w:t>
      </w:r>
    </w:p>
  </w:footnote>
  <w:footnote w:id="13">
    <w:p w:rsidR="006472BC" w:rsidRPr="00094F6B" w:rsidP="006472BC" w14:paraId="4113AD24" w14:textId="037887B7">
      <w:pPr>
        <w:pStyle w:val="FootnoteText"/>
      </w:pPr>
      <w:r>
        <w:rPr>
          <w:rStyle w:val="FootnoteReference"/>
        </w:rPr>
        <w:footnoteRef/>
      </w:r>
      <w:r>
        <w:t xml:space="preserve"> </w:t>
      </w:r>
      <w:r>
        <w:rPr>
          <w:i/>
        </w:rPr>
        <w:t xml:space="preserve">See </w:t>
      </w:r>
      <w:r w:rsidR="00C84044">
        <w:rPr>
          <w:iCs/>
        </w:rPr>
        <w:t>47 CFR 54.502(d).</w:t>
      </w:r>
      <w:r>
        <w:rPr>
          <w:i/>
        </w:rPr>
        <w:t xml:space="preserve"> </w:t>
      </w:r>
    </w:p>
  </w:footnote>
  <w:footnote w:id="14">
    <w:p w:rsidR="006472BC" w:rsidRPr="00236CEE" w:rsidP="006472BC" w14:paraId="2AE607E2" w14:textId="507AA630">
      <w:pPr>
        <w:pStyle w:val="FootnoteText"/>
      </w:pPr>
      <w:r w:rsidRPr="003F3045">
        <w:rPr>
          <w:rStyle w:val="FootnoteReference"/>
        </w:rPr>
        <w:footnoteRef/>
      </w:r>
      <w:r w:rsidRPr="003F3045">
        <w:t xml:space="preserve"> </w:t>
      </w:r>
      <w:r w:rsidRPr="003F3045">
        <w:rPr>
          <w:i/>
        </w:rPr>
        <w:t>See</w:t>
      </w:r>
      <w:r w:rsidRPr="003F3045">
        <w:t xml:space="preserve"> 47 CFR § 1.3.</w:t>
      </w:r>
      <w:r w:rsidRPr="003F3045" w:rsidR="00663A1A">
        <w:t xml:space="preserve">  </w:t>
      </w:r>
      <w:r w:rsidRPr="009A6DBE" w:rsidR="00663A1A">
        <w:rPr>
          <w:snapToGrid w:val="0"/>
          <w:kern w:val="28"/>
          <w:shd w:val="clear" w:color="auto" w:fill="FFFFFF"/>
        </w:rPr>
        <w:t>The Commission may exercise its discretion to </w:t>
      </w:r>
      <w:r w:rsidRPr="009A6DBE" w:rsidR="00663A1A">
        <w:rPr>
          <w:snapToGrid w:val="0"/>
          <w:kern w:val="28"/>
          <w:bdr w:val="none" w:sz="0" w:space="0" w:color="auto" w:frame="1"/>
        </w:rPr>
        <w:t>waive</w:t>
      </w:r>
      <w:r w:rsidRPr="009A6DBE" w:rsidR="00663A1A">
        <w:rPr>
          <w:snapToGrid w:val="0"/>
          <w:kern w:val="28"/>
          <w:shd w:val="clear" w:color="auto" w:fill="FFFFFF"/>
        </w:rPr>
        <w:t> a rule where the particular facts make strict compliance inconsistent with the </w:t>
      </w:r>
      <w:r w:rsidRPr="009A6DBE" w:rsidR="00663A1A">
        <w:rPr>
          <w:snapToGrid w:val="0"/>
          <w:kern w:val="28"/>
          <w:bdr w:val="none" w:sz="0" w:space="0" w:color="auto" w:frame="1"/>
        </w:rPr>
        <w:t>public</w:t>
      </w:r>
      <w:r w:rsidRPr="009A6DBE" w:rsidR="00663A1A">
        <w:rPr>
          <w:snapToGrid w:val="0"/>
          <w:kern w:val="28"/>
          <w:shd w:val="clear" w:color="auto" w:fill="FFFFFF"/>
        </w:rPr>
        <w:t> </w:t>
      </w:r>
      <w:r w:rsidRPr="009A6DBE" w:rsidR="00663A1A">
        <w:rPr>
          <w:snapToGrid w:val="0"/>
          <w:kern w:val="28"/>
          <w:bdr w:val="none" w:sz="0" w:space="0" w:color="auto" w:frame="1"/>
        </w:rPr>
        <w:t>interest</w:t>
      </w:r>
      <w:r w:rsidRPr="009A6DBE" w:rsidR="00663A1A">
        <w:rPr>
          <w:snapToGrid w:val="0"/>
          <w:kern w:val="28"/>
          <w:shd w:val="clear" w:color="auto" w:fill="FFFFFF"/>
        </w:rPr>
        <w:t>. </w:t>
      </w:r>
      <w:hyperlink r:id="rId1" w:anchor="co_pp_sp_350_1166" w:history="1">
        <w:r w:rsidRPr="00E8693A" w:rsidR="00663A1A">
          <w:rPr>
            <w:i/>
            <w:iCs/>
            <w:snapToGrid w:val="0"/>
            <w:kern w:val="28"/>
            <w:bdr w:val="none" w:sz="0" w:space="0" w:color="auto" w:frame="1"/>
            <w:shd w:val="clear" w:color="auto" w:fill="FFFFFF"/>
          </w:rPr>
          <w:t>Northeast Cellular Telephone Co. v. FCC</w:t>
        </w:r>
        <w:r w:rsidRPr="00E8693A" w:rsidR="00663A1A">
          <w:rPr>
            <w:snapToGrid w:val="0"/>
            <w:kern w:val="28"/>
            <w:bdr w:val="none" w:sz="0" w:space="0" w:color="auto" w:frame="1"/>
            <w:shd w:val="clear" w:color="auto" w:fill="FFFFFF"/>
          </w:rPr>
          <w:t>, 897 F.2d 1164, 1166 (D.C. Cir. 1990)</w:t>
        </w:r>
      </w:hyperlink>
      <w:r w:rsidRPr="009A6DBE" w:rsidR="00663A1A">
        <w:rPr>
          <w:snapToGrid w:val="0"/>
          <w:kern w:val="28"/>
          <w:shd w:val="clear" w:color="auto" w:fill="FFFFFF"/>
        </w:rPr>
        <w:t> (</w:t>
      </w:r>
      <w:r w:rsidRPr="009A6DBE" w:rsidR="00663A1A">
        <w:rPr>
          <w:i/>
          <w:iCs/>
          <w:snapToGrid w:val="0"/>
          <w:kern w:val="28"/>
          <w:bdr w:val="none" w:sz="0" w:space="0" w:color="auto" w:frame="1"/>
          <w:shd w:val="clear" w:color="auto" w:fill="FFFFFF"/>
        </w:rPr>
        <w:t>Northeast Cellular</w:t>
      </w:r>
      <w:r w:rsidRPr="009A6DBE" w:rsidR="00663A1A">
        <w:rPr>
          <w:snapToGrid w:val="0"/>
          <w:kern w:val="28"/>
          <w:shd w:val="clear" w:color="auto" w:fill="FFFFFF"/>
        </w:rPr>
        <w:t>). </w:t>
      </w:r>
      <w:r w:rsidR="00922DA2">
        <w:rPr>
          <w:snapToGrid w:val="0"/>
          <w:kern w:val="28"/>
          <w:shd w:val="clear" w:color="auto" w:fill="FFFFFF"/>
        </w:rPr>
        <w:t xml:space="preserve"> </w:t>
      </w:r>
      <w:r w:rsidRPr="003F3045" w:rsidR="00236CEE">
        <w:t xml:space="preserve">In addition, the Commission may take into account considerations of hardship, equity, or more effective implementation of </w:t>
      </w:r>
      <w:r w:rsidRPr="009A6DBE" w:rsidR="00236CEE">
        <w:t xml:space="preserve">overall policy on an individual basis.  </w:t>
      </w:r>
      <w:r w:rsidRPr="009A6DBE" w:rsidR="00236CEE">
        <w:rPr>
          <w:i/>
          <w:iCs/>
        </w:rPr>
        <w:t>Id.</w:t>
      </w:r>
    </w:p>
  </w:footnote>
  <w:footnote w:id="15">
    <w:p w:rsidR="00025A71" w14:paraId="0BE95EA2" w14:textId="09B45175">
      <w:pPr>
        <w:pStyle w:val="FootnoteText"/>
      </w:pPr>
      <w:r>
        <w:rPr>
          <w:rStyle w:val="FootnoteReference"/>
        </w:rPr>
        <w:footnoteRef/>
      </w:r>
      <w:r>
        <w:t xml:space="preserve"> </w:t>
      </w:r>
      <w:r w:rsidRPr="00663A1A" w:rsidR="00663A1A">
        <w:rPr>
          <w:i/>
          <w:iCs/>
        </w:rPr>
        <w:t>Id</w:t>
      </w:r>
      <w:r w:rsidR="00663A1A">
        <w:t>. (</w:t>
      </w:r>
      <w:r w:rsidR="00E94509">
        <w:t xml:space="preserve">The Commission may waive a rule when </w:t>
      </w:r>
      <w:r w:rsidR="00663A1A">
        <w:t xml:space="preserve">strict compliance </w:t>
      </w:r>
      <w:r w:rsidR="00E94509">
        <w:t>does</w:t>
      </w:r>
      <w:r w:rsidR="00663A1A">
        <w:t xml:space="preserve"> not serve </w:t>
      </w:r>
      <w:r w:rsidR="00E94509">
        <w:t>the public</w:t>
      </w:r>
      <w:r w:rsidR="00663A1A">
        <w:t xml:space="preserve"> interest</w:t>
      </w:r>
      <w:r w:rsidR="00E94509">
        <w:t>.).</w:t>
      </w:r>
    </w:p>
  </w:footnote>
  <w:footnote w:id="16">
    <w:p w:rsidR="00147804" w14:paraId="72626BD1" w14:textId="12185AEF">
      <w:pPr>
        <w:pStyle w:val="FootnoteText"/>
      </w:pPr>
      <w:r>
        <w:rPr>
          <w:rStyle w:val="FootnoteReference"/>
        </w:rPr>
        <w:footnoteRef/>
      </w:r>
      <w:r>
        <w:t xml:space="preserve"> </w:t>
      </w:r>
      <w:r w:rsidRPr="00147804">
        <w:rPr>
          <w:i/>
          <w:iCs/>
        </w:rPr>
        <w:t>See</w:t>
      </w:r>
      <w:r>
        <w:t xml:space="preserve">, </w:t>
      </w:r>
      <w:r w:rsidRPr="00147804">
        <w:rPr>
          <w:i/>
          <w:iCs/>
        </w:rPr>
        <w:t>e.g</w:t>
      </w:r>
      <w:r>
        <w:t xml:space="preserve">., </w:t>
      </w:r>
      <w:r w:rsidRPr="00147804">
        <w:rPr>
          <w:i/>
          <w:iCs/>
        </w:rPr>
        <w:t>Category Two Report and Order</w:t>
      </w:r>
      <w:r>
        <w:t xml:space="preserve">, 34 FCC Rcd at 11242-43, para. 62 (finding good cause to waive the 60-day rule for opening the filing window after issuance of the </w:t>
      </w:r>
      <w:r w:rsidR="00025A71">
        <w:t>e</w:t>
      </w:r>
      <w:r>
        <w:t xml:space="preserve">ligible </w:t>
      </w:r>
      <w:r w:rsidR="00025A71">
        <w:t>s</w:t>
      </w:r>
      <w:r>
        <w:t xml:space="preserve">ervices </w:t>
      </w:r>
      <w:r w:rsidR="00025A71">
        <w:t>l</w:t>
      </w:r>
      <w:r>
        <w:t>ist to allow USAC and applicants with sufficient time to submit and process funding application</w:t>
      </w:r>
      <w:r w:rsidR="00236CEE">
        <w:t>s</w:t>
      </w:r>
      <w:r>
        <w:t xml:space="preserve"> for </w:t>
      </w:r>
      <w:r w:rsidR="00236CEE">
        <w:t>funding year</w:t>
      </w:r>
      <w:r>
        <w:t xml:space="preserve"> 2020). </w:t>
      </w:r>
    </w:p>
  </w:footnote>
  <w:footnote w:id="17">
    <w:p w:rsidR="00983437" w:rsidRPr="009A1769" w14:paraId="52D0435B" w14:textId="07A2989A">
      <w:pPr>
        <w:pStyle w:val="FootnoteText"/>
      </w:pPr>
      <w:r>
        <w:rPr>
          <w:rStyle w:val="FootnoteReference"/>
        </w:rPr>
        <w:footnoteRef/>
      </w:r>
      <w:r>
        <w:t xml:space="preserve"> </w:t>
      </w:r>
      <w:r w:rsidRPr="009A1769" w:rsidR="003F6A84">
        <w:rPr>
          <w:i/>
        </w:rPr>
        <w:t>Funding</w:t>
      </w:r>
      <w:r w:rsidR="003F6A84">
        <w:rPr>
          <w:i/>
        </w:rPr>
        <w:t xml:space="preserve"> Year </w:t>
      </w:r>
      <w:r w:rsidRPr="004308FC" w:rsidR="003F6A84">
        <w:rPr>
          <w:i/>
        </w:rPr>
        <w:t>20</w:t>
      </w:r>
      <w:r w:rsidR="003F6A84">
        <w:rPr>
          <w:i/>
        </w:rPr>
        <w:t>21</w:t>
      </w:r>
      <w:r w:rsidRPr="004308FC" w:rsidR="003F6A84">
        <w:rPr>
          <w:i/>
        </w:rPr>
        <w:t xml:space="preserve"> </w:t>
      </w:r>
      <w:r w:rsidR="003F6A84">
        <w:rPr>
          <w:i/>
        </w:rPr>
        <w:t>Eligible Services List</w:t>
      </w:r>
      <w:r w:rsidRPr="004308FC" w:rsidR="003F6A84">
        <w:rPr>
          <w:i/>
        </w:rPr>
        <w:t xml:space="preserve"> Public Notice</w:t>
      </w:r>
      <w:r w:rsidR="003F6A84">
        <w:rPr>
          <w:iCs/>
        </w:rPr>
        <w:t xml:space="preserve"> at 1; </w:t>
      </w:r>
      <w:r w:rsidRPr="00D16B19" w:rsidR="003F6A84">
        <w:rPr>
          <w:i/>
          <w:iCs/>
        </w:rPr>
        <w:t>Protecting Against National Security Threats Order</w:t>
      </w:r>
      <w:r w:rsidR="00A13152">
        <w:rPr>
          <w:i/>
          <w:iCs/>
        </w:rPr>
        <w:t>,</w:t>
      </w:r>
      <w:r w:rsidR="00627644">
        <w:rPr>
          <w:i/>
          <w:iCs/>
        </w:rPr>
        <w:t xml:space="preserve"> </w:t>
      </w:r>
      <w:r w:rsidR="007A1795">
        <w:t>34 FCC Rcd</w:t>
      </w:r>
      <w:r w:rsidR="00064B06">
        <w:t xml:space="preserve"> at</w:t>
      </w:r>
      <w:r w:rsidR="009E03EA">
        <w:t xml:space="preserve"> 11433, </w:t>
      </w:r>
      <w:r w:rsidRPr="001E6F78" w:rsidR="00627644">
        <w:t>para. 26</w:t>
      </w:r>
      <w:r w:rsidR="003F6A84">
        <w:rPr>
          <w:iCs/>
        </w:rPr>
        <w:t>.</w:t>
      </w:r>
    </w:p>
  </w:footnote>
  <w:footnote w:id="18">
    <w:p w:rsidR="003B09FD" w:rsidRPr="00A46111" w14:paraId="348C44C4" w14:textId="03C509D7">
      <w:pPr>
        <w:pStyle w:val="FootnoteText"/>
      </w:pPr>
      <w:r>
        <w:rPr>
          <w:rStyle w:val="FootnoteReference"/>
        </w:rPr>
        <w:footnoteRef/>
      </w:r>
      <w:r w:rsidR="00D5715F">
        <w:rPr>
          <w:i/>
          <w:iCs/>
        </w:rPr>
        <w:t>See</w:t>
      </w:r>
      <w:r>
        <w:t xml:space="preserve"> </w:t>
      </w:r>
      <w:r w:rsidR="008C5137">
        <w:rPr>
          <w:i/>
          <w:iCs/>
        </w:rPr>
        <w:t xml:space="preserve">Category </w:t>
      </w:r>
      <w:r w:rsidR="00A46111">
        <w:rPr>
          <w:i/>
          <w:iCs/>
        </w:rPr>
        <w:t>Two Report and Order</w:t>
      </w:r>
      <w:r w:rsidR="00A46111">
        <w:t xml:space="preserve">, </w:t>
      </w:r>
      <w:r w:rsidR="00B92E88">
        <w:t>34 FC</w:t>
      </w:r>
      <w:r w:rsidR="00080E23">
        <w:t>C</w:t>
      </w:r>
      <w:r w:rsidR="00B92E88">
        <w:t xml:space="preserve"> Rcd at </w:t>
      </w:r>
      <w:r w:rsidR="00CA5736">
        <w:t>11227-28</w:t>
      </w:r>
      <w:r w:rsidR="00B92E88">
        <w:t xml:space="preserve">, </w:t>
      </w:r>
      <w:r w:rsidR="00A46111">
        <w:t xml:space="preserve">para. </w:t>
      </w:r>
      <w:r w:rsidR="00297FC4">
        <w:t>22.</w:t>
      </w:r>
    </w:p>
  </w:footnote>
  <w:footnote w:id="19">
    <w:p w:rsidR="00983437" w:rsidRPr="00983437" w14:paraId="65642620" w14:textId="2AF8CD55">
      <w:pPr>
        <w:pStyle w:val="FootnoteText"/>
      </w:pPr>
      <w:r>
        <w:rPr>
          <w:rStyle w:val="FootnoteReference"/>
        </w:rPr>
        <w:footnoteRef/>
      </w:r>
      <w:r>
        <w:t xml:space="preserve"> </w:t>
      </w:r>
      <w:r>
        <w:rPr>
          <w:i/>
          <w:iCs/>
        </w:rPr>
        <w:t>See, e.g.</w:t>
      </w:r>
      <w:r>
        <w:t xml:space="preserve">, </w:t>
      </w:r>
      <w:r w:rsidR="00EF1262">
        <w:t xml:space="preserve">Letter from </w:t>
      </w:r>
      <w:r w:rsidR="00F068D1">
        <w:t>Tara Sween</w:t>
      </w:r>
      <w:r w:rsidR="00A03291">
        <w:t>e</w:t>
      </w:r>
      <w:r w:rsidR="00F068D1">
        <w:t>y</w:t>
      </w:r>
      <w:r w:rsidR="003E1FC7">
        <w:t>,</w:t>
      </w:r>
      <w:r w:rsidR="00F068D1">
        <w:t xml:space="preserve"> </w:t>
      </w:r>
      <w:r w:rsidR="00BE3C92">
        <w:t>Assis</w:t>
      </w:r>
      <w:r w:rsidR="00026A5B">
        <w:t xml:space="preserve">tant Secretary, </w:t>
      </w:r>
      <w:r w:rsidR="009053EB">
        <w:t xml:space="preserve">Indian Affairs, </w:t>
      </w:r>
      <w:r w:rsidR="004C5C67">
        <w:t>Department of Interior</w:t>
      </w:r>
      <w:r w:rsidR="00182E4B">
        <w:t xml:space="preserve">, </w:t>
      </w:r>
      <w:r w:rsidRPr="007C076C" w:rsidR="00567EF8">
        <w:t>to Marlene H. Dortch, Secretary, FCC, WC Docket No</w:t>
      </w:r>
      <w:r w:rsidR="00B04027">
        <w:t>.</w:t>
      </w:r>
      <w:r w:rsidR="00433F0F">
        <w:t xml:space="preserve"> 13</w:t>
      </w:r>
      <w:r w:rsidR="00AF1603">
        <w:t xml:space="preserve">-184, </w:t>
      </w:r>
      <w:r w:rsidR="00320F1C">
        <w:t xml:space="preserve">at </w:t>
      </w:r>
      <w:r w:rsidR="00000B53">
        <w:t>2-3 (filed</w:t>
      </w:r>
      <w:r w:rsidR="000A1124">
        <w:t xml:space="preserve"> Aug. 31, 2020)</w:t>
      </w:r>
      <w:r w:rsidR="00E808F8">
        <w:t xml:space="preserve"> (Department of Inte</w:t>
      </w:r>
      <w:r w:rsidR="00F073A4">
        <w:t>rior</w:t>
      </w:r>
      <w:r w:rsidR="00CB0C09">
        <w:t xml:space="preserve"> </w:t>
      </w:r>
      <w:r w:rsidR="009C27B8">
        <w:rPr>
          <w:i/>
          <w:iCs/>
        </w:rPr>
        <w:t>Ex Parte</w:t>
      </w:r>
      <w:r w:rsidR="0049547E">
        <w:t>) (</w:t>
      </w:r>
      <w:r w:rsidR="00D24A65">
        <w:t xml:space="preserve">requesting </w:t>
      </w:r>
      <w:r w:rsidR="00866F37">
        <w:t>that the eligible services list be modified to</w:t>
      </w:r>
      <w:r w:rsidR="00BF64F0">
        <w:t xml:space="preserve"> support virtual learning activities, among other things)</w:t>
      </w:r>
      <w:r w:rsidR="00B04027">
        <w:t>;</w:t>
      </w:r>
      <w:r>
        <w:t xml:space="preserve"> Des Plaines Public Library</w:t>
      </w:r>
      <w:r w:rsidR="00B447D6">
        <w:t xml:space="preserve"> Comments</w:t>
      </w:r>
      <w:r w:rsidR="004C0A16">
        <w:t xml:space="preserve"> at </w:t>
      </w:r>
      <w:r w:rsidR="003C08D3">
        <w:t>1 (</w:t>
      </w:r>
      <w:r w:rsidR="00176288">
        <w:t>r</w:t>
      </w:r>
      <w:r w:rsidR="003C08D3">
        <w:t xml:space="preserve">equesting that </w:t>
      </w:r>
      <w:r w:rsidR="00EF215B">
        <w:t xml:space="preserve">off-campus use of wireless </w:t>
      </w:r>
      <w:r w:rsidR="00C17F6C">
        <w:t>hotsp</w:t>
      </w:r>
      <w:r w:rsidR="007924C6">
        <w:t>ot</w:t>
      </w:r>
      <w:r w:rsidR="008977E3">
        <w:t xml:space="preserve"> device</w:t>
      </w:r>
      <w:r w:rsidR="007924C6">
        <w:t xml:space="preserve">s and the </w:t>
      </w:r>
      <w:r w:rsidR="00F647AA">
        <w:t xml:space="preserve">monthly </w:t>
      </w:r>
      <w:r w:rsidR="007924C6">
        <w:t xml:space="preserve">recurring service for such </w:t>
      </w:r>
      <w:r w:rsidR="006933F7">
        <w:t xml:space="preserve">ineligible </w:t>
      </w:r>
      <w:r w:rsidR="007924C6">
        <w:t>devices be made eligible);</w:t>
      </w:r>
      <w:r w:rsidR="00014A4D">
        <w:t xml:space="preserve"> Fort Bend</w:t>
      </w:r>
      <w:r w:rsidR="00B447D6">
        <w:t xml:space="preserve"> Independent School District Comments</w:t>
      </w:r>
      <w:r w:rsidR="00D41F75">
        <w:t xml:space="preserve"> (</w:t>
      </w:r>
      <w:r w:rsidR="00924C45">
        <w:t>r</w:t>
      </w:r>
      <w:r w:rsidR="00F175BD">
        <w:t xml:space="preserve">equesting </w:t>
      </w:r>
      <w:r w:rsidR="00F12881">
        <w:t>that</w:t>
      </w:r>
      <w:r w:rsidR="00A13607">
        <w:t xml:space="preserve"> hotspot </w:t>
      </w:r>
      <w:r w:rsidR="00BF460C">
        <w:t xml:space="preserve">equipment </w:t>
      </w:r>
      <w:r w:rsidR="00A13607">
        <w:t xml:space="preserve">for home use </w:t>
      </w:r>
      <w:r w:rsidR="000A1087">
        <w:t xml:space="preserve">be made eligible </w:t>
      </w:r>
      <w:r w:rsidR="00A13607">
        <w:t>as a Category Two service</w:t>
      </w:r>
      <w:r w:rsidR="001F4C3A">
        <w:t xml:space="preserve"> and the monthly recurring service </w:t>
      </w:r>
      <w:r w:rsidR="00100639">
        <w:t>for h</w:t>
      </w:r>
      <w:r w:rsidR="00372D40">
        <w:t xml:space="preserve">otspots </w:t>
      </w:r>
      <w:r w:rsidR="00FD3998">
        <w:t xml:space="preserve">eligible </w:t>
      </w:r>
      <w:r w:rsidR="001F4C3A">
        <w:t xml:space="preserve">as a </w:t>
      </w:r>
      <w:r w:rsidR="00FD3998">
        <w:t>Category One service</w:t>
      </w:r>
      <w:r w:rsidR="00A13607">
        <w:t>)</w:t>
      </w:r>
      <w:r w:rsidR="00014A4D">
        <w:t>.</w:t>
      </w:r>
      <w:r w:rsidR="00641D0B">
        <w:t xml:space="preserve">  </w:t>
      </w:r>
      <w:r w:rsidR="00EF7F11">
        <w:t xml:space="preserve">Wireless data plans and air cards for mobile devices are only eligible when applicants have demonstrated that they are the most cost-effective option compared to a fixed wireless broadband connection.  </w:t>
      </w:r>
      <w:r w:rsidRPr="00E36F54" w:rsidR="00EF7F11">
        <w:rPr>
          <w:i/>
          <w:iCs/>
        </w:rPr>
        <w:t xml:space="preserve">See </w:t>
      </w:r>
      <w:r w:rsidR="00EF7F11">
        <w:rPr>
          <w:i/>
          <w:iCs/>
        </w:rPr>
        <w:t xml:space="preserve">Modernizing the E-Rate Program for Schools and </w:t>
      </w:r>
      <w:r w:rsidRPr="00F65FA2" w:rsidR="00EF7F11">
        <w:rPr>
          <w:i/>
          <w:iCs/>
        </w:rPr>
        <w:t>Libraries</w:t>
      </w:r>
      <w:r w:rsidR="00EF7F11">
        <w:t xml:space="preserve">, </w:t>
      </w:r>
      <w:r w:rsidRPr="00AC1DF7" w:rsidR="00EF7F11">
        <w:rPr>
          <w:i/>
          <w:iCs/>
        </w:rPr>
        <w:t>Connect America Fund</w:t>
      </w:r>
      <w:r w:rsidR="00EF7F11">
        <w:t>, WC Dockets 13-184, 10-90, Second Report and Order and Order on Reconsideration, 29 FCC Rcd 15538, 15600, para. 156 (2014) (</w:t>
      </w:r>
      <w:r w:rsidRPr="0055332E" w:rsidR="00EF7F11">
        <w:rPr>
          <w:i/>
          <w:iCs/>
        </w:rPr>
        <w:t>2014</w:t>
      </w:r>
      <w:r w:rsidRPr="00263232" w:rsidR="00EF7F11">
        <w:rPr>
          <w:i/>
          <w:iCs/>
        </w:rPr>
        <w:t xml:space="preserve"> Second E-Rate Order</w:t>
      </w:r>
      <w:r w:rsidR="00EF7F11">
        <w:t>)</w:t>
      </w:r>
      <w:r w:rsidR="00973D74">
        <w:t>.  Furthermore, r</w:t>
      </w:r>
      <w:r w:rsidR="00C538CB">
        <w:t>emote</w:t>
      </w:r>
      <w:r w:rsidR="00641D0B">
        <w:t xml:space="preserve">, off-campus use of </w:t>
      </w:r>
      <w:r w:rsidR="00F23242">
        <w:t>E-</w:t>
      </w:r>
      <w:r w:rsidR="007E72E7">
        <w:t>R</w:t>
      </w:r>
      <w:r w:rsidR="00F23242">
        <w:t xml:space="preserve">ate funded services and equipment </w:t>
      </w:r>
      <w:r w:rsidR="00C53C0F">
        <w:t>is</w:t>
      </w:r>
      <w:r w:rsidR="00F23242">
        <w:t xml:space="preserve"> generally ineligible</w:t>
      </w:r>
      <w:r w:rsidR="004C6B5F">
        <w:t>.</w:t>
      </w:r>
      <w:r w:rsidR="002B6E08">
        <w:t xml:space="preserve"> </w:t>
      </w:r>
      <w:r w:rsidR="00D808C0">
        <w:t xml:space="preserve"> </w:t>
      </w:r>
      <w:r w:rsidRPr="00B27113" w:rsidR="00F80611">
        <w:rPr>
          <w:i/>
          <w:color w:val="000000"/>
        </w:rPr>
        <w:t xml:space="preserve">See </w:t>
      </w:r>
      <w:r w:rsidRPr="00B27113" w:rsidR="00F80611">
        <w:rPr>
          <w:i/>
          <w:iCs/>
          <w:color w:val="000000"/>
        </w:rPr>
        <w:t>Modernizing the E-Rate Program for Schools and Libraries</w:t>
      </w:r>
      <w:r w:rsidRPr="00B27113" w:rsidR="00F80611">
        <w:rPr>
          <w:color w:val="000000"/>
        </w:rPr>
        <w:t xml:space="preserve">, WC Docket No. 13-184, Order, 34 FCC Rcd 11959, 11967 (WCB 2019) (adopting the eligible services list for funding year 2020, which </w:t>
      </w:r>
      <w:r w:rsidR="006E280C">
        <w:rPr>
          <w:color w:val="000000"/>
        </w:rPr>
        <w:t>provides</w:t>
      </w:r>
      <w:r w:rsidR="00F80611">
        <w:rPr>
          <w:color w:val="000000"/>
        </w:rPr>
        <w:t xml:space="preserve"> </w:t>
      </w:r>
      <w:r w:rsidRPr="00B27113" w:rsidR="00F80611">
        <w:rPr>
          <w:color w:val="000000"/>
        </w:rPr>
        <w:t xml:space="preserve">that </w:t>
      </w:r>
      <w:r w:rsidR="00F80611">
        <w:rPr>
          <w:color w:val="000000"/>
        </w:rPr>
        <w:t>“[</w:t>
      </w:r>
      <w:r w:rsidRPr="00B27113" w:rsidR="00F80611">
        <w:rPr>
          <w:color w:val="000000"/>
        </w:rPr>
        <w:t>o</w:t>
      </w:r>
      <w:r w:rsidR="00F80611">
        <w:rPr>
          <w:color w:val="000000"/>
        </w:rPr>
        <w:t>]</w:t>
      </w:r>
      <w:r w:rsidRPr="00B27113" w:rsidR="00F80611">
        <w:rPr>
          <w:color w:val="000000"/>
        </w:rPr>
        <w:t>ff-campus use</w:t>
      </w:r>
      <w:r w:rsidR="00F80611">
        <w:rPr>
          <w:color w:val="000000"/>
        </w:rPr>
        <w:t>, even if used for an educational purpose, is ineligible for support and</w:t>
      </w:r>
      <w:r w:rsidRPr="00B27113" w:rsidR="00F80611">
        <w:rPr>
          <w:color w:val="000000"/>
        </w:rPr>
        <w:t xml:space="preserve"> </w:t>
      </w:r>
      <w:r w:rsidR="00F80611">
        <w:rPr>
          <w:color w:val="000000"/>
        </w:rPr>
        <w:t xml:space="preserve">must </w:t>
      </w:r>
      <w:r w:rsidRPr="00B27113" w:rsidR="00F80611">
        <w:rPr>
          <w:color w:val="000000"/>
        </w:rPr>
        <w:t xml:space="preserve">be cost-allocated </w:t>
      </w:r>
      <w:r w:rsidR="00F80611">
        <w:rPr>
          <w:color w:val="000000"/>
        </w:rPr>
        <w:t>out of</w:t>
      </w:r>
      <w:r w:rsidRPr="00B27113" w:rsidR="00F80611">
        <w:rPr>
          <w:color w:val="000000"/>
        </w:rPr>
        <w:t xml:space="preserve"> a</w:t>
      </w:r>
      <w:r w:rsidR="00F80611">
        <w:rPr>
          <w:color w:val="000000"/>
        </w:rPr>
        <w:t>ny</w:t>
      </w:r>
      <w:r w:rsidRPr="00B27113" w:rsidR="00F80611">
        <w:rPr>
          <w:color w:val="000000"/>
        </w:rPr>
        <w:t xml:space="preserve"> funding request</w:t>
      </w:r>
      <w:r w:rsidR="00F80611">
        <w:rPr>
          <w:color w:val="000000"/>
        </w:rPr>
        <w:t>”</w:t>
      </w:r>
      <w:r w:rsidRPr="00B27113" w:rsidR="00F80611">
        <w:rPr>
          <w:color w:val="000000"/>
        </w:rPr>
        <w:t>); 47 CFR § 54.504(e) (detailing the requirement to cost-allocate ineligible services from requests)</w:t>
      </w:r>
      <w:r w:rsidR="00F80611">
        <w:rPr>
          <w:color w:val="000000"/>
        </w:rPr>
        <w:t xml:space="preserve">.  </w:t>
      </w:r>
    </w:p>
  </w:footnote>
  <w:footnote w:id="20">
    <w:p w:rsidR="00905DFE" w:rsidRPr="00CF356C" w:rsidP="00905DFE" w14:paraId="28CFDB06" w14:textId="30753C6E">
      <w:pPr>
        <w:pStyle w:val="FootnoteText"/>
      </w:pPr>
      <w:r w:rsidRPr="00CF356C">
        <w:rPr>
          <w:rStyle w:val="FootnoteReference"/>
        </w:rPr>
        <w:footnoteRef/>
      </w:r>
      <w:r w:rsidRPr="00CF356C">
        <w:t xml:space="preserve"> </w:t>
      </w:r>
      <w:r w:rsidRPr="00B27113">
        <w:rPr>
          <w:color w:val="000000"/>
        </w:rPr>
        <w:t>47 U.S.C. §§ 254(h)(1)(B), (h)(2)</w:t>
      </w:r>
      <w:r w:rsidRPr="00EE5E21">
        <w:rPr>
          <w:iCs/>
          <w:color w:val="000000"/>
        </w:rPr>
        <w:t>;</w:t>
      </w:r>
      <w:r w:rsidRPr="00CF356C">
        <w:rPr>
          <w:color w:val="000000"/>
        </w:rPr>
        <w:t xml:space="preserve"> </w:t>
      </w:r>
      <w:r w:rsidRPr="00CF356C">
        <w:rPr>
          <w:i/>
          <w:iCs/>
          <w:color w:val="000000"/>
        </w:rPr>
        <w:t>see also</w:t>
      </w:r>
      <w:r w:rsidR="006F6B6B">
        <w:rPr>
          <w:i/>
          <w:iCs/>
          <w:color w:val="000000"/>
        </w:rPr>
        <w:t xml:space="preserve"> </w:t>
      </w:r>
      <w:r w:rsidRPr="00CF356C">
        <w:rPr>
          <w:color w:val="000000"/>
        </w:rPr>
        <w:t xml:space="preserve">47 CFR § 54.504(e) (detailing the requirement to cost-allocate ineligible services from </w:t>
      </w:r>
      <w:r>
        <w:rPr>
          <w:color w:val="000000"/>
        </w:rPr>
        <w:t xml:space="preserve">funding </w:t>
      </w:r>
      <w:r w:rsidRPr="00CF356C">
        <w:rPr>
          <w:color w:val="000000"/>
        </w:rPr>
        <w:t>requests).</w:t>
      </w:r>
    </w:p>
  </w:footnote>
  <w:footnote w:id="21">
    <w:p w:rsidR="00983437" w:rsidRPr="00885A20" w:rsidP="00702774" w14:paraId="627DFEA9" w14:textId="77777777">
      <w:pPr>
        <w:pStyle w:val="FootnoteText"/>
      </w:pPr>
      <w:r>
        <w:rPr>
          <w:rStyle w:val="FootnoteReference"/>
        </w:rPr>
        <w:footnoteRef/>
      </w:r>
      <w:r>
        <w:t xml:space="preserve"> </w:t>
      </w:r>
      <w:r>
        <w:rPr>
          <w:i/>
        </w:rPr>
        <w:t>See</w:t>
      </w:r>
      <w:r w:rsidRPr="002254DF">
        <w:rPr>
          <w:iCs/>
        </w:rPr>
        <w:t>,</w:t>
      </w:r>
      <w:r>
        <w:rPr>
          <w:i/>
        </w:rPr>
        <w:t xml:space="preserve"> e.g</w:t>
      </w:r>
      <w:r w:rsidRPr="002254DF">
        <w:rPr>
          <w:iCs/>
        </w:rPr>
        <w:t>.</w:t>
      </w:r>
      <w:r w:rsidRPr="0048179C">
        <w:rPr>
          <w:iCs/>
        </w:rPr>
        <w:t>,</w:t>
      </w:r>
      <w:r>
        <w:rPr>
          <w:i/>
        </w:rPr>
        <w:t xml:space="preserve"> </w:t>
      </w:r>
      <w:r w:rsidRPr="00764494">
        <w:rPr>
          <w:i/>
        </w:rPr>
        <w:t>Comment Sought on Draft Eligible Services List for Schools and Libraries Universal Service Support Mechanism</w:t>
      </w:r>
      <w:r>
        <w:t xml:space="preserve">, CC Docket No. 02-6, Public Notice, 24 FCC Rcd 7422, 7423 (2009); </w:t>
      </w:r>
      <w:r>
        <w:rPr>
          <w:i/>
        </w:rPr>
        <w:t>Wireline Competition Bureau Seeks Comment on Draft Eligible Services List for Schools and Libraries Universal Service Program</w:t>
      </w:r>
      <w:r w:rsidRPr="00D36D88">
        <w:t>,</w:t>
      </w:r>
      <w:r>
        <w:t xml:space="preserve"> CC Docket No. 02-6, Public Notice, 26 FCC Rcd 8714, 8718 (WCB 2011); </w:t>
      </w:r>
      <w:r>
        <w:rPr>
          <w:i/>
        </w:rPr>
        <w:t>In the Matter of Schools and Libraries Universal Service Support Mechanism</w:t>
      </w:r>
      <w:r w:rsidRPr="002254DF">
        <w:rPr>
          <w:iCs/>
        </w:rPr>
        <w:t>,</w:t>
      </w:r>
      <w:r>
        <w:rPr>
          <w:i/>
        </w:rPr>
        <w:t xml:space="preserve"> A National Broadband Plan for our Future</w:t>
      </w:r>
      <w:r>
        <w:t>, CC Docket No. 02-6, Order, 28 FCC Rcd 14583, 14588, para. 13 &amp; n.37 (WCB 2013).</w:t>
      </w:r>
    </w:p>
  </w:footnote>
  <w:footnote w:id="22">
    <w:p w:rsidR="00983437" w:rsidRPr="008A277C" w:rsidP="00702774" w14:paraId="169F94A8" w14:textId="391731EE">
      <w:pPr>
        <w:pStyle w:val="FootnoteText"/>
      </w:pPr>
      <w:r w:rsidRPr="00F8006E">
        <w:rPr>
          <w:rStyle w:val="FootnoteReference"/>
        </w:rPr>
        <w:footnoteRef/>
      </w:r>
      <w:r w:rsidRPr="00F8006E">
        <w:t xml:space="preserve"> </w:t>
      </w:r>
      <w:r w:rsidR="00014A4D">
        <w:t xml:space="preserve">Several commenters requested that the Commission make </w:t>
      </w:r>
      <w:r w:rsidR="00776951">
        <w:t>additional services eligible, including</w:t>
      </w:r>
      <w:r w:rsidR="00AD6361">
        <w:t>: (1)</w:t>
      </w:r>
      <w:r w:rsidR="00C97059">
        <w:t xml:space="preserve"> advanced network security </w:t>
      </w:r>
      <w:r w:rsidR="001F7E09">
        <w:t xml:space="preserve">and monitoring </w:t>
      </w:r>
      <w:r w:rsidR="00057054">
        <w:t>equipment and services</w:t>
      </w:r>
      <w:r w:rsidR="006E11CB">
        <w:t xml:space="preserve">, such as </w:t>
      </w:r>
      <w:r w:rsidR="003B1800">
        <w:t xml:space="preserve">defense </w:t>
      </w:r>
      <w:r w:rsidR="00A10B91">
        <w:t xml:space="preserve">against </w:t>
      </w:r>
      <w:r w:rsidR="006A6943">
        <w:t xml:space="preserve">distributed </w:t>
      </w:r>
      <w:r w:rsidR="00477F5D">
        <w:t>denial of service (</w:t>
      </w:r>
      <w:r w:rsidR="00956192">
        <w:t>DDoS</w:t>
      </w:r>
      <w:r w:rsidR="00477F5D">
        <w:t>)</w:t>
      </w:r>
      <w:r w:rsidR="003B1800">
        <w:t xml:space="preserve"> attacks</w:t>
      </w:r>
      <w:r w:rsidR="00A67BE8">
        <w:t xml:space="preserve"> </w:t>
      </w:r>
      <w:r w:rsidR="0035336C">
        <w:t xml:space="preserve">and ransomware </w:t>
      </w:r>
      <w:r w:rsidR="00E141C7">
        <w:t>prevention and restoration services</w:t>
      </w:r>
      <w:r w:rsidR="00AD6361">
        <w:t>; (2)</w:t>
      </w:r>
      <w:r w:rsidR="001E0A35">
        <w:t xml:space="preserve"> equipment and services necessary for </w:t>
      </w:r>
      <w:r w:rsidR="00042808">
        <w:t xml:space="preserve">compliance with the Children’s </w:t>
      </w:r>
      <w:r w:rsidR="00703611">
        <w:t>Internet Protection Act (CIPA)</w:t>
      </w:r>
      <w:r w:rsidR="00AD6361">
        <w:t xml:space="preserve">; and </w:t>
      </w:r>
      <w:r w:rsidR="004C6CCF">
        <w:t>(3) redundant services</w:t>
      </w:r>
      <w:r w:rsidR="00D320C5">
        <w:t xml:space="preserve"> in the event of </w:t>
      </w:r>
      <w:r w:rsidR="00513248">
        <w:t xml:space="preserve">a </w:t>
      </w:r>
      <w:r w:rsidR="00D320C5">
        <w:t>cyberatt</w:t>
      </w:r>
      <w:r w:rsidR="009C726D">
        <w:t>a</w:t>
      </w:r>
      <w:r w:rsidR="00D320C5">
        <w:t>ck</w:t>
      </w:r>
      <w:r w:rsidR="00776951">
        <w:t xml:space="preserve">.  </w:t>
      </w:r>
      <w:r w:rsidRPr="00F8006E">
        <w:rPr>
          <w:i/>
        </w:rPr>
        <w:t>See</w:t>
      </w:r>
      <w:r w:rsidRPr="002254DF">
        <w:rPr>
          <w:iCs/>
        </w:rPr>
        <w:t>,</w:t>
      </w:r>
      <w:r w:rsidRPr="00F8006E">
        <w:rPr>
          <w:i/>
        </w:rPr>
        <w:t xml:space="preserve"> e.g</w:t>
      </w:r>
      <w:r w:rsidRPr="002254DF">
        <w:rPr>
          <w:iCs/>
        </w:rPr>
        <w:t>.</w:t>
      </w:r>
      <w:r w:rsidRPr="00670146">
        <w:rPr>
          <w:iCs/>
        </w:rPr>
        <w:t>,</w:t>
      </w:r>
      <w:r w:rsidRPr="00F8006E">
        <w:rPr>
          <w:i/>
        </w:rPr>
        <w:t xml:space="preserve"> </w:t>
      </w:r>
      <w:r w:rsidR="001632F0">
        <w:rPr>
          <w:iCs/>
        </w:rPr>
        <w:t xml:space="preserve">FFL Comments at 2-7, 11-14 (requesting that </w:t>
      </w:r>
      <w:r w:rsidR="00510975">
        <w:rPr>
          <w:iCs/>
        </w:rPr>
        <w:t xml:space="preserve">advanced </w:t>
      </w:r>
      <w:r w:rsidR="00383E62">
        <w:rPr>
          <w:iCs/>
        </w:rPr>
        <w:t>network security and monitoring tools be eligible for support)</w:t>
      </w:r>
      <w:r w:rsidR="001632F0">
        <w:rPr>
          <w:iCs/>
        </w:rPr>
        <w:t>; FFL Reply Comments at 1-2</w:t>
      </w:r>
      <w:r w:rsidR="00383E62">
        <w:rPr>
          <w:iCs/>
        </w:rPr>
        <w:t xml:space="preserve"> (same)</w:t>
      </w:r>
      <w:r w:rsidR="001632F0">
        <w:rPr>
          <w:iCs/>
        </w:rPr>
        <w:t>;</w:t>
      </w:r>
      <w:r w:rsidR="00D7172D">
        <w:rPr>
          <w:iCs/>
        </w:rPr>
        <w:t xml:space="preserve"> </w:t>
      </w:r>
      <w:r>
        <w:rPr>
          <w:iCs/>
        </w:rPr>
        <w:t>ALA Reply Comments at 2-3</w:t>
      </w:r>
      <w:r w:rsidR="00824941">
        <w:rPr>
          <w:iCs/>
        </w:rPr>
        <w:t xml:space="preserve"> (</w:t>
      </w:r>
      <w:r w:rsidR="00D7172D">
        <w:rPr>
          <w:iCs/>
        </w:rPr>
        <w:t>same)</w:t>
      </w:r>
      <w:r>
        <w:rPr>
          <w:iCs/>
        </w:rPr>
        <w:t xml:space="preserve">; </w:t>
      </w:r>
      <w:r w:rsidR="00255CCB">
        <w:rPr>
          <w:iCs/>
        </w:rPr>
        <w:t xml:space="preserve">Aruba Reply Comments at 1-2 (same); Cox Reply Comments at 1-3 (same); Fortinet Comments at 1 (same); Illinois Reply Comments at 2 (same); Lake County Reply Comments at 1 (same); </w:t>
      </w:r>
      <w:r w:rsidR="00FC2C17">
        <w:rPr>
          <w:iCs/>
        </w:rPr>
        <w:t xml:space="preserve">SECA Comments at 10-11 (same); SECA Reply Comments at 2-3 (same); Talbot County Comments (requesting next generation firewalls be eligible for support); </w:t>
      </w:r>
      <w:r>
        <w:rPr>
          <w:iCs/>
        </w:rPr>
        <w:t xml:space="preserve">Anderson </w:t>
      </w:r>
      <w:r w:rsidR="00680434">
        <w:rPr>
          <w:iCs/>
        </w:rPr>
        <w:t xml:space="preserve">School District </w:t>
      </w:r>
      <w:r>
        <w:rPr>
          <w:iCs/>
        </w:rPr>
        <w:t>Comments</w:t>
      </w:r>
      <w:r w:rsidR="00820B0A">
        <w:rPr>
          <w:iCs/>
        </w:rPr>
        <w:t xml:space="preserve"> (noting that the </w:t>
      </w:r>
      <w:r w:rsidR="00794CB6">
        <w:rPr>
          <w:iCs/>
        </w:rPr>
        <w:t>CIPA requires</w:t>
      </w:r>
      <w:r w:rsidR="00350418">
        <w:rPr>
          <w:iCs/>
        </w:rPr>
        <w:t xml:space="preserve"> schools to purchase Internet filtering</w:t>
      </w:r>
      <w:r w:rsidR="0042097D">
        <w:rPr>
          <w:iCs/>
        </w:rPr>
        <w:t xml:space="preserve"> equipment and therefore should be eligible)</w:t>
      </w:r>
      <w:r>
        <w:rPr>
          <w:iCs/>
        </w:rPr>
        <w:t>; Mount Vernon Reply Comments</w:t>
      </w:r>
      <w:r w:rsidR="006516EA">
        <w:rPr>
          <w:iCs/>
        </w:rPr>
        <w:t xml:space="preserve"> (requesting </w:t>
      </w:r>
      <w:r w:rsidR="00BF656B">
        <w:rPr>
          <w:iCs/>
        </w:rPr>
        <w:t xml:space="preserve">that redundant services </w:t>
      </w:r>
      <w:r w:rsidR="00F41E58">
        <w:rPr>
          <w:iCs/>
        </w:rPr>
        <w:t>be eligible for E-Rate funding</w:t>
      </w:r>
      <w:r w:rsidR="00DD188A">
        <w:rPr>
          <w:iCs/>
        </w:rPr>
        <w:t xml:space="preserve"> in the event of a cyberattack</w:t>
      </w:r>
      <w:r w:rsidR="00F41E58">
        <w:rPr>
          <w:iCs/>
        </w:rPr>
        <w:t>)</w:t>
      </w:r>
      <w:r>
        <w:rPr>
          <w:iCs/>
        </w:rPr>
        <w:t xml:space="preserve">; </w:t>
      </w:r>
      <w:r w:rsidR="00F05A86">
        <w:rPr>
          <w:iCs/>
        </w:rPr>
        <w:t xml:space="preserve">and </w:t>
      </w:r>
      <w:r w:rsidR="004C1535">
        <w:rPr>
          <w:iCs/>
        </w:rPr>
        <w:t>Zachray</w:t>
      </w:r>
      <w:r w:rsidR="004C1535">
        <w:rPr>
          <w:iCs/>
        </w:rPr>
        <w:t xml:space="preserve"> </w:t>
      </w:r>
      <w:r>
        <w:rPr>
          <w:iCs/>
        </w:rPr>
        <w:t>Leiter Comments</w:t>
      </w:r>
      <w:r w:rsidR="00E77DA9">
        <w:rPr>
          <w:iCs/>
        </w:rPr>
        <w:t xml:space="preserve"> (</w:t>
      </w:r>
      <w:r w:rsidR="002E0C2A">
        <w:rPr>
          <w:iCs/>
        </w:rPr>
        <w:t>same</w:t>
      </w:r>
      <w:r w:rsidR="0005430C">
        <w:rPr>
          <w:iCs/>
        </w:rPr>
        <w:t>)</w:t>
      </w:r>
      <w:r>
        <w:rPr>
          <w:iCs/>
        </w:rPr>
        <w:t>.</w:t>
      </w:r>
      <w:r w:rsidR="00776951">
        <w:t xml:space="preserve">  In the 2019 </w:t>
      </w:r>
      <w:r w:rsidR="00776951">
        <w:rPr>
          <w:i/>
          <w:iCs/>
        </w:rPr>
        <w:t>Category Two Report and Order</w:t>
      </w:r>
      <w:r w:rsidR="00776951">
        <w:t>,</w:t>
      </w:r>
      <w:r w:rsidR="00776951">
        <w:rPr>
          <w:i/>
          <w:iCs/>
        </w:rPr>
        <w:t xml:space="preserve"> </w:t>
      </w:r>
      <w:r w:rsidR="00776951">
        <w:t xml:space="preserve">the Commission declined to make additional services eligible under category two, including those it has either previously made ineligible or that the Commission has previously declined to make eligible.  </w:t>
      </w:r>
      <w:r w:rsidRPr="00CD3CD9" w:rsidR="00776951">
        <w:rPr>
          <w:i/>
        </w:rPr>
        <w:t>Category Two Report and Order</w:t>
      </w:r>
      <w:r w:rsidR="00776951">
        <w:t xml:space="preserve">, 34 FCC Rcd at </w:t>
      </w:r>
      <w:r w:rsidR="00CA5873">
        <w:t>11219</w:t>
      </w:r>
      <w:r w:rsidRPr="0010105D" w:rsidR="00776951">
        <w:t>, para. 46</w:t>
      </w:r>
      <w:r w:rsidR="00611A3F">
        <w:t xml:space="preserve"> and n.12</w:t>
      </w:r>
      <w:r w:rsidR="00025F6E">
        <w:t>2</w:t>
      </w:r>
      <w:r w:rsidR="00776951">
        <w:t>.  In reaching this decision, the Commission noted</w:t>
      </w:r>
      <w:r w:rsidRPr="004825E2" w:rsidR="00776951">
        <w:t xml:space="preserve"> that E-Rate eligible entities </w:t>
      </w:r>
      <w:r w:rsidR="00776951">
        <w:t xml:space="preserve">should </w:t>
      </w:r>
      <w:r w:rsidRPr="004825E2" w:rsidR="00776951">
        <w:t xml:space="preserve">continue to focus </w:t>
      </w:r>
      <w:r w:rsidR="00776951">
        <w:t xml:space="preserve">requests for </w:t>
      </w:r>
      <w:r w:rsidRPr="004825E2" w:rsidR="00776951">
        <w:t xml:space="preserve">category two funding on the internal connections </w:t>
      </w:r>
      <w:r w:rsidR="00776951">
        <w:t xml:space="preserve">that are truly </w:t>
      </w:r>
      <w:r w:rsidRPr="004825E2" w:rsidR="00776951">
        <w:t>necessary to deliver high-speed broadband to students and library patrons</w:t>
      </w:r>
      <w:r w:rsidR="00776951">
        <w:t xml:space="preserve"> </w:t>
      </w:r>
      <w:r w:rsidRPr="004825E2" w:rsidR="00776951">
        <w:t>via local area networks and wireless local area networks</w:t>
      </w:r>
      <w:r w:rsidR="00776951">
        <w:t xml:space="preserve">.  </w:t>
      </w:r>
      <w:r w:rsidRPr="0010105D" w:rsidR="00776951">
        <w:rPr>
          <w:i/>
        </w:rPr>
        <w:t>Id.</w:t>
      </w:r>
      <w:r w:rsidR="00776951">
        <w:t xml:space="preserve">  </w:t>
      </w:r>
      <w:r w:rsidR="00204DD7">
        <w:t>We also</w:t>
      </w:r>
      <w:r w:rsidR="007E3F92">
        <w:t xml:space="preserve"> note that the CIPA statute prohibits E-Rate funding from being used to pay for the equipment and services needed for CIPA compliance.  </w:t>
      </w:r>
      <w:r w:rsidRPr="00922008" w:rsidR="007E3F92">
        <w:rPr>
          <w:i/>
          <w:iCs/>
        </w:rPr>
        <w:t>Federal-State Joint Board on Universal Service</w:t>
      </w:r>
      <w:r w:rsidRPr="002254DF" w:rsidR="007E3F92">
        <w:t>,</w:t>
      </w:r>
      <w:r w:rsidRPr="00922008" w:rsidR="007E3F92">
        <w:rPr>
          <w:i/>
          <w:iCs/>
        </w:rPr>
        <w:t xml:space="preserve"> Children's Internet Protection Act</w:t>
      </w:r>
      <w:r w:rsidRPr="00473EFE" w:rsidR="007E3F92">
        <w:t>,</w:t>
      </w:r>
      <w:r w:rsidRPr="00922008" w:rsidR="007E3F92">
        <w:t xml:space="preserve"> CC Docket No. 96-45, Report and Order, 16 FCC Rcd 8182, 8204 at paras. 54-55 (2001)</w:t>
      </w:r>
      <w:r w:rsidR="007E3F92">
        <w:t>.</w:t>
      </w:r>
      <w:r w:rsidR="003E2D4A">
        <w:t xml:space="preserve">  </w:t>
      </w:r>
      <w:r w:rsidR="00307687">
        <w:t>We further note</w:t>
      </w:r>
      <w:r w:rsidR="00DB7B28">
        <w:t xml:space="preserve"> that </w:t>
      </w:r>
      <w:r w:rsidR="003E2D4A">
        <w:t xml:space="preserve">redundant </w:t>
      </w:r>
      <w:r w:rsidR="00803B62">
        <w:t xml:space="preserve">or duplicative services are ineligible for E-Rate support.  </w:t>
      </w:r>
      <w:r w:rsidRPr="00217F2F" w:rsidR="00D45383">
        <w:rPr>
          <w:i/>
          <w:iCs/>
        </w:rPr>
        <w:t>See Schools and Libraries Universal Support Mechanism</w:t>
      </w:r>
      <w:r w:rsidRPr="00217F2F" w:rsidR="00D45383">
        <w:t xml:space="preserve">, CC Docket No. 02-6, Second Report and Order and Further Notice of Proposed Rulemaking, 18 FCC Rcd 9202, 9209-11, paras. 22-24 (2003) (declining to support duplicative services); </w:t>
      </w:r>
      <w:r w:rsidRPr="00217F2F" w:rsidR="00D45383">
        <w:rPr>
          <w:i/>
          <w:iCs/>
        </w:rPr>
        <w:t>Requests for Review by Macomb Intermediate School District Technology Consortium, Schools and Libraries Universal Support Mechanism</w:t>
      </w:r>
      <w:r w:rsidRPr="00217F2F" w:rsidR="00D45383">
        <w:t>, CC Docket No. 02-6, Order, 22 FCC Rcd 8771 (2007) (denying a request for review of the denial of support for redundant networks).</w:t>
      </w:r>
    </w:p>
  </w:footnote>
  <w:footnote w:id="23">
    <w:p w:rsidR="00983437" w:rsidP="00702774" w14:paraId="03169CCB" w14:textId="207C69DF">
      <w:pPr>
        <w:pStyle w:val="FootnoteText"/>
      </w:pPr>
      <w:r>
        <w:rPr>
          <w:rStyle w:val="FootnoteReference"/>
        </w:rPr>
        <w:footnoteRef/>
      </w:r>
      <w:r>
        <w:t xml:space="preserve"> </w:t>
      </w:r>
      <w:r w:rsidRPr="00F132D7">
        <w:rPr>
          <w:i/>
        </w:rPr>
        <w:t>See, e.g.</w:t>
      </w:r>
      <w:r>
        <w:t>, ALA Reply Comments at 2</w:t>
      </w:r>
      <w:r w:rsidR="003B01D7">
        <w:t xml:space="preserve"> (requesting </w:t>
      </w:r>
      <w:r w:rsidR="00776DE3">
        <w:t xml:space="preserve">that the Commission change or eliminate </w:t>
      </w:r>
      <w:r w:rsidR="00240A06">
        <w:t xml:space="preserve">the </w:t>
      </w:r>
      <w:r w:rsidR="0074285E">
        <w:t xml:space="preserve">Category Two subcategories to </w:t>
      </w:r>
      <w:r w:rsidR="00975E21">
        <w:t>improve the application process</w:t>
      </w:r>
      <w:r w:rsidR="00A27C44">
        <w:t xml:space="preserve"> for schools and libraries, simplify the </w:t>
      </w:r>
      <w:r w:rsidR="002D54DB">
        <w:t xml:space="preserve">review </w:t>
      </w:r>
      <w:r w:rsidR="00203676">
        <w:t>and commitment process for USAC</w:t>
      </w:r>
      <w:r w:rsidR="00414F4F">
        <w:t>, and reduce delays and denials in funding commitments)</w:t>
      </w:r>
      <w:r>
        <w:t>; Fortinet Comments at 2-3</w:t>
      </w:r>
      <w:r w:rsidR="00152076">
        <w:t xml:space="preserve"> (same)</w:t>
      </w:r>
      <w:r>
        <w:t>; FFL Comments at 11-14</w:t>
      </w:r>
      <w:r w:rsidR="00EF0825">
        <w:t xml:space="preserve"> (same)</w:t>
      </w:r>
      <w:r>
        <w:t>; Lake County Reply Comments at 1</w:t>
      </w:r>
      <w:r w:rsidR="00C31E18">
        <w:t xml:space="preserve"> (same)</w:t>
      </w:r>
      <w:r>
        <w:t>.</w:t>
      </w:r>
      <w:r w:rsidR="000E7BCC">
        <w:t xml:space="preserve">  We further decline to address SECA’s request to allow cabling between two </w:t>
      </w:r>
      <w:r w:rsidR="00CB2F35">
        <w:t xml:space="preserve">different </w:t>
      </w:r>
      <w:r w:rsidR="000E7BCC">
        <w:t xml:space="preserve">schools on the same campus to be requested </w:t>
      </w:r>
      <w:r w:rsidR="00D54869">
        <w:t xml:space="preserve">as either a </w:t>
      </w:r>
      <w:r w:rsidR="00C57669">
        <w:t>C</w:t>
      </w:r>
      <w:r w:rsidR="000E7BCC">
        <w:t xml:space="preserve">ategory </w:t>
      </w:r>
      <w:r w:rsidR="00C57669">
        <w:t>O</w:t>
      </w:r>
      <w:r w:rsidR="000E7BCC">
        <w:t xml:space="preserve">ne </w:t>
      </w:r>
      <w:r w:rsidR="00D54869">
        <w:t xml:space="preserve">service </w:t>
      </w:r>
      <w:r w:rsidR="000E7BCC">
        <w:t xml:space="preserve">or </w:t>
      </w:r>
      <w:r w:rsidR="00D54869">
        <w:t xml:space="preserve">a </w:t>
      </w:r>
      <w:r w:rsidR="00C57669">
        <w:t>C</w:t>
      </w:r>
      <w:r w:rsidR="000E7BCC">
        <w:t xml:space="preserve">ategory </w:t>
      </w:r>
      <w:r w:rsidR="00C57669">
        <w:t>T</w:t>
      </w:r>
      <w:r w:rsidR="000E7BCC">
        <w:t xml:space="preserve">wo service.  SECA Comments at 9-10.  </w:t>
      </w:r>
      <w:r w:rsidR="00322E78">
        <w:t xml:space="preserve">In </w:t>
      </w:r>
      <w:r w:rsidR="00E9705C">
        <w:t xml:space="preserve">the </w:t>
      </w:r>
      <w:r w:rsidR="009C5173">
        <w:t>FY2018 E</w:t>
      </w:r>
      <w:r w:rsidR="0046629E">
        <w:t>SL</w:t>
      </w:r>
      <w:r w:rsidR="0017056D">
        <w:t xml:space="preserve"> Order</w:t>
      </w:r>
      <w:r w:rsidR="00322E78">
        <w:t xml:space="preserve">, we explained that </w:t>
      </w:r>
      <w:r w:rsidR="00EF219F">
        <w:t xml:space="preserve">Commission distinguished </w:t>
      </w:r>
      <w:r w:rsidR="00947159">
        <w:t>internal connections from wide area networks (WAN</w:t>
      </w:r>
      <w:r w:rsidR="00EF219F">
        <w:t>s</w:t>
      </w:r>
      <w:r w:rsidR="00947159">
        <w:t>)</w:t>
      </w:r>
      <w:r w:rsidR="00751C53">
        <w:t xml:space="preserve"> </w:t>
      </w:r>
      <w:r w:rsidR="00325499">
        <w:t>and held that WANs “are not internal connection</w:t>
      </w:r>
      <w:r w:rsidR="002963FE">
        <w:t>s</w:t>
      </w:r>
      <w:r w:rsidR="00325499">
        <w:t xml:space="preserve"> because they do not provide connections within a school or library.”  </w:t>
      </w:r>
      <w:r w:rsidRPr="00C527A0" w:rsidR="00325499">
        <w:rPr>
          <w:i/>
          <w:iCs/>
        </w:rPr>
        <w:t xml:space="preserve">Modernizing the E-Rate Program </w:t>
      </w:r>
      <w:r w:rsidRPr="00C527A0" w:rsidR="00AD6476">
        <w:rPr>
          <w:i/>
          <w:iCs/>
        </w:rPr>
        <w:t>for Schools and Libraries</w:t>
      </w:r>
      <w:r w:rsidR="00AD6476">
        <w:t xml:space="preserve">, </w:t>
      </w:r>
      <w:r w:rsidR="00FE08ED">
        <w:t xml:space="preserve">WC Docket No. 13-184, Order, </w:t>
      </w:r>
      <w:r w:rsidR="00D777F5">
        <w:t>32</w:t>
      </w:r>
      <w:r w:rsidR="00FE08ED">
        <w:t xml:space="preserve"> FCC Rcd </w:t>
      </w:r>
      <w:r w:rsidR="00F967B5">
        <w:t>74</w:t>
      </w:r>
      <w:r w:rsidR="003039CA">
        <w:t>14</w:t>
      </w:r>
      <w:r w:rsidR="00FE08ED">
        <w:t xml:space="preserve">, </w:t>
      </w:r>
      <w:r w:rsidR="00F27046">
        <w:t xml:space="preserve">7416, </w:t>
      </w:r>
      <w:r w:rsidR="00FE08ED">
        <w:t xml:space="preserve">para. </w:t>
      </w:r>
      <w:r w:rsidR="00126FD9">
        <w:t xml:space="preserve">7 (WCB </w:t>
      </w:r>
      <w:r w:rsidR="00972C48">
        <w:t>2017) (</w:t>
      </w:r>
      <w:r w:rsidRPr="00C527A0" w:rsidR="00972C48">
        <w:rPr>
          <w:i/>
          <w:iCs/>
        </w:rPr>
        <w:t>FY201</w:t>
      </w:r>
      <w:r w:rsidR="0049147A">
        <w:rPr>
          <w:i/>
          <w:iCs/>
        </w:rPr>
        <w:t>8</w:t>
      </w:r>
      <w:r w:rsidRPr="00C527A0" w:rsidR="00972C48">
        <w:rPr>
          <w:i/>
          <w:iCs/>
        </w:rPr>
        <w:t xml:space="preserve"> E</w:t>
      </w:r>
      <w:r w:rsidRPr="00C527A0" w:rsidR="0046629E">
        <w:rPr>
          <w:i/>
          <w:iCs/>
        </w:rPr>
        <w:t>SL</w:t>
      </w:r>
      <w:r w:rsidRPr="00C527A0" w:rsidR="00972C48">
        <w:rPr>
          <w:i/>
          <w:iCs/>
        </w:rPr>
        <w:t xml:space="preserve"> Order</w:t>
      </w:r>
      <w:r w:rsidR="00972C48">
        <w:t>)</w:t>
      </w:r>
      <w:r w:rsidR="00EB74F5">
        <w:t xml:space="preserve"> (citing to </w:t>
      </w:r>
      <w:r w:rsidRPr="00C527A0" w:rsidR="004678DD">
        <w:rPr>
          <w:i/>
          <w:iCs/>
        </w:rPr>
        <w:t>Federal</w:t>
      </w:r>
      <w:r w:rsidRPr="00C527A0" w:rsidR="00A464A5">
        <w:rPr>
          <w:i/>
          <w:iCs/>
        </w:rPr>
        <w:t>-State Joint Board on Universal Service</w:t>
      </w:r>
      <w:r w:rsidR="00A464A5">
        <w:t>, CC Docket No</w:t>
      </w:r>
      <w:r w:rsidR="001039EA">
        <w:t>s. 96-45, 96-262, 94-1</w:t>
      </w:r>
      <w:r w:rsidR="00230E96">
        <w:t>, 91-213, 95-72</w:t>
      </w:r>
      <w:r w:rsidR="00C66A47">
        <w:t>, Fourth Order on Reconsideration, Report and Order, 12 FCC Rcd 5318, 5440</w:t>
      </w:r>
      <w:r w:rsidR="00BE6360">
        <w:t>, para</w:t>
      </w:r>
      <w:r w:rsidR="00286C44">
        <w:t>. 193 (1997)</w:t>
      </w:r>
      <w:r w:rsidR="00EC7F48">
        <w:t xml:space="preserve"> (</w:t>
      </w:r>
      <w:r w:rsidRPr="00C527A0" w:rsidR="00EC7F48">
        <w:rPr>
          <w:i/>
          <w:iCs/>
        </w:rPr>
        <w:t>Fourth</w:t>
      </w:r>
      <w:r w:rsidRPr="00C527A0" w:rsidR="006263F3">
        <w:rPr>
          <w:i/>
          <w:iCs/>
        </w:rPr>
        <w:t xml:space="preserve"> Order on Reconsideration</w:t>
      </w:r>
      <w:r w:rsidR="00343E94">
        <w:t>)</w:t>
      </w:r>
      <w:r w:rsidR="002D0C67">
        <w:t xml:space="preserve">). </w:t>
      </w:r>
      <w:r w:rsidR="00F73BAA">
        <w:t xml:space="preserve"> The Commission </w:t>
      </w:r>
      <w:r w:rsidR="00BB4D90">
        <w:t>noted</w:t>
      </w:r>
      <w:r w:rsidR="00F73BAA">
        <w:t xml:space="preserve"> </w:t>
      </w:r>
      <w:r w:rsidR="00C31D4F">
        <w:t xml:space="preserve">“connections </w:t>
      </w:r>
      <w:r w:rsidR="008A53DC">
        <w:t xml:space="preserve">between multiple </w:t>
      </w:r>
      <w:r w:rsidR="00E20DD5">
        <w:t xml:space="preserve">instructional buildings </w:t>
      </w:r>
      <w:r w:rsidR="00251810">
        <w:t>on single school campus</w:t>
      </w:r>
      <w:r w:rsidR="00B87F97">
        <w:t xml:space="preserve"> would constitute internal connections</w:t>
      </w:r>
      <w:r w:rsidR="00D87865">
        <w:t>.  Connections between separate schools</w:t>
      </w:r>
      <w:r w:rsidR="0008549B">
        <w:t>, however, would not cons</w:t>
      </w:r>
      <w:r w:rsidR="008517DF">
        <w:t xml:space="preserve">titute </w:t>
      </w:r>
      <w:r w:rsidR="0034507D">
        <w:t xml:space="preserve">internal connections and would instead be </w:t>
      </w:r>
      <w:r w:rsidR="005928D9">
        <w:t>considered a part of a wide area network</w:t>
      </w:r>
      <w:r w:rsidR="005749D5">
        <w:t xml:space="preserve">.”  </w:t>
      </w:r>
      <w:r w:rsidRPr="00C527A0" w:rsidR="005749D5">
        <w:rPr>
          <w:i/>
          <w:iCs/>
        </w:rPr>
        <w:t>Id.</w:t>
      </w:r>
      <w:r w:rsidR="005749D5">
        <w:t xml:space="preserve"> (citing </w:t>
      </w:r>
      <w:r w:rsidR="00DA4C89">
        <w:t xml:space="preserve">to </w:t>
      </w:r>
      <w:r w:rsidRPr="00C527A0" w:rsidR="00DA4C89">
        <w:rPr>
          <w:i/>
          <w:iCs/>
        </w:rPr>
        <w:t>Fourth Order on Reconsideration</w:t>
      </w:r>
      <w:r w:rsidR="00DA4C89">
        <w:t xml:space="preserve">, </w:t>
      </w:r>
      <w:r w:rsidR="00BC6C3C">
        <w:t xml:space="preserve">13 FCC Rcd </w:t>
      </w:r>
      <w:r w:rsidR="00F01CCF">
        <w:t>at 5440, para. 193, n.583)</w:t>
      </w:r>
      <w:r w:rsidR="00455B98">
        <w:t xml:space="preserve">.  </w:t>
      </w:r>
    </w:p>
  </w:footnote>
  <w:footnote w:id="24">
    <w:p w:rsidR="00983437" w:rsidP="00702774" w14:paraId="1589CE39" w14:textId="7BAF88C1">
      <w:pPr>
        <w:pStyle w:val="FootnoteText"/>
      </w:pPr>
      <w:r>
        <w:rPr>
          <w:rStyle w:val="FootnoteReference"/>
        </w:rPr>
        <w:footnoteRef/>
      </w:r>
      <w:r>
        <w:t xml:space="preserve"> </w:t>
      </w:r>
      <w:r>
        <w:rPr>
          <w:i/>
        </w:rPr>
        <w:t>See generally Wireline Competition Bureau and Office of the Managing Director Seek Comment on Improving FCC Form 470 Drop-Down Menu</w:t>
      </w:r>
      <w:r>
        <w:t>, WC Docket No. 13-184, Public Notice, DA 19-986 (WCB 2019)</w:t>
      </w:r>
      <w:r w:rsidR="00FC78CC">
        <w:t xml:space="preserve">; </w:t>
      </w:r>
      <w:r w:rsidR="000B2024">
        <w:rPr>
          <w:i/>
          <w:iCs/>
        </w:rPr>
        <w:t>Wir</w:t>
      </w:r>
      <w:r w:rsidR="001042AE">
        <w:rPr>
          <w:i/>
          <w:iCs/>
        </w:rPr>
        <w:t xml:space="preserve">eline Competition Bureau and Office of the Managing Director Defer Changes to FCC Form 470 to Minimize Burdens </w:t>
      </w:r>
      <w:r w:rsidR="008C6072">
        <w:rPr>
          <w:i/>
          <w:iCs/>
        </w:rPr>
        <w:t>on Schools and Libraries Impacted by COVID-19</w:t>
      </w:r>
      <w:r w:rsidR="008C6072">
        <w:t xml:space="preserve">, </w:t>
      </w:r>
      <w:r w:rsidR="007323AC">
        <w:t>WC Docket</w:t>
      </w:r>
      <w:r w:rsidR="00B16085">
        <w:t xml:space="preserve"> No. 13-184, Public Notice, DA 20-598 (WCB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437" w:rsidP="00810B6F" w14:paraId="6ED0B072" w14:textId="53FDB6C6">
    <w:pPr>
      <w:pStyle w:val="Header"/>
      <w:rPr>
        <w:b w:val="0"/>
      </w:rPr>
    </w:pPr>
    <w:r>
      <w:tab/>
      <w:t>Federal Communications Commission</w:t>
    </w:r>
    <w:r>
      <w:tab/>
    </w:r>
    <w:r w:rsidR="002A061E">
      <w:t>DA 20-1418</w:t>
    </w:r>
  </w:p>
  <w:p w:rsidR="00983437" w14:paraId="570DECF7" w14:textId="57E2BF7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437" w14:paraId="4C489AC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437" w:rsidP="00810B6F" w14:paraId="40D6E603" w14:textId="194A9DE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6" name="Rectangle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A061E">
      <w:rPr>
        <w:spacing w:val="-2"/>
      </w:rPr>
      <w:t>DA 20-1418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437" w14:paraId="4FA6B09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437" w:rsidRPr="009838BC" w:rsidP="00983437" w14:paraId="08ED6344" w14:textId="01667D7B">
    <w:pPr>
      <w:tabs>
        <w:tab w:val="center" w:pos="4680"/>
        <w:tab w:val="right" w:pos="9360"/>
      </w:tabs>
    </w:pPr>
    <w:r w:rsidRPr="009838BC">
      <w:rPr>
        <w:b/>
      </w:rPr>
      <w:tab/>
      <w:t>Federal Communications Commission</w:t>
    </w:r>
    <w:r w:rsidRPr="009838BC">
      <w:rPr>
        <w:b/>
      </w:rPr>
      <w:tab/>
    </w:r>
    <w:r w:rsidR="002B1322">
      <w:rPr>
        <w:b/>
      </w:rPr>
      <w:t>DA 20-1418</w:t>
    </w:r>
  </w:p>
  <w:p w:rsidR="00983437" w:rsidRPr="00804265" w:rsidP="00983437" w14:paraId="1605E3A6" w14:textId="4253A841">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437" w:rsidRPr="00357D50" w:rsidP="00D16B19" w14:paraId="2BB44BA7" w14:textId="0C7CE398">
    <w:pPr>
      <w:pStyle w:val="Header"/>
      <w:rPr>
        <w:rFonts w:ascii="Arial" w:hAnsi="Arial" w:cs="Arial"/>
        <w:sz w:val="96"/>
      </w:rPr>
    </w:pPr>
    <w:r>
      <w:rPr>
        <w:b w:val="0"/>
        <w:noProof/>
      </w:rPr>
      <mc:AlternateContent>
        <mc:Choice Requires="wps">
          <w:drawing>
            <wp:anchor distT="0" distB="0" distL="114300" distR="114300" simplePos="0" relativeHeight="25166643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r>
      <w:tab/>
      <w:t>Federal Communications Commission</w:t>
    </w:r>
    <w:r>
      <w:tab/>
    </w:r>
    <w:r w:rsidRPr="002B1322">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437" w:rsidP="00983437" w14:textId="5115AB3F">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437" w:rsidP="00983437" w14:paraId="3A03D9F9" w14:textId="5115AB3F">
                    <w:pPr>
                      <w:jc w:val="right"/>
                    </w:pPr>
                  </w:p>
                </w:txbxContent>
              </v:textbox>
            </v:shape>
          </w:pict>
        </mc:Fallback>
      </mc:AlternateContent>
    </w:r>
    <w:r w:rsidRPr="002B1322" w:rsidR="002B1322">
      <w:rPr>
        <w:spacing w:val="-2"/>
      </w:rPr>
      <w:t>DA 20-1418</w:t>
    </w:r>
  </w:p>
  <w:p w:rsidR="00983437" w:rsidRPr="009838BC" w:rsidP="00983437" w14:paraId="3EC6FD5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6004DD9"/>
    <w:multiLevelType w:val="hybridMultilevel"/>
    <w:tmpl w:val="A1D4C0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390E91"/>
    <w:multiLevelType w:val="hybridMultilevel"/>
    <w:tmpl w:val="099620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1C52F50"/>
    <w:multiLevelType w:val="hybridMultilevel"/>
    <w:tmpl w:val="97AAEA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7742C4"/>
    <w:multiLevelType w:val="hybridMultilevel"/>
    <w:tmpl w:val="0DB055F8"/>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hybridMultilevel"/>
    <w:tmpl w:val="535ED3F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B8D6F75"/>
    <w:multiLevelType w:val="hybridMultilevel"/>
    <w:tmpl w:val="D1B6B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CA606A8"/>
    <w:multiLevelType w:val="hybridMultilevel"/>
    <w:tmpl w:val="97AAEA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7F11B3E"/>
    <w:multiLevelType w:val="hybridMultilevel"/>
    <w:tmpl w:val="36748966"/>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DF61CE4"/>
    <w:multiLevelType w:val="hybrid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hybridMultilevel"/>
    <w:tmpl w:val="A9EE9842"/>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64874EEE"/>
    <w:multiLevelType w:val="hybridMultilevel"/>
    <w:tmpl w:val="64AA577C"/>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30D138C"/>
    <w:multiLevelType w:val="hybridMultilevel"/>
    <w:tmpl w:val="20328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4F530BE"/>
    <w:multiLevelType w:val="hybridMultilevel"/>
    <w:tmpl w:val="6B7E3B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58F490E"/>
    <w:multiLevelType w:val="hybridMultilevel"/>
    <w:tmpl w:val="BB7C1CA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B815D2B"/>
    <w:multiLevelType w:val="hybridMultilevel"/>
    <w:tmpl w:val="67D4C3F4"/>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CE12A23"/>
    <w:multiLevelType w:val="hybridMultilevel"/>
    <w:tmpl w:val="97A2CBCA"/>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EBC4946"/>
    <w:multiLevelType w:val="hybridMultilevel"/>
    <w:tmpl w:val="B108330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11"/>
  </w:num>
  <w:num w:numId="5">
    <w:abstractNumId w:val="6"/>
  </w:num>
  <w:num w:numId="6">
    <w:abstractNumId w:val="1"/>
  </w:num>
  <w:num w:numId="7">
    <w:abstractNumId w:val="19"/>
  </w:num>
  <w:num w:numId="8">
    <w:abstractNumId w:val="8"/>
  </w:num>
  <w:num w:numId="9">
    <w:abstractNumId w:val="13"/>
  </w:num>
  <w:num w:numId="10">
    <w:abstractNumId w:val="4"/>
  </w:num>
  <w:num w:numId="11">
    <w:abstractNumId w:val="16"/>
  </w:num>
  <w:num w:numId="12">
    <w:abstractNumId w:val="14"/>
  </w:num>
  <w:num w:numId="13">
    <w:abstractNumId w:val="17"/>
  </w:num>
  <w:num w:numId="14">
    <w:abstractNumId w:val="18"/>
  </w:num>
  <w:num w:numId="15">
    <w:abstractNumId w:val="10"/>
  </w:num>
  <w:num w:numId="16">
    <w:abstractNumId w:val="12"/>
    <w:lvlOverride w:ilvl="0">
      <w:startOverride w:val="1"/>
    </w:lvlOverride>
  </w:num>
  <w:num w:numId="17">
    <w:abstractNumId w:val="9"/>
  </w:num>
  <w:num w:numId="18">
    <w:abstractNumId w:val="15"/>
  </w:num>
  <w:num w:numId="19">
    <w:abstractNumId w:val="2"/>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74"/>
    <w:rsid w:val="00000B53"/>
    <w:rsid w:val="00005DFD"/>
    <w:rsid w:val="00006F72"/>
    <w:rsid w:val="0000723F"/>
    <w:rsid w:val="00011685"/>
    <w:rsid w:val="00011780"/>
    <w:rsid w:val="00011D35"/>
    <w:rsid w:val="000126F9"/>
    <w:rsid w:val="000131AC"/>
    <w:rsid w:val="00013987"/>
    <w:rsid w:val="00014A4D"/>
    <w:rsid w:val="00015BCE"/>
    <w:rsid w:val="00017817"/>
    <w:rsid w:val="00020B52"/>
    <w:rsid w:val="00022EC0"/>
    <w:rsid w:val="000236BD"/>
    <w:rsid w:val="00025A71"/>
    <w:rsid w:val="00025D03"/>
    <w:rsid w:val="00025F6E"/>
    <w:rsid w:val="00026A5B"/>
    <w:rsid w:val="000278C6"/>
    <w:rsid w:val="0003045C"/>
    <w:rsid w:val="00032F75"/>
    <w:rsid w:val="00036039"/>
    <w:rsid w:val="00036532"/>
    <w:rsid w:val="00037F90"/>
    <w:rsid w:val="0004000E"/>
    <w:rsid w:val="00040F0D"/>
    <w:rsid w:val="00042662"/>
    <w:rsid w:val="00042808"/>
    <w:rsid w:val="0004657F"/>
    <w:rsid w:val="0004677E"/>
    <w:rsid w:val="00052173"/>
    <w:rsid w:val="00052795"/>
    <w:rsid w:val="00053359"/>
    <w:rsid w:val="0005430C"/>
    <w:rsid w:val="00057054"/>
    <w:rsid w:val="000612E1"/>
    <w:rsid w:val="00062BBD"/>
    <w:rsid w:val="0006409B"/>
    <w:rsid w:val="00064B06"/>
    <w:rsid w:val="00066D4F"/>
    <w:rsid w:val="00067100"/>
    <w:rsid w:val="00070A01"/>
    <w:rsid w:val="00070DCA"/>
    <w:rsid w:val="00070F87"/>
    <w:rsid w:val="000718A0"/>
    <w:rsid w:val="000720CB"/>
    <w:rsid w:val="00073B41"/>
    <w:rsid w:val="00076C9D"/>
    <w:rsid w:val="000774EE"/>
    <w:rsid w:val="00080E23"/>
    <w:rsid w:val="000814A5"/>
    <w:rsid w:val="00082F8D"/>
    <w:rsid w:val="00082FBA"/>
    <w:rsid w:val="0008549B"/>
    <w:rsid w:val="00085DC4"/>
    <w:rsid w:val="00086A90"/>
    <w:rsid w:val="000875BF"/>
    <w:rsid w:val="00090450"/>
    <w:rsid w:val="000925A0"/>
    <w:rsid w:val="00093853"/>
    <w:rsid w:val="00094594"/>
    <w:rsid w:val="00094F6B"/>
    <w:rsid w:val="000955E1"/>
    <w:rsid w:val="000967A7"/>
    <w:rsid w:val="00096D8C"/>
    <w:rsid w:val="00097B4B"/>
    <w:rsid w:val="00097DE4"/>
    <w:rsid w:val="000A1087"/>
    <w:rsid w:val="000A1124"/>
    <w:rsid w:val="000A1CE1"/>
    <w:rsid w:val="000A3025"/>
    <w:rsid w:val="000A41C2"/>
    <w:rsid w:val="000A48DA"/>
    <w:rsid w:val="000A4A86"/>
    <w:rsid w:val="000A4B02"/>
    <w:rsid w:val="000B11AB"/>
    <w:rsid w:val="000B2024"/>
    <w:rsid w:val="000B27AB"/>
    <w:rsid w:val="000B583B"/>
    <w:rsid w:val="000B6602"/>
    <w:rsid w:val="000B7E4A"/>
    <w:rsid w:val="000B7F80"/>
    <w:rsid w:val="000C0B65"/>
    <w:rsid w:val="000C15E2"/>
    <w:rsid w:val="000C1729"/>
    <w:rsid w:val="000C18DA"/>
    <w:rsid w:val="000C432B"/>
    <w:rsid w:val="000C6A45"/>
    <w:rsid w:val="000C6A4E"/>
    <w:rsid w:val="000D0325"/>
    <w:rsid w:val="000D09A0"/>
    <w:rsid w:val="000D3CD3"/>
    <w:rsid w:val="000D699D"/>
    <w:rsid w:val="000D6ADE"/>
    <w:rsid w:val="000D70B5"/>
    <w:rsid w:val="000E05FE"/>
    <w:rsid w:val="000E1327"/>
    <w:rsid w:val="000E3D42"/>
    <w:rsid w:val="000E5A8D"/>
    <w:rsid w:val="000E7BCC"/>
    <w:rsid w:val="000F554B"/>
    <w:rsid w:val="000F684E"/>
    <w:rsid w:val="00100121"/>
    <w:rsid w:val="00100639"/>
    <w:rsid w:val="001007F6"/>
    <w:rsid w:val="00100F6D"/>
    <w:rsid w:val="0010105D"/>
    <w:rsid w:val="00101895"/>
    <w:rsid w:val="001034D6"/>
    <w:rsid w:val="001038DD"/>
    <w:rsid w:val="001039EA"/>
    <w:rsid w:val="001042AE"/>
    <w:rsid w:val="0010452F"/>
    <w:rsid w:val="001046C1"/>
    <w:rsid w:val="00104787"/>
    <w:rsid w:val="00111973"/>
    <w:rsid w:val="00111C1B"/>
    <w:rsid w:val="0011251C"/>
    <w:rsid w:val="001127FB"/>
    <w:rsid w:val="00114A1F"/>
    <w:rsid w:val="001158E2"/>
    <w:rsid w:val="0011603E"/>
    <w:rsid w:val="00117BB2"/>
    <w:rsid w:val="00120C1F"/>
    <w:rsid w:val="001228DC"/>
    <w:rsid w:val="00122BD5"/>
    <w:rsid w:val="00124240"/>
    <w:rsid w:val="00124B5E"/>
    <w:rsid w:val="00126FD9"/>
    <w:rsid w:val="00130201"/>
    <w:rsid w:val="00130535"/>
    <w:rsid w:val="00132536"/>
    <w:rsid w:val="00133F79"/>
    <w:rsid w:val="0013478C"/>
    <w:rsid w:val="0013496E"/>
    <w:rsid w:val="0013580C"/>
    <w:rsid w:val="0014017E"/>
    <w:rsid w:val="00140303"/>
    <w:rsid w:val="00141849"/>
    <w:rsid w:val="00142094"/>
    <w:rsid w:val="00142452"/>
    <w:rsid w:val="00144043"/>
    <w:rsid w:val="00146B53"/>
    <w:rsid w:val="00147804"/>
    <w:rsid w:val="00151034"/>
    <w:rsid w:val="00151E6E"/>
    <w:rsid w:val="00152076"/>
    <w:rsid w:val="001525C2"/>
    <w:rsid w:val="00153BF9"/>
    <w:rsid w:val="00156E3E"/>
    <w:rsid w:val="00161207"/>
    <w:rsid w:val="001632F0"/>
    <w:rsid w:val="00163F96"/>
    <w:rsid w:val="00164D37"/>
    <w:rsid w:val="0017056D"/>
    <w:rsid w:val="00171D10"/>
    <w:rsid w:val="0017296B"/>
    <w:rsid w:val="00173D89"/>
    <w:rsid w:val="00174364"/>
    <w:rsid w:val="00174694"/>
    <w:rsid w:val="00176288"/>
    <w:rsid w:val="00177913"/>
    <w:rsid w:val="00182539"/>
    <w:rsid w:val="00182DF2"/>
    <w:rsid w:val="00182E4B"/>
    <w:rsid w:val="00183426"/>
    <w:rsid w:val="001842D4"/>
    <w:rsid w:val="00186488"/>
    <w:rsid w:val="001872E3"/>
    <w:rsid w:val="001876FD"/>
    <w:rsid w:val="0019007D"/>
    <w:rsid w:val="00190836"/>
    <w:rsid w:val="001928DB"/>
    <w:rsid w:val="00192CA4"/>
    <w:rsid w:val="00193D04"/>
    <w:rsid w:val="00193DD8"/>
    <w:rsid w:val="00194A66"/>
    <w:rsid w:val="00194C90"/>
    <w:rsid w:val="00195692"/>
    <w:rsid w:val="0019770A"/>
    <w:rsid w:val="00197EC0"/>
    <w:rsid w:val="001A07BA"/>
    <w:rsid w:val="001A26CE"/>
    <w:rsid w:val="001A38AE"/>
    <w:rsid w:val="001A542B"/>
    <w:rsid w:val="001A5EDC"/>
    <w:rsid w:val="001B0E96"/>
    <w:rsid w:val="001B15B6"/>
    <w:rsid w:val="001B28A9"/>
    <w:rsid w:val="001B6AC9"/>
    <w:rsid w:val="001C048A"/>
    <w:rsid w:val="001C2190"/>
    <w:rsid w:val="001C272E"/>
    <w:rsid w:val="001C31EA"/>
    <w:rsid w:val="001C57D7"/>
    <w:rsid w:val="001C5D5A"/>
    <w:rsid w:val="001C6E64"/>
    <w:rsid w:val="001C7035"/>
    <w:rsid w:val="001D041D"/>
    <w:rsid w:val="001D40CC"/>
    <w:rsid w:val="001D4923"/>
    <w:rsid w:val="001D4F6E"/>
    <w:rsid w:val="001D5409"/>
    <w:rsid w:val="001D6BCF"/>
    <w:rsid w:val="001E01CA"/>
    <w:rsid w:val="001E0732"/>
    <w:rsid w:val="001E0A35"/>
    <w:rsid w:val="001E3508"/>
    <w:rsid w:val="001E5902"/>
    <w:rsid w:val="001E5FEC"/>
    <w:rsid w:val="001E6248"/>
    <w:rsid w:val="001E6F78"/>
    <w:rsid w:val="001E767B"/>
    <w:rsid w:val="001F0AA4"/>
    <w:rsid w:val="001F3384"/>
    <w:rsid w:val="001F4C3A"/>
    <w:rsid w:val="001F4F96"/>
    <w:rsid w:val="001F5C01"/>
    <w:rsid w:val="001F6C76"/>
    <w:rsid w:val="001F6EBA"/>
    <w:rsid w:val="001F7E09"/>
    <w:rsid w:val="00200C1F"/>
    <w:rsid w:val="00200EC2"/>
    <w:rsid w:val="00201DCD"/>
    <w:rsid w:val="002023D9"/>
    <w:rsid w:val="00202730"/>
    <w:rsid w:val="00203130"/>
    <w:rsid w:val="00203676"/>
    <w:rsid w:val="00204DD7"/>
    <w:rsid w:val="00204E5A"/>
    <w:rsid w:val="002059EA"/>
    <w:rsid w:val="00205AFE"/>
    <w:rsid w:val="00205F4C"/>
    <w:rsid w:val="002116BB"/>
    <w:rsid w:val="0021431A"/>
    <w:rsid w:val="00215AF8"/>
    <w:rsid w:val="00216B29"/>
    <w:rsid w:val="00217F2F"/>
    <w:rsid w:val="002218D2"/>
    <w:rsid w:val="00222739"/>
    <w:rsid w:val="00224481"/>
    <w:rsid w:val="00225093"/>
    <w:rsid w:val="002254DF"/>
    <w:rsid w:val="00225CE8"/>
    <w:rsid w:val="00226681"/>
    <w:rsid w:val="00230CB3"/>
    <w:rsid w:val="00230E96"/>
    <w:rsid w:val="00235BC8"/>
    <w:rsid w:val="0023621E"/>
    <w:rsid w:val="00236CEE"/>
    <w:rsid w:val="00237A8A"/>
    <w:rsid w:val="00240A06"/>
    <w:rsid w:val="00240C80"/>
    <w:rsid w:val="00241478"/>
    <w:rsid w:val="00244E69"/>
    <w:rsid w:val="00246029"/>
    <w:rsid w:val="002477EC"/>
    <w:rsid w:val="00247AFA"/>
    <w:rsid w:val="00247DB2"/>
    <w:rsid w:val="00250737"/>
    <w:rsid w:val="002509B1"/>
    <w:rsid w:val="00251358"/>
    <w:rsid w:val="00251810"/>
    <w:rsid w:val="00252193"/>
    <w:rsid w:val="002538AA"/>
    <w:rsid w:val="00253C62"/>
    <w:rsid w:val="00254AE8"/>
    <w:rsid w:val="0025523A"/>
    <w:rsid w:val="00255CCB"/>
    <w:rsid w:val="002561F8"/>
    <w:rsid w:val="00263232"/>
    <w:rsid w:val="00263FB0"/>
    <w:rsid w:val="00265085"/>
    <w:rsid w:val="00265178"/>
    <w:rsid w:val="0027063D"/>
    <w:rsid w:val="00270D17"/>
    <w:rsid w:val="002720AB"/>
    <w:rsid w:val="00273F8C"/>
    <w:rsid w:val="00275CF5"/>
    <w:rsid w:val="0027623D"/>
    <w:rsid w:val="00277A84"/>
    <w:rsid w:val="00280AC9"/>
    <w:rsid w:val="00280E7F"/>
    <w:rsid w:val="002817A0"/>
    <w:rsid w:val="0028301F"/>
    <w:rsid w:val="002834BA"/>
    <w:rsid w:val="00284880"/>
    <w:rsid w:val="00285017"/>
    <w:rsid w:val="00285FDC"/>
    <w:rsid w:val="00286C44"/>
    <w:rsid w:val="00290D60"/>
    <w:rsid w:val="00291B21"/>
    <w:rsid w:val="00292197"/>
    <w:rsid w:val="00292F29"/>
    <w:rsid w:val="00295DDD"/>
    <w:rsid w:val="002962A4"/>
    <w:rsid w:val="002963FE"/>
    <w:rsid w:val="00296FCE"/>
    <w:rsid w:val="00297C0E"/>
    <w:rsid w:val="00297FC4"/>
    <w:rsid w:val="002A061E"/>
    <w:rsid w:val="002A07A5"/>
    <w:rsid w:val="002A1E0A"/>
    <w:rsid w:val="002A2D2E"/>
    <w:rsid w:val="002A30F9"/>
    <w:rsid w:val="002A3B43"/>
    <w:rsid w:val="002A5770"/>
    <w:rsid w:val="002A768F"/>
    <w:rsid w:val="002B0939"/>
    <w:rsid w:val="002B0A70"/>
    <w:rsid w:val="002B0AD6"/>
    <w:rsid w:val="002B10F5"/>
    <w:rsid w:val="002B1322"/>
    <w:rsid w:val="002B1EFB"/>
    <w:rsid w:val="002B2988"/>
    <w:rsid w:val="002B378E"/>
    <w:rsid w:val="002B40CC"/>
    <w:rsid w:val="002B549E"/>
    <w:rsid w:val="002B54E6"/>
    <w:rsid w:val="002B5A89"/>
    <w:rsid w:val="002B6E08"/>
    <w:rsid w:val="002B6F24"/>
    <w:rsid w:val="002C00E8"/>
    <w:rsid w:val="002C19AA"/>
    <w:rsid w:val="002C66C5"/>
    <w:rsid w:val="002C7CA6"/>
    <w:rsid w:val="002D0C67"/>
    <w:rsid w:val="002D54DB"/>
    <w:rsid w:val="002D5828"/>
    <w:rsid w:val="002D68F6"/>
    <w:rsid w:val="002E00E8"/>
    <w:rsid w:val="002E0C2A"/>
    <w:rsid w:val="002E215E"/>
    <w:rsid w:val="002E31C3"/>
    <w:rsid w:val="002E3EE7"/>
    <w:rsid w:val="002F0BB7"/>
    <w:rsid w:val="002F1EA8"/>
    <w:rsid w:val="002F29A7"/>
    <w:rsid w:val="002F4AD4"/>
    <w:rsid w:val="002F55E1"/>
    <w:rsid w:val="002F61C9"/>
    <w:rsid w:val="002F6E3A"/>
    <w:rsid w:val="002F7802"/>
    <w:rsid w:val="0030099A"/>
    <w:rsid w:val="00302C41"/>
    <w:rsid w:val="003039CA"/>
    <w:rsid w:val="00304654"/>
    <w:rsid w:val="00307089"/>
    <w:rsid w:val="0030758D"/>
    <w:rsid w:val="00307687"/>
    <w:rsid w:val="0031560C"/>
    <w:rsid w:val="003167CD"/>
    <w:rsid w:val="00317571"/>
    <w:rsid w:val="0031774B"/>
    <w:rsid w:val="00320DCE"/>
    <w:rsid w:val="00320F1C"/>
    <w:rsid w:val="00321CF6"/>
    <w:rsid w:val="00321D77"/>
    <w:rsid w:val="00322E78"/>
    <w:rsid w:val="00325499"/>
    <w:rsid w:val="003268A2"/>
    <w:rsid w:val="003302BB"/>
    <w:rsid w:val="00340E80"/>
    <w:rsid w:val="003432BF"/>
    <w:rsid w:val="00343749"/>
    <w:rsid w:val="00343E94"/>
    <w:rsid w:val="0034507D"/>
    <w:rsid w:val="003452E4"/>
    <w:rsid w:val="00346EB0"/>
    <w:rsid w:val="00347902"/>
    <w:rsid w:val="00350418"/>
    <w:rsid w:val="003504F0"/>
    <w:rsid w:val="00350694"/>
    <w:rsid w:val="00351A94"/>
    <w:rsid w:val="0035336C"/>
    <w:rsid w:val="00353873"/>
    <w:rsid w:val="00354D86"/>
    <w:rsid w:val="00356305"/>
    <w:rsid w:val="00356361"/>
    <w:rsid w:val="003568E9"/>
    <w:rsid w:val="00356C0F"/>
    <w:rsid w:val="00357A43"/>
    <w:rsid w:val="00357D50"/>
    <w:rsid w:val="0036236C"/>
    <w:rsid w:val="003660ED"/>
    <w:rsid w:val="00366AB0"/>
    <w:rsid w:val="0036719A"/>
    <w:rsid w:val="0036795D"/>
    <w:rsid w:val="00371B1E"/>
    <w:rsid w:val="00372BE1"/>
    <w:rsid w:val="00372D40"/>
    <w:rsid w:val="00376183"/>
    <w:rsid w:val="00377C6F"/>
    <w:rsid w:val="003822E3"/>
    <w:rsid w:val="00383E62"/>
    <w:rsid w:val="00385712"/>
    <w:rsid w:val="00386092"/>
    <w:rsid w:val="0038768F"/>
    <w:rsid w:val="003906DF"/>
    <w:rsid w:val="00391771"/>
    <w:rsid w:val="00392815"/>
    <w:rsid w:val="00395515"/>
    <w:rsid w:val="003A00FE"/>
    <w:rsid w:val="003A07FD"/>
    <w:rsid w:val="003A0BD5"/>
    <w:rsid w:val="003A4D81"/>
    <w:rsid w:val="003A57F8"/>
    <w:rsid w:val="003B01D7"/>
    <w:rsid w:val="003B0550"/>
    <w:rsid w:val="003B05C7"/>
    <w:rsid w:val="003B064E"/>
    <w:rsid w:val="003B09FD"/>
    <w:rsid w:val="003B1800"/>
    <w:rsid w:val="003B337E"/>
    <w:rsid w:val="003B57BB"/>
    <w:rsid w:val="003B6314"/>
    <w:rsid w:val="003B694F"/>
    <w:rsid w:val="003B6EDC"/>
    <w:rsid w:val="003B758F"/>
    <w:rsid w:val="003C08D3"/>
    <w:rsid w:val="003C0ADE"/>
    <w:rsid w:val="003C6B39"/>
    <w:rsid w:val="003D06AC"/>
    <w:rsid w:val="003D1075"/>
    <w:rsid w:val="003D2F17"/>
    <w:rsid w:val="003D32C6"/>
    <w:rsid w:val="003D37F5"/>
    <w:rsid w:val="003D55EE"/>
    <w:rsid w:val="003D5A9E"/>
    <w:rsid w:val="003E0157"/>
    <w:rsid w:val="003E03B0"/>
    <w:rsid w:val="003E1FC7"/>
    <w:rsid w:val="003E2D4A"/>
    <w:rsid w:val="003E376D"/>
    <w:rsid w:val="003E39E4"/>
    <w:rsid w:val="003E4775"/>
    <w:rsid w:val="003E67CD"/>
    <w:rsid w:val="003F0426"/>
    <w:rsid w:val="003F0C49"/>
    <w:rsid w:val="003F171C"/>
    <w:rsid w:val="003F18E0"/>
    <w:rsid w:val="003F1E62"/>
    <w:rsid w:val="003F2323"/>
    <w:rsid w:val="003F3045"/>
    <w:rsid w:val="003F4F6E"/>
    <w:rsid w:val="003F6A84"/>
    <w:rsid w:val="004013BF"/>
    <w:rsid w:val="004020CF"/>
    <w:rsid w:val="00402C46"/>
    <w:rsid w:val="00404A01"/>
    <w:rsid w:val="00404A9A"/>
    <w:rsid w:val="004111C0"/>
    <w:rsid w:val="00411506"/>
    <w:rsid w:val="0041253A"/>
    <w:rsid w:val="00412FC5"/>
    <w:rsid w:val="00413537"/>
    <w:rsid w:val="00414F4F"/>
    <w:rsid w:val="004165AC"/>
    <w:rsid w:val="00416B7C"/>
    <w:rsid w:val="00420656"/>
    <w:rsid w:val="0042097D"/>
    <w:rsid w:val="00421FF1"/>
    <w:rsid w:val="00422095"/>
    <w:rsid w:val="00422276"/>
    <w:rsid w:val="00422F6B"/>
    <w:rsid w:val="00424143"/>
    <w:rsid w:val="004242F1"/>
    <w:rsid w:val="004255B4"/>
    <w:rsid w:val="00426F29"/>
    <w:rsid w:val="0042720A"/>
    <w:rsid w:val="004308FC"/>
    <w:rsid w:val="0043199C"/>
    <w:rsid w:val="004319E7"/>
    <w:rsid w:val="00432F45"/>
    <w:rsid w:val="0043308F"/>
    <w:rsid w:val="00433867"/>
    <w:rsid w:val="004339B7"/>
    <w:rsid w:val="00433F0F"/>
    <w:rsid w:val="004345D8"/>
    <w:rsid w:val="00437133"/>
    <w:rsid w:val="004403DF"/>
    <w:rsid w:val="00442606"/>
    <w:rsid w:val="00442966"/>
    <w:rsid w:val="004441EB"/>
    <w:rsid w:val="00444380"/>
    <w:rsid w:val="00445A00"/>
    <w:rsid w:val="004463CB"/>
    <w:rsid w:val="00446614"/>
    <w:rsid w:val="00447B52"/>
    <w:rsid w:val="00450073"/>
    <w:rsid w:val="00450BB9"/>
    <w:rsid w:val="00450CE4"/>
    <w:rsid w:val="00451B0F"/>
    <w:rsid w:val="00453DEE"/>
    <w:rsid w:val="00454799"/>
    <w:rsid w:val="004549D2"/>
    <w:rsid w:val="004559CC"/>
    <w:rsid w:val="00455B98"/>
    <w:rsid w:val="00456232"/>
    <w:rsid w:val="00456AED"/>
    <w:rsid w:val="00457603"/>
    <w:rsid w:val="00457605"/>
    <w:rsid w:val="00461E29"/>
    <w:rsid w:val="00462C13"/>
    <w:rsid w:val="00463BDD"/>
    <w:rsid w:val="00465AE4"/>
    <w:rsid w:val="00465F46"/>
    <w:rsid w:val="0046609B"/>
    <w:rsid w:val="0046629E"/>
    <w:rsid w:val="004671C7"/>
    <w:rsid w:val="004677F4"/>
    <w:rsid w:val="004678DD"/>
    <w:rsid w:val="0047151B"/>
    <w:rsid w:val="0047276A"/>
    <w:rsid w:val="00472838"/>
    <w:rsid w:val="00473EFE"/>
    <w:rsid w:val="004742E6"/>
    <w:rsid w:val="0047584D"/>
    <w:rsid w:val="00477352"/>
    <w:rsid w:val="00477F5D"/>
    <w:rsid w:val="0048179C"/>
    <w:rsid w:val="004825E2"/>
    <w:rsid w:val="00485132"/>
    <w:rsid w:val="0048650B"/>
    <w:rsid w:val="004867E4"/>
    <w:rsid w:val="00486D7F"/>
    <w:rsid w:val="004874BD"/>
    <w:rsid w:val="00490824"/>
    <w:rsid w:val="004908C5"/>
    <w:rsid w:val="0049147A"/>
    <w:rsid w:val="0049547E"/>
    <w:rsid w:val="00496B25"/>
    <w:rsid w:val="004A04DD"/>
    <w:rsid w:val="004A1EC9"/>
    <w:rsid w:val="004A2684"/>
    <w:rsid w:val="004A3509"/>
    <w:rsid w:val="004A3E12"/>
    <w:rsid w:val="004A6D96"/>
    <w:rsid w:val="004B189E"/>
    <w:rsid w:val="004B5D21"/>
    <w:rsid w:val="004B5E39"/>
    <w:rsid w:val="004C0A16"/>
    <w:rsid w:val="004C1535"/>
    <w:rsid w:val="004C18AC"/>
    <w:rsid w:val="004C2EE3"/>
    <w:rsid w:val="004C5B2A"/>
    <w:rsid w:val="004C5C67"/>
    <w:rsid w:val="004C6B5F"/>
    <w:rsid w:val="004C6CCF"/>
    <w:rsid w:val="004C7219"/>
    <w:rsid w:val="004C7D07"/>
    <w:rsid w:val="004D174F"/>
    <w:rsid w:val="004D385D"/>
    <w:rsid w:val="004D38CB"/>
    <w:rsid w:val="004D3998"/>
    <w:rsid w:val="004D4F1C"/>
    <w:rsid w:val="004D710F"/>
    <w:rsid w:val="004E0B86"/>
    <w:rsid w:val="004E4A22"/>
    <w:rsid w:val="004E6A81"/>
    <w:rsid w:val="004E77F5"/>
    <w:rsid w:val="004E7A9C"/>
    <w:rsid w:val="004F005E"/>
    <w:rsid w:val="004F0178"/>
    <w:rsid w:val="004F0F1B"/>
    <w:rsid w:val="004F3CDA"/>
    <w:rsid w:val="004F465F"/>
    <w:rsid w:val="004F4D94"/>
    <w:rsid w:val="004F5FFC"/>
    <w:rsid w:val="004F74CA"/>
    <w:rsid w:val="004F766A"/>
    <w:rsid w:val="004F789E"/>
    <w:rsid w:val="00500A39"/>
    <w:rsid w:val="00502119"/>
    <w:rsid w:val="00504624"/>
    <w:rsid w:val="00510975"/>
    <w:rsid w:val="00511968"/>
    <w:rsid w:val="00512031"/>
    <w:rsid w:val="00512A50"/>
    <w:rsid w:val="0051305D"/>
    <w:rsid w:val="00513248"/>
    <w:rsid w:val="00513CE1"/>
    <w:rsid w:val="0051456F"/>
    <w:rsid w:val="00514998"/>
    <w:rsid w:val="005169E6"/>
    <w:rsid w:val="00517523"/>
    <w:rsid w:val="005178A5"/>
    <w:rsid w:val="005207D2"/>
    <w:rsid w:val="005211B9"/>
    <w:rsid w:val="00522446"/>
    <w:rsid w:val="00523F6D"/>
    <w:rsid w:val="00524374"/>
    <w:rsid w:val="00527A64"/>
    <w:rsid w:val="00531431"/>
    <w:rsid w:val="0053177A"/>
    <w:rsid w:val="00532741"/>
    <w:rsid w:val="005328A4"/>
    <w:rsid w:val="00532E5A"/>
    <w:rsid w:val="0053301E"/>
    <w:rsid w:val="00533AB9"/>
    <w:rsid w:val="00534C9D"/>
    <w:rsid w:val="00536315"/>
    <w:rsid w:val="00540D49"/>
    <w:rsid w:val="0054322A"/>
    <w:rsid w:val="00543DBA"/>
    <w:rsid w:val="00544DAD"/>
    <w:rsid w:val="0054563F"/>
    <w:rsid w:val="005466B0"/>
    <w:rsid w:val="00547F17"/>
    <w:rsid w:val="00550A5E"/>
    <w:rsid w:val="005511AA"/>
    <w:rsid w:val="005515E5"/>
    <w:rsid w:val="00551CF7"/>
    <w:rsid w:val="0055258E"/>
    <w:rsid w:val="005525AE"/>
    <w:rsid w:val="00552B29"/>
    <w:rsid w:val="0055332E"/>
    <w:rsid w:val="00553EAC"/>
    <w:rsid w:val="00555D56"/>
    <w:rsid w:val="0055614C"/>
    <w:rsid w:val="00556C5F"/>
    <w:rsid w:val="00560820"/>
    <w:rsid w:val="0056107B"/>
    <w:rsid w:val="005627EE"/>
    <w:rsid w:val="00562F97"/>
    <w:rsid w:val="0056490C"/>
    <w:rsid w:val="00565434"/>
    <w:rsid w:val="0056594A"/>
    <w:rsid w:val="00566A96"/>
    <w:rsid w:val="00566D06"/>
    <w:rsid w:val="00566D97"/>
    <w:rsid w:val="00567BB9"/>
    <w:rsid w:val="00567EF8"/>
    <w:rsid w:val="00570875"/>
    <w:rsid w:val="00570BA0"/>
    <w:rsid w:val="00572D52"/>
    <w:rsid w:val="005749D5"/>
    <w:rsid w:val="00576702"/>
    <w:rsid w:val="00577180"/>
    <w:rsid w:val="00577900"/>
    <w:rsid w:val="0058697B"/>
    <w:rsid w:val="005912E8"/>
    <w:rsid w:val="00591807"/>
    <w:rsid w:val="00592136"/>
    <w:rsid w:val="005928D9"/>
    <w:rsid w:val="00593179"/>
    <w:rsid w:val="0059448F"/>
    <w:rsid w:val="00594EDD"/>
    <w:rsid w:val="005956CA"/>
    <w:rsid w:val="00595840"/>
    <w:rsid w:val="00596A61"/>
    <w:rsid w:val="00596CD9"/>
    <w:rsid w:val="00597DFE"/>
    <w:rsid w:val="00597FAB"/>
    <w:rsid w:val="005A06A9"/>
    <w:rsid w:val="005A19F4"/>
    <w:rsid w:val="005A3436"/>
    <w:rsid w:val="005A3894"/>
    <w:rsid w:val="005A4494"/>
    <w:rsid w:val="005A449C"/>
    <w:rsid w:val="005A5932"/>
    <w:rsid w:val="005A6C95"/>
    <w:rsid w:val="005A7901"/>
    <w:rsid w:val="005B214A"/>
    <w:rsid w:val="005B2D9D"/>
    <w:rsid w:val="005C2754"/>
    <w:rsid w:val="005C49D8"/>
    <w:rsid w:val="005C5893"/>
    <w:rsid w:val="005C7AF8"/>
    <w:rsid w:val="005D062B"/>
    <w:rsid w:val="005D15B9"/>
    <w:rsid w:val="005D2D57"/>
    <w:rsid w:val="005D5069"/>
    <w:rsid w:val="005D55A5"/>
    <w:rsid w:val="005D68C3"/>
    <w:rsid w:val="005D7DE2"/>
    <w:rsid w:val="005E14C2"/>
    <w:rsid w:val="005E2A80"/>
    <w:rsid w:val="005E379C"/>
    <w:rsid w:val="005E589F"/>
    <w:rsid w:val="005E71F4"/>
    <w:rsid w:val="005F073E"/>
    <w:rsid w:val="005F0B52"/>
    <w:rsid w:val="005F2D89"/>
    <w:rsid w:val="005F796D"/>
    <w:rsid w:val="005F7CAA"/>
    <w:rsid w:val="006063B3"/>
    <w:rsid w:val="00606B28"/>
    <w:rsid w:val="00607BA5"/>
    <w:rsid w:val="00610D47"/>
    <w:rsid w:val="0061180A"/>
    <w:rsid w:val="00611A3F"/>
    <w:rsid w:val="00611D3A"/>
    <w:rsid w:val="006132D9"/>
    <w:rsid w:val="0061442F"/>
    <w:rsid w:val="00615710"/>
    <w:rsid w:val="006206FE"/>
    <w:rsid w:val="00623F0A"/>
    <w:rsid w:val="00625D72"/>
    <w:rsid w:val="006263F3"/>
    <w:rsid w:val="00626EB6"/>
    <w:rsid w:val="00627644"/>
    <w:rsid w:val="006311D3"/>
    <w:rsid w:val="00631262"/>
    <w:rsid w:val="00631489"/>
    <w:rsid w:val="00631DC1"/>
    <w:rsid w:val="0063201B"/>
    <w:rsid w:val="00632401"/>
    <w:rsid w:val="006359EA"/>
    <w:rsid w:val="00635EC6"/>
    <w:rsid w:val="00636A3F"/>
    <w:rsid w:val="00637DC7"/>
    <w:rsid w:val="00640604"/>
    <w:rsid w:val="00641087"/>
    <w:rsid w:val="00641D0B"/>
    <w:rsid w:val="0064592A"/>
    <w:rsid w:val="006472BC"/>
    <w:rsid w:val="006502DE"/>
    <w:rsid w:val="0065135C"/>
    <w:rsid w:val="00651566"/>
    <w:rsid w:val="006516EA"/>
    <w:rsid w:val="00654C8A"/>
    <w:rsid w:val="00654D47"/>
    <w:rsid w:val="006558FA"/>
    <w:rsid w:val="00655D03"/>
    <w:rsid w:val="00656169"/>
    <w:rsid w:val="00662EF9"/>
    <w:rsid w:val="00663A1A"/>
    <w:rsid w:val="00670146"/>
    <w:rsid w:val="00670DC0"/>
    <w:rsid w:val="006729F5"/>
    <w:rsid w:val="00675C57"/>
    <w:rsid w:val="00676DB8"/>
    <w:rsid w:val="00677098"/>
    <w:rsid w:val="00680434"/>
    <w:rsid w:val="00683388"/>
    <w:rsid w:val="0068360A"/>
    <w:rsid w:val="00683627"/>
    <w:rsid w:val="00683F84"/>
    <w:rsid w:val="006842C4"/>
    <w:rsid w:val="00684D55"/>
    <w:rsid w:val="0068574A"/>
    <w:rsid w:val="00692510"/>
    <w:rsid w:val="00692657"/>
    <w:rsid w:val="006933F7"/>
    <w:rsid w:val="006938EE"/>
    <w:rsid w:val="0069472F"/>
    <w:rsid w:val="00694C54"/>
    <w:rsid w:val="00697EC6"/>
    <w:rsid w:val="00697ED8"/>
    <w:rsid w:val="006A0448"/>
    <w:rsid w:val="006A0FFA"/>
    <w:rsid w:val="006A1A46"/>
    <w:rsid w:val="006A3530"/>
    <w:rsid w:val="006A52EC"/>
    <w:rsid w:val="006A5CE1"/>
    <w:rsid w:val="006A6943"/>
    <w:rsid w:val="006A6A81"/>
    <w:rsid w:val="006A6DD2"/>
    <w:rsid w:val="006B04E3"/>
    <w:rsid w:val="006B14E1"/>
    <w:rsid w:val="006B2F3A"/>
    <w:rsid w:val="006B3FA2"/>
    <w:rsid w:val="006B5069"/>
    <w:rsid w:val="006B5DD1"/>
    <w:rsid w:val="006B5F82"/>
    <w:rsid w:val="006B73AA"/>
    <w:rsid w:val="006C0731"/>
    <w:rsid w:val="006C114E"/>
    <w:rsid w:val="006C1B82"/>
    <w:rsid w:val="006C1DE8"/>
    <w:rsid w:val="006C1F29"/>
    <w:rsid w:val="006C2522"/>
    <w:rsid w:val="006C7FA3"/>
    <w:rsid w:val="006D2CB7"/>
    <w:rsid w:val="006D2D40"/>
    <w:rsid w:val="006D67E7"/>
    <w:rsid w:val="006D69F6"/>
    <w:rsid w:val="006E1146"/>
    <w:rsid w:val="006E11CB"/>
    <w:rsid w:val="006E280C"/>
    <w:rsid w:val="006E325E"/>
    <w:rsid w:val="006E4643"/>
    <w:rsid w:val="006E5C31"/>
    <w:rsid w:val="006E6D85"/>
    <w:rsid w:val="006E7C7F"/>
    <w:rsid w:val="006F0256"/>
    <w:rsid w:val="006F11A3"/>
    <w:rsid w:val="006F2D8C"/>
    <w:rsid w:val="006F2ED3"/>
    <w:rsid w:val="006F3C81"/>
    <w:rsid w:val="006F4E05"/>
    <w:rsid w:val="006F6A83"/>
    <w:rsid w:val="006F6B6B"/>
    <w:rsid w:val="006F70D4"/>
    <w:rsid w:val="006F7393"/>
    <w:rsid w:val="0070076C"/>
    <w:rsid w:val="00700CB5"/>
    <w:rsid w:val="00701ACE"/>
    <w:rsid w:val="0070224F"/>
    <w:rsid w:val="00702774"/>
    <w:rsid w:val="00703611"/>
    <w:rsid w:val="00703F46"/>
    <w:rsid w:val="007042B7"/>
    <w:rsid w:val="0070433F"/>
    <w:rsid w:val="0070569A"/>
    <w:rsid w:val="00707174"/>
    <w:rsid w:val="00710EAC"/>
    <w:rsid w:val="00711433"/>
    <w:rsid w:val="007115F7"/>
    <w:rsid w:val="007126BA"/>
    <w:rsid w:val="007126FD"/>
    <w:rsid w:val="00712F5E"/>
    <w:rsid w:val="00717B89"/>
    <w:rsid w:val="00721C63"/>
    <w:rsid w:val="00721CBF"/>
    <w:rsid w:val="00721F03"/>
    <w:rsid w:val="0072328B"/>
    <w:rsid w:val="00724D8C"/>
    <w:rsid w:val="00726A6A"/>
    <w:rsid w:val="00727E9E"/>
    <w:rsid w:val="007323AC"/>
    <w:rsid w:val="007355BA"/>
    <w:rsid w:val="007372A0"/>
    <w:rsid w:val="0073782A"/>
    <w:rsid w:val="00740918"/>
    <w:rsid w:val="00742037"/>
    <w:rsid w:val="0074285E"/>
    <w:rsid w:val="00742C2D"/>
    <w:rsid w:val="00744065"/>
    <w:rsid w:val="0074767A"/>
    <w:rsid w:val="00750339"/>
    <w:rsid w:val="00751406"/>
    <w:rsid w:val="00751C32"/>
    <w:rsid w:val="00751C53"/>
    <w:rsid w:val="0075427D"/>
    <w:rsid w:val="007552B6"/>
    <w:rsid w:val="0075651E"/>
    <w:rsid w:val="0076257A"/>
    <w:rsid w:val="00762BE1"/>
    <w:rsid w:val="00763A3B"/>
    <w:rsid w:val="00763ADE"/>
    <w:rsid w:val="007643D5"/>
    <w:rsid w:val="00764494"/>
    <w:rsid w:val="00764AD6"/>
    <w:rsid w:val="007665AD"/>
    <w:rsid w:val="00766B0B"/>
    <w:rsid w:val="00766E14"/>
    <w:rsid w:val="00770460"/>
    <w:rsid w:val="0077249B"/>
    <w:rsid w:val="0077298A"/>
    <w:rsid w:val="007757C5"/>
    <w:rsid w:val="00775A12"/>
    <w:rsid w:val="00776951"/>
    <w:rsid w:val="00776DE3"/>
    <w:rsid w:val="0078040D"/>
    <w:rsid w:val="00782D52"/>
    <w:rsid w:val="00785689"/>
    <w:rsid w:val="00787E75"/>
    <w:rsid w:val="007901F1"/>
    <w:rsid w:val="00790CCC"/>
    <w:rsid w:val="007910C7"/>
    <w:rsid w:val="007924C6"/>
    <w:rsid w:val="0079279F"/>
    <w:rsid w:val="0079291F"/>
    <w:rsid w:val="00794473"/>
    <w:rsid w:val="00794CB6"/>
    <w:rsid w:val="00794EEC"/>
    <w:rsid w:val="007953F2"/>
    <w:rsid w:val="00795632"/>
    <w:rsid w:val="00796A7E"/>
    <w:rsid w:val="0079754B"/>
    <w:rsid w:val="0079754F"/>
    <w:rsid w:val="00797AFE"/>
    <w:rsid w:val="00797B20"/>
    <w:rsid w:val="007A0F8F"/>
    <w:rsid w:val="007A1291"/>
    <w:rsid w:val="007A12D8"/>
    <w:rsid w:val="007A1795"/>
    <w:rsid w:val="007A1A73"/>
    <w:rsid w:val="007A1E6D"/>
    <w:rsid w:val="007A1F39"/>
    <w:rsid w:val="007A2213"/>
    <w:rsid w:val="007A472A"/>
    <w:rsid w:val="007A746E"/>
    <w:rsid w:val="007A77B1"/>
    <w:rsid w:val="007B0EB2"/>
    <w:rsid w:val="007B1406"/>
    <w:rsid w:val="007B15DF"/>
    <w:rsid w:val="007B204D"/>
    <w:rsid w:val="007B30D3"/>
    <w:rsid w:val="007B3818"/>
    <w:rsid w:val="007B4926"/>
    <w:rsid w:val="007B4F3F"/>
    <w:rsid w:val="007B6301"/>
    <w:rsid w:val="007B7302"/>
    <w:rsid w:val="007C076C"/>
    <w:rsid w:val="007C39EF"/>
    <w:rsid w:val="007C3FE3"/>
    <w:rsid w:val="007C402A"/>
    <w:rsid w:val="007C611D"/>
    <w:rsid w:val="007C61D6"/>
    <w:rsid w:val="007C7D01"/>
    <w:rsid w:val="007D3642"/>
    <w:rsid w:val="007D4ADE"/>
    <w:rsid w:val="007D5323"/>
    <w:rsid w:val="007D669F"/>
    <w:rsid w:val="007D7C4B"/>
    <w:rsid w:val="007E1826"/>
    <w:rsid w:val="007E3F92"/>
    <w:rsid w:val="007E51D5"/>
    <w:rsid w:val="007E5962"/>
    <w:rsid w:val="007E6246"/>
    <w:rsid w:val="007E72E7"/>
    <w:rsid w:val="007E79AE"/>
    <w:rsid w:val="007F2C51"/>
    <w:rsid w:val="007F3958"/>
    <w:rsid w:val="007F399A"/>
    <w:rsid w:val="007F4B7E"/>
    <w:rsid w:val="007F5768"/>
    <w:rsid w:val="007F623A"/>
    <w:rsid w:val="007F7A75"/>
    <w:rsid w:val="008005B4"/>
    <w:rsid w:val="008023DC"/>
    <w:rsid w:val="008033EF"/>
    <w:rsid w:val="00803714"/>
    <w:rsid w:val="00803B62"/>
    <w:rsid w:val="00804065"/>
    <w:rsid w:val="00804265"/>
    <w:rsid w:val="008048B9"/>
    <w:rsid w:val="00810B6F"/>
    <w:rsid w:val="008111CF"/>
    <w:rsid w:val="0081267D"/>
    <w:rsid w:val="0081494D"/>
    <w:rsid w:val="00817A11"/>
    <w:rsid w:val="008208BF"/>
    <w:rsid w:val="00820B0A"/>
    <w:rsid w:val="008220EF"/>
    <w:rsid w:val="00822CE0"/>
    <w:rsid w:val="00823169"/>
    <w:rsid w:val="00823BAF"/>
    <w:rsid w:val="0082479E"/>
    <w:rsid w:val="00824941"/>
    <w:rsid w:val="00825F87"/>
    <w:rsid w:val="0083005C"/>
    <w:rsid w:val="00834516"/>
    <w:rsid w:val="00834A30"/>
    <w:rsid w:val="00834CBB"/>
    <w:rsid w:val="00835A49"/>
    <w:rsid w:val="00836231"/>
    <w:rsid w:val="00836EE9"/>
    <w:rsid w:val="0083743D"/>
    <w:rsid w:val="0084063B"/>
    <w:rsid w:val="00840933"/>
    <w:rsid w:val="00841AB1"/>
    <w:rsid w:val="00841CE0"/>
    <w:rsid w:val="00841EA4"/>
    <w:rsid w:val="008420A6"/>
    <w:rsid w:val="00843583"/>
    <w:rsid w:val="00844A2F"/>
    <w:rsid w:val="00845F52"/>
    <w:rsid w:val="00846BDC"/>
    <w:rsid w:val="008477B1"/>
    <w:rsid w:val="008517DF"/>
    <w:rsid w:val="00852C8C"/>
    <w:rsid w:val="008531DB"/>
    <w:rsid w:val="00853F21"/>
    <w:rsid w:val="00862ABB"/>
    <w:rsid w:val="00866F37"/>
    <w:rsid w:val="0086718D"/>
    <w:rsid w:val="0086750F"/>
    <w:rsid w:val="00867511"/>
    <w:rsid w:val="00867607"/>
    <w:rsid w:val="00870A05"/>
    <w:rsid w:val="00871CCA"/>
    <w:rsid w:val="008728A1"/>
    <w:rsid w:val="00873495"/>
    <w:rsid w:val="0087362E"/>
    <w:rsid w:val="00873ACF"/>
    <w:rsid w:val="00875B1E"/>
    <w:rsid w:val="00877FED"/>
    <w:rsid w:val="0088236D"/>
    <w:rsid w:val="00883FE4"/>
    <w:rsid w:val="00885A20"/>
    <w:rsid w:val="008866B0"/>
    <w:rsid w:val="008870E1"/>
    <w:rsid w:val="008872A0"/>
    <w:rsid w:val="008921AF"/>
    <w:rsid w:val="00893F6A"/>
    <w:rsid w:val="008977E3"/>
    <w:rsid w:val="008A277C"/>
    <w:rsid w:val="008A3C94"/>
    <w:rsid w:val="008A41C8"/>
    <w:rsid w:val="008A420A"/>
    <w:rsid w:val="008A5168"/>
    <w:rsid w:val="008A53DC"/>
    <w:rsid w:val="008A57CF"/>
    <w:rsid w:val="008A6309"/>
    <w:rsid w:val="008A6DA5"/>
    <w:rsid w:val="008A7B19"/>
    <w:rsid w:val="008B056A"/>
    <w:rsid w:val="008B155E"/>
    <w:rsid w:val="008B2B2E"/>
    <w:rsid w:val="008B2BFD"/>
    <w:rsid w:val="008B3C49"/>
    <w:rsid w:val="008B4D63"/>
    <w:rsid w:val="008B4DAF"/>
    <w:rsid w:val="008B4FF1"/>
    <w:rsid w:val="008B722D"/>
    <w:rsid w:val="008B738C"/>
    <w:rsid w:val="008B7561"/>
    <w:rsid w:val="008B7C16"/>
    <w:rsid w:val="008C0352"/>
    <w:rsid w:val="008C1C90"/>
    <w:rsid w:val="008C1CBC"/>
    <w:rsid w:val="008C36BF"/>
    <w:rsid w:val="008C5041"/>
    <w:rsid w:val="008C5137"/>
    <w:rsid w:val="008C6072"/>
    <w:rsid w:val="008C68F1"/>
    <w:rsid w:val="008D1CC2"/>
    <w:rsid w:val="008D2BAB"/>
    <w:rsid w:val="008D353A"/>
    <w:rsid w:val="008D4AAD"/>
    <w:rsid w:val="008E0BEC"/>
    <w:rsid w:val="008E23A1"/>
    <w:rsid w:val="008E2668"/>
    <w:rsid w:val="008E513C"/>
    <w:rsid w:val="008E5AE9"/>
    <w:rsid w:val="008E6B8C"/>
    <w:rsid w:val="008E6BE0"/>
    <w:rsid w:val="008E7068"/>
    <w:rsid w:val="008E7833"/>
    <w:rsid w:val="008F1490"/>
    <w:rsid w:val="008F59DA"/>
    <w:rsid w:val="008F678F"/>
    <w:rsid w:val="008F6C7C"/>
    <w:rsid w:val="00900E43"/>
    <w:rsid w:val="00901F0D"/>
    <w:rsid w:val="009028E2"/>
    <w:rsid w:val="0090291C"/>
    <w:rsid w:val="009038E3"/>
    <w:rsid w:val="00904791"/>
    <w:rsid w:val="009048EA"/>
    <w:rsid w:val="00904A9E"/>
    <w:rsid w:val="009053EB"/>
    <w:rsid w:val="00905DFE"/>
    <w:rsid w:val="00906B6B"/>
    <w:rsid w:val="00907A6C"/>
    <w:rsid w:val="00907B51"/>
    <w:rsid w:val="00912E0B"/>
    <w:rsid w:val="009134F9"/>
    <w:rsid w:val="00913F60"/>
    <w:rsid w:val="0091455E"/>
    <w:rsid w:val="00914D31"/>
    <w:rsid w:val="009179F6"/>
    <w:rsid w:val="00921803"/>
    <w:rsid w:val="00922008"/>
    <w:rsid w:val="009220CD"/>
    <w:rsid w:val="00922DA2"/>
    <w:rsid w:val="009234A5"/>
    <w:rsid w:val="00923AF5"/>
    <w:rsid w:val="00924C45"/>
    <w:rsid w:val="00924FCA"/>
    <w:rsid w:val="00926503"/>
    <w:rsid w:val="0093025E"/>
    <w:rsid w:val="00930ECF"/>
    <w:rsid w:val="00932ACA"/>
    <w:rsid w:val="00941B04"/>
    <w:rsid w:val="009432CE"/>
    <w:rsid w:val="009445A5"/>
    <w:rsid w:val="00944D2A"/>
    <w:rsid w:val="00945A71"/>
    <w:rsid w:val="00947159"/>
    <w:rsid w:val="009471DD"/>
    <w:rsid w:val="00950979"/>
    <w:rsid w:val="009539CB"/>
    <w:rsid w:val="00955EC5"/>
    <w:rsid w:val="00956192"/>
    <w:rsid w:val="00957314"/>
    <w:rsid w:val="00961BA7"/>
    <w:rsid w:val="00963417"/>
    <w:rsid w:val="00966CCA"/>
    <w:rsid w:val="00971A28"/>
    <w:rsid w:val="009726D8"/>
    <w:rsid w:val="00972A67"/>
    <w:rsid w:val="00972C48"/>
    <w:rsid w:val="009736E3"/>
    <w:rsid w:val="00973D74"/>
    <w:rsid w:val="00975E21"/>
    <w:rsid w:val="00975E93"/>
    <w:rsid w:val="0097619D"/>
    <w:rsid w:val="00976FC1"/>
    <w:rsid w:val="0097742A"/>
    <w:rsid w:val="00982425"/>
    <w:rsid w:val="00982BE9"/>
    <w:rsid w:val="009830F2"/>
    <w:rsid w:val="009831D1"/>
    <w:rsid w:val="00983437"/>
    <w:rsid w:val="009838BC"/>
    <w:rsid w:val="00983A65"/>
    <w:rsid w:val="009859B4"/>
    <w:rsid w:val="009916A8"/>
    <w:rsid w:val="00991C16"/>
    <w:rsid w:val="00996AF9"/>
    <w:rsid w:val="009A1769"/>
    <w:rsid w:val="009A278D"/>
    <w:rsid w:val="009A3FCA"/>
    <w:rsid w:val="009A5284"/>
    <w:rsid w:val="009A5C81"/>
    <w:rsid w:val="009A6DBE"/>
    <w:rsid w:val="009B1DDB"/>
    <w:rsid w:val="009B269F"/>
    <w:rsid w:val="009C13B9"/>
    <w:rsid w:val="009C147C"/>
    <w:rsid w:val="009C27B8"/>
    <w:rsid w:val="009C3B3C"/>
    <w:rsid w:val="009C433F"/>
    <w:rsid w:val="009C5173"/>
    <w:rsid w:val="009C5C58"/>
    <w:rsid w:val="009C6FB3"/>
    <w:rsid w:val="009C726D"/>
    <w:rsid w:val="009D00A7"/>
    <w:rsid w:val="009D0816"/>
    <w:rsid w:val="009D11E3"/>
    <w:rsid w:val="009D18F5"/>
    <w:rsid w:val="009D55B9"/>
    <w:rsid w:val="009D58CF"/>
    <w:rsid w:val="009D6A6B"/>
    <w:rsid w:val="009D6B91"/>
    <w:rsid w:val="009D7308"/>
    <w:rsid w:val="009E03EA"/>
    <w:rsid w:val="009E1C4C"/>
    <w:rsid w:val="009E2244"/>
    <w:rsid w:val="009E4465"/>
    <w:rsid w:val="009E6FA6"/>
    <w:rsid w:val="009F0CDB"/>
    <w:rsid w:val="009F2759"/>
    <w:rsid w:val="009F29FB"/>
    <w:rsid w:val="009F33E6"/>
    <w:rsid w:val="009F5ED1"/>
    <w:rsid w:val="009F5FE0"/>
    <w:rsid w:val="009F76DB"/>
    <w:rsid w:val="009F7960"/>
    <w:rsid w:val="009F7D07"/>
    <w:rsid w:val="00A00D09"/>
    <w:rsid w:val="00A016DF"/>
    <w:rsid w:val="00A018AC"/>
    <w:rsid w:val="00A03291"/>
    <w:rsid w:val="00A04AC9"/>
    <w:rsid w:val="00A065B6"/>
    <w:rsid w:val="00A10163"/>
    <w:rsid w:val="00A10B91"/>
    <w:rsid w:val="00A1222F"/>
    <w:rsid w:val="00A12478"/>
    <w:rsid w:val="00A1266C"/>
    <w:rsid w:val="00A12704"/>
    <w:rsid w:val="00A130A8"/>
    <w:rsid w:val="00A13152"/>
    <w:rsid w:val="00A13607"/>
    <w:rsid w:val="00A14C79"/>
    <w:rsid w:val="00A14F9E"/>
    <w:rsid w:val="00A156E3"/>
    <w:rsid w:val="00A15FAF"/>
    <w:rsid w:val="00A16C95"/>
    <w:rsid w:val="00A20314"/>
    <w:rsid w:val="00A21263"/>
    <w:rsid w:val="00A21730"/>
    <w:rsid w:val="00A21BF3"/>
    <w:rsid w:val="00A231FB"/>
    <w:rsid w:val="00A25F71"/>
    <w:rsid w:val="00A274E4"/>
    <w:rsid w:val="00A27B12"/>
    <w:rsid w:val="00A27C44"/>
    <w:rsid w:val="00A31CEF"/>
    <w:rsid w:val="00A32C3B"/>
    <w:rsid w:val="00A32F8A"/>
    <w:rsid w:val="00A33065"/>
    <w:rsid w:val="00A35B9E"/>
    <w:rsid w:val="00A3703C"/>
    <w:rsid w:val="00A412CB"/>
    <w:rsid w:val="00A41FD4"/>
    <w:rsid w:val="00A445E4"/>
    <w:rsid w:val="00A45F4F"/>
    <w:rsid w:val="00A46111"/>
    <w:rsid w:val="00A464A5"/>
    <w:rsid w:val="00A46CD0"/>
    <w:rsid w:val="00A47A2A"/>
    <w:rsid w:val="00A47EA3"/>
    <w:rsid w:val="00A563FC"/>
    <w:rsid w:val="00A56E89"/>
    <w:rsid w:val="00A600A9"/>
    <w:rsid w:val="00A60523"/>
    <w:rsid w:val="00A61369"/>
    <w:rsid w:val="00A62B02"/>
    <w:rsid w:val="00A634E4"/>
    <w:rsid w:val="00A63C3A"/>
    <w:rsid w:val="00A660EE"/>
    <w:rsid w:val="00A66226"/>
    <w:rsid w:val="00A669E9"/>
    <w:rsid w:val="00A6708B"/>
    <w:rsid w:val="00A67BE8"/>
    <w:rsid w:val="00A71565"/>
    <w:rsid w:val="00A719FD"/>
    <w:rsid w:val="00A72EFE"/>
    <w:rsid w:val="00A74D5F"/>
    <w:rsid w:val="00A80240"/>
    <w:rsid w:val="00A80583"/>
    <w:rsid w:val="00A82503"/>
    <w:rsid w:val="00A84170"/>
    <w:rsid w:val="00A866A4"/>
    <w:rsid w:val="00A869AA"/>
    <w:rsid w:val="00A90B58"/>
    <w:rsid w:val="00A91405"/>
    <w:rsid w:val="00A91773"/>
    <w:rsid w:val="00A91FE3"/>
    <w:rsid w:val="00A926D1"/>
    <w:rsid w:val="00A92BBB"/>
    <w:rsid w:val="00A94E84"/>
    <w:rsid w:val="00A96693"/>
    <w:rsid w:val="00A96837"/>
    <w:rsid w:val="00AA0A57"/>
    <w:rsid w:val="00AA1F79"/>
    <w:rsid w:val="00AA2D52"/>
    <w:rsid w:val="00AA55B7"/>
    <w:rsid w:val="00AA5B9E"/>
    <w:rsid w:val="00AA690F"/>
    <w:rsid w:val="00AB1D42"/>
    <w:rsid w:val="00AB2407"/>
    <w:rsid w:val="00AB27D8"/>
    <w:rsid w:val="00AB2A2A"/>
    <w:rsid w:val="00AB2E1B"/>
    <w:rsid w:val="00AB52F5"/>
    <w:rsid w:val="00AB53DF"/>
    <w:rsid w:val="00AB5778"/>
    <w:rsid w:val="00AB6047"/>
    <w:rsid w:val="00AC1DF7"/>
    <w:rsid w:val="00AC39E3"/>
    <w:rsid w:val="00AC6E49"/>
    <w:rsid w:val="00AD06C5"/>
    <w:rsid w:val="00AD0E72"/>
    <w:rsid w:val="00AD122C"/>
    <w:rsid w:val="00AD2147"/>
    <w:rsid w:val="00AD314F"/>
    <w:rsid w:val="00AD3CB3"/>
    <w:rsid w:val="00AD4621"/>
    <w:rsid w:val="00AD4CAD"/>
    <w:rsid w:val="00AD5A21"/>
    <w:rsid w:val="00AD6361"/>
    <w:rsid w:val="00AD6476"/>
    <w:rsid w:val="00AD7A56"/>
    <w:rsid w:val="00AE02B1"/>
    <w:rsid w:val="00AE05AC"/>
    <w:rsid w:val="00AE0778"/>
    <w:rsid w:val="00AE2BD4"/>
    <w:rsid w:val="00AE2D85"/>
    <w:rsid w:val="00AE3341"/>
    <w:rsid w:val="00AE4E0F"/>
    <w:rsid w:val="00AE59AC"/>
    <w:rsid w:val="00AE7F9D"/>
    <w:rsid w:val="00AF05DB"/>
    <w:rsid w:val="00AF1603"/>
    <w:rsid w:val="00AF32A9"/>
    <w:rsid w:val="00AF40FC"/>
    <w:rsid w:val="00AF4EDF"/>
    <w:rsid w:val="00B002A5"/>
    <w:rsid w:val="00B01A4F"/>
    <w:rsid w:val="00B04027"/>
    <w:rsid w:val="00B06F92"/>
    <w:rsid w:val="00B07E5C"/>
    <w:rsid w:val="00B16085"/>
    <w:rsid w:val="00B16981"/>
    <w:rsid w:val="00B16E40"/>
    <w:rsid w:val="00B17287"/>
    <w:rsid w:val="00B201AC"/>
    <w:rsid w:val="00B22071"/>
    <w:rsid w:val="00B2275B"/>
    <w:rsid w:val="00B25F29"/>
    <w:rsid w:val="00B27113"/>
    <w:rsid w:val="00B27F24"/>
    <w:rsid w:val="00B303B4"/>
    <w:rsid w:val="00B30576"/>
    <w:rsid w:val="00B316CE"/>
    <w:rsid w:val="00B32CAC"/>
    <w:rsid w:val="00B340BA"/>
    <w:rsid w:val="00B37EFD"/>
    <w:rsid w:val="00B40693"/>
    <w:rsid w:val="00B42AC8"/>
    <w:rsid w:val="00B447D6"/>
    <w:rsid w:val="00B448D6"/>
    <w:rsid w:val="00B46650"/>
    <w:rsid w:val="00B517D1"/>
    <w:rsid w:val="00B5339B"/>
    <w:rsid w:val="00B6177C"/>
    <w:rsid w:val="00B6189B"/>
    <w:rsid w:val="00B65679"/>
    <w:rsid w:val="00B70CF5"/>
    <w:rsid w:val="00B7346D"/>
    <w:rsid w:val="00B74704"/>
    <w:rsid w:val="00B75B3A"/>
    <w:rsid w:val="00B76E44"/>
    <w:rsid w:val="00B77559"/>
    <w:rsid w:val="00B77897"/>
    <w:rsid w:val="00B811F7"/>
    <w:rsid w:val="00B82E52"/>
    <w:rsid w:val="00B83667"/>
    <w:rsid w:val="00B85EC6"/>
    <w:rsid w:val="00B87C3D"/>
    <w:rsid w:val="00B87F97"/>
    <w:rsid w:val="00B92E88"/>
    <w:rsid w:val="00B930A0"/>
    <w:rsid w:val="00B93B7C"/>
    <w:rsid w:val="00B9695E"/>
    <w:rsid w:val="00B97022"/>
    <w:rsid w:val="00BA0A22"/>
    <w:rsid w:val="00BA1817"/>
    <w:rsid w:val="00BA1E3C"/>
    <w:rsid w:val="00BA1F88"/>
    <w:rsid w:val="00BA31DE"/>
    <w:rsid w:val="00BA4958"/>
    <w:rsid w:val="00BA53CE"/>
    <w:rsid w:val="00BA5629"/>
    <w:rsid w:val="00BA5DC6"/>
    <w:rsid w:val="00BA608D"/>
    <w:rsid w:val="00BA6196"/>
    <w:rsid w:val="00BA66DF"/>
    <w:rsid w:val="00BA6843"/>
    <w:rsid w:val="00BA69E6"/>
    <w:rsid w:val="00BA733C"/>
    <w:rsid w:val="00BB16A5"/>
    <w:rsid w:val="00BB2C20"/>
    <w:rsid w:val="00BB2F52"/>
    <w:rsid w:val="00BB4529"/>
    <w:rsid w:val="00BB4D79"/>
    <w:rsid w:val="00BB4D90"/>
    <w:rsid w:val="00BB516A"/>
    <w:rsid w:val="00BB5BD1"/>
    <w:rsid w:val="00BB70C3"/>
    <w:rsid w:val="00BB7E59"/>
    <w:rsid w:val="00BC49E0"/>
    <w:rsid w:val="00BC56C9"/>
    <w:rsid w:val="00BC57F6"/>
    <w:rsid w:val="00BC6C3C"/>
    <w:rsid w:val="00BC6D8C"/>
    <w:rsid w:val="00BC76F3"/>
    <w:rsid w:val="00BD102A"/>
    <w:rsid w:val="00BD23B8"/>
    <w:rsid w:val="00BD4945"/>
    <w:rsid w:val="00BD4B29"/>
    <w:rsid w:val="00BD5DA1"/>
    <w:rsid w:val="00BD7EB3"/>
    <w:rsid w:val="00BE094F"/>
    <w:rsid w:val="00BE3C92"/>
    <w:rsid w:val="00BE4B15"/>
    <w:rsid w:val="00BE6360"/>
    <w:rsid w:val="00BE6743"/>
    <w:rsid w:val="00BE7C20"/>
    <w:rsid w:val="00BF1C6F"/>
    <w:rsid w:val="00BF1EC5"/>
    <w:rsid w:val="00BF32A4"/>
    <w:rsid w:val="00BF460C"/>
    <w:rsid w:val="00BF497C"/>
    <w:rsid w:val="00BF4F64"/>
    <w:rsid w:val="00BF55A3"/>
    <w:rsid w:val="00BF61DB"/>
    <w:rsid w:val="00BF64F0"/>
    <w:rsid w:val="00BF656B"/>
    <w:rsid w:val="00BF76A6"/>
    <w:rsid w:val="00BF76DC"/>
    <w:rsid w:val="00C00689"/>
    <w:rsid w:val="00C02E42"/>
    <w:rsid w:val="00C03A26"/>
    <w:rsid w:val="00C03B11"/>
    <w:rsid w:val="00C04940"/>
    <w:rsid w:val="00C1025D"/>
    <w:rsid w:val="00C105A9"/>
    <w:rsid w:val="00C10615"/>
    <w:rsid w:val="00C123A6"/>
    <w:rsid w:val="00C17237"/>
    <w:rsid w:val="00C17404"/>
    <w:rsid w:val="00C17F6C"/>
    <w:rsid w:val="00C223A1"/>
    <w:rsid w:val="00C22D41"/>
    <w:rsid w:val="00C23217"/>
    <w:rsid w:val="00C23E83"/>
    <w:rsid w:val="00C2663C"/>
    <w:rsid w:val="00C26DFF"/>
    <w:rsid w:val="00C31D4F"/>
    <w:rsid w:val="00C31E18"/>
    <w:rsid w:val="00C320F1"/>
    <w:rsid w:val="00C33837"/>
    <w:rsid w:val="00C33E28"/>
    <w:rsid w:val="00C34006"/>
    <w:rsid w:val="00C341BB"/>
    <w:rsid w:val="00C35404"/>
    <w:rsid w:val="00C36B4C"/>
    <w:rsid w:val="00C4047A"/>
    <w:rsid w:val="00C41946"/>
    <w:rsid w:val="00C426B1"/>
    <w:rsid w:val="00C428DE"/>
    <w:rsid w:val="00C4379E"/>
    <w:rsid w:val="00C43AE6"/>
    <w:rsid w:val="00C503CF"/>
    <w:rsid w:val="00C5064D"/>
    <w:rsid w:val="00C5139D"/>
    <w:rsid w:val="00C527A0"/>
    <w:rsid w:val="00C538CB"/>
    <w:rsid w:val="00C53C0F"/>
    <w:rsid w:val="00C5433A"/>
    <w:rsid w:val="00C56A3E"/>
    <w:rsid w:val="00C57669"/>
    <w:rsid w:val="00C61507"/>
    <w:rsid w:val="00C62F8E"/>
    <w:rsid w:val="00C642D8"/>
    <w:rsid w:val="00C66160"/>
    <w:rsid w:val="00C6617B"/>
    <w:rsid w:val="00C668AE"/>
    <w:rsid w:val="00C66A47"/>
    <w:rsid w:val="00C7006E"/>
    <w:rsid w:val="00C704BF"/>
    <w:rsid w:val="00C7099F"/>
    <w:rsid w:val="00C720D0"/>
    <w:rsid w:val="00C721AC"/>
    <w:rsid w:val="00C722DD"/>
    <w:rsid w:val="00C73A9E"/>
    <w:rsid w:val="00C750A3"/>
    <w:rsid w:val="00C761B5"/>
    <w:rsid w:val="00C77CE9"/>
    <w:rsid w:val="00C82286"/>
    <w:rsid w:val="00C822DD"/>
    <w:rsid w:val="00C827E9"/>
    <w:rsid w:val="00C84044"/>
    <w:rsid w:val="00C84701"/>
    <w:rsid w:val="00C87390"/>
    <w:rsid w:val="00C90D6A"/>
    <w:rsid w:val="00C92B63"/>
    <w:rsid w:val="00C94396"/>
    <w:rsid w:val="00C95126"/>
    <w:rsid w:val="00C95505"/>
    <w:rsid w:val="00C95FBB"/>
    <w:rsid w:val="00C97059"/>
    <w:rsid w:val="00C97A4D"/>
    <w:rsid w:val="00CA247E"/>
    <w:rsid w:val="00CA25F6"/>
    <w:rsid w:val="00CA408F"/>
    <w:rsid w:val="00CA459F"/>
    <w:rsid w:val="00CA5736"/>
    <w:rsid w:val="00CA5873"/>
    <w:rsid w:val="00CA6D21"/>
    <w:rsid w:val="00CA7DCF"/>
    <w:rsid w:val="00CB0C09"/>
    <w:rsid w:val="00CB1308"/>
    <w:rsid w:val="00CB15DC"/>
    <w:rsid w:val="00CB2F35"/>
    <w:rsid w:val="00CB580D"/>
    <w:rsid w:val="00CB6451"/>
    <w:rsid w:val="00CC01EB"/>
    <w:rsid w:val="00CC05F0"/>
    <w:rsid w:val="00CC3A2F"/>
    <w:rsid w:val="00CC4A8D"/>
    <w:rsid w:val="00CC5207"/>
    <w:rsid w:val="00CC60AB"/>
    <w:rsid w:val="00CC6471"/>
    <w:rsid w:val="00CC67A8"/>
    <w:rsid w:val="00CC6F8C"/>
    <w:rsid w:val="00CC72B6"/>
    <w:rsid w:val="00CD1036"/>
    <w:rsid w:val="00CD103A"/>
    <w:rsid w:val="00CD12B5"/>
    <w:rsid w:val="00CD1584"/>
    <w:rsid w:val="00CD16A4"/>
    <w:rsid w:val="00CD3CD9"/>
    <w:rsid w:val="00CD4376"/>
    <w:rsid w:val="00CD445B"/>
    <w:rsid w:val="00CD44AA"/>
    <w:rsid w:val="00CE0D7C"/>
    <w:rsid w:val="00CE17BF"/>
    <w:rsid w:val="00CE2CFB"/>
    <w:rsid w:val="00CE2EE5"/>
    <w:rsid w:val="00CE3BB2"/>
    <w:rsid w:val="00CE4D08"/>
    <w:rsid w:val="00CE60AE"/>
    <w:rsid w:val="00CE668D"/>
    <w:rsid w:val="00CF0AAA"/>
    <w:rsid w:val="00CF356C"/>
    <w:rsid w:val="00CF482E"/>
    <w:rsid w:val="00CF5450"/>
    <w:rsid w:val="00CF5541"/>
    <w:rsid w:val="00CF64EE"/>
    <w:rsid w:val="00CF7DA5"/>
    <w:rsid w:val="00D00B71"/>
    <w:rsid w:val="00D0218D"/>
    <w:rsid w:val="00D04127"/>
    <w:rsid w:val="00D04161"/>
    <w:rsid w:val="00D04A52"/>
    <w:rsid w:val="00D0567B"/>
    <w:rsid w:val="00D065D6"/>
    <w:rsid w:val="00D0784B"/>
    <w:rsid w:val="00D11A8E"/>
    <w:rsid w:val="00D14D1E"/>
    <w:rsid w:val="00D16B19"/>
    <w:rsid w:val="00D17072"/>
    <w:rsid w:val="00D23099"/>
    <w:rsid w:val="00D23885"/>
    <w:rsid w:val="00D24A65"/>
    <w:rsid w:val="00D24C1D"/>
    <w:rsid w:val="00D2585E"/>
    <w:rsid w:val="00D25FB5"/>
    <w:rsid w:val="00D260B5"/>
    <w:rsid w:val="00D2635B"/>
    <w:rsid w:val="00D26D58"/>
    <w:rsid w:val="00D31D10"/>
    <w:rsid w:val="00D320C5"/>
    <w:rsid w:val="00D32523"/>
    <w:rsid w:val="00D32874"/>
    <w:rsid w:val="00D331BE"/>
    <w:rsid w:val="00D33D80"/>
    <w:rsid w:val="00D34E90"/>
    <w:rsid w:val="00D35C98"/>
    <w:rsid w:val="00D36D88"/>
    <w:rsid w:val="00D37801"/>
    <w:rsid w:val="00D41F75"/>
    <w:rsid w:val="00D44223"/>
    <w:rsid w:val="00D45383"/>
    <w:rsid w:val="00D461C0"/>
    <w:rsid w:val="00D50A13"/>
    <w:rsid w:val="00D542D3"/>
    <w:rsid w:val="00D54869"/>
    <w:rsid w:val="00D54C7C"/>
    <w:rsid w:val="00D5692E"/>
    <w:rsid w:val="00D5715F"/>
    <w:rsid w:val="00D575EE"/>
    <w:rsid w:val="00D60AA1"/>
    <w:rsid w:val="00D63C2A"/>
    <w:rsid w:val="00D64C4B"/>
    <w:rsid w:val="00D66355"/>
    <w:rsid w:val="00D67172"/>
    <w:rsid w:val="00D70CF2"/>
    <w:rsid w:val="00D7172D"/>
    <w:rsid w:val="00D73EE8"/>
    <w:rsid w:val="00D74D9E"/>
    <w:rsid w:val="00D76CA7"/>
    <w:rsid w:val="00D774EE"/>
    <w:rsid w:val="00D777F5"/>
    <w:rsid w:val="00D808C0"/>
    <w:rsid w:val="00D839EE"/>
    <w:rsid w:val="00D83AD0"/>
    <w:rsid w:val="00D83BAF"/>
    <w:rsid w:val="00D84FFE"/>
    <w:rsid w:val="00D8735D"/>
    <w:rsid w:val="00D87865"/>
    <w:rsid w:val="00D9110F"/>
    <w:rsid w:val="00D963D2"/>
    <w:rsid w:val="00D9774F"/>
    <w:rsid w:val="00DA0697"/>
    <w:rsid w:val="00DA0AD4"/>
    <w:rsid w:val="00DA0F83"/>
    <w:rsid w:val="00DA2529"/>
    <w:rsid w:val="00DA298E"/>
    <w:rsid w:val="00DA344D"/>
    <w:rsid w:val="00DA49F2"/>
    <w:rsid w:val="00DA4C89"/>
    <w:rsid w:val="00DA6FBC"/>
    <w:rsid w:val="00DB130A"/>
    <w:rsid w:val="00DB2B83"/>
    <w:rsid w:val="00DB2EBB"/>
    <w:rsid w:val="00DB3386"/>
    <w:rsid w:val="00DB3CD3"/>
    <w:rsid w:val="00DB3DE6"/>
    <w:rsid w:val="00DB4891"/>
    <w:rsid w:val="00DB5BBF"/>
    <w:rsid w:val="00DB5E52"/>
    <w:rsid w:val="00DB752D"/>
    <w:rsid w:val="00DB7B28"/>
    <w:rsid w:val="00DB7C44"/>
    <w:rsid w:val="00DC0594"/>
    <w:rsid w:val="00DC10A1"/>
    <w:rsid w:val="00DC3778"/>
    <w:rsid w:val="00DC4CCA"/>
    <w:rsid w:val="00DC655F"/>
    <w:rsid w:val="00DC7A28"/>
    <w:rsid w:val="00DC7C76"/>
    <w:rsid w:val="00DD08C6"/>
    <w:rsid w:val="00DD0B59"/>
    <w:rsid w:val="00DD1466"/>
    <w:rsid w:val="00DD188A"/>
    <w:rsid w:val="00DD19D4"/>
    <w:rsid w:val="00DD1C6A"/>
    <w:rsid w:val="00DD518D"/>
    <w:rsid w:val="00DD5355"/>
    <w:rsid w:val="00DD7EBD"/>
    <w:rsid w:val="00DE0E87"/>
    <w:rsid w:val="00DE112E"/>
    <w:rsid w:val="00DE2560"/>
    <w:rsid w:val="00DE4132"/>
    <w:rsid w:val="00DE4BA7"/>
    <w:rsid w:val="00DE673A"/>
    <w:rsid w:val="00DF0B7D"/>
    <w:rsid w:val="00DF0E81"/>
    <w:rsid w:val="00DF1232"/>
    <w:rsid w:val="00DF1AA2"/>
    <w:rsid w:val="00DF32FE"/>
    <w:rsid w:val="00DF354C"/>
    <w:rsid w:val="00DF47F6"/>
    <w:rsid w:val="00DF5203"/>
    <w:rsid w:val="00DF62B6"/>
    <w:rsid w:val="00E05CB1"/>
    <w:rsid w:val="00E07225"/>
    <w:rsid w:val="00E07A9C"/>
    <w:rsid w:val="00E112E8"/>
    <w:rsid w:val="00E12F28"/>
    <w:rsid w:val="00E1415F"/>
    <w:rsid w:val="00E141C7"/>
    <w:rsid w:val="00E14E19"/>
    <w:rsid w:val="00E1662C"/>
    <w:rsid w:val="00E1692B"/>
    <w:rsid w:val="00E16E0F"/>
    <w:rsid w:val="00E17571"/>
    <w:rsid w:val="00E204A0"/>
    <w:rsid w:val="00E20A54"/>
    <w:rsid w:val="00E20D20"/>
    <w:rsid w:val="00E20DD5"/>
    <w:rsid w:val="00E22022"/>
    <w:rsid w:val="00E235AF"/>
    <w:rsid w:val="00E249E8"/>
    <w:rsid w:val="00E26372"/>
    <w:rsid w:val="00E31E25"/>
    <w:rsid w:val="00E3241C"/>
    <w:rsid w:val="00E32AA8"/>
    <w:rsid w:val="00E3510E"/>
    <w:rsid w:val="00E36839"/>
    <w:rsid w:val="00E36F54"/>
    <w:rsid w:val="00E3740C"/>
    <w:rsid w:val="00E3782C"/>
    <w:rsid w:val="00E37AD9"/>
    <w:rsid w:val="00E40B28"/>
    <w:rsid w:val="00E464DA"/>
    <w:rsid w:val="00E46F21"/>
    <w:rsid w:val="00E472D7"/>
    <w:rsid w:val="00E50377"/>
    <w:rsid w:val="00E50661"/>
    <w:rsid w:val="00E519C6"/>
    <w:rsid w:val="00E5225C"/>
    <w:rsid w:val="00E52B1C"/>
    <w:rsid w:val="00E53A21"/>
    <w:rsid w:val="00E53DF4"/>
    <w:rsid w:val="00E5409F"/>
    <w:rsid w:val="00E549A2"/>
    <w:rsid w:val="00E54A61"/>
    <w:rsid w:val="00E558F9"/>
    <w:rsid w:val="00E56CCF"/>
    <w:rsid w:val="00E57CA9"/>
    <w:rsid w:val="00E6108B"/>
    <w:rsid w:val="00E630CC"/>
    <w:rsid w:val="00E6365C"/>
    <w:rsid w:val="00E63BFB"/>
    <w:rsid w:val="00E704B2"/>
    <w:rsid w:val="00E74F07"/>
    <w:rsid w:val="00E75BBB"/>
    <w:rsid w:val="00E75E84"/>
    <w:rsid w:val="00E7660B"/>
    <w:rsid w:val="00E76A45"/>
    <w:rsid w:val="00E779D0"/>
    <w:rsid w:val="00E77DA9"/>
    <w:rsid w:val="00E808F8"/>
    <w:rsid w:val="00E82FEC"/>
    <w:rsid w:val="00E832B9"/>
    <w:rsid w:val="00E84FCB"/>
    <w:rsid w:val="00E85D51"/>
    <w:rsid w:val="00E86689"/>
    <w:rsid w:val="00E8693A"/>
    <w:rsid w:val="00E876C1"/>
    <w:rsid w:val="00E87965"/>
    <w:rsid w:val="00E87C34"/>
    <w:rsid w:val="00E9002F"/>
    <w:rsid w:val="00E937F3"/>
    <w:rsid w:val="00E94509"/>
    <w:rsid w:val="00E9705C"/>
    <w:rsid w:val="00E9742F"/>
    <w:rsid w:val="00E97A42"/>
    <w:rsid w:val="00EA21E5"/>
    <w:rsid w:val="00EA4B78"/>
    <w:rsid w:val="00EA70B6"/>
    <w:rsid w:val="00EA723C"/>
    <w:rsid w:val="00EA73AC"/>
    <w:rsid w:val="00EA7DB0"/>
    <w:rsid w:val="00EB093F"/>
    <w:rsid w:val="00EB1FB0"/>
    <w:rsid w:val="00EB2F15"/>
    <w:rsid w:val="00EB74F5"/>
    <w:rsid w:val="00EB7FC6"/>
    <w:rsid w:val="00EC152F"/>
    <w:rsid w:val="00EC19ED"/>
    <w:rsid w:val="00EC3487"/>
    <w:rsid w:val="00EC4BEC"/>
    <w:rsid w:val="00EC6914"/>
    <w:rsid w:val="00EC755E"/>
    <w:rsid w:val="00EC7F48"/>
    <w:rsid w:val="00ED250D"/>
    <w:rsid w:val="00ED2AE8"/>
    <w:rsid w:val="00ED463B"/>
    <w:rsid w:val="00ED59C3"/>
    <w:rsid w:val="00ED5B61"/>
    <w:rsid w:val="00ED5E82"/>
    <w:rsid w:val="00ED6D02"/>
    <w:rsid w:val="00ED727D"/>
    <w:rsid w:val="00EE1320"/>
    <w:rsid w:val="00EE1B47"/>
    <w:rsid w:val="00EE1DDB"/>
    <w:rsid w:val="00EE1F9E"/>
    <w:rsid w:val="00EE2A6C"/>
    <w:rsid w:val="00EE332D"/>
    <w:rsid w:val="00EE5CB0"/>
    <w:rsid w:val="00EE5E21"/>
    <w:rsid w:val="00EE6488"/>
    <w:rsid w:val="00EE6E2F"/>
    <w:rsid w:val="00EF0825"/>
    <w:rsid w:val="00EF1262"/>
    <w:rsid w:val="00EF148C"/>
    <w:rsid w:val="00EF1A12"/>
    <w:rsid w:val="00EF215B"/>
    <w:rsid w:val="00EF219F"/>
    <w:rsid w:val="00EF2875"/>
    <w:rsid w:val="00EF2F44"/>
    <w:rsid w:val="00EF32F9"/>
    <w:rsid w:val="00EF431F"/>
    <w:rsid w:val="00EF4A1F"/>
    <w:rsid w:val="00EF7F11"/>
    <w:rsid w:val="00F01CCF"/>
    <w:rsid w:val="00F021FA"/>
    <w:rsid w:val="00F05A86"/>
    <w:rsid w:val="00F068D1"/>
    <w:rsid w:val="00F073A4"/>
    <w:rsid w:val="00F112A7"/>
    <w:rsid w:val="00F11B8D"/>
    <w:rsid w:val="00F12881"/>
    <w:rsid w:val="00F132D7"/>
    <w:rsid w:val="00F13303"/>
    <w:rsid w:val="00F1418F"/>
    <w:rsid w:val="00F14515"/>
    <w:rsid w:val="00F175BD"/>
    <w:rsid w:val="00F2084B"/>
    <w:rsid w:val="00F209F2"/>
    <w:rsid w:val="00F20CDE"/>
    <w:rsid w:val="00F23242"/>
    <w:rsid w:val="00F23A7D"/>
    <w:rsid w:val="00F248B3"/>
    <w:rsid w:val="00F261B5"/>
    <w:rsid w:val="00F269E4"/>
    <w:rsid w:val="00F27046"/>
    <w:rsid w:val="00F275F4"/>
    <w:rsid w:val="00F27F02"/>
    <w:rsid w:val="00F30575"/>
    <w:rsid w:val="00F3479A"/>
    <w:rsid w:val="00F3557E"/>
    <w:rsid w:val="00F378D4"/>
    <w:rsid w:val="00F37DA0"/>
    <w:rsid w:val="00F40F74"/>
    <w:rsid w:val="00F41E58"/>
    <w:rsid w:val="00F4200B"/>
    <w:rsid w:val="00F43FBC"/>
    <w:rsid w:val="00F4540D"/>
    <w:rsid w:val="00F455BF"/>
    <w:rsid w:val="00F45632"/>
    <w:rsid w:val="00F45B14"/>
    <w:rsid w:val="00F45BD6"/>
    <w:rsid w:val="00F52813"/>
    <w:rsid w:val="00F53E50"/>
    <w:rsid w:val="00F54380"/>
    <w:rsid w:val="00F556F8"/>
    <w:rsid w:val="00F62E97"/>
    <w:rsid w:val="00F63A6A"/>
    <w:rsid w:val="00F64209"/>
    <w:rsid w:val="00F647AA"/>
    <w:rsid w:val="00F64ECB"/>
    <w:rsid w:val="00F65B11"/>
    <w:rsid w:val="00F65FA2"/>
    <w:rsid w:val="00F666A5"/>
    <w:rsid w:val="00F67221"/>
    <w:rsid w:val="00F7033F"/>
    <w:rsid w:val="00F71144"/>
    <w:rsid w:val="00F71181"/>
    <w:rsid w:val="00F713DC"/>
    <w:rsid w:val="00F715EC"/>
    <w:rsid w:val="00F71D12"/>
    <w:rsid w:val="00F727B0"/>
    <w:rsid w:val="00F73BAA"/>
    <w:rsid w:val="00F73C1E"/>
    <w:rsid w:val="00F757F8"/>
    <w:rsid w:val="00F8006E"/>
    <w:rsid w:val="00F80611"/>
    <w:rsid w:val="00F816A8"/>
    <w:rsid w:val="00F82628"/>
    <w:rsid w:val="00F851E8"/>
    <w:rsid w:val="00F86930"/>
    <w:rsid w:val="00F871D7"/>
    <w:rsid w:val="00F873DB"/>
    <w:rsid w:val="00F874BE"/>
    <w:rsid w:val="00F91A25"/>
    <w:rsid w:val="00F91BFB"/>
    <w:rsid w:val="00F92A4C"/>
    <w:rsid w:val="00F934CD"/>
    <w:rsid w:val="00F93BF5"/>
    <w:rsid w:val="00F94905"/>
    <w:rsid w:val="00F95B6B"/>
    <w:rsid w:val="00F962A1"/>
    <w:rsid w:val="00F967B5"/>
    <w:rsid w:val="00F96C0E"/>
    <w:rsid w:val="00FA0EB4"/>
    <w:rsid w:val="00FA3AD8"/>
    <w:rsid w:val="00FA42DB"/>
    <w:rsid w:val="00FA4780"/>
    <w:rsid w:val="00FA4868"/>
    <w:rsid w:val="00FA48A3"/>
    <w:rsid w:val="00FA5582"/>
    <w:rsid w:val="00FA5E9F"/>
    <w:rsid w:val="00FA629D"/>
    <w:rsid w:val="00FA6A75"/>
    <w:rsid w:val="00FA6EF5"/>
    <w:rsid w:val="00FA7348"/>
    <w:rsid w:val="00FA776A"/>
    <w:rsid w:val="00FA7DA5"/>
    <w:rsid w:val="00FB0C20"/>
    <w:rsid w:val="00FB2E16"/>
    <w:rsid w:val="00FB3305"/>
    <w:rsid w:val="00FB364A"/>
    <w:rsid w:val="00FB5068"/>
    <w:rsid w:val="00FB5EAA"/>
    <w:rsid w:val="00FB64F5"/>
    <w:rsid w:val="00FB66DB"/>
    <w:rsid w:val="00FC025B"/>
    <w:rsid w:val="00FC05C2"/>
    <w:rsid w:val="00FC08CF"/>
    <w:rsid w:val="00FC2C17"/>
    <w:rsid w:val="00FC2C49"/>
    <w:rsid w:val="00FC572A"/>
    <w:rsid w:val="00FC78CC"/>
    <w:rsid w:val="00FD3998"/>
    <w:rsid w:val="00FD4091"/>
    <w:rsid w:val="00FD4CE3"/>
    <w:rsid w:val="00FD6167"/>
    <w:rsid w:val="00FE08ED"/>
    <w:rsid w:val="00FE0E1C"/>
    <w:rsid w:val="00FE4726"/>
    <w:rsid w:val="00FE509D"/>
    <w:rsid w:val="00FE5495"/>
    <w:rsid w:val="00FE6106"/>
    <w:rsid w:val="00FE7174"/>
    <w:rsid w:val="00FE7935"/>
    <w:rsid w:val="00FF0594"/>
    <w:rsid w:val="00FF3AA3"/>
    <w:rsid w:val="00FF3ACE"/>
    <w:rsid w:val="00FF4520"/>
    <w:rsid w:val="00FF7C9F"/>
    <w:rsid w:val="00FF7CD7"/>
    <w:rsid w:val="2A43A49E"/>
    <w:rsid w:val="6DB7A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F70AF2B-8E4C-4153-B9DE-E0238219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77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236B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 Char,Footnote Text Char Char Char Char,Footnote Text Char Char Char Char Char1 Char,Footnote Text Char1 Char Char,Footnote Text Char1 Char Char Char1 Char,Footnote Text Char2 Char Char,Footnote Text Char3 Char,f Char"/>
    <w:link w:val="FootnoteText"/>
    <w:rsid w:val="00702774"/>
  </w:style>
  <w:style w:type="character" w:customStyle="1" w:styleId="ParaNumChar">
    <w:name w:val="ParaNum Char"/>
    <w:link w:val="ParaNum"/>
    <w:locked/>
    <w:rsid w:val="00702774"/>
    <w:rPr>
      <w:snapToGrid w:val="0"/>
      <w:kern w:val="28"/>
      <w:sz w:val="22"/>
    </w:rPr>
  </w:style>
  <w:style w:type="character" w:customStyle="1" w:styleId="HeaderChar">
    <w:name w:val="Header Char"/>
    <w:link w:val="Header"/>
    <w:rsid w:val="00702774"/>
    <w:rPr>
      <w:b/>
      <w:snapToGrid w:val="0"/>
      <w:kern w:val="28"/>
      <w:sz w:val="22"/>
    </w:rPr>
  </w:style>
  <w:style w:type="paragraph" w:styleId="BalloonText">
    <w:name w:val="Balloon Text"/>
    <w:basedOn w:val="Normal"/>
    <w:link w:val="BalloonTextChar"/>
    <w:semiHidden/>
    <w:unhideWhenUsed/>
    <w:rsid w:val="008F1490"/>
    <w:rPr>
      <w:rFonts w:ascii="Segoe UI" w:hAnsi="Segoe UI" w:cs="Segoe UI"/>
      <w:sz w:val="18"/>
      <w:szCs w:val="18"/>
    </w:rPr>
  </w:style>
  <w:style w:type="character" w:customStyle="1" w:styleId="BalloonTextChar">
    <w:name w:val="Balloon Text Char"/>
    <w:basedOn w:val="DefaultParagraphFont"/>
    <w:link w:val="BalloonText"/>
    <w:semiHidden/>
    <w:rsid w:val="008F1490"/>
    <w:rPr>
      <w:rFonts w:ascii="Segoe UI" w:hAnsi="Segoe UI" w:cs="Segoe UI"/>
      <w:snapToGrid w:val="0"/>
      <w:kern w:val="28"/>
      <w:sz w:val="18"/>
      <w:szCs w:val="18"/>
    </w:rPr>
  </w:style>
  <w:style w:type="table" w:styleId="TableGrid">
    <w:name w:val="Table Grid"/>
    <w:basedOn w:val="TableNormal"/>
    <w:rsid w:val="001E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F678F"/>
    <w:rPr>
      <w:sz w:val="16"/>
      <w:szCs w:val="16"/>
    </w:rPr>
  </w:style>
  <w:style w:type="paragraph" w:styleId="CommentText">
    <w:name w:val="annotation text"/>
    <w:basedOn w:val="Normal"/>
    <w:link w:val="CommentTextChar"/>
    <w:rsid w:val="008F678F"/>
    <w:rPr>
      <w:sz w:val="20"/>
    </w:rPr>
  </w:style>
  <w:style w:type="character" w:customStyle="1" w:styleId="CommentTextChar">
    <w:name w:val="Comment Text Char"/>
    <w:basedOn w:val="DefaultParagraphFont"/>
    <w:link w:val="CommentText"/>
    <w:rsid w:val="008F678F"/>
    <w:rPr>
      <w:snapToGrid w:val="0"/>
      <w:kern w:val="28"/>
    </w:rPr>
  </w:style>
  <w:style w:type="paragraph" w:styleId="CommentSubject">
    <w:name w:val="annotation subject"/>
    <w:basedOn w:val="CommentText"/>
    <w:next w:val="CommentText"/>
    <w:link w:val="CommentSubjectChar"/>
    <w:rsid w:val="008F678F"/>
    <w:rPr>
      <w:b/>
      <w:bCs/>
    </w:rPr>
  </w:style>
  <w:style w:type="character" w:customStyle="1" w:styleId="CommentSubjectChar">
    <w:name w:val="Comment Subject Char"/>
    <w:basedOn w:val="CommentTextChar"/>
    <w:link w:val="CommentSubject"/>
    <w:rsid w:val="008F678F"/>
    <w:rPr>
      <w:b/>
      <w:bCs/>
      <w:snapToGrid w:val="0"/>
      <w:kern w:val="28"/>
    </w:rPr>
  </w:style>
  <w:style w:type="paragraph" w:styleId="ListParagraph">
    <w:name w:val="List Paragraph"/>
    <w:basedOn w:val="Normal"/>
    <w:uiPriority w:val="34"/>
    <w:qFormat/>
    <w:rsid w:val="00EB7FC6"/>
    <w:pPr>
      <w:ind w:left="720"/>
      <w:contextualSpacing/>
    </w:pPr>
  </w:style>
  <w:style w:type="paragraph" w:styleId="Revision">
    <w:name w:val="Revision"/>
    <w:hidden/>
    <w:uiPriority w:val="99"/>
    <w:semiHidden/>
    <w:rsid w:val="009A1769"/>
    <w:rPr>
      <w:snapToGrid w:val="0"/>
      <w:kern w:val="28"/>
      <w:sz w:val="22"/>
    </w:rPr>
  </w:style>
  <w:style w:type="character" w:customStyle="1" w:styleId="UnresolvedMention">
    <w:name w:val="Unresolved Mention"/>
    <w:basedOn w:val="DefaultParagraphFont"/>
    <w:rsid w:val="008420A6"/>
    <w:rPr>
      <w:color w:val="605E5C"/>
      <w:shd w:val="clear" w:color="auto" w:fill="E1DFDD"/>
    </w:rPr>
  </w:style>
  <w:style w:type="character" w:customStyle="1" w:styleId="Mention">
    <w:name w:val="Mention"/>
    <w:basedOn w:val="DefaultParagraphFont"/>
    <w:rsid w:val="00E866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usac.org/e-rate/applicant-process/before-you-begin/eligible-services-list/" TargetMode="Externa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90047144&amp;pubNum=350&amp;originatingDoc=I95b9af8b51de11e287a9c52cdddac4f7&amp;refType=RP&amp;fi=co_pp_sp_350_1166&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