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7BC76E0F" w14:textId="77777777">
      <w:pPr>
        <w:jc w:val="right"/>
        <w:rPr>
          <w:sz w:val="24"/>
        </w:rPr>
      </w:pPr>
      <w:bookmarkStart w:id="0" w:name="_GoBack"/>
      <w:bookmarkEnd w:id="0"/>
    </w:p>
    <w:p w:rsidR="00013A8B" w:rsidRPr="00B20363" w:rsidP="00013A8B" w14:paraId="2CD61D14" w14:textId="24DD36CD">
      <w:pPr>
        <w:spacing w:before="120" w:after="240"/>
        <w:rPr>
          <w:b/>
          <w:sz w:val="24"/>
        </w:rPr>
      </w:pPr>
      <w:r w:rsidRPr="00B20363">
        <w:rPr>
          <w:b/>
          <w:sz w:val="24"/>
        </w:rPr>
        <w:t xml:space="preserve">Report No. </w:t>
      </w:r>
      <w:r w:rsidR="00261262">
        <w:rPr>
          <w:b/>
          <w:sz w:val="24"/>
        </w:rPr>
        <w:t>SPB-</w:t>
      </w:r>
      <w:r w:rsidR="002C7D63">
        <w:rPr>
          <w:b/>
          <w:sz w:val="24"/>
        </w:rPr>
        <w:t>285</w:t>
      </w:r>
    </w:p>
    <w:p w:rsidR="00013A8B" w:rsidRPr="00B20363" w:rsidP="00013A8B" w14:paraId="2D2643D6" w14:textId="666033DA">
      <w:pPr>
        <w:jc w:val="right"/>
        <w:rPr>
          <w:b/>
          <w:sz w:val="24"/>
        </w:rPr>
      </w:pPr>
      <w:r>
        <w:rPr>
          <w:b/>
          <w:sz w:val="24"/>
        </w:rPr>
        <w:t>DA 20-</w:t>
      </w:r>
      <w:r w:rsidR="002C7D63">
        <w:rPr>
          <w:b/>
          <w:sz w:val="24"/>
        </w:rPr>
        <w:t>1421</w:t>
      </w:r>
    </w:p>
    <w:p w:rsidR="00013A8B" w:rsidRPr="00B20363" w:rsidP="00013A8B" w14:paraId="30052BBB" w14:textId="52BF5F05">
      <w:pPr>
        <w:spacing w:before="60"/>
        <w:jc w:val="right"/>
        <w:rPr>
          <w:b/>
          <w:sz w:val="24"/>
        </w:rPr>
      </w:pPr>
      <w:r>
        <w:rPr>
          <w:b/>
          <w:sz w:val="24"/>
        </w:rPr>
        <w:t xml:space="preserve">Released:  </w:t>
      </w:r>
      <w:r w:rsidR="00847451">
        <w:rPr>
          <w:b/>
          <w:sz w:val="24"/>
        </w:rPr>
        <w:t>November</w:t>
      </w:r>
      <w:r w:rsidR="00261262">
        <w:rPr>
          <w:b/>
          <w:sz w:val="24"/>
        </w:rPr>
        <w:t xml:space="preserve"> </w:t>
      </w:r>
      <w:r w:rsidR="002C7D63">
        <w:rPr>
          <w:b/>
          <w:sz w:val="24"/>
        </w:rPr>
        <w:t>30</w:t>
      </w:r>
      <w:r w:rsidR="00261262">
        <w:rPr>
          <w:b/>
          <w:sz w:val="24"/>
        </w:rPr>
        <w:t>, 2020</w:t>
      </w:r>
    </w:p>
    <w:p w:rsidR="00013A8B" w:rsidP="00013A8B" w14:paraId="516B673F" w14:textId="40F17F26">
      <w:pPr>
        <w:jc w:val="right"/>
        <w:rPr>
          <w:sz w:val="24"/>
        </w:rPr>
      </w:pPr>
    </w:p>
    <w:p w:rsidR="000E45C0" w:rsidRPr="000E45C0" w:rsidP="000E45C0" w14:paraId="7DD44341" w14:textId="7144AE30">
      <w:pPr>
        <w:spacing w:after="120"/>
        <w:jc w:val="center"/>
        <w:rPr>
          <w:b/>
          <w:caps/>
          <w:szCs w:val="22"/>
        </w:rPr>
      </w:pPr>
      <w:r w:rsidRPr="000E45C0">
        <w:rPr>
          <w:b/>
          <w:caps/>
          <w:szCs w:val="22"/>
        </w:rPr>
        <w:t xml:space="preserve">International bureau </w:t>
      </w:r>
      <w:r w:rsidR="00847451">
        <w:rPr>
          <w:b/>
          <w:caps/>
          <w:szCs w:val="22"/>
        </w:rPr>
        <w:t>ISSUES UPDATED</w:t>
      </w:r>
      <w:r w:rsidR="008A04CF">
        <w:rPr>
          <w:b/>
          <w:caps/>
          <w:szCs w:val="22"/>
        </w:rPr>
        <w:t xml:space="preserve"> </w:t>
      </w:r>
      <w:r w:rsidRPr="000E45C0">
        <w:rPr>
          <w:b/>
          <w:caps/>
          <w:szCs w:val="22"/>
        </w:rPr>
        <w:t>lump sum election</w:t>
      </w:r>
      <w:r w:rsidR="00847451">
        <w:rPr>
          <w:b/>
          <w:caps/>
          <w:szCs w:val="22"/>
        </w:rPr>
        <w:t xml:space="preserve"> </w:t>
      </w:r>
      <w:r w:rsidR="002A5163">
        <w:rPr>
          <w:b/>
          <w:caps/>
          <w:szCs w:val="22"/>
        </w:rPr>
        <w:t>TABLE</w:t>
      </w:r>
    </w:p>
    <w:p w:rsidR="000E45C0" w:rsidRPr="000E45C0" w:rsidP="000E45C0" w14:paraId="5325145D" w14:textId="77777777">
      <w:pPr>
        <w:jc w:val="center"/>
        <w:rPr>
          <w:b/>
          <w:sz w:val="24"/>
        </w:rPr>
      </w:pPr>
      <w:r w:rsidRPr="000E45C0">
        <w:rPr>
          <w:b/>
          <w:sz w:val="24"/>
        </w:rPr>
        <w:t>IB Docket No. 20-205</w:t>
      </w:r>
    </w:p>
    <w:p w:rsidR="000E45C0" w:rsidRPr="000E45C0" w:rsidP="000E45C0" w14:paraId="508B2873" w14:textId="77777777">
      <w:pPr>
        <w:jc w:val="center"/>
        <w:rPr>
          <w:b/>
          <w:sz w:val="24"/>
        </w:rPr>
      </w:pPr>
      <w:r w:rsidRPr="000E45C0">
        <w:rPr>
          <w:b/>
          <w:sz w:val="24"/>
        </w:rPr>
        <w:t>GN Docket No. 20-305</w:t>
      </w:r>
    </w:p>
    <w:p w:rsidR="005A54F8" w:rsidP="00A5730C" w14:paraId="3E93D4EA" w14:textId="77777777">
      <w:pPr>
        <w:widowControl/>
        <w:spacing w:after="120"/>
        <w:ind w:left="1080"/>
        <w:contextualSpacing/>
        <w:rPr>
          <w:sz w:val="24"/>
        </w:rPr>
      </w:pPr>
    </w:p>
    <w:p w:rsidR="00847451" w:rsidP="007B3168" w14:paraId="44F6669B" w14:textId="7C0F4E08">
      <w:pPr>
        <w:widowControl/>
        <w:ind w:firstLine="720"/>
        <w:contextualSpacing/>
      </w:pPr>
      <w:r w:rsidRPr="000E45C0">
        <w:t xml:space="preserve">With this Public Notice, the International Bureau (the Bureau) </w:t>
      </w:r>
      <w:r>
        <w:t xml:space="preserve">issues an updated </w:t>
      </w:r>
      <w:r w:rsidR="00541710">
        <w:t>t</w:t>
      </w:r>
      <w:r w:rsidR="00B374AB">
        <w:t xml:space="preserve">able of </w:t>
      </w:r>
      <w:r w:rsidR="00541710">
        <w:t>l</w:t>
      </w:r>
      <w:r>
        <w:t xml:space="preserve">ump </w:t>
      </w:r>
      <w:r w:rsidR="00541710">
        <w:t>s</w:t>
      </w:r>
      <w:r>
        <w:t xml:space="preserve">um </w:t>
      </w:r>
      <w:r w:rsidR="00541710">
        <w:t>e</w:t>
      </w:r>
      <w:r>
        <w:t>lection</w:t>
      </w:r>
      <w:r w:rsidR="002A5163">
        <w:t>s</w:t>
      </w:r>
      <w:r w:rsidR="00813E70">
        <w:t>, primarily</w:t>
      </w:r>
      <w:r>
        <w:t xml:space="preserve"> to reflect the Bureau’s final </w:t>
      </w:r>
      <w:r w:rsidR="00813E70">
        <w:t xml:space="preserve">disposition </w:t>
      </w:r>
      <w:r>
        <w:t xml:space="preserve">of lump sum elections that had been conditionally accepted pending the submission of corrective filings in </w:t>
      </w:r>
      <w:r w:rsidR="001C6A9B">
        <w:t>the International Bureau Filing System (</w:t>
      </w:r>
      <w:r>
        <w:t>IBFS</w:t>
      </w:r>
      <w:r w:rsidR="001C6A9B">
        <w:t>)</w:t>
      </w:r>
      <w:r>
        <w:t xml:space="preserve">.  </w:t>
      </w:r>
    </w:p>
    <w:p w:rsidR="00847451" w:rsidP="007B3168" w14:paraId="7CE0FDD8" w14:textId="77777777">
      <w:pPr>
        <w:widowControl/>
        <w:ind w:firstLine="720"/>
        <w:contextualSpacing/>
      </w:pPr>
    </w:p>
    <w:p w:rsidR="00D62339" w:rsidP="007B3168" w14:paraId="3A28A7FE" w14:textId="109EEE6A">
      <w:pPr>
        <w:widowControl/>
        <w:ind w:firstLine="720"/>
        <w:contextualSpacing/>
      </w:pPr>
      <w:r>
        <w:t xml:space="preserve">On October 30, 2020, the Bureau </w:t>
      </w:r>
      <w:r w:rsidR="00356A41">
        <w:t>announce</w:t>
      </w:r>
      <w:r>
        <w:t>d</w:t>
      </w:r>
      <w:r w:rsidR="00356A41">
        <w:t xml:space="preserve"> </w:t>
      </w:r>
      <w:r w:rsidR="002A6CCE">
        <w:t xml:space="preserve">the </w:t>
      </w:r>
      <w:r>
        <w:t xml:space="preserve">completion </w:t>
      </w:r>
      <w:r w:rsidR="002A6CCE">
        <w:t xml:space="preserve">of </w:t>
      </w:r>
      <w:r w:rsidRPr="000E45C0" w:rsidR="000E45C0">
        <w:t>its</w:t>
      </w:r>
      <w:r>
        <w:t xml:space="preserve"> </w:t>
      </w:r>
      <w:r w:rsidRPr="000E45C0" w:rsidR="000E45C0">
        <w:t xml:space="preserve">review of lump sum elections submitted by earth station operators, including a </w:t>
      </w:r>
      <w:r w:rsidR="00356A41">
        <w:t>table</w:t>
      </w:r>
      <w:r w:rsidRPr="000E45C0" w:rsidR="00356A41">
        <w:t xml:space="preserve"> </w:t>
      </w:r>
      <w:r w:rsidRPr="000E45C0" w:rsidR="000E45C0">
        <w:t>of those filings deemed accepted</w:t>
      </w:r>
      <w:r w:rsidR="0023341D">
        <w:t>, conditionally acceptable, and denied</w:t>
      </w:r>
      <w:r w:rsidRPr="000E45C0" w:rsidR="000E45C0">
        <w:t xml:space="preserve"> by the Burea</w:t>
      </w:r>
      <w:r w:rsidR="00B14EEB">
        <w:t>u</w:t>
      </w:r>
      <w:r w:rsidRPr="000E45C0" w:rsidR="000E45C0">
        <w:t>.</w:t>
      </w:r>
      <w:r>
        <w:rPr>
          <w:rStyle w:val="FootnoteReference"/>
        </w:rPr>
        <w:footnoteReference w:id="3"/>
      </w:r>
      <w:r w:rsidR="00164C7B">
        <w:t xml:space="preserve"> </w:t>
      </w:r>
      <w:r w:rsidR="005A54F8">
        <w:t xml:space="preserve"> </w:t>
      </w:r>
      <w:r w:rsidRPr="00DD6AAF">
        <w:rPr>
          <w:snapToGrid/>
          <w:color w:val="000000"/>
          <w:kern w:val="0"/>
          <w:szCs w:val="22"/>
        </w:rPr>
        <w:t xml:space="preserve"> </w:t>
      </w:r>
      <w:r w:rsidR="00CE39B4">
        <w:rPr>
          <w:snapToGrid/>
          <w:color w:val="000000"/>
          <w:kern w:val="0"/>
          <w:szCs w:val="22"/>
        </w:rPr>
        <w:t xml:space="preserve">The 17 conditionally accepted </w:t>
      </w:r>
      <w:r>
        <w:rPr>
          <w:szCs w:val="22"/>
        </w:rPr>
        <w:t>lump sum elections</w:t>
      </w:r>
      <w:r w:rsidR="00CE39B4">
        <w:rPr>
          <w:szCs w:val="22"/>
        </w:rPr>
        <w:t xml:space="preserve"> were </w:t>
      </w:r>
      <w:r>
        <w:rPr>
          <w:szCs w:val="22"/>
        </w:rPr>
        <w:t xml:space="preserve">contingent upon these entities’ representations to FCC staff that they </w:t>
      </w:r>
      <w:r w:rsidR="00813E70">
        <w:rPr>
          <w:szCs w:val="22"/>
        </w:rPr>
        <w:t xml:space="preserve">would </w:t>
      </w:r>
      <w:r>
        <w:rPr>
          <w:szCs w:val="22"/>
        </w:rPr>
        <w:t xml:space="preserve">make filings to correct information in their elections and/or IBFS, which </w:t>
      </w:r>
      <w:r w:rsidR="00CE39B4">
        <w:rPr>
          <w:szCs w:val="22"/>
        </w:rPr>
        <w:t>were required to be</w:t>
      </w:r>
      <w:r w:rsidR="00B9269E">
        <w:rPr>
          <w:szCs w:val="22"/>
        </w:rPr>
        <w:t xml:space="preserve"> </w:t>
      </w:r>
      <w:r>
        <w:rPr>
          <w:szCs w:val="22"/>
        </w:rPr>
        <w:t xml:space="preserve">made on or before </w:t>
      </w:r>
      <w:r w:rsidRPr="00CE39B4">
        <w:rPr>
          <w:szCs w:val="22"/>
        </w:rPr>
        <w:t>November 9, 2020.</w:t>
      </w:r>
      <w:r w:rsidR="00CE39B4">
        <w:rPr>
          <w:szCs w:val="22"/>
        </w:rPr>
        <w:t xml:space="preserve">  </w:t>
      </w:r>
      <w:r w:rsidR="00E72FCE">
        <w:t xml:space="preserve">With this Public Notice, we </w:t>
      </w:r>
      <w:r w:rsidR="00B9269E">
        <w:t xml:space="preserve">update our </w:t>
      </w:r>
      <w:r w:rsidR="00E72FCE">
        <w:t>lump sum election</w:t>
      </w:r>
      <w:r w:rsidR="00D0327C">
        <w:t xml:space="preserve"> table to th</w:t>
      </w:r>
      <w:r w:rsidR="00813E70">
        <w:t>e</w:t>
      </w:r>
      <w:r w:rsidR="00FF4447">
        <w:t xml:space="preserve"> filings</w:t>
      </w:r>
      <w:r w:rsidR="00813E70">
        <w:t xml:space="preserve"> that were made.  We are accepting 16 </w:t>
      </w:r>
      <w:r w:rsidR="00FF4447">
        <w:t>of the 17 previously condition</w:t>
      </w:r>
      <w:r w:rsidR="00541710">
        <w:t>ally accepted lum</w:t>
      </w:r>
      <w:r w:rsidR="00FD2768">
        <w:t>p</w:t>
      </w:r>
      <w:r w:rsidR="00541710">
        <w:t xml:space="preserve"> sum elections</w:t>
      </w:r>
      <w:r w:rsidR="00E72FCE">
        <w:t>.</w:t>
      </w:r>
      <w:r>
        <w:rPr>
          <w:rStyle w:val="FootnoteReference"/>
        </w:rPr>
        <w:footnoteReference w:id="4"/>
      </w:r>
      <w:r w:rsidR="00E72FCE">
        <w:t xml:space="preserve">  </w:t>
      </w:r>
    </w:p>
    <w:p w:rsidR="00D62339" w:rsidP="007B3168" w14:paraId="50222B16" w14:textId="77777777">
      <w:pPr>
        <w:widowControl/>
        <w:ind w:firstLine="720"/>
        <w:contextualSpacing/>
      </w:pPr>
    </w:p>
    <w:p w:rsidR="000E45C0" w:rsidRPr="000E270F" w:rsidP="00356A41" w14:paraId="5BD5E30E" w14:textId="0677F2D3">
      <w:pPr>
        <w:widowControl/>
        <w:ind w:firstLine="720"/>
        <w:contextualSpacing/>
      </w:pPr>
      <w:r w:rsidRPr="000E270F">
        <w:t xml:space="preserve">In the </w:t>
      </w:r>
      <w:r w:rsidRPr="000E270F">
        <w:rPr>
          <w:i/>
          <w:iCs/>
        </w:rPr>
        <w:t>3.7 GHz</w:t>
      </w:r>
      <w:r w:rsidRPr="000E270F">
        <w:rPr>
          <w:i/>
        </w:rPr>
        <w:t xml:space="preserve"> Band </w:t>
      </w:r>
      <w:r w:rsidRPr="000E270F">
        <w:rPr>
          <w:i/>
          <w:iCs/>
        </w:rPr>
        <w:t>Report and Order</w:t>
      </w:r>
      <w:r w:rsidR="0091248A">
        <w:t>,</w:t>
      </w:r>
      <w:r w:rsidRPr="000E270F">
        <w:rPr>
          <w:i/>
          <w:iCs/>
        </w:rPr>
        <w:t xml:space="preserve"> </w:t>
      </w:r>
      <w:r w:rsidRPr="000E270F">
        <w:t>the Commission defined the criteria that earth stations must satisfy to be eligible as</w:t>
      </w:r>
      <w:r w:rsidRPr="000E270F" w:rsidR="005A54F8">
        <w:t xml:space="preserve"> </w:t>
      </w:r>
      <w:r w:rsidRPr="000E270F">
        <w:t>incumbent earth stations to receive reimbursement for their reasonable relocation costs.</w:t>
      </w:r>
      <w:r>
        <w:rPr>
          <w:snapToGrid/>
          <w:kern w:val="0"/>
          <w:szCs w:val="22"/>
          <w:vertAlign w:val="superscript"/>
        </w:rPr>
        <w:footnoteReference w:id="5"/>
      </w:r>
      <w:r w:rsidRPr="000E270F">
        <w:rPr>
          <w:snapToGrid/>
          <w:color w:val="000000"/>
          <w:kern w:val="0"/>
        </w:rPr>
        <w:t xml:space="preserve"> </w:t>
      </w:r>
      <w:r w:rsidRPr="000E270F">
        <w:t xml:space="preserve"> The </w:t>
      </w:r>
      <w:r w:rsidRPr="000E270F">
        <w:rPr>
          <w:i/>
        </w:rPr>
        <w:t xml:space="preserve">3.7 GHz Band Report and Order </w:t>
      </w:r>
      <w:r w:rsidRPr="000E270F" w:rsidR="00E77820">
        <w:rPr>
          <w:iCs/>
        </w:rPr>
        <w:t xml:space="preserve">also </w:t>
      </w:r>
      <w:r w:rsidRPr="000E270F">
        <w:t>established that incumbent FSS earth station operators may accept either:  (1) reimbursement for their actual reasonable relocation costs to maintain satellite reception; or (2) a lump sum reimbursement “based on the average, estimated costs of relocating all of their incumbent earth stations” to the upper 200 megahertz of the C-band.</w:t>
      </w:r>
      <w:r>
        <w:rPr>
          <w:vertAlign w:val="superscript"/>
        </w:rPr>
        <w:footnoteReference w:id="6"/>
      </w:r>
      <w:r w:rsidRPr="000E270F">
        <w:t xml:space="preserve">  The </w:t>
      </w:r>
      <w:r w:rsidRPr="000E270F">
        <w:rPr>
          <w:i/>
          <w:iCs/>
        </w:rPr>
        <w:t>3.7 GHz Band Report and Order</w:t>
      </w:r>
      <w:r w:rsidRPr="000E270F">
        <w:t xml:space="preserve"> required that incumbent earth station operators (including any affiliates) elect the lump </w:t>
      </w:r>
      <w:r w:rsidRPr="000E270F">
        <w:t xml:space="preserve">sum option for either all of </w:t>
      </w:r>
      <w:r w:rsidRPr="000E270F" w:rsidR="00A939CB">
        <w:t xml:space="preserve">their </w:t>
      </w:r>
      <w:r w:rsidRPr="000E270F">
        <w:t>incumbent earth stations (within the contiguous United States) or none of them.</w:t>
      </w:r>
      <w:r>
        <w:rPr>
          <w:vertAlign w:val="superscript"/>
        </w:rPr>
        <w:footnoteReference w:id="7"/>
      </w:r>
      <w:r w:rsidRPr="000E270F">
        <w:t xml:space="preserve">  </w:t>
      </w:r>
    </w:p>
    <w:p w:rsidR="00356A41" w:rsidRPr="000E270F" w:rsidP="007B3168" w14:paraId="2231DF8E" w14:textId="77777777">
      <w:pPr>
        <w:widowControl/>
        <w:ind w:firstLine="720"/>
        <w:contextualSpacing/>
        <w:rPr>
          <w:snapToGrid/>
          <w:color w:val="000000"/>
          <w:kern w:val="0"/>
          <w:szCs w:val="22"/>
        </w:rPr>
      </w:pPr>
    </w:p>
    <w:p w:rsidR="00356A41" w:rsidRPr="000E270F" w:rsidP="00356A41" w14:paraId="62092B1D" w14:textId="315B3E5F">
      <w:pPr>
        <w:ind w:firstLine="720"/>
      </w:pPr>
      <w:r w:rsidRPr="000E270F">
        <w:t>On</w:t>
      </w:r>
      <w:r w:rsidRPr="000E270F" w:rsidR="00401EE5">
        <w:t xml:space="preserve"> </w:t>
      </w:r>
      <w:r w:rsidRPr="000E270F">
        <w:t>Ju</w:t>
      </w:r>
      <w:r w:rsidRPr="000E270F" w:rsidR="00401EE5">
        <w:t>l</w:t>
      </w:r>
      <w:r w:rsidRPr="000E270F">
        <w:t>y 30, 2020, the Wireless Telecommunications Bureau released a Public Notice establish</w:t>
      </w:r>
      <w:r w:rsidRPr="000E270F" w:rsidR="007F0B7C">
        <w:t>ing the</w:t>
      </w:r>
      <w:r w:rsidRPr="000E270F">
        <w:t xml:space="preserve"> process for electing lump sum payments, including the specific information required to make a lump sum election and a requirement that the election include a six-part certification by a duly authorized representative with authority to bind the earth station.</w:t>
      </w:r>
      <w:r>
        <w:rPr>
          <w:vertAlign w:val="superscript"/>
        </w:rPr>
        <w:footnoteReference w:id="8"/>
      </w:r>
      <w:r w:rsidRPr="000E270F">
        <w:t xml:space="preserve">  The Public Notice required that incumbent earth station owners make their lump sum payment election no later than August 31, 2020, a date that was later extended until September 14, 2020.</w:t>
      </w:r>
      <w:r>
        <w:rPr>
          <w:vertAlign w:val="superscript"/>
        </w:rPr>
        <w:footnoteReference w:id="9"/>
      </w:r>
      <w:r w:rsidRPr="000E270F">
        <w:t xml:space="preserve">  </w:t>
      </w:r>
    </w:p>
    <w:p w:rsidR="00356A41" w:rsidRPr="000E270F" w:rsidP="007B3168" w14:paraId="316DF499" w14:textId="77777777">
      <w:pPr>
        <w:ind w:firstLine="720"/>
      </w:pPr>
    </w:p>
    <w:p w:rsidR="00DD785D" w:rsidP="00356A41" w14:paraId="54838D14" w14:textId="08743518">
      <w:pPr>
        <w:ind w:firstLine="720"/>
        <w:rPr>
          <w:szCs w:val="22"/>
        </w:rPr>
      </w:pPr>
      <w:r w:rsidRPr="000E270F">
        <w:rPr>
          <w:szCs w:val="22"/>
        </w:rPr>
        <w:t>Approximately 2,000 filings from more than 1,500 separate filers were submitted in</w:t>
      </w:r>
      <w:r w:rsidR="007D66D0">
        <w:rPr>
          <w:szCs w:val="22"/>
        </w:rPr>
        <w:t xml:space="preserve"> the</w:t>
      </w:r>
      <w:r w:rsidRPr="000E270F">
        <w:rPr>
          <w:szCs w:val="22"/>
        </w:rPr>
        <w:t xml:space="preserve"> </w:t>
      </w:r>
      <w:r w:rsidR="00F466EA">
        <w:rPr>
          <w:szCs w:val="22"/>
        </w:rPr>
        <w:t>Electronic Comment Filing System (</w:t>
      </w:r>
      <w:r w:rsidRPr="000E270F">
        <w:rPr>
          <w:szCs w:val="22"/>
        </w:rPr>
        <w:t>ECFS</w:t>
      </w:r>
      <w:r w:rsidR="00F466EA">
        <w:rPr>
          <w:szCs w:val="22"/>
        </w:rPr>
        <w:t>)</w:t>
      </w:r>
      <w:r w:rsidRPr="000E270F">
        <w:rPr>
          <w:szCs w:val="22"/>
        </w:rPr>
        <w:t xml:space="preserve"> by the September 14, 2020, deadline.</w:t>
      </w:r>
      <w:r>
        <w:rPr>
          <w:szCs w:val="22"/>
          <w:vertAlign w:val="superscript"/>
        </w:rPr>
        <w:footnoteReference w:id="10"/>
      </w:r>
      <w:r w:rsidRPr="000E270F">
        <w:rPr>
          <w:szCs w:val="22"/>
        </w:rPr>
        <w:t xml:space="preserve">  The Bureau reviewed all of these submissions for compliance with the lump sum requirements</w:t>
      </w:r>
      <w:r w:rsidR="009A7B3A">
        <w:rPr>
          <w:szCs w:val="22"/>
        </w:rPr>
        <w:t>.</w:t>
      </w:r>
      <w:r w:rsidR="00AD1AE1">
        <w:rPr>
          <w:szCs w:val="22"/>
        </w:rPr>
        <w:t xml:space="preserve"> </w:t>
      </w:r>
      <w:r w:rsidRPr="000E270F" w:rsidR="0084078D">
        <w:rPr>
          <w:szCs w:val="22"/>
        </w:rPr>
        <w:t xml:space="preserve"> </w:t>
      </w:r>
      <w:r w:rsidRPr="000E270F">
        <w:rPr>
          <w:szCs w:val="22"/>
        </w:rPr>
        <w:t>During the course of the review, Bureau staff requested filers electing to receive lump sum payments to make filings to bring the information in their lump sum elections and the information in IBFS into conformance</w:t>
      </w:r>
      <w:r w:rsidR="002966B2">
        <w:rPr>
          <w:szCs w:val="22"/>
        </w:rPr>
        <w:t xml:space="preserve"> </w:t>
      </w:r>
      <w:r w:rsidR="003E2CD4">
        <w:rPr>
          <w:szCs w:val="22"/>
        </w:rPr>
        <w:t>with those requirements to the extent the elections were incomplete or otherwise failed to comply</w:t>
      </w:r>
      <w:r w:rsidRPr="000E270F" w:rsidR="003E2CD4">
        <w:rPr>
          <w:szCs w:val="22"/>
        </w:rPr>
        <w:t>.</w:t>
      </w:r>
      <w:r w:rsidRPr="000E270F">
        <w:rPr>
          <w:szCs w:val="22"/>
        </w:rPr>
        <w:t xml:space="preserve"> </w:t>
      </w:r>
      <w:r w:rsidR="000B2336">
        <w:rPr>
          <w:szCs w:val="22"/>
        </w:rPr>
        <w:t>Responsive</w:t>
      </w:r>
      <w:r w:rsidR="00531208">
        <w:rPr>
          <w:szCs w:val="22"/>
        </w:rPr>
        <w:t xml:space="preserve"> </w:t>
      </w:r>
      <w:r w:rsidRPr="000E270F">
        <w:rPr>
          <w:szCs w:val="22"/>
        </w:rPr>
        <w:t xml:space="preserve"> filings have included errata to lump sum elections in ECFS to revise the information included in those filings, as well as a substantial number of filings in IBFS to correct the information in that licensing system and therefore in the incumbent earth station list. </w:t>
      </w:r>
      <w:r w:rsidRPr="000E270F" w:rsidR="007F0B7C">
        <w:rPr>
          <w:szCs w:val="22"/>
        </w:rPr>
        <w:t xml:space="preserve"> Those </w:t>
      </w:r>
      <w:r w:rsidRPr="000E270F" w:rsidR="00E77820">
        <w:rPr>
          <w:szCs w:val="22"/>
        </w:rPr>
        <w:t xml:space="preserve">corrective </w:t>
      </w:r>
      <w:r w:rsidRPr="000E270F" w:rsidR="007F0B7C">
        <w:rPr>
          <w:szCs w:val="22"/>
        </w:rPr>
        <w:t xml:space="preserve">filings were necessary </w:t>
      </w:r>
      <w:r w:rsidRPr="000E270F" w:rsidR="00E77820">
        <w:rPr>
          <w:szCs w:val="22"/>
        </w:rPr>
        <w:t>for the Bureau to accept the requested lump sum elections.</w:t>
      </w:r>
    </w:p>
    <w:p w:rsidR="00356A41" w:rsidP="007B3168" w14:paraId="7FD4AF0C" w14:textId="77777777">
      <w:pPr>
        <w:ind w:firstLine="720"/>
      </w:pPr>
    </w:p>
    <w:p w:rsidR="00DD785D" w:rsidP="00356A41" w14:paraId="423DA680" w14:textId="773B2E7B">
      <w:pPr>
        <w:ind w:firstLine="720"/>
        <w:rPr>
          <w:snapToGrid/>
          <w:color w:val="000000"/>
          <w:kern w:val="0"/>
          <w:szCs w:val="22"/>
        </w:rPr>
      </w:pPr>
      <w:r w:rsidRPr="000E45C0">
        <w:rPr>
          <w:snapToGrid/>
          <w:color w:val="000000"/>
          <w:kern w:val="0"/>
          <w:szCs w:val="22"/>
        </w:rPr>
        <w:t>The</w:t>
      </w:r>
      <w:r w:rsidR="008805A4">
        <w:rPr>
          <w:snapToGrid/>
          <w:color w:val="000000"/>
          <w:kern w:val="0"/>
          <w:szCs w:val="22"/>
        </w:rPr>
        <w:t xml:space="preserve"> updated</w:t>
      </w:r>
      <w:r w:rsidRPr="000E45C0">
        <w:rPr>
          <w:snapToGrid/>
          <w:color w:val="000000"/>
          <w:kern w:val="0"/>
          <w:szCs w:val="22"/>
        </w:rPr>
        <w:t xml:space="preserve"> results of the Bureau’s review are shown in the attached </w:t>
      </w:r>
      <w:r w:rsidRPr="00DD6AAF">
        <w:rPr>
          <w:snapToGrid/>
          <w:color w:val="000000"/>
          <w:kern w:val="0"/>
          <w:szCs w:val="22"/>
        </w:rPr>
        <w:t xml:space="preserve">Table of Lump Sum Elections.  </w:t>
      </w:r>
      <w:r w:rsidRPr="00DD6AAF">
        <w:rPr>
          <w:szCs w:val="22"/>
        </w:rPr>
        <w:t xml:space="preserve">In particular, as of the release of this Public Notice, the Bureau has Accepted </w:t>
      </w:r>
      <w:r w:rsidR="00440796">
        <w:rPr>
          <w:szCs w:val="22"/>
        </w:rPr>
        <w:t>1</w:t>
      </w:r>
      <w:r w:rsidR="00DB2218">
        <w:rPr>
          <w:szCs w:val="22"/>
        </w:rPr>
        <w:t>,</w:t>
      </w:r>
      <w:r w:rsidR="00440796">
        <w:rPr>
          <w:szCs w:val="22"/>
        </w:rPr>
        <w:t>476</w:t>
      </w:r>
      <w:r w:rsidRPr="00DD6AAF">
        <w:rPr>
          <w:szCs w:val="22"/>
        </w:rPr>
        <w:t xml:space="preserve"> out of a total of 1,5</w:t>
      </w:r>
      <w:r w:rsidRPr="00DD6AAF" w:rsidR="00445AA5">
        <w:rPr>
          <w:szCs w:val="22"/>
        </w:rPr>
        <w:t>1</w:t>
      </w:r>
      <w:r w:rsidR="00440796">
        <w:rPr>
          <w:szCs w:val="22"/>
        </w:rPr>
        <w:t>0</w:t>
      </w:r>
      <w:r w:rsidRPr="00DD6AAF" w:rsidR="00DD6AAF">
        <w:rPr>
          <w:szCs w:val="22"/>
        </w:rPr>
        <w:t xml:space="preserve"> </w:t>
      </w:r>
      <w:r w:rsidRPr="00DD6AAF">
        <w:rPr>
          <w:szCs w:val="22"/>
        </w:rPr>
        <w:t xml:space="preserve">lump sum elections, or </w:t>
      </w:r>
      <w:r w:rsidR="00440796">
        <w:rPr>
          <w:szCs w:val="22"/>
        </w:rPr>
        <w:t>97.7%</w:t>
      </w:r>
      <w:r w:rsidRPr="00DD6AAF">
        <w:rPr>
          <w:szCs w:val="22"/>
        </w:rPr>
        <w:t xml:space="preserve"> of elections.</w:t>
      </w:r>
      <w:r>
        <w:rPr>
          <w:szCs w:val="22"/>
          <w:vertAlign w:val="superscript"/>
        </w:rPr>
        <w:footnoteReference w:id="11"/>
      </w:r>
      <w:r w:rsidRPr="00DD6AAF">
        <w:rPr>
          <w:szCs w:val="22"/>
        </w:rPr>
        <w:t xml:space="preserve">  </w:t>
      </w:r>
      <w:r w:rsidR="008805A4">
        <w:rPr>
          <w:szCs w:val="22"/>
        </w:rPr>
        <w:t>W</w:t>
      </w:r>
      <w:r w:rsidRPr="00DD6AAF" w:rsidR="004D79DE">
        <w:rPr>
          <w:szCs w:val="22"/>
        </w:rPr>
        <w:t xml:space="preserve">e </w:t>
      </w:r>
      <w:r w:rsidR="00283E01">
        <w:rPr>
          <w:szCs w:val="22"/>
        </w:rPr>
        <w:t>ha</w:t>
      </w:r>
      <w:r w:rsidR="00F57FCC">
        <w:rPr>
          <w:szCs w:val="22"/>
        </w:rPr>
        <w:t>ve</w:t>
      </w:r>
      <w:r w:rsidR="00283E01">
        <w:rPr>
          <w:szCs w:val="22"/>
        </w:rPr>
        <w:t xml:space="preserve"> </w:t>
      </w:r>
      <w:r w:rsidRPr="00DD6AAF" w:rsidR="004D79DE">
        <w:rPr>
          <w:szCs w:val="22"/>
        </w:rPr>
        <w:t>den</w:t>
      </w:r>
      <w:r w:rsidR="008805A4">
        <w:rPr>
          <w:szCs w:val="22"/>
        </w:rPr>
        <w:t>ied</w:t>
      </w:r>
      <w:r w:rsidRPr="00DD6AAF" w:rsidR="004D79DE">
        <w:rPr>
          <w:szCs w:val="22"/>
        </w:rPr>
        <w:t xml:space="preserve"> </w:t>
      </w:r>
      <w:r w:rsidR="00440796">
        <w:rPr>
          <w:szCs w:val="22"/>
        </w:rPr>
        <w:t>34</w:t>
      </w:r>
      <w:r w:rsidR="004D79DE">
        <w:rPr>
          <w:szCs w:val="22"/>
        </w:rPr>
        <w:t xml:space="preserve"> lump sum elections, or </w:t>
      </w:r>
      <w:r w:rsidR="00DD6AAF">
        <w:rPr>
          <w:szCs w:val="22"/>
        </w:rPr>
        <w:t>2.</w:t>
      </w:r>
      <w:r w:rsidR="00440796">
        <w:rPr>
          <w:szCs w:val="22"/>
        </w:rPr>
        <w:t>3</w:t>
      </w:r>
      <w:r w:rsidR="00DD6AAF">
        <w:rPr>
          <w:szCs w:val="22"/>
        </w:rPr>
        <w:t>%</w:t>
      </w:r>
      <w:r w:rsidR="004D79DE">
        <w:rPr>
          <w:szCs w:val="22"/>
        </w:rPr>
        <w:t xml:space="preserve"> of elections.</w:t>
      </w:r>
      <w:r>
        <w:rPr>
          <w:rStyle w:val="FootnoteReference"/>
          <w:szCs w:val="22"/>
        </w:rPr>
        <w:footnoteReference w:id="12"/>
      </w:r>
      <w:r w:rsidR="004D79DE">
        <w:rPr>
          <w:szCs w:val="22"/>
        </w:rPr>
        <w:t xml:space="preserve">  </w:t>
      </w:r>
    </w:p>
    <w:p w:rsidR="00356A41" w:rsidP="007B3168" w14:paraId="15B30C5F" w14:textId="77777777">
      <w:pPr>
        <w:ind w:firstLine="720"/>
      </w:pPr>
    </w:p>
    <w:p w:rsidR="003A0717" w14:paraId="4481D328" w14:textId="77777777">
      <w:pPr>
        <w:widowControl/>
        <w:rPr>
          <w:snapToGrid/>
          <w:color w:val="000000"/>
          <w:kern w:val="0"/>
          <w:szCs w:val="22"/>
        </w:rPr>
      </w:pPr>
      <w:r>
        <w:rPr>
          <w:snapToGrid/>
          <w:color w:val="000000"/>
          <w:kern w:val="0"/>
          <w:szCs w:val="22"/>
        </w:rPr>
        <w:br w:type="page"/>
      </w:r>
    </w:p>
    <w:p w:rsidR="005A02F2" w:rsidRPr="008805A4" w:rsidP="008805A4" w14:paraId="18C00380" w14:textId="791C0F3F">
      <w:pPr>
        <w:ind w:firstLine="720"/>
        <w:rPr>
          <w:snapToGrid/>
          <w:color w:val="000000"/>
          <w:kern w:val="0"/>
          <w:szCs w:val="22"/>
        </w:rPr>
      </w:pPr>
      <w:r w:rsidRPr="000E45C0">
        <w:rPr>
          <w:snapToGrid/>
          <w:color w:val="000000"/>
          <w:kern w:val="0"/>
          <w:szCs w:val="22"/>
        </w:rPr>
        <w:t>The Table is organized by the name of the entity making the lump sum election.  It then lists the names of the one or more registrants or licensees in the Incumbent Earth Station List included in that lump sum election.  A lump sum election is listed as “Accepted” in the Status column if, after any necessary revisions have been made in the lump sum filing and/or in IBFS, a lump sum election has been found to satisfy the basic requirements to qualify for that election, including the requirement that the election include all of the earth station operator’s incumbent earth stations.</w:t>
      </w:r>
      <w:r>
        <w:rPr>
          <w:snapToGrid/>
          <w:vertAlign w:val="superscript"/>
        </w:rPr>
        <w:footnoteReference w:id="13"/>
      </w:r>
      <w:r w:rsidRPr="000E45C0">
        <w:rPr>
          <w:snapToGrid/>
          <w:color w:val="000000"/>
          <w:kern w:val="0"/>
          <w:szCs w:val="22"/>
        </w:rPr>
        <w:t xml:space="preserve">  In those cases, the information </w:t>
      </w:r>
      <w:r w:rsidR="0024498D">
        <w:rPr>
          <w:snapToGrid/>
          <w:color w:val="000000"/>
          <w:kern w:val="0"/>
          <w:szCs w:val="22"/>
        </w:rPr>
        <w:t xml:space="preserve">submitted </w:t>
      </w:r>
      <w:r w:rsidRPr="000E45C0">
        <w:rPr>
          <w:snapToGrid/>
          <w:color w:val="000000"/>
          <w:kern w:val="0"/>
          <w:szCs w:val="22"/>
        </w:rPr>
        <w:t xml:space="preserve">in the lump sum election should be consistent with the information contained in the </w:t>
      </w:r>
      <w:r w:rsidRPr="004571AC" w:rsidR="00FD574E">
        <w:rPr>
          <w:snapToGrid/>
          <w:color w:val="000000"/>
          <w:kern w:val="0"/>
          <w:szCs w:val="22"/>
        </w:rPr>
        <w:t xml:space="preserve">October </w:t>
      </w:r>
      <w:r w:rsidR="008805A4">
        <w:rPr>
          <w:snapToGrid/>
          <w:color w:val="000000"/>
          <w:kern w:val="0"/>
          <w:szCs w:val="22"/>
        </w:rPr>
        <w:t>30</w:t>
      </w:r>
      <w:r w:rsidRPr="004571AC" w:rsidR="00FD574E">
        <w:rPr>
          <w:snapToGrid/>
          <w:color w:val="000000"/>
          <w:kern w:val="0"/>
          <w:szCs w:val="22"/>
        </w:rPr>
        <w:t xml:space="preserve"> </w:t>
      </w:r>
      <w:r w:rsidR="004571AC">
        <w:rPr>
          <w:snapToGrid/>
          <w:color w:val="000000"/>
          <w:kern w:val="0"/>
          <w:szCs w:val="22"/>
        </w:rPr>
        <w:t>i</w:t>
      </w:r>
      <w:r w:rsidRPr="004571AC" w:rsidR="00FD574E">
        <w:rPr>
          <w:snapToGrid/>
          <w:color w:val="000000"/>
          <w:kern w:val="0"/>
          <w:szCs w:val="22"/>
        </w:rPr>
        <w:t xml:space="preserve">ncumbent </w:t>
      </w:r>
      <w:r w:rsidR="004571AC">
        <w:rPr>
          <w:snapToGrid/>
          <w:color w:val="000000"/>
          <w:kern w:val="0"/>
          <w:szCs w:val="22"/>
        </w:rPr>
        <w:t>e</w:t>
      </w:r>
      <w:r w:rsidRPr="004571AC" w:rsidR="00FD574E">
        <w:rPr>
          <w:snapToGrid/>
          <w:color w:val="000000"/>
          <w:kern w:val="0"/>
          <w:szCs w:val="22"/>
        </w:rPr>
        <w:t xml:space="preserve">arth </w:t>
      </w:r>
      <w:r w:rsidR="004571AC">
        <w:rPr>
          <w:snapToGrid/>
          <w:color w:val="000000"/>
          <w:kern w:val="0"/>
          <w:szCs w:val="22"/>
        </w:rPr>
        <w:t>s</w:t>
      </w:r>
      <w:r w:rsidRPr="004571AC" w:rsidR="00FD574E">
        <w:rPr>
          <w:snapToGrid/>
          <w:color w:val="000000"/>
          <w:kern w:val="0"/>
          <w:szCs w:val="22"/>
        </w:rPr>
        <w:t xml:space="preserve">tation </w:t>
      </w:r>
      <w:r w:rsidR="004571AC">
        <w:rPr>
          <w:snapToGrid/>
          <w:color w:val="000000"/>
          <w:kern w:val="0"/>
          <w:szCs w:val="22"/>
        </w:rPr>
        <w:t>l</w:t>
      </w:r>
      <w:r w:rsidRPr="000E45C0">
        <w:rPr>
          <w:snapToGrid/>
          <w:color w:val="000000"/>
          <w:kern w:val="0"/>
          <w:szCs w:val="22"/>
        </w:rPr>
        <w:t>ist</w:t>
      </w:r>
      <w:r w:rsidR="003E61D3">
        <w:rPr>
          <w:snapToGrid/>
          <w:color w:val="000000"/>
          <w:kern w:val="0"/>
          <w:szCs w:val="22"/>
        </w:rPr>
        <w:t>, as supplemented by additional filings in IBFS</w:t>
      </w:r>
      <w:r w:rsidRPr="000E45C0">
        <w:rPr>
          <w:snapToGrid/>
          <w:color w:val="000000"/>
          <w:kern w:val="0"/>
          <w:szCs w:val="22"/>
        </w:rPr>
        <w:t>.</w:t>
      </w:r>
      <w:r>
        <w:rPr>
          <w:snapToGrid/>
          <w:vertAlign w:val="superscript"/>
        </w:rPr>
        <w:footnoteReference w:id="14"/>
      </w:r>
      <w:r w:rsidRPr="000E45C0">
        <w:rPr>
          <w:snapToGrid/>
          <w:color w:val="000000"/>
          <w:kern w:val="0"/>
          <w:szCs w:val="22"/>
        </w:rPr>
        <w:t xml:space="preserve">  More detailed information on the lump sum election</w:t>
      </w:r>
      <w:r w:rsidR="00792E22">
        <w:rPr>
          <w:snapToGrid/>
          <w:color w:val="000000"/>
          <w:kern w:val="0"/>
          <w:szCs w:val="22"/>
        </w:rPr>
        <w:t>s</w:t>
      </w:r>
      <w:r w:rsidRPr="000E45C0">
        <w:rPr>
          <w:snapToGrid/>
          <w:color w:val="000000"/>
          <w:kern w:val="0"/>
          <w:szCs w:val="22"/>
        </w:rPr>
        <w:t xml:space="preserve"> can be found in the relevant election filing(s) in ECFS</w:t>
      </w:r>
      <w:r w:rsidR="00805C22">
        <w:rPr>
          <w:snapToGrid/>
          <w:color w:val="000000"/>
          <w:kern w:val="0"/>
          <w:szCs w:val="22"/>
        </w:rPr>
        <w:t>, as well as in the Updated Incumbent Earth Station List that is being released at the same time of this Table.</w:t>
      </w:r>
    </w:p>
    <w:p w:rsidR="005A02F2" w:rsidRPr="007B3168" w:rsidP="005A02F2" w14:paraId="7654F82C" w14:textId="71BF4C8E">
      <w:pPr>
        <w:rPr>
          <w:color w:val="000000"/>
          <w:szCs w:val="22"/>
        </w:rPr>
      </w:pPr>
    </w:p>
    <w:p w:rsidR="000A3DE3" w:rsidRPr="00A5707B" w:rsidP="007B3168" w14:paraId="482A7427" w14:textId="1A1489B3">
      <w:pPr>
        <w:ind w:firstLine="720"/>
        <w:rPr>
          <w:color w:val="000000"/>
          <w:szCs w:val="22"/>
        </w:rPr>
      </w:pPr>
      <w:r>
        <w:rPr>
          <w:color w:val="000000"/>
          <w:szCs w:val="22"/>
        </w:rPr>
        <w:t xml:space="preserve">The </w:t>
      </w:r>
      <w:r w:rsidR="00FD3756">
        <w:rPr>
          <w:color w:val="000000"/>
          <w:szCs w:val="22"/>
        </w:rPr>
        <w:t xml:space="preserve">column in the </w:t>
      </w:r>
      <w:r>
        <w:rPr>
          <w:color w:val="000000"/>
          <w:szCs w:val="22"/>
        </w:rPr>
        <w:t xml:space="preserve">Table </w:t>
      </w:r>
      <w:r w:rsidR="00FD3756">
        <w:rPr>
          <w:color w:val="000000"/>
          <w:szCs w:val="22"/>
        </w:rPr>
        <w:t>titled “Incumbent Earth Station Registrant/Licensee as on the August 3</w:t>
      </w:r>
      <w:r w:rsidRPr="00FD3756" w:rsidR="00FD3756">
        <w:rPr>
          <w:color w:val="000000"/>
          <w:szCs w:val="22"/>
          <w:vertAlign w:val="superscript"/>
        </w:rPr>
        <w:t>rd</w:t>
      </w:r>
      <w:r w:rsidR="00FD3756">
        <w:rPr>
          <w:color w:val="000000"/>
          <w:szCs w:val="22"/>
        </w:rPr>
        <w:t xml:space="preserve"> Incumbent List” does not</w:t>
      </w:r>
      <w:r>
        <w:rPr>
          <w:color w:val="000000"/>
          <w:szCs w:val="22"/>
        </w:rPr>
        <w:t xml:space="preserve"> reflect any</w:t>
      </w:r>
      <w:r w:rsidRPr="007B3168">
        <w:rPr>
          <w:color w:val="000000"/>
          <w:szCs w:val="22"/>
        </w:rPr>
        <w:t xml:space="preserve"> recent assignment or sale of an incumbent earth station </w:t>
      </w:r>
      <w:r>
        <w:rPr>
          <w:color w:val="000000"/>
          <w:szCs w:val="22"/>
        </w:rPr>
        <w:t xml:space="preserve">that </w:t>
      </w:r>
      <w:r w:rsidRPr="007B3168">
        <w:rPr>
          <w:color w:val="000000"/>
          <w:szCs w:val="22"/>
        </w:rPr>
        <w:t xml:space="preserve">resulted in a mismatch between the name of the earth station operator on the </w:t>
      </w:r>
      <w:r w:rsidR="00FD3756">
        <w:rPr>
          <w:color w:val="000000"/>
          <w:szCs w:val="22"/>
        </w:rPr>
        <w:t xml:space="preserve">updated </w:t>
      </w:r>
      <w:r w:rsidRPr="007B3168">
        <w:rPr>
          <w:color w:val="000000"/>
          <w:szCs w:val="22"/>
        </w:rPr>
        <w:t>incumbent earth station list</w:t>
      </w:r>
      <w:r w:rsidR="00FD3756">
        <w:rPr>
          <w:color w:val="000000"/>
          <w:szCs w:val="22"/>
        </w:rPr>
        <w:t xml:space="preserve"> also being released today</w:t>
      </w:r>
      <w:r w:rsidRPr="007B3168">
        <w:rPr>
          <w:color w:val="000000"/>
          <w:szCs w:val="22"/>
        </w:rPr>
        <w:t xml:space="preserve">, and the name of the </w:t>
      </w:r>
      <w:r w:rsidR="00FD3756">
        <w:rPr>
          <w:color w:val="000000"/>
          <w:szCs w:val="22"/>
        </w:rPr>
        <w:t xml:space="preserve">earth station operator on the incumbent earth station list released on August 3, 2020.  </w:t>
      </w:r>
      <w:r w:rsidRPr="007B3168">
        <w:rPr>
          <w:color w:val="000000"/>
          <w:szCs w:val="22"/>
        </w:rPr>
        <w:t xml:space="preserve">In those cases, the earth station operators </w:t>
      </w:r>
      <w:r w:rsidR="00FD3756">
        <w:rPr>
          <w:color w:val="000000"/>
          <w:szCs w:val="22"/>
        </w:rPr>
        <w:t>were</w:t>
      </w:r>
      <w:r>
        <w:rPr>
          <w:color w:val="000000"/>
          <w:szCs w:val="22"/>
        </w:rPr>
        <w:t xml:space="preserve"> directed to</w:t>
      </w:r>
      <w:r w:rsidR="002F0195">
        <w:rPr>
          <w:color w:val="000000"/>
          <w:szCs w:val="22"/>
        </w:rPr>
        <w:t xml:space="preserve"> file</w:t>
      </w:r>
      <w:r w:rsidRPr="00A5707B">
        <w:rPr>
          <w:color w:val="000000"/>
          <w:szCs w:val="22"/>
        </w:rPr>
        <w:t xml:space="preserve"> post-consummation notifications in IBFS as soon practicable</w:t>
      </w:r>
      <w:r>
        <w:rPr>
          <w:color w:val="000000"/>
          <w:szCs w:val="22"/>
        </w:rPr>
        <w:t xml:space="preserve"> </w:t>
      </w:r>
      <w:r w:rsidRPr="007B3168">
        <w:rPr>
          <w:color w:val="000000"/>
          <w:szCs w:val="22"/>
        </w:rPr>
        <w:t>in order to accurately reflect the current earth station registrant or licensee.</w:t>
      </w:r>
      <w:r>
        <w:rPr>
          <w:rStyle w:val="FootnoteReference"/>
          <w:szCs w:val="22"/>
        </w:rPr>
        <w:footnoteReference w:id="15"/>
      </w:r>
      <w:r w:rsidRPr="007B3168">
        <w:rPr>
          <w:color w:val="000000"/>
          <w:szCs w:val="22"/>
        </w:rPr>
        <w:t> </w:t>
      </w:r>
    </w:p>
    <w:p w:rsidR="000A3DE3" w:rsidRPr="007B3168" w:rsidP="00A5707B" w14:paraId="52E8CDC2" w14:textId="77777777">
      <w:pPr>
        <w:rPr>
          <w:color w:val="000000"/>
          <w:szCs w:val="22"/>
        </w:rPr>
      </w:pPr>
    </w:p>
    <w:p w:rsidR="001C7E7C" w:rsidRPr="007B3168" w:rsidP="007B3168" w14:paraId="3BFFA213" w14:textId="3E33030B">
      <w:pPr>
        <w:rPr>
          <w:snapToGrid/>
          <w:color w:val="000000"/>
          <w:kern w:val="0"/>
          <w:szCs w:val="22"/>
        </w:rPr>
      </w:pPr>
      <w:r w:rsidRPr="007B3168">
        <w:rPr>
          <w:color w:val="000000"/>
          <w:szCs w:val="22"/>
        </w:rPr>
        <w:tab/>
      </w:r>
      <w:r w:rsidRPr="007B3168" w:rsidR="000A3DE3">
        <w:rPr>
          <w:color w:val="000000"/>
          <w:szCs w:val="22"/>
        </w:rPr>
        <w:t xml:space="preserve">Finally, the attached Table identifies lump sum election requests that </w:t>
      </w:r>
      <w:r w:rsidRPr="007B3168" w:rsidR="00390132">
        <w:rPr>
          <w:color w:val="000000"/>
          <w:szCs w:val="22"/>
        </w:rPr>
        <w:t>the Bureau has denied</w:t>
      </w:r>
      <w:r w:rsidRPr="007B3168" w:rsidR="000A3DE3">
        <w:rPr>
          <w:color w:val="000000"/>
          <w:szCs w:val="22"/>
        </w:rPr>
        <w:t xml:space="preserve"> as not satisfying the requirements for a valid election.  </w:t>
      </w:r>
      <w:r w:rsidRPr="007B3168" w:rsidR="001B6B5C">
        <w:rPr>
          <w:color w:val="000000"/>
          <w:szCs w:val="22"/>
        </w:rPr>
        <w:t>R</w:t>
      </w:r>
      <w:r w:rsidRPr="007B3168" w:rsidR="000B51B3">
        <w:rPr>
          <w:color w:val="000000"/>
          <w:szCs w:val="22"/>
        </w:rPr>
        <w:t>easons for den</w:t>
      </w:r>
      <w:r w:rsidRPr="007B3168" w:rsidR="00021F32">
        <w:rPr>
          <w:color w:val="000000"/>
          <w:szCs w:val="22"/>
        </w:rPr>
        <w:t>ial include</w:t>
      </w:r>
      <w:r w:rsidRPr="007B3168" w:rsidR="00B05708">
        <w:rPr>
          <w:color w:val="000000"/>
          <w:szCs w:val="22"/>
        </w:rPr>
        <w:t>:  (1)</w:t>
      </w:r>
      <w:r w:rsidRPr="007B3168" w:rsidR="00385BB5">
        <w:rPr>
          <w:color w:val="000000"/>
          <w:szCs w:val="22"/>
        </w:rPr>
        <w:t xml:space="preserve"> </w:t>
      </w:r>
      <w:r w:rsidRPr="007B3168" w:rsidR="000A3DE3">
        <w:rPr>
          <w:color w:val="000000"/>
          <w:szCs w:val="22"/>
        </w:rPr>
        <w:t>lack of the required certifications</w:t>
      </w:r>
      <w:r w:rsidRPr="007B3168" w:rsidR="00385BB5">
        <w:rPr>
          <w:color w:val="000000"/>
          <w:szCs w:val="22"/>
        </w:rPr>
        <w:t>;</w:t>
      </w:r>
      <w:r>
        <w:rPr>
          <w:rStyle w:val="FootnoteReference"/>
          <w:szCs w:val="22"/>
        </w:rPr>
        <w:footnoteReference w:id="16"/>
      </w:r>
      <w:r w:rsidRPr="007B3168" w:rsidR="00385BB5">
        <w:rPr>
          <w:color w:val="000000"/>
          <w:szCs w:val="22"/>
        </w:rPr>
        <w:t xml:space="preserve"> (2) </w:t>
      </w:r>
      <w:r w:rsidRPr="007B3168" w:rsidR="000A3DE3">
        <w:rPr>
          <w:color w:val="000000"/>
          <w:szCs w:val="22"/>
        </w:rPr>
        <w:t xml:space="preserve">failure to include all of an operator’s </w:t>
      </w:r>
      <w:r w:rsidR="009673E5">
        <w:rPr>
          <w:color w:val="000000"/>
          <w:szCs w:val="22"/>
        </w:rPr>
        <w:t xml:space="preserve">antennas </w:t>
      </w:r>
      <w:r w:rsidRPr="007B3168" w:rsidR="000A3DE3">
        <w:rPr>
          <w:color w:val="000000"/>
          <w:szCs w:val="22"/>
        </w:rPr>
        <w:t>found in the October 23 incumbent earth station list</w:t>
      </w:r>
      <w:r w:rsidR="009673E5">
        <w:rPr>
          <w:color w:val="000000"/>
          <w:szCs w:val="22"/>
        </w:rPr>
        <w:t>, as supplemented</w:t>
      </w:r>
      <w:r w:rsidRPr="007B3168" w:rsidR="000A3DE3">
        <w:rPr>
          <w:color w:val="000000"/>
          <w:szCs w:val="22"/>
        </w:rPr>
        <w:t xml:space="preserve">; </w:t>
      </w:r>
      <w:r w:rsidR="00A5707B">
        <w:rPr>
          <w:color w:val="000000"/>
          <w:szCs w:val="22"/>
        </w:rPr>
        <w:t xml:space="preserve">and </w:t>
      </w:r>
      <w:r w:rsidRPr="007B3168" w:rsidR="006C3D26">
        <w:rPr>
          <w:color w:val="000000"/>
          <w:szCs w:val="22"/>
        </w:rPr>
        <w:t xml:space="preserve">(3) </w:t>
      </w:r>
      <w:r w:rsidRPr="007B3168" w:rsidR="001B6B5C">
        <w:rPr>
          <w:color w:val="000000"/>
          <w:szCs w:val="22"/>
        </w:rPr>
        <w:t xml:space="preserve">inclusion in the lump sum election of </w:t>
      </w:r>
      <w:r w:rsidRPr="007B3168">
        <w:rPr>
          <w:color w:val="000000"/>
          <w:szCs w:val="22"/>
        </w:rPr>
        <w:t xml:space="preserve">antennas that </w:t>
      </w:r>
      <w:r w:rsidRPr="007B3168" w:rsidR="00AF53E2">
        <w:rPr>
          <w:color w:val="000000"/>
          <w:szCs w:val="22"/>
        </w:rPr>
        <w:t xml:space="preserve">are </w:t>
      </w:r>
      <w:r w:rsidRPr="007B3168" w:rsidR="00543395">
        <w:rPr>
          <w:color w:val="000000"/>
          <w:szCs w:val="22"/>
        </w:rPr>
        <w:t xml:space="preserve">not included on </w:t>
      </w:r>
      <w:r w:rsidRPr="007B3168" w:rsidR="00AF53E2">
        <w:rPr>
          <w:color w:val="000000"/>
          <w:szCs w:val="22"/>
        </w:rPr>
        <w:t>the October 23 incumbent earth station list</w:t>
      </w:r>
      <w:r w:rsidR="009673E5">
        <w:rPr>
          <w:color w:val="000000"/>
          <w:szCs w:val="22"/>
        </w:rPr>
        <w:t>, as supplemented</w:t>
      </w:r>
      <w:r w:rsidRPr="007B3168" w:rsidR="001B6B5C">
        <w:rPr>
          <w:color w:val="000000"/>
          <w:szCs w:val="22"/>
        </w:rPr>
        <w:t>.</w:t>
      </w:r>
      <w:r>
        <w:rPr>
          <w:rStyle w:val="FootnoteReference"/>
          <w:szCs w:val="22"/>
        </w:rPr>
        <w:footnoteReference w:id="17"/>
      </w:r>
      <w:r w:rsidRPr="007B3168" w:rsidR="003B4519">
        <w:rPr>
          <w:color w:val="000000"/>
          <w:szCs w:val="22"/>
        </w:rPr>
        <w:t xml:space="preserve"> </w:t>
      </w:r>
      <w:r w:rsidRPr="007B3168" w:rsidR="001B6B5C">
        <w:rPr>
          <w:color w:val="000000"/>
          <w:szCs w:val="22"/>
        </w:rPr>
        <w:t xml:space="preserve"> </w:t>
      </w:r>
      <w:r w:rsidRPr="00A5707B" w:rsidR="002517CB">
        <w:rPr>
          <w:snapToGrid/>
          <w:color w:val="000000"/>
          <w:kern w:val="0"/>
          <w:szCs w:val="22"/>
        </w:rPr>
        <w:t xml:space="preserve">In cases of denial, all of an earth station operators’ incumbent earth stations will be eligible for reimbursement for reasonable relocation costs incurred as a result of the C-band transition, as set out in the </w:t>
      </w:r>
      <w:r w:rsidRPr="00A5707B" w:rsidR="002517CB">
        <w:rPr>
          <w:i/>
          <w:iCs/>
          <w:snapToGrid/>
          <w:color w:val="000000"/>
          <w:kern w:val="0"/>
          <w:szCs w:val="22"/>
        </w:rPr>
        <w:t>3.7 GHz Report and Order</w:t>
      </w:r>
      <w:r w:rsidRPr="00A5707B" w:rsidR="002517CB">
        <w:rPr>
          <w:snapToGrid/>
          <w:color w:val="000000"/>
          <w:kern w:val="0"/>
          <w:szCs w:val="22"/>
        </w:rPr>
        <w:t>.</w:t>
      </w:r>
      <w:r w:rsidRPr="00A5707B" w:rsidR="002517CB">
        <w:rPr>
          <w:color w:val="000000"/>
          <w:szCs w:val="22"/>
        </w:rPr>
        <w:t xml:space="preserve"> </w:t>
      </w:r>
    </w:p>
    <w:p w:rsidR="002C7D63" w14:paraId="782275CD" w14:textId="53F51AC7">
      <w:pPr>
        <w:widowControl/>
        <w:rPr>
          <w:snapToGrid/>
          <w:color w:val="000000"/>
          <w:kern w:val="0"/>
          <w:szCs w:val="22"/>
        </w:rPr>
      </w:pPr>
      <w:r>
        <w:rPr>
          <w:snapToGrid/>
          <w:color w:val="000000"/>
          <w:kern w:val="0"/>
          <w:szCs w:val="22"/>
        </w:rPr>
        <w:br w:type="page"/>
      </w:r>
    </w:p>
    <w:p w:rsidR="000F4E58" w:rsidRPr="007B3168" w:rsidP="000F4E58" w14:paraId="7D111417" w14:textId="77777777">
      <w:pPr>
        <w:widowControl/>
        <w:spacing w:after="120"/>
        <w:ind w:left="1080"/>
        <w:contextualSpacing/>
        <w:rPr>
          <w:snapToGrid/>
          <w:color w:val="000000"/>
          <w:kern w:val="0"/>
          <w:szCs w:val="22"/>
        </w:rPr>
      </w:pPr>
    </w:p>
    <w:p w:rsidR="00401094" w:rsidRPr="007B3168" w:rsidP="00E85ACB" w14:paraId="038725F0" w14:textId="6A2CCE59">
      <w:pPr>
        <w:widowControl/>
        <w:spacing w:after="120"/>
        <w:ind w:firstLine="720"/>
        <w:contextualSpacing/>
        <w:rPr>
          <w:snapToGrid/>
          <w:color w:val="000000"/>
          <w:kern w:val="0"/>
          <w:szCs w:val="22"/>
        </w:rPr>
      </w:pPr>
      <w:r w:rsidRPr="007B3168">
        <w:rPr>
          <w:snapToGrid/>
          <w:szCs w:val="22"/>
        </w:rPr>
        <w:t>T</w:t>
      </w:r>
      <w:r w:rsidRPr="007B3168" w:rsidR="000E45C0">
        <w:rPr>
          <w:snapToGrid/>
          <w:szCs w:val="22"/>
        </w:rPr>
        <w:t xml:space="preserve">he “Intended Action” column indicates whether </w:t>
      </w:r>
      <w:r w:rsidR="00167B89">
        <w:rPr>
          <w:snapToGrid/>
          <w:szCs w:val="22"/>
        </w:rPr>
        <w:t>a</w:t>
      </w:r>
      <w:r w:rsidRPr="007B3168" w:rsidR="00167B89">
        <w:rPr>
          <w:snapToGrid/>
          <w:szCs w:val="22"/>
        </w:rPr>
        <w:t xml:space="preserve"> lump sum filer</w:t>
      </w:r>
      <w:r w:rsidRPr="007B3168" w:rsidR="00167B89">
        <w:rPr>
          <w:b/>
          <w:bCs/>
          <w:snapToGrid/>
          <w:szCs w:val="22"/>
        </w:rPr>
        <w:t xml:space="preserve"> </w:t>
      </w:r>
      <w:r w:rsidRPr="007B3168" w:rsidR="000E45C0">
        <w:rPr>
          <w:snapToGrid/>
          <w:szCs w:val="22"/>
        </w:rPr>
        <w:t xml:space="preserve">intends to transition its antennas to the Upper 200 </w:t>
      </w:r>
      <w:r w:rsidR="00466B14">
        <w:rPr>
          <w:snapToGrid/>
          <w:szCs w:val="22"/>
        </w:rPr>
        <w:t>megahertz</w:t>
      </w:r>
      <w:r w:rsidRPr="007B3168" w:rsidR="00466B14">
        <w:rPr>
          <w:snapToGrid/>
          <w:szCs w:val="22"/>
        </w:rPr>
        <w:t xml:space="preserve"> </w:t>
      </w:r>
      <w:r w:rsidRPr="007B3168" w:rsidR="000E45C0">
        <w:rPr>
          <w:snapToGrid/>
          <w:szCs w:val="22"/>
        </w:rPr>
        <w:t>of the C-band or discontinue use of the C-Band.  That decision can vary by antenna, so the column includes a “Combination” designation where the filer has indicated that intent.</w:t>
      </w:r>
      <w:r>
        <w:rPr>
          <w:snapToGrid/>
          <w:szCs w:val="22"/>
          <w:vertAlign w:val="superscript"/>
        </w:rPr>
        <w:footnoteReference w:id="18"/>
      </w:r>
      <w:r w:rsidRPr="00A5707B" w:rsidR="000E45C0">
        <w:rPr>
          <w:snapToGrid/>
          <w:szCs w:val="22"/>
        </w:rPr>
        <w:t xml:space="preserve"> </w:t>
      </w:r>
    </w:p>
    <w:p w:rsidR="00440796" w:rsidP="000E45C0" w14:paraId="0A40D52D" w14:textId="77777777">
      <w:pPr>
        <w:widowControl/>
        <w:spacing w:after="120"/>
        <w:ind w:firstLine="720"/>
        <w:jc w:val="center"/>
        <w:rPr>
          <w:b/>
          <w:bCs/>
          <w:snapToGrid/>
          <w:kern w:val="0"/>
          <w:szCs w:val="22"/>
        </w:rPr>
      </w:pPr>
    </w:p>
    <w:p w:rsidR="000E45C0" w:rsidRPr="000E45C0" w:rsidP="000E45C0" w14:paraId="16E99E1D" w14:textId="6A48E9DE">
      <w:pPr>
        <w:widowControl/>
        <w:spacing w:after="120"/>
        <w:ind w:firstLine="720"/>
        <w:jc w:val="center"/>
        <w:rPr>
          <w:b/>
          <w:bCs/>
          <w:snapToGrid/>
          <w:kern w:val="0"/>
          <w:szCs w:val="22"/>
        </w:rPr>
      </w:pPr>
      <w:r w:rsidRPr="000E45C0">
        <w:rPr>
          <w:b/>
          <w:bCs/>
          <w:snapToGrid/>
          <w:kern w:val="0"/>
          <w:szCs w:val="22"/>
        </w:rP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FAF18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61183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67B602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6A6E3E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48C9" w14:paraId="1328CC77" w14:textId="77777777">
      <w:r>
        <w:separator/>
      </w:r>
    </w:p>
  </w:footnote>
  <w:footnote w:type="continuationSeparator" w:id="1">
    <w:p w:rsidR="008F48C9" w14:paraId="5A756C8A" w14:textId="77777777">
      <w:pPr>
        <w:rPr>
          <w:sz w:val="20"/>
        </w:rPr>
      </w:pPr>
      <w:r>
        <w:rPr>
          <w:sz w:val="20"/>
        </w:rPr>
        <w:t xml:space="preserve">(Continued from previous page)  </w:t>
      </w:r>
      <w:r>
        <w:rPr>
          <w:sz w:val="20"/>
        </w:rPr>
        <w:separator/>
      </w:r>
    </w:p>
  </w:footnote>
  <w:footnote w:type="continuationNotice" w:id="2">
    <w:p w:rsidR="008F48C9" w:rsidP="00910F12" w14:paraId="3ABF9FFC" w14:textId="77777777">
      <w:pPr>
        <w:jc w:val="right"/>
        <w:rPr>
          <w:sz w:val="20"/>
        </w:rPr>
      </w:pPr>
      <w:r>
        <w:rPr>
          <w:sz w:val="20"/>
        </w:rPr>
        <w:t>(continued….)</w:t>
      </w:r>
    </w:p>
  </w:footnote>
  <w:footnote w:id="3">
    <w:p w:rsidR="00164C7B" w:rsidRPr="008E43EC" w14:paraId="60E3666F" w14:textId="11C04F7E">
      <w:pPr>
        <w:pStyle w:val="FootnoteText"/>
      </w:pPr>
      <w:r>
        <w:rPr>
          <w:rStyle w:val="FootnoteReference"/>
        </w:rPr>
        <w:footnoteRef/>
      </w:r>
      <w:r>
        <w:t xml:space="preserve"> </w:t>
      </w:r>
      <w:r w:rsidRPr="008E43EC">
        <w:rPr>
          <w:i/>
          <w:iCs/>
        </w:rPr>
        <w:t>International Bure</w:t>
      </w:r>
      <w:r w:rsidRPr="008E43EC" w:rsidR="008E43EC">
        <w:rPr>
          <w:i/>
          <w:iCs/>
        </w:rPr>
        <w:t>au Announces Review of Lump Sum Elections</w:t>
      </w:r>
      <w:r w:rsidR="008E43EC">
        <w:t>, Public Notice</w:t>
      </w:r>
      <w:r w:rsidR="00581AB8">
        <w:t>, DA 20-</w:t>
      </w:r>
      <w:r w:rsidR="0025540A">
        <w:t>12</w:t>
      </w:r>
      <w:r w:rsidR="003E23D3">
        <w:t>94</w:t>
      </w:r>
      <w:r w:rsidR="0092556A">
        <w:t xml:space="preserve"> (</w:t>
      </w:r>
      <w:r w:rsidR="00A3481C">
        <w:t xml:space="preserve">IB </w:t>
      </w:r>
      <w:r w:rsidR="0092556A">
        <w:t xml:space="preserve">Oct. </w:t>
      </w:r>
      <w:r w:rsidR="00D91727">
        <w:t>30</w:t>
      </w:r>
      <w:r w:rsidR="0092556A">
        <w:t>, 2020) (</w:t>
      </w:r>
      <w:r w:rsidRPr="0092556A" w:rsidR="0092556A">
        <w:rPr>
          <w:i/>
          <w:iCs/>
        </w:rPr>
        <w:t xml:space="preserve">October </w:t>
      </w:r>
      <w:r w:rsidR="00D91727">
        <w:rPr>
          <w:i/>
          <w:iCs/>
        </w:rPr>
        <w:t>30</w:t>
      </w:r>
      <w:r w:rsidRPr="0092556A" w:rsidR="0092556A">
        <w:rPr>
          <w:i/>
          <w:iCs/>
        </w:rPr>
        <w:t xml:space="preserve"> Lump Sum Election PN</w:t>
      </w:r>
      <w:r w:rsidR="0092556A">
        <w:t>).</w:t>
      </w:r>
      <w:r w:rsidR="00847451">
        <w:t xml:space="preserve">  The results of the Bureau’s initial review of the lump sum elections were released on October </w:t>
      </w:r>
      <w:r w:rsidR="00D91727">
        <w:t>23</w:t>
      </w:r>
      <w:r w:rsidR="00847451">
        <w:t>, 2020</w:t>
      </w:r>
      <w:r w:rsidR="003721C1">
        <w:t>.</w:t>
      </w:r>
    </w:p>
  </w:footnote>
  <w:footnote w:id="4">
    <w:p w:rsidR="00813E70" w14:paraId="6411FE2C" w14:textId="104D42E2">
      <w:pPr>
        <w:pStyle w:val="FootnoteText"/>
      </w:pPr>
      <w:r>
        <w:rPr>
          <w:rStyle w:val="FootnoteReference"/>
        </w:rPr>
        <w:footnoteRef/>
      </w:r>
      <w:r>
        <w:t xml:space="preserve"> Maranatha Broadcasting, LLC, did not make the required filings, so its lump sum election is denied.</w:t>
      </w:r>
    </w:p>
  </w:footnote>
  <w:footnote w:id="5">
    <w:p w:rsidR="000E45C0" w:rsidRPr="005E29B7" w:rsidP="000E45C0" w14:paraId="506D3685" w14:textId="77777777">
      <w:pPr>
        <w:pStyle w:val="FootnoteText"/>
      </w:pPr>
      <w:r w:rsidRPr="00CD0DFC">
        <w:rPr>
          <w:rStyle w:val="FootnoteReference"/>
          <w:sz w:val="20"/>
        </w:rPr>
        <w:footnoteRef/>
      </w:r>
      <w:r w:rsidRPr="00CD0DFC">
        <w:t xml:space="preserve"> </w:t>
      </w:r>
      <w:r w:rsidRPr="00CD0DFC">
        <w:rPr>
          <w:i/>
          <w:iCs/>
        </w:rPr>
        <w:t>Expanding Flexible Use of the 3.7 to 4.2 GHz Band</w:t>
      </w:r>
      <w:r w:rsidRPr="00CD0DFC">
        <w:t>, Report and Ord</w:t>
      </w:r>
      <w:r w:rsidRPr="002D63EB">
        <w:t xml:space="preserve">er and Order of Proposed Modification, </w:t>
      </w:r>
      <w:r w:rsidRPr="001967D6">
        <w:t xml:space="preserve">35 FCC </w:t>
      </w:r>
      <w:r w:rsidRPr="001967D6">
        <w:t>Rcd</w:t>
      </w:r>
      <w:r w:rsidRPr="00FB6BEB">
        <w:rPr>
          <w:i/>
          <w:iCs/>
        </w:rPr>
        <w:t xml:space="preserve"> </w:t>
      </w:r>
      <w:r w:rsidRPr="002734B0">
        <w:t>2343, 2391,</w:t>
      </w:r>
      <w:r w:rsidRPr="0007566D">
        <w:t xml:space="preserve"> paras. 1</w:t>
      </w:r>
      <w:r w:rsidRPr="00BD0173">
        <w:t>16-2</w:t>
      </w:r>
      <w:r w:rsidRPr="005B3173">
        <w:t>3 (2020) (</w:t>
      </w:r>
      <w:r w:rsidRPr="0063651B">
        <w:rPr>
          <w:i/>
          <w:iCs/>
        </w:rPr>
        <w:t xml:space="preserve">3.7 GHz </w:t>
      </w:r>
      <w:r>
        <w:rPr>
          <w:i/>
          <w:iCs/>
        </w:rPr>
        <w:t xml:space="preserve">Band </w:t>
      </w:r>
      <w:r w:rsidRPr="0063651B">
        <w:rPr>
          <w:i/>
          <w:iCs/>
        </w:rPr>
        <w:t>Report and Order)</w:t>
      </w:r>
      <w:r w:rsidRPr="00D92D29">
        <w:t xml:space="preserve">.  </w:t>
      </w:r>
      <w:r w:rsidRPr="00997252">
        <w:rPr>
          <w:color w:val="000000"/>
        </w:rPr>
        <w:t xml:space="preserve">The </w:t>
      </w:r>
      <w:r w:rsidRPr="00997252">
        <w:rPr>
          <w:i/>
          <w:iCs/>
        </w:rPr>
        <w:t>3.7 GHz Band Report and Order</w:t>
      </w:r>
      <w:r w:rsidRPr="00997252">
        <w:rPr>
          <w:color w:val="000000"/>
        </w:rPr>
        <w:t xml:space="preserve"> specifically rejected a request to open an additional earth station filing window.  </w:t>
      </w:r>
      <w:r w:rsidRPr="00997252">
        <w:rPr>
          <w:i/>
          <w:iCs/>
          <w:color w:val="000000"/>
        </w:rPr>
        <w:t>Id.</w:t>
      </w:r>
      <w:r w:rsidRPr="005E29B7">
        <w:rPr>
          <w:color w:val="000000"/>
        </w:rPr>
        <w:t xml:space="preserve"> at 2391, paras. 120-21.</w:t>
      </w:r>
    </w:p>
  </w:footnote>
  <w:footnote w:id="6">
    <w:p w:rsidR="000E45C0" w:rsidP="000E45C0" w14:paraId="7B911E01" w14:textId="77777777">
      <w:pPr>
        <w:pStyle w:val="FootnoteText"/>
      </w:pPr>
      <w:r>
        <w:rPr>
          <w:rStyle w:val="FootnoteReference"/>
        </w:rPr>
        <w:footnoteRef/>
      </w:r>
      <w:r>
        <w:t xml:space="preserve"> </w:t>
      </w:r>
      <w:r w:rsidRPr="00CD0DFC">
        <w:rPr>
          <w:i/>
          <w:iCs/>
        </w:rPr>
        <w:t>3.7 GHz</w:t>
      </w:r>
      <w:r w:rsidRPr="00CD0DFC">
        <w:rPr>
          <w:i/>
        </w:rPr>
        <w:t xml:space="preserve"> </w:t>
      </w:r>
      <w:r w:rsidRPr="002D63EB">
        <w:rPr>
          <w:i/>
          <w:iCs/>
        </w:rPr>
        <w:t>Repo</w:t>
      </w:r>
      <w:r w:rsidRPr="001967D6">
        <w:rPr>
          <w:i/>
          <w:iCs/>
        </w:rPr>
        <w:t xml:space="preserve">rt and </w:t>
      </w:r>
      <w:r w:rsidRPr="00FB6BEB">
        <w:rPr>
          <w:i/>
          <w:iCs/>
        </w:rPr>
        <w:t>Orde</w:t>
      </w:r>
      <w:r w:rsidRPr="002734B0">
        <w:rPr>
          <w:i/>
          <w:iCs/>
        </w:rPr>
        <w:t>r</w:t>
      </w:r>
      <w:r w:rsidRPr="002734B0">
        <w:t xml:space="preserve">, 35 FCC </w:t>
      </w:r>
      <w:r w:rsidRPr="002734B0">
        <w:t>Rcd</w:t>
      </w:r>
      <w:r>
        <w:rPr>
          <w:i/>
          <w:iCs/>
        </w:rPr>
        <w:t>.</w:t>
      </w:r>
      <w:r>
        <w:t xml:space="preserve"> at 2427-28, paras. 202-203.  </w:t>
      </w:r>
    </w:p>
  </w:footnote>
  <w:footnote w:id="7">
    <w:p w:rsidR="000E45C0" w:rsidRPr="00A40AF0" w:rsidP="000E45C0" w14:paraId="09390766" w14:textId="5D22F79A">
      <w:pPr>
        <w:pStyle w:val="FootnoteText"/>
      </w:pPr>
      <w:r>
        <w:rPr>
          <w:rStyle w:val="FootnoteReference"/>
        </w:rPr>
        <w:footnoteRef/>
      </w:r>
      <w:r>
        <w:t xml:space="preserve"> </w:t>
      </w:r>
      <w:r>
        <w:rPr>
          <w:i/>
          <w:iCs/>
        </w:rPr>
        <w:t xml:space="preserve">See id. </w:t>
      </w:r>
      <w:r>
        <w:t xml:space="preserve">at 2427-28, paras. 202-04 &amp; n.550.  Payment of lump sum amounts will be the obligation of 3.7 GHz </w:t>
      </w:r>
      <w:r w:rsidR="00A939CB">
        <w:t xml:space="preserve">Service </w:t>
      </w:r>
      <w:r>
        <w:t xml:space="preserve">licensees after completion of the 3.7 GHz auction and the licensing of winning bidders.  </w:t>
      </w:r>
      <w:r>
        <w:rPr>
          <w:i/>
          <w:iCs/>
        </w:rPr>
        <w:t xml:space="preserve">Id. </w:t>
      </w:r>
      <w:r>
        <w:t>at 2553; 47 CFR</w:t>
      </w:r>
      <w:r w:rsidR="00495C00">
        <w:t xml:space="preserve"> </w:t>
      </w:r>
      <w:r w:rsidRPr="00A9781E" w:rsidR="00495C00">
        <w:t>§</w:t>
      </w:r>
      <w:r w:rsidR="00495C00">
        <w:t xml:space="preserve"> </w:t>
      </w:r>
      <w:r>
        <w:t>27.1418.</w:t>
      </w:r>
    </w:p>
  </w:footnote>
  <w:footnote w:id="8">
    <w:p w:rsidR="000E45C0" w:rsidP="000E45C0" w14:paraId="2E20AD02" w14:textId="2681FA28">
      <w:pPr>
        <w:pStyle w:val="FootnoteText"/>
      </w:pPr>
      <w:r>
        <w:rPr>
          <w:rStyle w:val="FootnoteReference"/>
        </w:rPr>
        <w:footnoteRef/>
      </w:r>
      <w:r>
        <w:t xml:space="preserve"> </w:t>
      </w:r>
      <w:r w:rsidRPr="008F5BDB" w:rsidR="002A6CCE">
        <w:rPr>
          <w:i/>
          <w:iCs/>
        </w:rPr>
        <w:t xml:space="preserve">Wireless Telecommunications Bureau </w:t>
      </w:r>
      <w:r w:rsidR="002A6CCE">
        <w:rPr>
          <w:i/>
          <w:iCs/>
        </w:rPr>
        <w:t>Releases Final</w:t>
      </w:r>
      <w:r w:rsidRPr="008F5BDB" w:rsidR="002A6CCE">
        <w:rPr>
          <w:i/>
          <w:iCs/>
        </w:rPr>
        <w:t xml:space="preserve"> Cost Category Schedule for 3.7-4.2 GHz Band Relocation Expenses</w:t>
      </w:r>
      <w:r w:rsidRPr="008F5BDB" w:rsidR="002A6CCE">
        <w:t xml:space="preserve">, </w:t>
      </w:r>
      <w:r w:rsidR="002A6CCE">
        <w:t>GN Docket No. 18-122</w:t>
      </w:r>
      <w:r w:rsidRPr="008F5BDB" w:rsidR="002A6CCE">
        <w:t>,</w:t>
      </w:r>
      <w:r w:rsidR="002A6CCE">
        <w:t xml:space="preserve"> Public Notice, 35 FCC </w:t>
      </w:r>
      <w:r w:rsidR="002A6CCE">
        <w:t>Rcd</w:t>
      </w:r>
      <w:r w:rsidR="002A6CCE">
        <w:t xml:space="preserve"> 7967</w:t>
      </w:r>
      <w:r w:rsidRPr="008F5BDB" w:rsidR="002A6CCE">
        <w:t xml:space="preserve"> (</w:t>
      </w:r>
      <w:r w:rsidR="002A6CCE">
        <w:t xml:space="preserve">WTB </w:t>
      </w:r>
      <w:r w:rsidRPr="008F5BDB" w:rsidR="002A6CCE">
        <w:t>2020)</w:t>
      </w:r>
      <w:r w:rsidR="002A6CCE">
        <w:t xml:space="preserve"> </w:t>
      </w:r>
      <w:r w:rsidR="002A6CCE">
        <w:rPr>
          <w:i/>
          <w:iCs/>
        </w:rPr>
        <w:t>(July 20 Lump Sum Election PN).</w:t>
      </w:r>
    </w:p>
  </w:footnote>
  <w:footnote w:id="9">
    <w:p w:rsidR="000E45C0" w:rsidP="000E45C0" w14:paraId="3699F860" w14:textId="5E31E169">
      <w:pPr>
        <w:pStyle w:val="FootnoteText"/>
      </w:pPr>
      <w:r>
        <w:rPr>
          <w:rStyle w:val="FootnoteReference"/>
        </w:rPr>
        <w:footnoteRef/>
      </w:r>
      <w:r>
        <w:t xml:space="preserve"> </w:t>
      </w:r>
      <w:r w:rsidRPr="00A634A6">
        <w:rPr>
          <w:i/>
          <w:iCs/>
        </w:rPr>
        <w:t>Wireless Telecommunications Bureau Extends C-band Lump Sum Election</w:t>
      </w:r>
      <w:r>
        <w:t xml:space="preserve">, GN Docket No. 18-122, Public Notice, 35 FCC </w:t>
      </w:r>
      <w:r>
        <w:t>Rcd</w:t>
      </w:r>
      <w:r>
        <w:t xml:space="preserve"> 8856 (WTB 2020).</w:t>
      </w:r>
      <w:r w:rsidR="00900E4B">
        <w:t xml:space="preserve">  </w:t>
      </w:r>
    </w:p>
  </w:footnote>
  <w:footnote w:id="10">
    <w:p w:rsidR="000E45C0" w:rsidP="000E45C0" w14:paraId="0E338D39" w14:textId="6D259DD3">
      <w:pPr>
        <w:pStyle w:val="FootnoteText"/>
      </w:pPr>
      <w:r>
        <w:rPr>
          <w:rStyle w:val="FootnoteReference"/>
        </w:rPr>
        <w:footnoteRef/>
      </w:r>
      <w:r>
        <w:t xml:space="preserve"> The Bureau reviewed under the lump sum election standards those initial filings </w:t>
      </w:r>
      <w:r w:rsidR="0096618C">
        <w:t>submitted</w:t>
      </w:r>
      <w:r>
        <w:t xml:space="preserve"> in ECFS as received on September 15, 2020, as well as those postmarked on or before September 14, 2020.  The Bureau also reviewed the resubmitted portions of the paper filing by James P. Baxley, Jr., on behalf of Gulf Coast State College that apparently were misplaced within the FCC.  The Bureau </w:t>
      </w:r>
      <w:r w:rsidR="00F655E3">
        <w:t xml:space="preserve">has treated as “denied” </w:t>
      </w:r>
      <w:r>
        <w:t xml:space="preserve">the </w:t>
      </w:r>
      <w:r w:rsidR="00F655E3">
        <w:t xml:space="preserve">lump sum election </w:t>
      </w:r>
      <w:r>
        <w:t>filing of Bond Broadcasting, Inc., which was filed on September 18, 2020, where the lateness was attributed to an unspecified “technical malfunction.”</w:t>
      </w:r>
    </w:p>
  </w:footnote>
  <w:footnote w:id="11">
    <w:p w:rsidR="000E45C0" w:rsidP="000E45C0" w14:paraId="60D0F339" w14:textId="658DFC3A">
      <w:pPr>
        <w:pStyle w:val="FootnoteText"/>
      </w:pPr>
      <w:r>
        <w:rPr>
          <w:rStyle w:val="FootnoteReference"/>
        </w:rPr>
        <w:footnoteRef/>
      </w:r>
      <w:r>
        <w:t xml:space="preserve"> We consider</w:t>
      </w:r>
      <w:r w:rsidR="00963986">
        <w:t>ed</w:t>
      </w:r>
      <w:r>
        <w:t xml:space="preserve"> as a single lump sum election those cases where the same earth station operator has made multiple earth station filings.  For instance, some operators filed separately for each individual earth station.</w:t>
      </w:r>
    </w:p>
  </w:footnote>
  <w:footnote w:id="12">
    <w:p w:rsidR="009E487A" w14:paraId="4A4E8EAD" w14:textId="5724AC20">
      <w:pPr>
        <w:pStyle w:val="FootnoteText"/>
      </w:pPr>
      <w:r>
        <w:rPr>
          <w:rStyle w:val="FootnoteReference"/>
        </w:rPr>
        <w:footnoteRef/>
      </w:r>
      <w:r>
        <w:t xml:space="preserve"> </w:t>
      </w:r>
      <w:r w:rsidR="00813E70">
        <w:t xml:space="preserve">Four filers whose lump sum elections were </w:t>
      </w:r>
      <w:r w:rsidR="003838BA">
        <w:t xml:space="preserve">initially </w:t>
      </w:r>
      <w:r w:rsidR="00813E70">
        <w:t>denied have identif</w:t>
      </w:r>
      <w:r w:rsidR="001F1456">
        <w:t>ied</w:t>
      </w:r>
      <w:r w:rsidR="00813E70">
        <w:t xml:space="preserve"> timely filings </w:t>
      </w:r>
      <w:r w:rsidR="00A02668">
        <w:t xml:space="preserve">made </w:t>
      </w:r>
      <w:r w:rsidR="00813E70">
        <w:t>with the Bureau before release of the October 30, 2020 Public Notice that brough</w:t>
      </w:r>
      <w:r w:rsidR="003721C1">
        <w:t>t</w:t>
      </w:r>
      <w:r w:rsidR="00813E70">
        <w:t xml:space="preserve"> their elections into compliance with the requirements for lump sum elections</w:t>
      </w:r>
      <w:r w:rsidR="001F1456">
        <w:t xml:space="preserve"> -- Burgess Broadcasting Corporation, Lima Satellite, The Municipal Corporation Utility of the city of Cedar Falls Iowa, and Word of God Fellowship, Inc.  </w:t>
      </w:r>
      <w:r w:rsidR="00813E70">
        <w:t xml:space="preserve">Those elections have now been accepted.  </w:t>
      </w:r>
      <w:r w:rsidRPr="00F57FCC">
        <w:t>One</w:t>
      </w:r>
      <w:r w:rsidR="00F66B43">
        <w:t xml:space="preserve"> operator has filed a petition for reconsideration of its </w:t>
      </w:r>
      <w:r w:rsidR="00FB3073">
        <w:t xml:space="preserve">lump sum election </w:t>
      </w:r>
      <w:r w:rsidR="00F66B43">
        <w:t>denial</w:t>
      </w:r>
      <w:r w:rsidR="00FB3073">
        <w:t xml:space="preserve">, </w:t>
      </w:r>
      <w:r w:rsidR="00B33117">
        <w:t>arguing</w:t>
      </w:r>
      <w:r w:rsidR="00FB3073">
        <w:t xml:space="preserve"> that it has taken corrective action to bring its filing into compliance with the Commission’s requirements.  That petition remains pending before the Bureau.</w:t>
      </w:r>
      <w:r>
        <w:t xml:space="preserve"> </w:t>
      </w:r>
      <w:r w:rsidR="00FB3073">
        <w:t xml:space="preserve"> </w:t>
      </w:r>
      <w:r w:rsidR="00156963">
        <w:t xml:space="preserve">Petition for Reconsideration of </w:t>
      </w:r>
      <w:r w:rsidR="004D34E6">
        <w:t xml:space="preserve">Ronan Telephone Company and </w:t>
      </w:r>
      <w:r w:rsidR="00FB3073">
        <w:t>Western Montana</w:t>
      </w:r>
      <w:r w:rsidR="004D34E6">
        <w:t xml:space="preserve"> </w:t>
      </w:r>
      <w:r w:rsidR="004D34E6">
        <w:t>CommunityTel</w:t>
      </w:r>
      <w:r w:rsidR="004D34E6">
        <w:t>, Inc.</w:t>
      </w:r>
      <w:r w:rsidR="00156963">
        <w:t xml:space="preserve">, IB Docket No. 20-205 (filed </w:t>
      </w:r>
      <w:r w:rsidR="008E3832">
        <w:t xml:space="preserve">Nov. </w:t>
      </w:r>
      <w:r w:rsidR="007A3A40">
        <w:t>13</w:t>
      </w:r>
      <w:r w:rsidR="008E3832">
        <w:t>, 2020).</w:t>
      </w:r>
    </w:p>
  </w:footnote>
  <w:footnote w:id="13">
    <w:p w:rsidR="000E45C0" w:rsidRPr="00AD0966" w:rsidP="000E45C0" w14:paraId="4B0FBE94" w14:textId="349DBA63">
      <w:pPr>
        <w:pStyle w:val="FootnoteText"/>
        <w:rPr>
          <w:i/>
          <w:iCs/>
        </w:rPr>
      </w:pPr>
      <w:r>
        <w:rPr>
          <w:rStyle w:val="FootnoteReference"/>
        </w:rPr>
        <w:footnoteRef/>
      </w:r>
      <w:r>
        <w:t xml:space="preserve"> The Bureau has made no determination regarding the accuracy of a lump sum filing’s representations regarding:  the category of lump sum election for each registered antenna (</w:t>
      </w:r>
      <w:r w:rsidRPr="00F70A4A">
        <w:rPr>
          <w:i/>
          <w:iCs/>
        </w:rPr>
        <w:t>e.g</w:t>
      </w:r>
      <w:r>
        <w:t>., Receive Only ES Single-feed; Receive Only ES Multi-feed; Small Multi-beam (2-4 beam) ES, etc.), whether the earth station site i</w:t>
      </w:r>
      <w:r w:rsidR="00600CEF">
        <w:t>s</w:t>
      </w:r>
      <w:r>
        <w:t xml:space="preserve"> an MVPD site, or the total lump sum amount claimed for an earth station site.  </w:t>
      </w:r>
      <w:r w:rsidRPr="00FF25C9">
        <w:t>If a lump sum election includes not only incumbent earth stations, but also additional earth stations for which a waiver was requested and denied, the lump sum election is Accepted when the requirements are met for the incumbent earth stations.</w:t>
      </w:r>
      <w:r w:rsidR="001B6B5C">
        <w:t xml:space="preserve"> </w:t>
      </w:r>
      <w:r w:rsidR="00305F10">
        <w:t xml:space="preserve"> </w:t>
      </w:r>
      <w:bookmarkStart w:id="1" w:name="_Hlk54881497"/>
      <w:r w:rsidR="00BE73BC">
        <w:t xml:space="preserve">Two </w:t>
      </w:r>
      <w:r w:rsidR="00305F10">
        <w:t xml:space="preserve">lump sum elections </w:t>
      </w:r>
      <w:r w:rsidR="00BE73BC">
        <w:t xml:space="preserve">– those </w:t>
      </w:r>
      <w:r w:rsidR="00305F10">
        <w:t>of the Church of Jesus Christ of Latter-Day Saints and of Entravision</w:t>
      </w:r>
      <w:bookmarkEnd w:id="1"/>
      <w:r w:rsidR="00305F10">
        <w:t xml:space="preserve"> </w:t>
      </w:r>
      <w:r w:rsidR="00BE73BC">
        <w:t xml:space="preserve">-- </w:t>
      </w:r>
      <w:r w:rsidR="00305F10">
        <w:t>fall into this category.</w:t>
      </w:r>
    </w:p>
  </w:footnote>
  <w:footnote w:id="14">
    <w:p w:rsidR="000E45C0" w:rsidP="000E45C0" w14:paraId="360F1912" w14:textId="08159321">
      <w:pPr>
        <w:pStyle w:val="FootnoteText"/>
      </w:pPr>
      <w:r>
        <w:rPr>
          <w:rStyle w:val="FootnoteReference"/>
        </w:rPr>
        <w:footnoteRef/>
      </w:r>
      <w:r>
        <w:t xml:space="preserve"> To the extent that there are inadvertent errors in the information in IBFS included in the updated incumbent earth station list,</w:t>
      </w:r>
      <w:r w:rsidR="00E77820">
        <w:t xml:space="preserve"> such as those resulting from delays in processing recent filings,</w:t>
      </w:r>
      <w:r>
        <w:t xml:space="preserve"> the Bureau </w:t>
      </w:r>
      <w:r w:rsidR="00E77820">
        <w:t>will</w:t>
      </w:r>
      <w:r>
        <w:t xml:space="preserve"> make any necessary corrections. </w:t>
      </w:r>
    </w:p>
  </w:footnote>
  <w:footnote w:id="15">
    <w:p w:rsidR="00AA1C79" w14:paraId="3F2679E8" w14:textId="629B9A97">
      <w:pPr>
        <w:pStyle w:val="FootnoteText"/>
      </w:pPr>
      <w:r>
        <w:rPr>
          <w:rStyle w:val="FootnoteReference"/>
        </w:rPr>
        <w:footnoteRef/>
      </w:r>
      <w:r>
        <w:t xml:space="preserve"> To the extent that an operator assigns an incumbent earth station </w:t>
      </w:r>
      <w:r w:rsidRPr="007363E8">
        <w:t>in the future, the operator should continue to submit post-consummation notifications in IBFS</w:t>
      </w:r>
      <w:r w:rsidRPr="007363E8" w:rsidR="002A6CCE">
        <w:t>, as required by the Commission’s rules</w:t>
      </w:r>
      <w:r w:rsidRPr="007363E8">
        <w:t xml:space="preserve">.  </w:t>
      </w:r>
      <w:r w:rsidRPr="00CD0DFC" w:rsidR="003721C1">
        <w:t>47 CFR § 2</w:t>
      </w:r>
      <w:r w:rsidR="003721C1">
        <w:t>5</w:t>
      </w:r>
      <w:r w:rsidRPr="00CD0DFC" w:rsidR="003721C1">
        <w:t>.1</w:t>
      </w:r>
      <w:r w:rsidR="003721C1">
        <w:t>19</w:t>
      </w:r>
      <w:r w:rsidRPr="00CD0DFC" w:rsidR="003721C1">
        <w:t>(</w:t>
      </w:r>
      <w:r w:rsidR="003721C1">
        <w:t>f)</w:t>
      </w:r>
      <w:r w:rsidRPr="00CD0DFC" w:rsidR="003721C1">
        <w:t xml:space="preserve">.  </w:t>
      </w:r>
      <w:r w:rsidR="00283E01">
        <w:t xml:space="preserve"> </w:t>
      </w:r>
      <w:r w:rsidRPr="007363E8">
        <w:t>They should also provide notice of the assignment and notification in ECFS in th</w:t>
      </w:r>
      <w:r w:rsidR="006A4D03">
        <w:t>ese</w:t>
      </w:r>
      <w:r w:rsidRPr="007363E8">
        <w:t xml:space="preserve"> docket</w:t>
      </w:r>
      <w:r w:rsidR="006A4D03">
        <w:t>s</w:t>
      </w:r>
      <w:r w:rsidRPr="007363E8">
        <w:t>.</w:t>
      </w:r>
      <w:r>
        <w:rPr>
          <w:u w:val="single"/>
        </w:rPr>
        <w:t xml:space="preserve"> </w:t>
      </w:r>
    </w:p>
  </w:footnote>
  <w:footnote w:id="16">
    <w:p w:rsidR="002A6CCE" w:rsidRPr="002A6CCE" w14:paraId="27C2EBB7" w14:textId="4A2461BA">
      <w:pPr>
        <w:pStyle w:val="FootnoteText"/>
      </w:pPr>
      <w:r>
        <w:rPr>
          <w:rStyle w:val="FootnoteReference"/>
        </w:rPr>
        <w:footnoteRef/>
      </w:r>
      <w:r>
        <w:t xml:space="preserve"> </w:t>
      </w:r>
      <w:r>
        <w:rPr>
          <w:i/>
          <w:iCs/>
        </w:rPr>
        <w:t xml:space="preserve">July 20 Lump Sum Election PN, </w:t>
      </w:r>
      <w:r>
        <w:t>at para. 42.</w:t>
      </w:r>
    </w:p>
  </w:footnote>
  <w:footnote w:id="17">
    <w:p w:rsidR="006A419E" w14:paraId="794BBAED" w14:textId="133CA15B">
      <w:pPr>
        <w:pStyle w:val="FootnoteText"/>
      </w:pPr>
      <w:r>
        <w:rPr>
          <w:rStyle w:val="FootnoteReference"/>
        </w:rPr>
        <w:footnoteRef/>
      </w:r>
      <w:r>
        <w:t xml:space="preserve"> </w:t>
      </w:r>
      <w:r w:rsidR="00502446">
        <w:t xml:space="preserve">A lump sum election </w:t>
      </w:r>
      <w:r w:rsidR="00E842D1">
        <w:t>was</w:t>
      </w:r>
      <w:r w:rsidR="00502446">
        <w:t xml:space="preserve"> </w:t>
      </w:r>
      <w:r w:rsidR="00341931">
        <w:t xml:space="preserve">treated as </w:t>
      </w:r>
      <w:r w:rsidR="00BE73BC">
        <w:t>“</w:t>
      </w:r>
      <w:r w:rsidR="00445AA5">
        <w:t>Denied</w:t>
      </w:r>
      <w:r w:rsidR="004D79DE">
        <w:t>”</w:t>
      </w:r>
      <w:r w:rsidR="00BE73BC">
        <w:t xml:space="preserve"> </w:t>
      </w:r>
      <w:r w:rsidR="00502446">
        <w:t xml:space="preserve">if the election </w:t>
      </w:r>
      <w:r w:rsidR="000664F9">
        <w:t>was late-filed</w:t>
      </w:r>
      <w:r w:rsidR="00F655E3">
        <w:t xml:space="preserve"> or </w:t>
      </w:r>
      <w:r w:rsidR="00BE73BC">
        <w:t>if it</w:t>
      </w:r>
      <w:r w:rsidR="000664F9">
        <w:t xml:space="preserve"> </w:t>
      </w:r>
      <w:r w:rsidR="00502446">
        <w:t xml:space="preserve">included only earth stations that failed to qualify for incumbent status.  An election </w:t>
      </w:r>
      <w:r w:rsidR="00E842D1">
        <w:t>was</w:t>
      </w:r>
      <w:r w:rsidR="00502446">
        <w:t xml:space="preserve"> </w:t>
      </w:r>
      <w:r w:rsidR="009673E5">
        <w:t>“</w:t>
      </w:r>
      <w:r w:rsidR="00502446">
        <w:t>Denied for Antenna/Quantity Mismatch</w:t>
      </w:r>
      <w:r w:rsidR="009673E5">
        <w:t>”</w:t>
      </w:r>
      <w:r w:rsidR="00502446">
        <w:t xml:space="preserve"> if the antennas included in the election d</w:t>
      </w:r>
      <w:r w:rsidR="00E842D1">
        <w:t>id</w:t>
      </w:r>
      <w:r w:rsidR="00502446">
        <w:t xml:space="preserve"> not match the incumbent earth stations for the party filing the election.  An election </w:t>
      </w:r>
      <w:r w:rsidR="005F15BD">
        <w:t>was</w:t>
      </w:r>
      <w:r w:rsidR="00502446">
        <w:t xml:space="preserve"> </w:t>
      </w:r>
      <w:r w:rsidR="009673E5">
        <w:t>“</w:t>
      </w:r>
      <w:r w:rsidR="00502446">
        <w:t>Denied for Lack of Certification</w:t>
      </w:r>
      <w:r w:rsidR="009673E5">
        <w:t>”</w:t>
      </w:r>
      <w:r w:rsidR="00502446">
        <w:t xml:space="preserve"> if the election d</w:t>
      </w:r>
      <w:r w:rsidR="005F15BD">
        <w:t>id</w:t>
      </w:r>
      <w:r w:rsidR="00502446">
        <w:t xml:space="preserve"> not include the certifications required by the </w:t>
      </w:r>
      <w:r w:rsidR="00502446">
        <w:rPr>
          <w:i/>
          <w:iCs/>
        </w:rPr>
        <w:t xml:space="preserve">Lump Sum Election PN, </w:t>
      </w:r>
      <w:r w:rsidR="00502446">
        <w:t xml:space="preserve">at para. 42.  </w:t>
      </w:r>
      <w:r w:rsidR="000664F9">
        <w:t xml:space="preserve">An election </w:t>
      </w:r>
      <w:r w:rsidR="005F15BD">
        <w:t>was</w:t>
      </w:r>
      <w:r w:rsidR="000664F9">
        <w:t xml:space="preserve"> </w:t>
      </w:r>
      <w:r w:rsidR="009673E5">
        <w:t>“</w:t>
      </w:r>
      <w:r w:rsidR="000664F9">
        <w:t>Denied for Both</w:t>
      </w:r>
      <w:r w:rsidR="009673E5">
        <w:t>”</w:t>
      </w:r>
      <w:r w:rsidR="000664F9">
        <w:t xml:space="preserve"> if it ha</w:t>
      </w:r>
      <w:r w:rsidR="005F15BD">
        <w:t>d</w:t>
      </w:r>
      <w:r w:rsidR="000664F9">
        <w:t xml:space="preserve"> both of those deficiencies.  </w:t>
      </w:r>
    </w:p>
  </w:footnote>
  <w:footnote w:id="18">
    <w:p w:rsidR="000E45C0" w:rsidP="000E45C0" w14:paraId="7C419131" w14:textId="77777777">
      <w:pPr>
        <w:pStyle w:val="FootnoteText"/>
      </w:pPr>
      <w:r>
        <w:rPr>
          <w:rStyle w:val="FootnoteReference"/>
        </w:rPr>
        <w:footnoteRef/>
      </w:r>
      <w:r>
        <w:t xml:space="preserve"> For instance, the Church of Jesus Christ of Latter-Day Saints intends to discontinue use of the C-band for all of its incumbent earth stations with the exception of five antennas in Riverton, Utah.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6B9750C" w14:textId="63F204BE">
    <w:pPr>
      <w:tabs>
        <w:tab w:val="center" w:pos="4680"/>
        <w:tab w:val="right" w:pos="9360"/>
      </w:tabs>
    </w:pPr>
    <w:r w:rsidRPr="009838BC">
      <w:rPr>
        <w:b/>
      </w:rPr>
      <w:tab/>
      <w:t>Federal Communications Commission</w:t>
    </w:r>
    <w:r w:rsidRPr="009838BC">
      <w:rPr>
        <w:b/>
      </w:rPr>
      <w:tab/>
    </w:r>
    <w:r w:rsidR="00261262">
      <w:rPr>
        <w:b/>
      </w:rPr>
      <w:t>DA 20-</w:t>
    </w:r>
    <w:r w:rsidR="002C7D63">
      <w:rPr>
        <w:b/>
      </w:rPr>
      <w:t>1421</w:t>
    </w:r>
  </w:p>
  <w:p w:rsidR="009838BC" w:rsidRPr="009838BC" w:rsidP="009838BC" w14:paraId="03CC30CB" w14:textId="70DC59E9">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B7890A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B3D2D8D" w14:textId="2CF44674">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E30A6DD" w14:textId="77777777">
                    <w:pPr>
                      <w:rPr>
                        <w:rFonts w:ascii="Arial" w:hAnsi="Arial"/>
                        <w:b/>
                      </w:rPr>
                    </w:pPr>
                    <w:r>
                      <w:rPr>
                        <w:rFonts w:ascii="Arial" w:hAnsi="Arial"/>
                        <w:b/>
                      </w:rPr>
                      <w:t>Federal Communications Commission</w:t>
                    </w:r>
                  </w:p>
                  <w:p w:rsidR="009838BC" w:rsidP="009838BC" w14:paraId="4B7E1F5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0840E4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8654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5095DA8" w14:textId="5218654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6635132" w14:textId="77777777">
                    <w:pPr>
                      <w:spacing w:before="40"/>
                      <w:jc w:val="right"/>
                      <w:rPr>
                        <w:rFonts w:ascii="Arial" w:hAnsi="Arial"/>
                        <w:b/>
                        <w:sz w:val="16"/>
                      </w:rPr>
                    </w:pPr>
                    <w:r>
                      <w:rPr>
                        <w:rFonts w:ascii="Arial" w:hAnsi="Arial"/>
                        <w:b/>
                        <w:sz w:val="16"/>
                      </w:rPr>
                      <w:t>News Media Information 202 / 418-0500</w:t>
                    </w:r>
                  </w:p>
                  <w:p w:rsidR="009838BC" w:rsidP="009838BC" w14:paraId="7B2EA5A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796FF18" w14:textId="77777777">
                    <w:pPr>
                      <w:jc w:val="right"/>
                    </w:pPr>
                    <w:r>
                      <w:rPr>
                        <w:rFonts w:ascii="Arial" w:hAnsi="Arial"/>
                        <w:b/>
                        <w:sz w:val="16"/>
                      </w:rPr>
                      <w:t>TTY: 1-888-835-5322</w:t>
                    </w:r>
                  </w:p>
                </w:txbxContent>
              </v:textbox>
            </v:shape>
          </w:pict>
        </mc:Fallback>
      </mc:AlternateContent>
    </w:r>
  </w:p>
  <w:p w:rsidR="006F7393" w:rsidRPr="009838BC" w:rsidP="009838BC" w14:paraId="735AAB0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9A0AC5"/>
    <w:multiLevelType w:val="hybridMultilevel"/>
    <w:tmpl w:val="5852D0D8"/>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1182925"/>
    <w:multiLevelType w:val="singleLevel"/>
    <w:tmpl w:val="1EBC6D50"/>
    <w:lvl w:ilvl="0">
      <w:start w:val="1"/>
      <w:numFmt w:val="decimal"/>
      <w:pStyle w:val="ParaNum"/>
      <w:lvlText w:val="%1."/>
      <w:lvlJc w:val="left"/>
      <w:pPr>
        <w:tabs>
          <w:tab w:val="num" w:pos="1080"/>
        </w:tabs>
        <w:ind w:left="0" w:firstLine="720"/>
      </w:pPr>
      <w:rPr>
        <w:b w:val="0"/>
        <w:bCs w:val="0"/>
      </w:rPr>
    </w:lvl>
  </w:abstractNum>
  <w:abstractNum w:abstractNumId="20">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9"/>
  </w:num>
  <w:num w:numId="3">
    <w:abstractNumId w:val="10"/>
  </w:num>
  <w:num w:numId="4">
    <w:abstractNumId w:val="16"/>
  </w:num>
  <w:num w:numId="5">
    <w:abstractNumId w:val="9"/>
  </w:num>
  <w:num w:numId="6">
    <w:abstractNumId w:val="0"/>
  </w:num>
  <w:num w:numId="7">
    <w:abstractNumId w:val="1"/>
  </w:num>
  <w:num w:numId="8">
    <w:abstractNumId w:val="24"/>
  </w:num>
  <w:num w:numId="9">
    <w:abstractNumId w:val="6"/>
  </w:num>
  <w:num w:numId="10">
    <w:abstractNumId w:val="25"/>
  </w:num>
  <w:num w:numId="11">
    <w:abstractNumId w:val="14"/>
  </w:num>
  <w:num w:numId="12">
    <w:abstractNumId w:val="17"/>
  </w:num>
  <w:num w:numId="13">
    <w:abstractNumId w:val="15"/>
  </w:num>
  <w:num w:numId="14">
    <w:abstractNumId w:val="13"/>
  </w:num>
  <w:num w:numId="15">
    <w:abstractNumId w:val="4"/>
  </w:num>
  <w:num w:numId="16">
    <w:abstractNumId w:val="20"/>
  </w:num>
  <w:num w:numId="17">
    <w:abstractNumId w:val="5"/>
  </w:num>
  <w:num w:numId="18">
    <w:abstractNumId w:val="3"/>
  </w:num>
  <w:num w:numId="19">
    <w:abstractNumId w:val="22"/>
  </w:num>
  <w:num w:numId="20">
    <w:abstractNumId w:val="18"/>
  </w:num>
  <w:num w:numId="21">
    <w:abstractNumId w:val="2"/>
  </w:num>
  <w:num w:numId="22">
    <w:abstractNumId w:val="12"/>
  </w:num>
  <w:num w:numId="23">
    <w:abstractNumId w:val="7"/>
  </w:num>
  <w:num w:numId="24">
    <w:abstractNumId w:val="21"/>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6BFF"/>
    <w:rsid w:val="000072CE"/>
    <w:rsid w:val="00013A8B"/>
    <w:rsid w:val="00021445"/>
    <w:rsid w:val="00021F32"/>
    <w:rsid w:val="00036039"/>
    <w:rsid w:val="00037F90"/>
    <w:rsid w:val="0004271B"/>
    <w:rsid w:val="000476D1"/>
    <w:rsid w:val="000664F9"/>
    <w:rsid w:val="0007566D"/>
    <w:rsid w:val="00075E0E"/>
    <w:rsid w:val="00084B5C"/>
    <w:rsid w:val="000875BF"/>
    <w:rsid w:val="00094C36"/>
    <w:rsid w:val="00096D8C"/>
    <w:rsid w:val="000A3DE3"/>
    <w:rsid w:val="000B2336"/>
    <w:rsid w:val="000B51B3"/>
    <w:rsid w:val="000C053B"/>
    <w:rsid w:val="000C0B65"/>
    <w:rsid w:val="000D1514"/>
    <w:rsid w:val="000D7A5D"/>
    <w:rsid w:val="000E270F"/>
    <w:rsid w:val="000E3D42"/>
    <w:rsid w:val="000E45C0"/>
    <w:rsid w:val="000E5884"/>
    <w:rsid w:val="000E76FF"/>
    <w:rsid w:val="000F0E03"/>
    <w:rsid w:val="000F4E58"/>
    <w:rsid w:val="000F6FFD"/>
    <w:rsid w:val="00106CBC"/>
    <w:rsid w:val="00122BD5"/>
    <w:rsid w:val="00123A85"/>
    <w:rsid w:val="0014273D"/>
    <w:rsid w:val="00150F09"/>
    <w:rsid w:val="001548CE"/>
    <w:rsid w:val="00156963"/>
    <w:rsid w:val="00160B31"/>
    <w:rsid w:val="00160B39"/>
    <w:rsid w:val="00164C7B"/>
    <w:rsid w:val="001659D7"/>
    <w:rsid w:val="00167A2B"/>
    <w:rsid w:val="00167B89"/>
    <w:rsid w:val="001918E9"/>
    <w:rsid w:val="001967D6"/>
    <w:rsid w:val="001979D9"/>
    <w:rsid w:val="001A03B1"/>
    <w:rsid w:val="001A1D5D"/>
    <w:rsid w:val="001A6A8A"/>
    <w:rsid w:val="001B6B5C"/>
    <w:rsid w:val="001C08EC"/>
    <w:rsid w:val="001C3305"/>
    <w:rsid w:val="001C4E75"/>
    <w:rsid w:val="001C6A9B"/>
    <w:rsid w:val="001C7BEE"/>
    <w:rsid w:val="001C7E7C"/>
    <w:rsid w:val="001D283F"/>
    <w:rsid w:val="001D6BCF"/>
    <w:rsid w:val="001E01CA"/>
    <w:rsid w:val="001E0315"/>
    <w:rsid w:val="001E0CED"/>
    <w:rsid w:val="001E1196"/>
    <w:rsid w:val="001F1456"/>
    <w:rsid w:val="001F3FEE"/>
    <w:rsid w:val="001F4605"/>
    <w:rsid w:val="002060D9"/>
    <w:rsid w:val="00206CDE"/>
    <w:rsid w:val="00211A04"/>
    <w:rsid w:val="00213D07"/>
    <w:rsid w:val="0022111D"/>
    <w:rsid w:val="00226822"/>
    <w:rsid w:val="0023341D"/>
    <w:rsid w:val="00240C1D"/>
    <w:rsid w:val="00242BA7"/>
    <w:rsid w:val="00243554"/>
    <w:rsid w:val="0024498D"/>
    <w:rsid w:val="00245AD8"/>
    <w:rsid w:val="002517CB"/>
    <w:rsid w:val="0025540A"/>
    <w:rsid w:val="00257F15"/>
    <w:rsid w:val="00260594"/>
    <w:rsid w:val="00261262"/>
    <w:rsid w:val="00262E74"/>
    <w:rsid w:val="00265FA5"/>
    <w:rsid w:val="00267526"/>
    <w:rsid w:val="002734B0"/>
    <w:rsid w:val="00283E01"/>
    <w:rsid w:val="00284F21"/>
    <w:rsid w:val="00285017"/>
    <w:rsid w:val="002966B2"/>
    <w:rsid w:val="002A2D2E"/>
    <w:rsid w:val="002A5163"/>
    <w:rsid w:val="002A6CCE"/>
    <w:rsid w:val="002C035D"/>
    <w:rsid w:val="002C7D63"/>
    <w:rsid w:val="002D63EB"/>
    <w:rsid w:val="002E11F1"/>
    <w:rsid w:val="002F0195"/>
    <w:rsid w:val="002F4977"/>
    <w:rsid w:val="00305F10"/>
    <w:rsid w:val="003117BE"/>
    <w:rsid w:val="00315D47"/>
    <w:rsid w:val="00341931"/>
    <w:rsid w:val="00343749"/>
    <w:rsid w:val="00352DD0"/>
    <w:rsid w:val="00356A41"/>
    <w:rsid w:val="00357D50"/>
    <w:rsid w:val="00362534"/>
    <w:rsid w:val="00365949"/>
    <w:rsid w:val="0037110F"/>
    <w:rsid w:val="003721C1"/>
    <w:rsid w:val="003838BA"/>
    <w:rsid w:val="00385BB5"/>
    <w:rsid w:val="00390132"/>
    <w:rsid w:val="003925DC"/>
    <w:rsid w:val="003A0717"/>
    <w:rsid w:val="003B0550"/>
    <w:rsid w:val="003B0577"/>
    <w:rsid w:val="003B3913"/>
    <w:rsid w:val="003B4519"/>
    <w:rsid w:val="003B694F"/>
    <w:rsid w:val="003E23D3"/>
    <w:rsid w:val="003E2CD4"/>
    <w:rsid w:val="003E61D3"/>
    <w:rsid w:val="003E7824"/>
    <w:rsid w:val="003F019C"/>
    <w:rsid w:val="003F171C"/>
    <w:rsid w:val="003F24C4"/>
    <w:rsid w:val="003F2DB1"/>
    <w:rsid w:val="00401094"/>
    <w:rsid w:val="00401EE5"/>
    <w:rsid w:val="00406F31"/>
    <w:rsid w:val="004122C0"/>
    <w:rsid w:val="00412FC5"/>
    <w:rsid w:val="00422276"/>
    <w:rsid w:val="004242F1"/>
    <w:rsid w:val="00436031"/>
    <w:rsid w:val="00440796"/>
    <w:rsid w:val="00445A00"/>
    <w:rsid w:val="00445AA5"/>
    <w:rsid w:val="00451B0F"/>
    <w:rsid w:val="004571AC"/>
    <w:rsid w:val="0046125F"/>
    <w:rsid w:val="004627A9"/>
    <w:rsid w:val="00463EC6"/>
    <w:rsid w:val="00464510"/>
    <w:rsid w:val="00466B14"/>
    <w:rsid w:val="00470D34"/>
    <w:rsid w:val="00472F0A"/>
    <w:rsid w:val="0047395A"/>
    <w:rsid w:val="004809B4"/>
    <w:rsid w:val="00487524"/>
    <w:rsid w:val="00490C58"/>
    <w:rsid w:val="00492AB9"/>
    <w:rsid w:val="00495C00"/>
    <w:rsid w:val="00496106"/>
    <w:rsid w:val="004973AB"/>
    <w:rsid w:val="00497B8C"/>
    <w:rsid w:val="004A2026"/>
    <w:rsid w:val="004A3B43"/>
    <w:rsid w:val="004C12D0"/>
    <w:rsid w:val="004C2EE3"/>
    <w:rsid w:val="004C46FE"/>
    <w:rsid w:val="004D34E6"/>
    <w:rsid w:val="004D79DE"/>
    <w:rsid w:val="004E4A22"/>
    <w:rsid w:val="00502446"/>
    <w:rsid w:val="00503685"/>
    <w:rsid w:val="00511968"/>
    <w:rsid w:val="00515B8F"/>
    <w:rsid w:val="00531208"/>
    <w:rsid w:val="0053536F"/>
    <w:rsid w:val="0054068F"/>
    <w:rsid w:val="00541710"/>
    <w:rsid w:val="00542886"/>
    <w:rsid w:val="00543395"/>
    <w:rsid w:val="0055451F"/>
    <w:rsid w:val="0055614C"/>
    <w:rsid w:val="005668FB"/>
    <w:rsid w:val="00581AB8"/>
    <w:rsid w:val="00586788"/>
    <w:rsid w:val="00590A06"/>
    <w:rsid w:val="00592A27"/>
    <w:rsid w:val="005A02F2"/>
    <w:rsid w:val="005A54F8"/>
    <w:rsid w:val="005B3173"/>
    <w:rsid w:val="005C3CFC"/>
    <w:rsid w:val="005D191C"/>
    <w:rsid w:val="005E29B7"/>
    <w:rsid w:val="005E2C9B"/>
    <w:rsid w:val="005F129E"/>
    <w:rsid w:val="005F15BD"/>
    <w:rsid w:val="005F39DD"/>
    <w:rsid w:val="005F4EDA"/>
    <w:rsid w:val="00600CEF"/>
    <w:rsid w:val="00603851"/>
    <w:rsid w:val="006072C6"/>
    <w:rsid w:val="00607BA5"/>
    <w:rsid w:val="00613A68"/>
    <w:rsid w:val="00621A54"/>
    <w:rsid w:val="00623A38"/>
    <w:rsid w:val="0062696D"/>
    <w:rsid w:val="00626EB6"/>
    <w:rsid w:val="006353A3"/>
    <w:rsid w:val="0063651B"/>
    <w:rsid w:val="00640293"/>
    <w:rsid w:val="006540D8"/>
    <w:rsid w:val="00655D03"/>
    <w:rsid w:val="00662AA4"/>
    <w:rsid w:val="006727B7"/>
    <w:rsid w:val="00676A33"/>
    <w:rsid w:val="00683EF3"/>
    <w:rsid w:val="00683F84"/>
    <w:rsid w:val="006A419E"/>
    <w:rsid w:val="006A4D03"/>
    <w:rsid w:val="006A6A81"/>
    <w:rsid w:val="006C02AD"/>
    <w:rsid w:val="006C3D26"/>
    <w:rsid w:val="006D7EB3"/>
    <w:rsid w:val="006E22F7"/>
    <w:rsid w:val="006E26AF"/>
    <w:rsid w:val="006F2855"/>
    <w:rsid w:val="006F732C"/>
    <w:rsid w:val="006F7393"/>
    <w:rsid w:val="0070224F"/>
    <w:rsid w:val="007115F7"/>
    <w:rsid w:val="007116A3"/>
    <w:rsid w:val="00713D1F"/>
    <w:rsid w:val="007363E8"/>
    <w:rsid w:val="00736AF0"/>
    <w:rsid w:val="0074158B"/>
    <w:rsid w:val="00745089"/>
    <w:rsid w:val="00754698"/>
    <w:rsid w:val="00756A32"/>
    <w:rsid w:val="0076650A"/>
    <w:rsid w:val="00783468"/>
    <w:rsid w:val="00785689"/>
    <w:rsid w:val="00792E22"/>
    <w:rsid w:val="00797000"/>
    <w:rsid w:val="0079754B"/>
    <w:rsid w:val="007A1E6D"/>
    <w:rsid w:val="007A3292"/>
    <w:rsid w:val="007A3A40"/>
    <w:rsid w:val="007B3168"/>
    <w:rsid w:val="007D66D0"/>
    <w:rsid w:val="007E5842"/>
    <w:rsid w:val="007F0478"/>
    <w:rsid w:val="007F0B7C"/>
    <w:rsid w:val="007F2709"/>
    <w:rsid w:val="007F5032"/>
    <w:rsid w:val="007F7432"/>
    <w:rsid w:val="00800FA4"/>
    <w:rsid w:val="00805C22"/>
    <w:rsid w:val="00813E70"/>
    <w:rsid w:val="00814214"/>
    <w:rsid w:val="00822CE0"/>
    <w:rsid w:val="008377DC"/>
    <w:rsid w:val="00837C62"/>
    <w:rsid w:val="0084078D"/>
    <w:rsid w:val="00841AB1"/>
    <w:rsid w:val="00844049"/>
    <w:rsid w:val="00845C1D"/>
    <w:rsid w:val="00847451"/>
    <w:rsid w:val="00855D9D"/>
    <w:rsid w:val="00865444"/>
    <w:rsid w:val="008804A4"/>
    <w:rsid w:val="008805A4"/>
    <w:rsid w:val="00884A89"/>
    <w:rsid w:val="008A04CF"/>
    <w:rsid w:val="008B3A29"/>
    <w:rsid w:val="008C1060"/>
    <w:rsid w:val="008C22FD"/>
    <w:rsid w:val="008C3457"/>
    <w:rsid w:val="008E3832"/>
    <w:rsid w:val="008E43EC"/>
    <w:rsid w:val="008F48C9"/>
    <w:rsid w:val="008F5BDB"/>
    <w:rsid w:val="00900E4B"/>
    <w:rsid w:val="00910F12"/>
    <w:rsid w:val="0091248A"/>
    <w:rsid w:val="00920DF6"/>
    <w:rsid w:val="0092556A"/>
    <w:rsid w:val="00925EF4"/>
    <w:rsid w:val="00926503"/>
    <w:rsid w:val="00927A9F"/>
    <w:rsid w:val="00930ECF"/>
    <w:rsid w:val="00941B22"/>
    <w:rsid w:val="00946D33"/>
    <w:rsid w:val="00950048"/>
    <w:rsid w:val="0095497C"/>
    <w:rsid w:val="00963986"/>
    <w:rsid w:val="00965657"/>
    <w:rsid w:val="0096618C"/>
    <w:rsid w:val="009673E5"/>
    <w:rsid w:val="00974C03"/>
    <w:rsid w:val="009810DF"/>
    <w:rsid w:val="009838BC"/>
    <w:rsid w:val="00991F3F"/>
    <w:rsid w:val="00997252"/>
    <w:rsid w:val="00997FEA"/>
    <w:rsid w:val="009A3E57"/>
    <w:rsid w:val="009A7B3A"/>
    <w:rsid w:val="009B3755"/>
    <w:rsid w:val="009B6DD1"/>
    <w:rsid w:val="009B70FA"/>
    <w:rsid w:val="009C1C81"/>
    <w:rsid w:val="009C4BD0"/>
    <w:rsid w:val="009D34AD"/>
    <w:rsid w:val="009E487A"/>
    <w:rsid w:val="00A02668"/>
    <w:rsid w:val="00A2038F"/>
    <w:rsid w:val="00A265C2"/>
    <w:rsid w:val="00A266C7"/>
    <w:rsid w:val="00A300C7"/>
    <w:rsid w:val="00A3481C"/>
    <w:rsid w:val="00A37526"/>
    <w:rsid w:val="00A40AF0"/>
    <w:rsid w:val="00A45F4F"/>
    <w:rsid w:val="00A47D33"/>
    <w:rsid w:val="00A51C99"/>
    <w:rsid w:val="00A5707B"/>
    <w:rsid w:val="00A5730C"/>
    <w:rsid w:val="00A57E07"/>
    <w:rsid w:val="00A600A9"/>
    <w:rsid w:val="00A61C99"/>
    <w:rsid w:val="00A634A6"/>
    <w:rsid w:val="00A81F6E"/>
    <w:rsid w:val="00A866AC"/>
    <w:rsid w:val="00A9205A"/>
    <w:rsid w:val="00A939CB"/>
    <w:rsid w:val="00A9781E"/>
    <w:rsid w:val="00AA1C79"/>
    <w:rsid w:val="00AA55B7"/>
    <w:rsid w:val="00AA5B9E"/>
    <w:rsid w:val="00AA7DAE"/>
    <w:rsid w:val="00AB2407"/>
    <w:rsid w:val="00AB53DF"/>
    <w:rsid w:val="00AD0966"/>
    <w:rsid w:val="00AD1AE1"/>
    <w:rsid w:val="00AD7848"/>
    <w:rsid w:val="00AE3ECD"/>
    <w:rsid w:val="00AF1B3C"/>
    <w:rsid w:val="00AF32DE"/>
    <w:rsid w:val="00AF53E2"/>
    <w:rsid w:val="00AF7275"/>
    <w:rsid w:val="00B05708"/>
    <w:rsid w:val="00B07E5C"/>
    <w:rsid w:val="00B12B31"/>
    <w:rsid w:val="00B14EEB"/>
    <w:rsid w:val="00B20363"/>
    <w:rsid w:val="00B25990"/>
    <w:rsid w:val="00B326E3"/>
    <w:rsid w:val="00B33117"/>
    <w:rsid w:val="00B374AB"/>
    <w:rsid w:val="00B43E7F"/>
    <w:rsid w:val="00B52A33"/>
    <w:rsid w:val="00B60546"/>
    <w:rsid w:val="00B6637A"/>
    <w:rsid w:val="00B67B56"/>
    <w:rsid w:val="00B740F7"/>
    <w:rsid w:val="00B811F7"/>
    <w:rsid w:val="00B814CE"/>
    <w:rsid w:val="00B81D3E"/>
    <w:rsid w:val="00B901DC"/>
    <w:rsid w:val="00B9107A"/>
    <w:rsid w:val="00B919E2"/>
    <w:rsid w:val="00B9269E"/>
    <w:rsid w:val="00BA5DC6"/>
    <w:rsid w:val="00BA6196"/>
    <w:rsid w:val="00BC4AA7"/>
    <w:rsid w:val="00BC6D8C"/>
    <w:rsid w:val="00BD0173"/>
    <w:rsid w:val="00BD69BF"/>
    <w:rsid w:val="00BE73BC"/>
    <w:rsid w:val="00C16AF2"/>
    <w:rsid w:val="00C34006"/>
    <w:rsid w:val="00C426B1"/>
    <w:rsid w:val="00C4474A"/>
    <w:rsid w:val="00C44A8B"/>
    <w:rsid w:val="00C45074"/>
    <w:rsid w:val="00C5539F"/>
    <w:rsid w:val="00C72DF2"/>
    <w:rsid w:val="00C82B6B"/>
    <w:rsid w:val="00C9003D"/>
    <w:rsid w:val="00C90D6A"/>
    <w:rsid w:val="00CB5404"/>
    <w:rsid w:val="00CB5B4B"/>
    <w:rsid w:val="00CC701C"/>
    <w:rsid w:val="00CC72B6"/>
    <w:rsid w:val="00CD0DFC"/>
    <w:rsid w:val="00CE39B4"/>
    <w:rsid w:val="00CF4EDB"/>
    <w:rsid w:val="00D0218D"/>
    <w:rsid w:val="00D0327C"/>
    <w:rsid w:val="00D07109"/>
    <w:rsid w:val="00D16774"/>
    <w:rsid w:val="00D216CD"/>
    <w:rsid w:val="00D24716"/>
    <w:rsid w:val="00D2796D"/>
    <w:rsid w:val="00D3216F"/>
    <w:rsid w:val="00D32293"/>
    <w:rsid w:val="00D43701"/>
    <w:rsid w:val="00D45C7A"/>
    <w:rsid w:val="00D5644E"/>
    <w:rsid w:val="00D62339"/>
    <w:rsid w:val="00D62A04"/>
    <w:rsid w:val="00D6585C"/>
    <w:rsid w:val="00D72AE3"/>
    <w:rsid w:val="00D806B5"/>
    <w:rsid w:val="00D875EB"/>
    <w:rsid w:val="00D91727"/>
    <w:rsid w:val="00D92D29"/>
    <w:rsid w:val="00DA0EF0"/>
    <w:rsid w:val="00DA2529"/>
    <w:rsid w:val="00DB130A"/>
    <w:rsid w:val="00DB2218"/>
    <w:rsid w:val="00DB711A"/>
    <w:rsid w:val="00DC10A1"/>
    <w:rsid w:val="00DC2A79"/>
    <w:rsid w:val="00DC655F"/>
    <w:rsid w:val="00DD50EF"/>
    <w:rsid w:val="00DD61C6"/>
    <w:rsid w:val="00DD6AAF"/>
    <w:rsid w:val="00DD785D"/>
    <w:rsid w:val="00DD7EBD"/>
    <w:rsid w:val="00DE5700"/>
    <w:rsid w:val="00DF62B6"/>
    <w:rsid w:val="00E00388"/>
    <w:rsid w:val="00E0319B"/>
    <w:rsid w:val="00E04D4B"/>
    <w:rsid w:val="00E07225"/>
    <w:rsid w:val="00E07A32"/>
    <w:rsid w:val="00E136CB"/>
    <w:rsid w:val="00E155B7"/>
    <w:rsid w:val="00E207D8"/>
    <w:rsid w:val="00E34387"/>
    <w:rsid w:val="00E5409F"/>
    <w:rsid w:val="00E641FB"/>
    <w:rsid w:val="00E669BC"/>
    <w:rsid w:val="00E709EB"/>
    <w:rsid w:val="00E72728"/>
    <w:rsid w:val="00E72FCE"/>
    <w:rsid w:val="00E7496F"/>
    <w:rsid w:val="00E77820"/>
    <w:rsid w:val="00E842D1"/>
    <w:rsid w:val="00E85ACB"/>
    <w:rsid w:val="00E8667E"/>
    <w:rsid w:val="00E96425"/>
    <w:rsid w:val="00E972B2"/>
    <w:rsid w:val="00EB26A0"/>
    <w:rsid w:val="00EB451B"/>
    <w:rsid w:val="00EB4D71"/>
    <w:rsid w:val="00EC0185"/>
    <w:rsid w:val="00EC3B8B"/>
    <w:rsid w:val="00ED3978"/>
    <w:rsid w:val="00ED7398"/>
    <w:rsid w:val="00EF591E"/>
    <w:rsid w:val="00F021FA"/>
    <w:rsid w:val="00F04840"/>
    <w:rsid w:val="00F07026"/>
    <w:rsid w:val="00F10057"/>
    <w:rsid w:val="00F2133B"/>
    <w:rsid w:val="00F26E44"/>
    <w:rsid w:val="00F466EA"/>
    <w:rsid w:val="00F46743"/>
    <w:rsid w:val="00F5196D"/>
    <w:rsid w:val="00F57ACA"/>
    <w:rsid w:val="00F57FCC"/>
    <w:rsid w:val="00F61B02"/>
    <w:rsid w:val="00F62E97"/>
    <w:rsid w:val="00F64209"/>
    <w:rsid w:val="00F655E3"/>
    <w:rsid w:val="00F66B43"/>
    <w:rsid w:val="00F70A4A"/>
    <w:rsid w:val="00F8245A"/>
    <w:rsid w:val="00F87FA2"/>
    <w:rsid w:val="00F93BF5"/>
    <w:rsid w:val="00F96F63"/>
    <w:rsid w:val="00FA7BF9"/>
    <w:rsid w:val="00FB23AE"/>
    <w:rsid w:val="00FB3073"/>
    <w:rsid w:val="00FB3DE9"/>
    <w:rsid w:val="00FB6BEB"/>
    <w:rsid w:val="00FC00ED"/>
    <w:rsid w:val="00FD2768"/>
    <w:rsid w:val="00FD2943"/>
    <w:rsid w:val="00FD3756"/>
    <w:rsid w:val="00FD574E"/>
    <w:rsid w:val="00FE0855"/>
    <w:rsid w:val="00FE50BC"/>
    <w:rsid w:val="00FF25C9"/>
    <w:rsid w:val="00FF28EB"/>
    <w:rsid w:val="00FF4447"/>
    <w:rsid w:val="00FF5E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C791D3-373A-444D-9025-9F325E38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uiPriority w:val="99"/>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
    <w:name w:val="Unresolved Mention"/>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