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rsidRPr="003409E3" w14:paraId="67C4C735" w14:textId="77777777">
      <w:pPr>
        <w:jc w:val="center"/>
        <w:rPr>
          <w:b/>
        </w:rPr>
      </w:pPr>
      <w:bookmarkStart w:id="0" w:name="_GoBack"/>
      <w:bookmarkEnd w:id="0"/>
      <w:r w:rsidRPr="003409E3">
        <w:rPr>
          <w:b/>
        </w:rPr>
        <w:t>Before the</w:t>
      </w:r>
    </w:p>
    <w:p w:rsidR="00921803" w:rsidRPr="003409E3" w:rsidP="00921803" w14:paraId="031B3292" w14:textId="77777777">
      <w:pPr>
        <w:pStyle w:val="StyleBoldCentered"/>
        <w:rPr>
          <w:rFonts w:ascii="Times New Roman" w:hAnsi="Times New Roman"/>
        </w:rPr>
      </w:pPr>
      <w:r w:rsidRPr="003409E3">
        <w:rPr>
          <w:rFonts w:ascii="Times New Roman" w:hAnsi="Times New Roman"/>
        </w:rPr>
        <w:t>F</w:t>
      </w:r>
      <w:r w:rsidRPr="003409E3">
        <w:rPr>
          <w:rFonts w:ascii="Times New Roman" w:hAnsi="Times New Roman"/>
          <w:caps w:val="0"/>
        </w:rPr>
        <w:t>ederal Communications Commission</w:t>
      </w:r>
    </w:p>
    <w:p w:rsidR="004C2EE3" w:rsidRPr="003409E3" w:rsidP="00096D8C" w14:paraId="456FB73F" w14:textId="77777777">
      <w:pPr>
        <w:pStyle w:val="StyleBoldCentered"/>
        <w:rPr>
          <w:rFonts w:ascii="Times New Roman" w:hAnsi="Times New Roman"/>
        </w:rPr>
      </w:pPr>
      <w:r w:rsidRPr="003409E3">
        <w:rPr>
          <w:rFonts w:ascii="Times New Roman" w:hAnsi="Times New Roman"/>
          <w:caps w:val="0"/>
        </w:rPr>
        <w:t>Washington, D.C. 20554</w:t>
      </w:r>
    </w:p>
    <w:p w:rsidR="004C2EE3" w:rsidRPr="003409E3" w:rsidP="0070224F" w14:paraId="69D5CC2B" w14:textId="77777777"/>
    <w:tbl>
      <w:tblPr>
        <w:tblW w:w="0" w:type="auto"/>
        <w:tblLayout w:type="fixed"/>
        <w:tblLook w:val="0000"/>
      </w:tblPr>
      <w:tblGrid>
        <w:gridCol w:w="4698"/>
        <w:gridCol w:w="630"/>
        <w:gridCol w:w="4248"/>
      </w:tblGrid>
      <w:tr w14:paraId="55D8C4AE" w14:textId="77777777">
        <w:tblPrEx>
          <w:tblW w:w="0" w:type="auto"/>
          <w:tblLayout w:type="fixed"/>
          <w:tblLook w:val="0000"/>
        </w:tblPrEx>
        <w:tc>
          <w:tcPr>
            <w:tcW w:w="4698" w:type="dxa"/>
          </w:tcPr>
          <w:p w:rsidR="00C679C1" w:rsidP="007115F7" w14:paraId="4A068E1F" w14:textId="77777777">
            <w:pPr>
              <w:tabs>
                <w:tab w:val="center" w:pos="4680"/>
              </w:tabs>
              <w:suppressAutoHyphens/>
              <w:rPr>
                <w:spacing w:val="-2"/>
              </w:rPr>
            </w:pPr>
            <w:r w:rsidRPr="003409E3">
              <w:rPr>
                <w:spacing w:val="-2"/>
              </w:rPr>
              <w:t>In the Matter of</w:t>
            </w:r>
          </w:p>
          <w:p w:rsidR="00C679C1" w:rsidP="007115F7" w14:paraId="788728CE" w14:textId="77777777">
            <w:pPr>
              <w:tabs>
                <w:tab w:val="center" w:pos="4680"/>
              </w:tabs>
              <w:suppressAutoHyphens/>
              <w:rPr>
                <w:spacing w:val="-2"/>
              </w:rPr>
            </w:pPr>
          </w:p>
          <w:p w:rsidR="001521E2" w:rsidP="007115F7" w14:paraId="7435561A" w14:textId="77777777">
            <w:pPr>
              <w:tabs>
                <w:tab w:val="center" w:pos="4680"/>
              </w:tabs>
              <w:suppressAutoHyphens/>
              <w:rPr>
                <w:spacing w:val="-2"/>
              </w:rPr>
            </w:pPr>
            <w:r>
              <w:rPr>
                <w:spacing w:val="-2"/>
              </w:rPr>
              <w:t xml:space="preserve">Incumbent Earth Stations </w:t>
            </w:r>
          </w:p>
          <w:p w:rsidR="001521E2" w:rsidP="007115F7" w14:paraId="3D35199C" w14:textId="77777777">
            <w:pPr>
              <w:tabs>
                <w:tab w:val="center" w:pos="4680"/>
              </w:tabs>
              <w:suppressAutoHyphens/>
              <w:rPr>
                <w:spacing w:val="-2"/>
              </w:rPr>
            </w:pPr>
            <w:r>
              <w:rPr>
                <w:spacing w:val="-2"/>
              </w:rPr>
              <w:t xml:space="preserve">in the 3.7-4.2 GHz Band </w:t>
            </w:r>
          </w:p>
          <w:p w:rsidR="00C679C1" w:rsidP="007115F7" w14:paraId="39243A62" w14:textId="77777777">
            <w:pPr>
              <w:tabs>
                <w:tab w:val="center" w:pos="4680"/>
              </w:tabs>
              <w:suppressAutoHyphens/>
              <w:rPr>
                <w:spacing w:val="-2"/>
              </w:rPr>
            </w:pPr>
            <w:r>
              <w:rPr>
                <w:spacing w:val="-2"/>
              </w:rPr>
              <w:t>in the Contiguous United States</w:t>
            </w:r>
          </w:p>
          <w:p w:rsidR="00C679C1" w:rsidRPr="003409E3" w:rsidP="007115F7" w14:paraId="3DE08ABB" w14:textId="77777777">
            <w:pPr>
              <w:tabs>
                <w:tab w:val="center" w:pos="4680"/>
              </w:tabs>
              <w:suppressAutoHyphens/>
              <w:rPr>
                <w:spacing w:val="-2"/>
              </w:rPr>
            </w:pPr>
          </w:p>
        </w:tc>
        <w:tc>
          <w:tcPr>
            <w:tcW w:w="630" w:type="dxa"/>
          </w:tcPr>
          <w:p w:rsidR="004C2EE3" w:rsidRPr="003409E3" w14:paraId="6A370C8F" w14:textId="77777777">
            <w:pPr>
              <w:tabs>
                <w:tab w:val="center" w:pos="4680"/>
              </w:tabs>
              <w:suppressAutoHyphens/>
              <w:rPr>
                <w:b/>
                <w:spacing w:val="-2"/>
              </w:rPr>
            </w:pPr>
            <w:r w:rsidRPr="003409E3">
              <w:rPr>
                <w:b/>
                <w:spacing w:val="-2"/>
              </w:rPr>
              <w:t>)</w:t>
            </w:r>
          </w:p>
          <w:p w:rsidR="004C2EE3" w:rsidRPr="003409E3" w14:paraId="5CE9C7FA" w14:textId="77777777">
            <w:pPr>
              <w:tabs>
                <w:tab w:val="center" w:pos="4680"/>
              </w:tabs>
              <w:suppressAutoHyphens/>
              <w:rPr>
                <w:b/>
                <w:spacing w:val="-2"/>
              </w:rPr>
            </w:pPr>
            <w:r w:rsidRPr="003409E3">
              <w:rPr>
                <w:b/>
                <w:spacing w:val="-2"/>
              </w:rPr>
              <w:t>)</w:t>
            </w:r>
          </w:p>
          <w:p w:rsidR="004C2EE3" w:rsidRPr="003409E3" w14:paraId="0FA9AF98" w14:textId="77777777">
            <w:pPr>
              <w:tabs>
                <w:tab w:val="center" w:pos="4680"/>
              </w:tabs>
              <w:suppressAutoHyphens/>
              <w:rPr>
                <w:b/>
                <w:spacing w:val="-2"/>
              </w:rPr>
            </w:pPr>
            <w:r w:rsidRPr="003409E3">
              <w:rPr>
                <w:b/>
                <w:spacing w:val="-2"/>
              </w:rPr>
              <w:t>)</w:t>
            </w:r>
          </w:p>
          <w:p w:rsidR="004C2EE3" w:rsidRPr="003409E3" w14:paraId="7BC211AA" w14:textId="77777777">
            <w:pPr>
              <w:tabs>
                <w:tab w:val="center" w:pos="4680"/>
              </w:tabs>
              <w:suppressAutoHyphens/>
              <w:rPr>
                <w:b/>
                <w:spacing w:val="-2"/>
              </w:rPr>
            </w:pPr>
            <w:r w:rsidRPr="003409E3">
              <w:rPr>
                <w:b/>
                <w:spacing w:val="-2"/>
              </w:rPr>
              <w:t>)</w:t>
            </w:r>
          </w:p>
          <w:p w:rsidR="004C2EE3" w:rsidRPr="003409E3" w14:paraId="5F2C907B" w14:textId="77777777">
            <w:pPr>
              <w:tabs>
                <w:tab w:val="center" w:pos="4680"/>
              </w:tabs>
              <w:suppressAutoHyphens/>
              <w:rPr>
                <w:b/>
                <w:spacing w:val="-2"/>
              </w:rPr>
            </w:pPr>
            <w:r w:rsidRPr="003409E3">
              <w:rPr>
                <w:b/>
                <w:spacing w:val="-2"/>
              </w:rPr>
              <w:t>)</w:t>
            </w:r>
          </w:p>
          <w:p w:rsidR="004C2EE3" w:rsidRPr="00C679C1" w14:paraId="4BAFA3E9" w14:textId="77777777">
            <w:pPr>
              <w:tabs>
                <w:tab w:val="center" w:pos="4680"/>
              </w:tabs>
              <w:suppressAutoHyphens/>
              <w:rPr>
                <w:b/>
                <w:spacing w:val="-2"/>
              </w:rPr>
            </w:pPr>
          </w:p>
        </w:tc>
        <w:tc>
          <w:tcPr>
            <w:tcW w:w="4248" w:type="dxa"/>
          </w:tcPr>
          <w:p w:rsidR="004C2EE3" w:rsidRPr="003409E3" w14:paraId="2C300AB2" w14:textId="77777777">
            <w:pPr>
              <w:tabs>
                <w:tab w:val="center" w:pos="4680"/>
              </w:tabs>
              <w:suppressAutoHyphens/>
              <w:rPr>
                <w:spacing w:val="-2"/>
              </w:rPr>
            </w:pPr>
          </w:p>
          <w:p w:rsidR="004C2EE3" w:rsidRPr="003409E3" w14:paraId="4A171B77" w14:textId="77777777">
            <w:pPr>
              <w:pStyle w:val="TOAHeading"/>
              <w:tabs>
                <w:tab w:val="center" w:pos="4680"/>
                <w:tab w:val="clear" w:pos="9360"/>
              </w:tabs>
              <w:rPr>
                <w:spacing w:val="-2"/>
              </w:rPr>
            </w:pPr>
          </w:p>
          <w:p w:rsidR="004C2EE3" w14:paraId="73858509" w14:textId="77777777">
            <w:pPr>
              <w:tabs>
                <w:tab w:val="center" w:pos="4680"/>
              </w:tabs>
              <w:suppressAutoHyphens/>
              <w:rPr>
                <w:spacing w:val="-2"/>
              </w:rPr>
            </w:pPr>
            <w:r>
              <w:rPr>
                <w:spacing w:val="-2"/>
              </w:rPr>
              <w:t>IB Docket No. 20-205</w:t>
            </w:r>
          </w:p>
          <w:p w:rsidR="00C679C1" w14:paraId="644D9E2F" w14:textId="77777777">
            <w:pPr>
              <w:tabs>
                <w:tab w:val="center" w:pos="4680"/>
              </w:tabs>
              <w:suppressAutoHyphens/>
              <w:rPr>
                <w:spacing w:val="-2"/>
              </w:rPr>
            </w:pPr>
          </w:p>
          <w:p w:rsidR="00C679C1" w:rsidRPr="003409E3" w14:paraId="10BA4AEB" w14:textId="77777777">
            <w:pPr>
              <w:tabs>
                <w:tab w:val="center" w:pos="4680"/>
              </w:tabs>
              <w:suppressAutoHyphens/>
              <w:rPr>
                <w:spacing w:val="-2"/>
              </w:rPr>
            </w:pPr>
            <w:r>
              <w:rPr>
                <w:spacing w:val="-2"/>
              </w:rPr>
              <w:t>GN Docket No. 20-305</w:t>
            </w:r>
          </w:p>
        </w:tc>
      </w:tr>
    </w:tbl>
    <w:p w:rsidR="004C2EE3" w:rsidRPr="003409E3" w:rsidP="0070224F" w14:paraId="77FE2099" w14:textId="77777777"/>
    <w:p w:rsidR="00841AB1" w:rsidRPr="003409E3" w:rsidP="00F021FA" w14:paraId="6B35822B" w14:textId="77777777">
      <w:pPr>
        <w:pStyle w:val="StyleBoldCentered"/>
        <w:rPr>
          <w:rFonts w:ascii="Times New Roman" w:hAnsi="Times New Roman"/>
        </w:rPr>
      </w:pPr>
      <w:r>
        <w:rPr>
          <w:rFonts w:ascii="Times New Roman" w:hAnsi="Times New Roman"/>
        </w:rPr>
        <w:t>Order</w:t>
      </w:r>
    </w:p>
    <w:p w:rsidR="004C2EE3" w:rsidRPr="003409E3" w14:paraId="7ECF9DBC" w14:textId="77777777">
      <w:pPr>
        <w:tabs>
          <w:tab w:val="left" w:pos="-720"/>
        </w:tabs>
        <w:suppressAutoHyphens/>
        <w:spacing w:line="227" w:lineRule="auto"/>
        <w:rPr>
          <w:spacing w:val="-2"/>
        </w:rPr>
      </w:pPr>
    </w:p>
    <w:p w:rsidR="004C2EE3" w:rsidRPr="003409E3" w:rsidP="00133F79" w14:paraId="7DE327B5" w14:textId="22A93B2E">
      <w:pPr>
        <w:tabs>
          <w:tab w:val="left" w:pos="720"/>
          <w:tab w:val="right" w:pos="9360"/>
        </w:tabs>
        <w:suppressAutoHyphens/>
        <w:spacing w:line="227" w:lineRule="auto"/>
        <w:rPr>
          <w:spacing w:val="-2"/>
        </w:rPr>
      </w:pPr>
      <w:r w:rsidRPr="003409E3">
        <w:rPr>
          <w:b/>
          <w:spacing w:val="-2"/>
        </w:rPr>
        <w:t xml:space="preserve">Adopted:  </w:t>
      </w:r>
      <w:r w:rsidR="00044107">
        <w:rPr>
          <w:b/>
          <w:spacing w:val="-2"/>
        </w:rPr>
        <w:t>November</w:t>
      </w:r>
      <w:r w:rsidR="00815C61">
        <w:rPr>
          <w:b/>
          <w:spacing w:val="-2"/>
        </w:rPr>
        <w:t xml:space="preserve"> </w:t>
      </w:r>
      <w:r w:rsidR="00AA1B33">
        <w:rPr>
          <w:b/>
          <w:spacing w:val="-2"/>
        </w:rPr>
        <w:t>30</w:t>
      </w:r>
      <w:r w:rsidR="00815C61">
        <w:rPr>
          <w:b/>
          <w:spacing w:val="-2"/>
        </w:rPr>
        <w:t>, 2020</w:t>
      </w:r>
      <w:r w:rsidRPr="003409E3">
        <w:rPr>
          <w:b/>
          <w:spacing w:val="-2"/>
        </w:rPr>
        <w:tab/>
      </w:r>
      <w:r w:rsidRPr="003409E3" w:rsidR="00822CE0">
        <w:rPr>
          <w:b/>
          <w:spacing w:val="-2"/>
        </w:rPr>
        <w:t>Released</w:t>
      </w:r>
      <w:r w:rsidRPr="003409E3">
        <w:rPr>
          <w:b/>
          <w:spacing w:val="-2"/>
        </w:rPr>
        <w:t>:</w:t>
      </w:r>
      <w:r w:rsidRPr="003409E3" w:rsidR="00822CE0">
        <w:rPr>
          <w:b/>
          <w:spacing w:val="-2"/>
        </w:rPr>
        <w:t xml:space="preserve"> </w:t>
      </w:r>
      <w:r w:rsidRPr="003409E3">
        <w:rPr>
          <w:b/>
          <w:spacing w:val="-2"/>
        </w:rPr>
        <w:t xml:space="preserve"> </w:t>
      </w:r>
      <w:r w:rsidR="00044107">
        <w:rPr>
          <w:b/>
          <w:spacing w:val="-2"/>
        </w:rPr>
        <w:t>November</w:t>
      </w:r>
      <w:r w:rsidR="00815C61">
        <w:rPr>
          <w:b/>
          <w:spacing w:val="-2"/>
        </w:rPr>
        <w:t xml:space="preserve"> </w:t>
      </w:r>
      <w:r w:rsidR="00AA1B33">
        <w:rPr>
          <w:b/>
          <w:spacing w:val="-2"/>
        </w:rPr>
        <w:t>30</w:t>
      </w:r>
      <w:r w:rsidR="00815C61">
        <w:rPr>
          <w:b/>
          <w:spacing w:val="-2"/>
        </w:rPr>
        <w:t>, 2020</w:t>
      </w:r>
    </w:p>
    <w:p w:rsidR="00822CE0" w:rsidRPr="003409E3" w14:paraId="0E77590C" w14:textId="77777777"/>
    <w:p w:rsidR="004C2EE3" w:rsidRPr="003409E3" w14:paraId="139FD271" w14:textId="77777777">
      <w:pPr>
        <w:rPr>
          <w:spacing w:val="-2"/>
        </w:rPr>
      </w:pPr>
      <w:r w:rsidRPr="003409E3">
        <w:t xml:space="preserve">By </w:t>
      </w:r>
      <w:r w:rsidRPr="003409E3" w:rsidR="00365B70">
        <w:t>the</w:t>
      </w:r>
      <w:r w:rsidR="00C679C1">
        <w:rPr>
          <w:spacing w:val="-2"/>
        </w:rPr>
        <w:t xml:space="preserve"> Chief, International Bureau</w:t>
      </w:r>
      <w:r w:rsidRPr="003409E3">
        <w:rPr>
          <w:spacing w:val="-2"/>
        </w:rPr>
        <w:t>:</w:t>
      </w:r>
    </w:p>
    <w:p w:rsidR="00822CE0" w:rsidRPr="003409E3" w14:paraId="7558EB8D" w14:textId="77777777">
      <w:pPr>
        <w:rPr>
          <w:spacing w:val="-2"/>
        </w:rPr>
      </w:pPr>
    </w:p>
    <w:p w:rsidR="001521E2" w:rsidRPr="003409E3" w:rsidP="00412FC5" w14:paraId="6F516A65" w14:textId="77777777"/>
    <w:p w:rsidR="00C679C1" w:rsidRPr="00920DF6" w:rsidP="00C679C1" w14:paraId="216B8D5E" w14:textId="77777777">
      <w:pPr>
        <w:pStyle w:val="Heading1"/>
      </w:pPr>
      <w:bookmarkStart w:id="1" w:name="_Toc54115840"/>
      <w:bookmarkStart w:id="2" w:name="_Toc54115999"/>
      <w:bookmarkStart w:id="3" w:name="_Toc54118390"/>
      <w:bookmarkStart w:id="4" w:name="_Toc54217973"/>
      <w:r>
        <w:t>Introduction</w:t>
      </w:r>
      <w:bookmarkEnd w:id="1"/>
      <w:bookmarkEnd w:id="2"/>
      <w:bookmarkEnd w:id="3"/>
      <w:bookmarkEnd w:id="4"/>
    </w:p>
    <w:p w:rsidR="00A359AD" w:rsidP="004D14B0" w14:paraId="361B1F8C" w14:textId="3295FFD9">
      <w:pPr>
        <w:pStyle w:val="ParaNum"/>
      </w:pPr>
      <w:r>
        <w:t>With th</w:t>
      </w:r>
      <w:r w:rsidR="000932C1">
        <w:t>is</w:t>
      </w:r>
      <w:r>
        <w:t xml:space="preserve"> Order, the International Bureau grants the waiver requests of Comcast Corporation (Comcast) and TEGNA, Inc. (TEGNA) </w:t>
      </w:r>
      <w:r w:rsidRPr="6D7524F7">
        <w:t xml:space="preserve">to permit </w:t>
      </w:r>
      <w:r>
        <w:t xml:space="preserve">these </w:t>
      </w:r>
      <w:r w:rsidRPr="6D7524F7">
        <w:t xml:space="preserve">incumbent earth station operators </w:t>
      </w:r>
      <w:r>
        <w:t xml:space="preserve">to add </w:t>
      </w:r>
      <w:r w:rsidRPr="6D7524F7">
        <w:t>existing co-located antenna</w:t>
      </w:r>
      <w:r>
        <w:t>s</w:t>
      </w:r>
      <w:r w:rsidR="000932C1">
        <w:t xml:space="preserve"> to their incumbent earth station registrations</w:t>
      </w:r>
      <w:r w:rsidRPr="6D7524F7">
        <w:t xml:space="preserve"> </w:t>
      </w:r>
      <w:r>
        <w:t xml:space="preserve">solely </w:t>
      </w:r>
      <w:r w:rsidRPr="6D7524F7">
        <w:t xml:space="preserve">for purposes </w:t>
      </w:r>
      <w:r>
        <w:t>of interference protection in the 4.0-4.2 GHz portion of the</w:t>
      </w:r>
      <w:r w:rsidR="00E66B2F">
        <w:t xml:space="preserve"> C-</w:t>
      </w:r>
      <w:r>
        <w:t>band</w:t>
      </w:r>
      <w:r w:rsidRPr="6D7524F7">
        <w:t>.</w:t>
      </w:r>
      <w:r>
        <w:rPr>
          <w:rStyle w:val="FootnoteReference"/>
        </w:rPr>
        <w:footnoteReference w:id="3"/>
      </w:r>
      <w:r w:rsidRPr="002302FE">
        <w:rPr>
          <w:szCs w:val="22"/>
        </w:rPr>
        <w:t xml:space="preserve">  </w:t>
      </w:r>
      <w:r>
        <w:t xml:space="preserve">The </w:t>
      </w:r>
      <w:r w:rsidR="000932C1">
        <w:t xml:space="preserve">International </w:t>
      </w:r>
      <w:r>
        <w:t>Bureau also describes how it intends to formalize</w:t>
      </w:r>
      <w:r w:rsidR="00FA6E72">
        <w:t xml:space="preserve"> in</w:t>
      </w:r>
      <w:r w:rsidR="00FD2264">
        <w:t xml:space="preserve"> the International Bureau Filing System</w:t>
      </w:r>
      <w:r w:rsidR="00FA6E72">
        <w:t xml:space="preserve"> </w:t>
      </w:r>
      <w:r w:rsidR="00FD2264">
        <w:t>(</w:t>
      </w:r>
      <w:r w:rsidR="00FA6E72">
        <w:t>IBFS</w:t>
      </w:r>
      <w:r w:rsidR="00FD2264">
        <w:t>)</w:t>
      </w:r>
      <w:r>
        <w:t xml:space="preserve"> </w:t>
      </w:r>
      <w:r w:rsidR="000932C1">
        <w:t xml:space="preserve">the grant of </w:t>
      </w:r>
      <w:r>
        <w:t xml:space="preserve">these </w:t>
      </w:r>
      <w:r w:rsidR="00D83B3B">
        <w:t xml:space="preserve">waivers </w:t>
      </w:r>
      <w:r>
        <w:t xml:space="preserve">and </w:t>
      </w:r>
      <w:r w:rsidR="00D83B3B">
        <w:t xml:space="preserve">those previously </w:t>
      </w:r>
      <w:r>
        <w:t>granted to other incumbent earth station operators.</w:t>
      </w:r>
    </w:p>
    <w:p w:rsidR="00C679C1" w:rsidP="004D14B0" w14:paraId="499613E0" w14:textId="77777777">
      <w:pPr>
        <w:pStyle w:val="Heading1"/>
      </w:pPr>
      <w:bookmarkStart w:id="5" w:name="_Toc54217974"/>
      <w:r>
        <w:t>Background</w:t>
      </w:r>
      <w:bookmarkEnd w:id="5"/>
    </w:p>
    <w:p w:rsidR="000B2F10" w:rsidRPr="000B2F10" w:rsidP="00D83B3B" w14:paraId="764535B1" w14:textId="4FFA3C21">
      <w:pPr>
        <w:pStyle w:val="ParaNum"/>
      </w:pPr>
      <w:r>
        <w:t>O</w:t>
      </w:r>
      <w:r w:rsidRPr="6D7524F7">
        <w:t>n September 16, 2020, the Wireless Telecommunications</w:t>
      </w:r>
      <w:r>
        <w:t xml:space="preserve"> Bureau</w:t>
      </w:r>
      <w:r w:rsidRPr="6D7524F7">
        <w:t xml:space="preserve"> and</w:t>
      </w:r>
      <w:r>
        <w:t xml:space="preserve"> the</w:t>
      </w:r>
      <w:r w:rsidRPr="6D7524F7">
        <w:t xml:space="preserve"> International Bureau issued</w:t>
      </w:r>
      <w:r>
        <w:t xml:space="preserve"> </w:t>
      </w:r>
      <w:r w:rsidR="000932C1">
        <w:t>a public notice</w:t>
      </w:r>
      <w:r w:rsidRPr="6D7524F7">
        <w:t xml:space="preserve"> announcing </w:t>
      </w:r>
      <w:r w:rsidRPr="00FC5505" w:rsidR="00437D94">
        <w:t xml:space="preserve">guidance on factors that could help support </w:t>
      </w:r>
      <w:r w:rsidRPr="00FC5505">
        <w:t xml:space="preserve">waiver requests </w:t>
      </w:r>
      <w:r w:rsidRPr="00FC5505" w:rsidR="00A052E4">
        <w:t xml:space="preserve">of </w:t>
      </w:r>
      <w:r w:rsidRPr="00FC5505">
        <w:t>incumbent earth station operators</w:t>
      </w:r>
      <w:r w:rsidRPr="00FC5505" w:rsidR="00E24B0F">
        <w:t xml:space="preserve"> who</w:t>
      </w:r>
      <w:r w:rsidRPr="00FC5505">
        <w:t xml:space="preserve"> </w:t>
      </w:r>
      <w:r w:rsidRPr="00FC5505" w:rsidR="00A052E4">
        <w:t xml:space="preserve">may </w:t>
      </w:r>
      <w:r w:rsidRPr="00FC5505" w:rsidR="00E24B0F">
        <w:t xml:space="preserve">seek </w:t>
      </w:r>
      <w:r w:rsidRPr="00FC5505">
        <w:t xml:space="preserve">to amend certain existing registrations to add existing co-located antennas solely for purposes of </w:t>
      </w:r>
      <w:r w:rsidRPr="00FC5505" w:rsidR="00622118">
        <w:t>gaining</w:t>
      </w:r>
      <w:r w:rsidR="00622118">
        <w:t xml:space="preserve"> </w:t>
      </w:r>
      <w:r>
        <w:t>interference protection in the 4.0-4.2 GHz portion of the band</w:t>
      </w:r>
      <w:r w:rsidRPr="6D7524F7">
        <w:t>.</w:t>
      </w:r>
      <w:r>
        <w:rPr>
          <w:vertAlign w:val="superscript"/>
        </w:rPr>
        <w:footnoteReference w:id="4"/>
      </w:r>
      <w:r w:rsidRPr="00FA6E72">
        <w:rPr>
          <w:szCs w:val="22"/>
        </w:rPr>
        <w:t xml:space="preserve">  </w:t>
      </w:r>
    </w:p>
    <w:p w:rsidR="00770891" w:rsidP="000B2F10" w14:paraId="52A4053B" w14:textId="11F245C8">
      <w:pPr>
        <w:pStyle w:val="ParaNum"/>
      </w:pPr>
      <w:r>
        <w:rPr>
          <w:szCs w:val="22"/>
        </w:rPr>
        <w:t>On October 23, 2020, t</w:t>
      </w:r>
      <w:r w:rsidR="00FA6E72">
        <w:rPr>
          <w:szCs w:val="22"/>
        </w:rPr>
        <w:t xml:space="preserve">he International Bureau granted the requests of nearly </w:t>
      </w:r>
      <w:r w:rsidR="002627E8">
        <w:rPr>
          <w:szCs w:val="22"/>
        </w:rPr>
        <w:t>6</w:t>
      </w:r>
      <w:r w:rsidR="00FA6E72">
        <w:rPr>
          <w:szCs w:val="22"/>
        </w:rPr>
        <w:t xml:space="preserve">0 operators </w:t>
      </w:r>
      <w:r w:rsidRPr="00E07A32" w:rsidR="00FA6E72">
        <w:t>to allow the registration of additional antennas for interference protection only, and not for reimbursement of relocation expenses</w:t>
      </w:r>
      <w:r w:rsidR="00D83B3B">
        <w:t>.</w:t>
      </w:r>
      <w:r>
        <w:rPr>
          <w:rStyle w:val="FootnoteReference"/>
        </w:rPr>
        <w:footnoteReference w:id="5"/>
      </w:r>
      <w:r w:rsidRPr="00E07A32" w:rsidR="00FA6E72">
        <w:t xml:space="preserve"> </w:t>
      </w:r>
      <w:r w:rsidR="00D83B3B">
        <w:t xml:space="preserve"> </w:t>
      </w:r>
      <w:r w:rsidR="000B2F10">
        <w:t>T</w:t>
      </w:r>
      <w:r w:rsidR="00A359AD">
        <w:t>he</w:t>
      </w:r>
      <w:r>
        <w:t xml:space="preserve"> International</w:t>
      </w:r>
      <w:r w:rsidR="00A359AD">
        <w:t xml:space="preserve"> Bureau </w:t>
      </w:r>
      <w:r w:rsidR="003F40DE">
        <w:t xml:space="preserve">also </w:t>
      </w:r>
      <w:r w:rsidR="00A359AD">
        <w:t xml:space="preserve">noted </w:t>
      </w:r>
      <w:r>
        <w:t xml:space="preserve">that it was </w:t>
      </w:r>
      <w:r w:rsidR="00A359AD">
        <w:t>still evaluating the waiver requests of Comcast and TEGNA</w:t>
      </w:r>
      <w:r w:rsidR="00854958">
        <w:t>.</w:t>
      </w:r>
      <w:r>
        <w:rPr>
          <w:rStyle w:val="FootnoteReference"/>
        </w:rPr>
        <w:footnoteReference w:id="6"/>
      </w:r>
      <w:r w:rsidR="003D686A">
        <w:t xml:space="preserve"> </w:t>
      </w:r>
      <w:r w:rsidR="00854958">
        <w:t xml:space="preserve">  The Bureau additionally noted that it would provide</w:t>
      </w:r>
      <w:r w:rsidRPr="00E07A32" w:rsidR="00854958">
        <w:t xml:space="preserve"> </w:t>
      </w:r>
      <w:r w:rsidR="00854958">
        <w:t xml:space="preserve">directions to </w:t>
      </w:r>
      <w:r w:rsidR="00FB2AA1">
        <w:t xml:space="preserve">the 60 waiver recipients </w:t>
      </w:r>
      <w:r w:rsidR="00854958">
        <w:t xml:space="preserve">on </w:t>
      </w:r>
      <w:r w:rsidR="006E76B7">
        <w:t xml:space="preserve">the </w:t>
      </w:r>
      <w:r w:rsidRPr="00E07A32" w:rsidR="00854958">
        <w:t>IBFS</w:t>
      </w:r>
      <w:r w:rsidR="006E76B7">
        <w:t xml:space="preserve"> submissions they would need to make in order to </w:t>
      </w:r>
      <w:r w:rsidR="003D6ACB">
        <w:t>f</w:t>
      </w:r>
      <w:r w:rsidR="007F44CD">
        <w:t xml:space="preserve">ormalize </w:t>
      </w:r>
      <w:r w:rsidR="003D6ACB">
        <w:t>the approval of their</w:t>
      </w:r>
      <w:r w:rsidR="007F44CD">
        <w:t xml:space="preserve"> waiver grants</w:t>
      </w:r>
      <w:r w:rsidR="00854958">
        <w:t>.</w:t>
      </w:r>
      <w:r>
        <w:rPr>
          <w:rStyle w:val="FootnoteReference"/>
        </w:rPr>
        <w:footnoteReference w:id="7"/>
      </w:r>
      <w:r w:rsidR="00A45785">
        <w:t xml:space="preserve"> </w:t>
      </w:r>
      <w:bookmarkStart w:id="7" w:name="_Toc54115841"/>
      <w:bookmarkStart w:id="8" w:name="_Toc54116000"/>
      <w:bookmarkStart w:id="9" w:name="_Toc54118391"/>
      <w:bookmarkStart w:id="10" w:name="_Toc54217975"/>
    </w:p>
    <w:p w:rsidR="001521E2" w:rsidP="00EB1BD4" w14:paraId="3D9980D9" w14:textId="11931547">
      <w:pPr>
        <w:pStyle w:val="Heading1"/>
      </w:pPr>
      <w:r>
        <w:t>Discussion</w:t>
      </w:r>
      <w:bookmarkEnd w:id="7"/>
      <w:bookmarkEnd w:id="8"/>
      <w:bookmarkEnd w:id="9"/>
      <w:bookmarkEnd w:id="10"/>
    </w:p>
    <w:p w:rsidR="009552BB" w:rsidRPr="00D23ADB" w:rsidP="00CB694C" w14:paraId="43AA6CD4" w14:textId="2E017837">
      <w:pPr>
        <w:pStyle w:val="ParaNum"/>
        <w:rPr>
          <w:snapToGrid/>
          <w:color w:val="000000"/>
          <w:kern w:val="0"/>
        </w:rPr>
      </w:pPr>
      <w:r>
        <w:t xml:space="preserve">Generally, the Commission’s </w:t>
      </w:r>
      <w:r w:rsidR="00674EAA">
        <w:t>rules may be w</w:t>
      </w:r>
      <w:r w:rsidRPr="001D3F09" w:rsidR="00496174">
        <w:t>aive</w:t>
      </w:r>
      <w:r w:rsidR="00674EAA">
        <w:t>d</w:t>
      </w:r>
      <w:r w:rsidRPr="001D3F09" w:rsidR="00496174">
        <w:t xml:space="preserve"> where good cause has been demonstrated and the particular facts make strict compliance inconsistent with the public interest.</w:t>
      </w:r>
      <w:r>
        <w:rPr>
          <w:rStyle w:val="FootnoteReference"/>
          <w:szCs w:val="22"/>
        </w:rPr>
        <w:footnoteReference w:id="8"/>
      </w:r>
      <w:r w:rsidRPr="001D3F09" w:rsidR="00496174">
        <w:t xml:space="preserve">  In </w:t>
      </w:r>
      <w:r w:rsidRPr="00FC5505" w:rsidR="008B6716">
        <w:t xml:space="preserve">ruling on a waiver request, </w:t>
      </w:r>
      <w:r w:rsidRPr="001D3F09" w:rsidR="00496174">
        <w:t>we may take into account considerations of hardship, equity, or more effective implementation of overall policy on an individual basis.</w:t>
      </w:r>
      <w:r>
        <w:rPr>
          <w:rStyle w:val="FootnoteReference"/>
          <w:szCs w:val="22"/>
        </w:rPr>
        <w:footnoteReference w:id="9"/>
      </w:r>
      <w:r w:rsidRPr="001D3F09" w:rsidR="00496174">
        <w:t xml:space="preserve">  Waiver </w:t>
      </w:r>
      <w:r w:rsidR="00465BB2">
        <w:t xml:space="preserve">of the Commission’s rules </w:t>
      </w:r>
      <w:r w:rsidRPr="001D3F09" w:rsidR="00496174">
        <w:t>is therefore appropriate</w:t>
      </w:r>
      <w:r w:rsidR="00465BB2">
        <w:t xml:space="preserve"> only</w:t>
      </w:r>
      <w:r w:rsidRPr="001D3F09" w:rsidR="00496174">
        <w:t xml:space="preserve"> if special circumstances warrant a deviation from the general rule, </w:t>
      </w:r>
      <w:r w:rsidR="00496174">
        <w:t>and</w:t>
      </w:r>
      <w:r w:rsidRPr="001D3F09" w:rsidR="00496174">
        <w:t xml:space="preserve"> such deviation will serve the public interest</w:t>
      </w:r>
      <w:r w:rsidR="0063345F">
        <w:t>.</w:t>
      </w:r>
      <w:r>
        <w:rPr>
          <w:rFonts w:eastAsia="Calibri"/>
          <w:snapToGrid/>
          <w:kern w:val="0"/>
          <w:sz w:val="20"/>
          <w:szCs w:val="22"/>
          <w:vertAlign w:val="superscript"/>
        </w:rPr>
        <w:footnoteReference w:id="10"/>
      </w:r>
      <w:r w:rsidRPr="009552BB" w:rsidR="00FF1719">
        <w:rPr>
          <w:rFonts w:ascii="Calibri" w:eastAsia="Calibri" w:hAnsi="Calibri"/>
          <w:snapToGrid/>
          <w:kern w:val="0"/>
          <w:szCs w:val="22"/>
        </w:rPr>
        <w:t xml:space="preserve"> </w:t>
      </w:r>
      <w:r w:rsidRPr="001D3F09" w:rsidR="00496174">
        <w:t xml:space="preserve">  </w:t>
      </w:r>
    </w:p>
    <w:p w:rsidR="00D23ADB" w:rsidRPr="00D23ADB" w:rsidP="00D23ADB" w14:paraId="49CC6166" w14:textId="096DA542">
      <w:pPr>
        <w:pStyle w:val="ParaNum"/>
        <w:rPr>
          <w:rFonts w:eastAsia="Calibri"/>
          <w:snapToGrid/>
        </w:rPr>
      </w:pPr>
      <w:r>
        <w:t xml:space="preserve">As </w:t>
      </w:r>
      <w:r w:rsidR="006D2B18">
        <w:t>the Wireless Tele</w:t>
      </w:r>
      <w:r w:rsidR="00A1548E">
        <w:t>communication Bureau and International Bureau</w:t>
      </w:r>
      <w:r>
        <w:t xml:space="preserve"> noted in the </w:t>
      </w:r>
      <w:r w:rsidRPr="00E56542">
        <w:rPr>
          <w:i/>
          <w:iCs/>
        </w:rPr>
        <w:t>September 16 Waiver Guidance PN</w:t>
      </w:r>
      <w:r>
        <w:rPr>
          <w:rFonts w:eastAsia="Calibri"/>
          <w:snapToGrid/>
          <w:shd w:val="clear" w:color="auto" w:fill="FFFFFF"/>
        </w:rPr>
        <w:t>, each waiver request will be evaluated in light of the particular facts and circumstances set for</w:t>
      </w:r>
      <w:r w:rsidR="00E90FEA">
        <w:rPr>
          <w:rFonts w:eastAsia="Calibri"/>
          <w:snapToGrid/>
          <w:shd w:val="clear" w:color="auto" w:fill="FFFFFF"/>
        </w:rPr>
        <w:t>th</w:t>
      </w:r>
      <w:r>
        <w:rPr>
          <w:rFonts w:eastAsia="Calibri"/>
          <w:snapToGrid/>
          <w:shd w:val="clear" w:color="auto" w:fill="FFFFFF"/>
        </w:rPr>
        <w:t xml:space="preserve"> in the waiver request.  </w:t>
      </w:r>
      <w:r w:rsidRPr="008A100A">
        <w:rPr>
          <w:rFonts w:eastAsia="Calibri"/>
          <w:snapToGrid/>
          <w:shd w:val="clear" w:color="auto" w:fill="FFFFFF"/>
        </w:rPr>
        <w:t xml:space="preserve"> </w:t>
      </w:r>
      <w:r w:rsidRPr="0092541E">
        <w:rPr>
          <w:rFonts w:eastAsia="Calibri"/>
          <w:snapToGrid/>
          <w:shd w:val="clear" w:color="auto" w:fill="FFFFFF"/>
        </w:rPr>
        <w:t>Such waiver requests must:</w:t>
      </w:r>
      <w:r>
        <w:rPr>
          <w:rFonts w:eastAsia="Calibri"/>
          <w:snapToGrid/>
          <w:shd w:val="clear" w:color="auto" w:fill="FFFFFF"/>
        </w:rPr>
        <w:t xml:space="preserve"> (1) be pleaded with specificity; (2) provide detailed information regarding the individual circumstances of the applicant</w:t>
      </w:r>
      <w:r w:rsidR="001422E6">
        <w:rPr>
          <w:rFonts w:eastAsia="Calibri"/>
          <w:snapToGrid/>
          <w:shd w:val="clear" w:color="auto" w:fill="FFFFFF"/>
        </w:rPr>
        <w:t xml:space="preserve"> and the registration information for each antenna; and (3) otherwise comport with the Commission’s rules governing waiver requests.</w:t>
      </w:r>
    </w:p>
    <w:p w:rsidR="002D42C9" w:rsidRPr="0036443D" w:rsidP="0036443D" w14:paraId="1635D89C" w14:textId="65680DB2">
      <w:pPr>
        <w:pStyle w:val="ParaNum"/>
        <w:rPr>
          <w:rFonts w:eastAsia="Calibri"/>
          <w:snapToGrid/>
          <w:kern w:val="0"/>
          <w:szCs w:val="22"/>
        </w:rPr>
      </w:pPr>
      <w:bookmarkStart w:id="11" w:name="_Toc54118392"/>
      <w:r w:rsidRPr="00E56542">
        <w:rPr>
          <w:szCs w:val="22"/>
        </w:rPr>
        <w:t xml:space="preserve">The </w:t>
      </w:r>
      <w:r w:rsidRPr="00E56542">
        <w:rPr>
          <w:i/>
          <w:iCs/>
        </w:rPr>
        <w:t>September 16 Waiver Guidance PN</w:t>
      </w:r>
      <w:r w:rsidRPr="00E56542">
        <w:rPr>
          <w:szCs w:val="22"/>
        </w:rPr>
        <w:t xml:space="preserve"> set forth </w:t>
      </w:r>
      <w:r w:rsidR="005C27F6">
        <w:rPr>
          <w:szCs w:val="22"/>
        </w:rPr>
        <w:t xml:space="preserve">some of the </w:t>
      </w:r>
      <w:r w:rsidRPr="00E56542">
        <w:rPr>
          <w:szCs w:val="22"/>
        </w:rPr>
        <w:t>factors</w:t>
      </w:r>
      <w:r w:rsidR="005C27F6">
        <w:rPr>
          <w:szCs w:val="22"/>
        </w:rPr>
        <w:t xml:space="preserve"> </w:t>
      </w:r>
      <w:r w:rsidR="00A55010">
        <w:rPr>
          <w:szCs w:val="22"/>
        </w:rPr>
        <w:t>that may be</w:t>
      </w:r>
      <w:r w:rsidR="00355563">
        <w:rPr>
          <w:szCs w:val="22"/>
        </w:rPr>
        <w:t xml:space="preserve"> </w:t>
      </w:r>
      <w:r w:rsidRPr="00A00622" w:rsidR="00355563">
        <w:rPr>
          <w:szCs w:val="22"/>
        </w:rPr>
        <w:t>particularly relevant</w:t>
      </w:r>
      <w:r w:rsidRPr="00A00622" w:rsidR="00A55010">
        <w:rPr>
          <w:szCs w:val="22"/>
        </w:rPr>
        <w:t xml:space="preserve"> </w:t>
      </w:r>
      <w:r w:rsidR="00CA79CF">
        <w:rPr>
          <w:szCs w:val="22"/>
        </w:rPr>
        <w:t xml:space="preserve">in evaluating </w:t>
      </w:r>
      <w:r w:rsidRPr="00E56542">
        <w:rPr>
          <w:szCs w:val="22"/>
        </w:rPr>
        <w:t xml:space="preserve">potential requests </w:t>
      </w:r>
      <w:r w:rsidR="00CA79CF">
        <w:rPr>
          <w:szCs w:val="22"/>
        </w:rPr>
        <w:t>for</w:t>
      </w:r>
      <w:r w:rsidRPr="00E56542">
        <w:rPr>
          <w:szCs w:val="22"/>
        </w:rPr>
        <w:t xml:space="preserve"> </w:t>
      </w:r>
      <w:r w:rsidRPr="00A00622">
        <w:rPr>
          <w:szCs w:val="22"/>
        </w:rPr>
        <w:t xml:space="preserve">a waiver </w:t>
      </w:r>
      <w:r w:rsidRPr="00A00622" w:rsidR="00B00E14">
        <w:rPr>
          <w:szCs w:val="22"/>
        </w:rPr>
        <w:t xml:space="preserve">that would </w:t>
      </w:r>
      <w:r w:rsidRPr="00A00622">
        <w:rPr>
          <w:szCs w:val="22"/>
        </w:rPr>
        <w:t xml:space="preserve">permit incumbent earth stations operators to amend registrations </w:t>
      </w:r>
      <w:r w:rsidRPr="00A00622" w:rsidR="000013F4">
        <w:rPr>
          <w:szCs w:val="22"/>
        </w:rPr>
        <w:t xml:space="preserve">by adding </w:t>
      </w:r>
      <w:r w:rsidRPr="00E56542">
        <w:rPr>
          <w:szCs w:val="22"/>
        </w:rPr>
        <w:t>additional existing co-located antenna</w:t>
      </w:r>
      <w:r w:rsidR="000013F4">
        <w:rPr>
          <w:szCs w:val="22"/>
        </w:rPr>
        <w:t>s</w:t>
      </w:r>
      <w:r w:rsidRPr="00E56542">
        <w:rPr>
          <w:szCs w:val="22"/>
        </w:rPr>
        <w:t xml:space="preserve"> for interference protection purposes only.</w:t>
      </w:r>
      <w:r>
        <w:rPr>
          <w:vertAlign w:val="superscript"/>
        </w:rPr>
        <w:footnoteReference w:id="11"/>
      </w:r>
      <w:r w:rsidRPr="00E56542">
        <w:rPr>
          <w:szCs w:val="22"/>
        </w:rPr>
        <w:t xml:space="preserve">  </w:t>
      </w:r>
      <w:r>
        <w:rPr>
          <w:szCs w:val="22"/>
        </w:rPr>
        <w:t>Specifically</w:t>
      </w:r>
      <w:r w:rsidR="007A60F3">
        <w:rPr>
          <w:szCs w:val="22"/>
        </w:rPr>
        <w:t xml:space="preserve">, </w:t>
      </w:r>
      <w:r>
        <w:rPr>
          <w:szCs w:val="22"/>
        </w:rPr>
        <w:t>we</w:t>
      </w:r>
      <w:r w:rsidR="006D2B18">
        <w:rPr>
          <w:szCs w:val="22"/>
        </w:rPr>
        <w:t xml:space="preserve"> noted that</w:t>
      </w:r>
      <w:r>
        <w:rPr>
          <w:szCs w:val="22"/>
        </w:rPr>
        <w:t xml:space="preserve"> </w:t>
      </w:r>
      <w:r w:rsidR="00E90FEA">
        <w:rPr>
          <w:szCs w:val="22"/>
        </w:rPr>
        <w:t xml:space="preserve">we </w:t>
      </w:r>
      <w:r w:rsidRPr="00E56542">
        <w:rPr>
          <w:snapToGrid/>
          <w:kern w:val="0"/>
          <w:szCs w:val="22"/>
        </w:rPr>
        <w:t>would expect to take into account the following considerations, among others</w:t>
      </w:r>
      <w:r w:rsidR="0036443D">
        <w:rPr>
          <w:snapToGrid/>
          <w:kern w:val="0"/>
          <w:szCs w:val="22"/>
        </w:rPr>
        <w:t>:</w:t>
      </w:r>
    </w:p>
    <w:p w:rsidR="00F71CB2" w:rsidRPr="00E07A32" w:rsidP="00F71CB2" w14:paraId="6120B422" w14:textId="77777777">
      <w:pPr>
        <w:widowControl/>
        <w:numPr>
          <w:ilvl w:val="0"/>
          <w:numId w:val="18"/>
        </w:numPr>
        <w:autoSpaceDE w:val="0"/>
        <w:autoSpaceDN w:val="0"/>
        <w:adjustRightInd w:val="0"/>
        <w:spacing w:after="120"/>
        <w:ind w:left="1080"/>
        <w:rPr>
          <w:snapToGrid/>
          <w:color w:val="000000"/>
          <w:kern w:val="0"/>
          <w:szCs w:val="22"/>
        </w:rPr>
      </w:pPr>
      <w:r w:rsidRPr="00E07A32">
        <w:rPr>
          <w:snapToGrid/>
          <w:color w:val="000000"/>
          <w:kern w:val="0"/>
          <w:szCs w:val="22"/>
        </w:rPr>
        <w:t xml:space="preserve">Whether the antenna would have been eligible for incumbent protection when the filing window closed on November 7, 2018; </w:t>
      </w:r>
    </w:p>
    <w:p w:rsidR="00F71CB2" w:rsidP="00F71CB2" w14:paraId="3EAB768D" w14:textId="77777777">
      <w:pPr>
        <w:widowControl/>
        <w:numPr>
          <w:ilvl w:val="0"/>
          <w:numId w:val="18"/>
        </w:numPr>
        <w:autoSpaceDE w:val="0"/>
        <w:autoSpaceDN w:val="0"/>
        <w:adjustRightInd w:val="0"/>
        <w:spacing w:after="120"/>
        <w:ind w:left="1080"/>
        <w:rPr>
          <w:snapToGrid/>
          <w:color w:val="000000"/>
          <w:kern w:val="0"/>
          <w:szCs w:val="22"/>
        </w:rPr>
      </w:pPr>
      <w:r w:rsidRPr="00E07A32">
        <w:rPr>
          <w:snapToGrid/>
          <w:color w:val="000000"/>
          <w:kern w:val="0"/>
          <w:szCs w:val="22"/>
        </w:rPr>
        <w:t xml:space="preserve">Whether the request involves a site or facility with one or more incumbent earth stations in the 3.7-4.2 GHz band (providing the specific Callsign, </w:t>
      </w:r>
      <w:r w:rsidRPr="00E07A32">
        <w:rPr>
          <w:snapToGrid/>
          <w:color w:val="000000"/>
          <w:kern w:val="0"/>
          <w:szCs w:val="22"/>
        </w:rPr>
        <w:t>SiteID</w:t>
      </w:r>
      <w:r w:rsidRPr="00E07A32">
        <w:rPr>
          <w:snapToGrid/>
          <w:color w:val="000000"/>
          <w:kern w:val="0"/>
          <w:szCs w:val="22"/>
        </w:rPr>
        <w:t xml:space="preserve">, and </w:t>
      </w:r>
      <w:r w:rsidRPr="00E07A32">
        <w:rPr>
          <w:snapToGrid/>
          <w:color w:val="000000"/>
          <w:kern w:val="0"/>
          <w:szCs w:val="22"/>
        </w:rPr>
        <w:t>AntID</w:t>
      </w:r>
      <w:r w:rsidRPr="00E07A32">
        <w:rPr>
          <w:snapToGrid/>
          <w:color w:val="000000"/>
          <w:kern w:val="0"/>
          <w:szCs w:val="22"/>
        </w:rPr>
        <w:t xml:space="preserve"> of the incumbent earth station(s));</w:t>
      </w:r>
    </w:p>
    <w:p w:rsidR="00F71CB2" w:rsidP="00F71CB2" w14:paraId="52EFD397" w14:textId="77777777">
      <w:pPr>
        <w:widowControl/>
        <w:numPr>
          <w:ilvl w:val="0"/>
          <w:numId w:val="18"/>
        </w:numPr>
        <w:autoSpaceDE w:val="0"/>
        <w:autoSpaceDN w:val="0"/>
        <w:adjustRightInd w:val="0"/>
        <w:spacing w:after="120"/>
        <w:ind w:left="1080"/>
        <w:rPr>
          <w:snapToGrid/>
          <w:color w:val="000000"/>
          <w:kern w:val="0"/>
          <w:szCs w:val="22"/>
        </w:rPr>
      </w:pPr>
      <w:r w:rsidRPr="00E07A32">
        <w:rPr>
          <w:snapToGrid/>
          <w:color w:val="000000"/>
          <w:kern w:val="0"/>
          <w:szCs w:val="22"/>
        </w:rPr>
        <w:t xml:space="preserve">How far away the additional antennas are from an incumbent earth station (providing the specific Callsign, </w:t>
      </w:r>
      <w:r w:rsidRPr="00E07A32">
        <w:rPr>
          <w:snapToGrid/>
          <w:color w:val="000000"/>
          <w:kern w:val="0"/>
          <w:szCs w:val="22"/>
        </w:rPr>
        <w:t>SiteID</w:t>
      </w:r>
      <w:r w:rsidRPr="00E07A32">
        <w:rPr>
          <w:snapToGrid/>
          <w:color w:val="000000"/>
          <w:kern w:val="0"/>
          <w:szCs w:val="22"/>
        </w:rPr>
        <w:t xml:space="preserve">, </w:t>
      </w:r>
      <w:r w:rsidRPr="00E07A32">
        <w:rPr>
          <w:snapToGrid/>
          <w:color w:val="000000"/>
          <w:kern w:val="0"/>
          <w:szCs w:val="22"/>
        </w:rPr>
        <w:t>AntID</w:t>
      </w:r>
      <w:r w:rsidRPr="00E07A32">
        <w:rPr>
          <w:snapToGrid/>
          <w:color w:val="000000"/>
          <w:kern w:val="0"/>
          <w:szCs w:val="22"/>
        </w:rPr>
        <w:t xml:space="preserve">, and GPS coordinates of each antenna); </w:t>
      </w:r>
    </w:p>
    <w:p w:rsidR="00F71CB2" w:rsidP="00F71CB2" w14:paraId="559535ED" w14:textId="77777777">
      <w:pPr>
        <w:widowControl/>
        <w:numPr>
          <w:ilvl w:val="0"/>
          <w:numId w:val="18"/>
        </w:numPr>
        <w:autoSpaceDE w:val="0"/>
        <w:autoSpaceDN w:val="0"/>
        <w:adjustRightInd w:val="0"/>
        <w:spacing w:after="120"/>
        <w:ind w:left="1080"/>
        <w:rPr>
          <w:snapToGrid/>
          <w:color w:val="000000"/>
          <w:kern w:val="0"/>
          <w:szCs w:val="22"/>
        </w:rPr>
      </w:pPr>
      <w:r w:rsidRPr="00E07A32">
        <w:rPr>
          <w:snapToGrid/>
          <w:color w:val="000000"/>
          <w:kern w:val="0"/>
          <w:szCs w:val="22"/>
        </w:rPr>
        <w:t>How many additional antennas per registrant at any given site; and</w:t>
      </w:r>
    </w:p>
    <w:p w:rsidR="00F71CB2" w:rsidRPr="00E07A32" w:rsidP="00F71CB2" w14:paraId="5842986B" w14:textId="77777777">
      <w:pPr>
        <w:widowControl/>
        <w:numPr>
          <w:ilvl w:val="0"/>
          <w:numId w:val="18"/>
        </w:numPr>
        <w:autoSpaceDE w:val="0"/>
        <w:autoSpaceDN w:val="0"/>
        <w:adjustRightInd w:val="0"/>
        <w:spacing w:after="120"/>
        <w:ind w:left="1080"/>
        <w:rPr>
          <w:snapToGrid/>
          <w:color w:val="000000"/>
          <w:kern w:val="0"/>
          <w:szCs w:val="22"/>
        </w:rPr>
      </w:pPr>
      <w:r w:rsidRPr="00E07A32">
        <w:rPr>
          <w:snapToGrid/>
          <w:color w:val="000000"/>
          <w:kern w:val="0"/>
          <w:szCs w:val="22"/>
        </w:rPr>
        <w:t>Whether grant of the waiver would require reimbursement of additional relocation expenses to the applicant.</w:t>
      </w:r>
      <w:r>
        <w:rPr>
          <w:kern w:val="0"/>
          <w:szCs w:val="22"/>
          <w:vertAlign w:val="superscript"/>
        </w:rPr>
        <w:footnoteReference w:id="12"/>
      </w:r>
    </w:p>
    <w:p w:rsidR="00F2202F" w:rsidP="000A74C9" w14:paraId="6927EC4F" w14:textId="1C0FFDFA">
      <w:pPr>
        <w:pStyle w:val="ParaNum"/>
      </w:pPr>
      <w:r>
        <w:rPr>
          <w:szCs w:val="22"/>
        </w:rPr>
        <w:t>Having considered their applications, w</w:t>
      </w:r>
      <w:r w:rsidR="002C7ABC">
        <w:rPr>
          <w:szCs w:val="22"/>
        </w:rPr>
        <w:t xml:space="preserve">e grant the waiver requests of Comcast and TEGNA </w:t>
      </w:r>
      <w:r w:rsidRPr="00E07A32" w:rsidR="00496174">
        <w:t>to allow the registration of additional antennas for interference protection only, and not for reimbursement of relocation expenses</w:t>
      </w:r>
      <w:r w:rsidR="00900FF4">
        <w:t xml:space="preserve">. </w:t>
      </w:r>
      <w:r w:rsidR="00B37EBA">
        <w:t xml:space="preserve"> </w:t>
      </w:r>
      <w:r>
        <w:t xml:space="preserve">After filing their initial waiver requests, </w:t>
      </w:r>
      <w:r w:rsidR="00B37EBA">
        <w:t>Comcast and TEGNA</w:t>
      </w:r>
      <w:r>
        <w:t xml:space="preserve"> conducted </w:t>
      </w:r>
      <w:r w:rsidRPr="00BD25E2" w:rsidR="00D8532D">
        <w:t>additional review</w:t>
      </w:r>
      <w:r>
        <w:t xml:space="preserve"> and</w:t>
      </w:r>
      <w:r w:rsidRPr="00BD25E2" w:rsidR="00D8532D">
        <w:t xml:space="preserve"> discovered that they had made technical errors with </w:t>
      </w:r>
      <w:r w:rsidR="00D8532D">
        <w:t xml:space="preserve">the </w:t>
      </w:r>
      <w:r w:rsidR="00341A12">
        <w:t>GPS</w:t>
      </w:r>
      <w:r w:rsidRPr="00BD25E2" w:rsidR="00D8532D">
        <w:t xml:space="preserve"> coordinates </w:t>
      </w:r>
      <w:r w:rsidR="00D8532D">
        <w:t>in their original filings</w:t>
      </w:r>
      <w:r>
        <w:t>.  Both Comcast and TEGNA</w:t>
      </w:r>
      <w:r w:rsidR="00D8532D">
        <w:t xml:space="preserve"> have since </w:t>
      </w:r>
      <w:r w:rsidRPr="00BD25E2" w:rsidR="00D8532D">
        <w:t xml:space="preserve">made subsequent corrective filings, </w:t>
      </w:r>
      <w:r w:rsidR="006B6674">
        <w:t xml:space="preserve">the accuracy of </w:t>
      </w:r>
      <w:r w:rsidRPr="00BD25E2" w:rsidR="00D8532D">
        <w:t>which we have verified.</w:t>
      </w:r>
      <w:r>
        <w:rPr>
          <w:rStyle w:val="FootnoteReference"/>
        </w:rPr>
        <w:footnoteReference w:id="13"/>
      </w:r>
      <w:r w:rsidR="00D8532D">
        <w:t xml:space="preserve"> </w:t>
      </w:r>
      <w:r w:rsidR="00900FF4">
        <w:t xml:space="preserve"> </w:t>
      </w:r>
      <w:r w:rsidR="00BC4B61">
        <w:t xml:space="preserve">In their requests and </w:t>
      </w:r>
      <w:r w:rsidR="00373E1C">
        <w:t xml:space="preserve">their subsequent </w:t>
      </w:r>
      <w:r w:rsidR="00D83B3B">
        <w:t>supplement</w:t>
      </w:r>
      <w:r w:rsidR="00BC4B61">
        <w:t>al filings</w:t>
      </w:r>
      <w:r w:rsidR="00D83B3B">
        <w:t xml:space="preserve">, </w:t>
      </w:r>
      <w:r w:rsidR="00BC4B61">
        <w:t xml:space="preserve">Comcast and TEGNA have </w:t>
      </w:r>
      <w:r w:rsidR="00025FAF">
        <w:t xml:space="preserve">also </w:t>
      </w:r>
      <w:r w:rsidR="00BC4B61">
        <w:t xml:space="preserve">demonstrated that </w:t>
      </w:r>
      <w:r w:rsidR="00B054D9">
        <w:t>the</w:t>
      </w:r>
      <w:r w:rsidR="00C54AF0">
        <w:t xml:space="preserve"> following facts apply to their respective requests</w:t>
      </w:r>
      <w:r w:rsidRPr="00E07A32" w:rsidR="00496174">
        <w:t>:</w:t>
      </w:r>
    </w:p>
    <w:p w:rsidR="00F2202F" w:rsidRPr="009B6DD1" w:rsidP="00F2202F" w14:paraId="3BA172D5" w14:textId="77777777">
      <w:pPr>
        <w:pStyle w:val="ParaNum"/>
        <w:numPr>
          <w:ilvl w:val="0"/>
          <w:numId w:val="19"/>
        </w:numPr>
        <w:ind w:left="1080"/>
      </w:pPr>
      <w:r w:rsidRPr="00713D1F">
        <w:rPr>
          <w:snapToGrid/>
          <w:color w:val="000000"/>
          <w:kern w:val="0"/>
          <w:szCs w:val="22"/>
        </w:rPr>
        <w:t>The antenna was operational on April 19, 2018, and would have been eligible for incumbent protection when the filing window closed on November 7, 2018</w:t>
      </w:r>
      <w:r w:rsidR="00A223FC">
        <w:rPr>
          <w:snapToGrid/>
          <w:color w:val="000000"/>
          <w:kern w:val="0"/>
          <w:szCs w:val="22"/>
        </w:rPr>
        <w:t>;</w:t>
      </w:r>
    </w:p>
    <w:p w:rsidR="00F2202F" w:rsidRPr="00FD2943" w:rsidP="00F2202F" w14:paraId="3BBF30F1" w14:textId="77777777">
      <w:pPr>
        <w:pStyle w:val="ParaNum"/>
        <w:numPr>
          <w:ilvl w:val="0"/>
          <w:numId w:val="19"/>
        </w:numPr>
        <w:ind w:left="1080"/>
      </w:pPr>
      <w:r w:rsidRPr="009B6DD1">
        <w:rPr>
          <w:snapToGrid/>
          <w:color w:val="000000"/>
          <w:kern w:val="0"/>
          <w:szCs w:val="22"/>
        </w:rPr>
        <w:t>The request involves a site or facility with one or more incumbent earth stations in the 3.7-4.2 GHz band and is within 150 meters of an already-registered antenna</w:t>
      </w:r>
      <w:r w:rsidR="00A223FC">
        <w:rPr>
          <w:snapToGrid/>
          <w:color w:val="000000"/>
          <w:kern w:val="0"/>
          <w:szCs w:val="22"/>
        </w:rPr>
        <w:t>; and</w:t>
      </w:r>
    </w:p>
    <w:p w:rsidR="002C7ABC" w:rsidP="002C7ABC" w14:paraId="30C5660B" w14:textId="77777777">
      <w:pPr>
        <w:pStyle w:val="ParaNum"/>
        <w:numPr>
          <w:ilvl w:val="0"/>
          <w:numId w:val="19"/>
        </w:numPr>
        <w:ind w:left="1080"/>
      </w:pPr>
      <w:r w:rsidRPr="00FD2943">
        <w:rPr>
          <w:snapToGrid/>
          <w:color w:val="000000"/>
          <w:kern w:val="0"/>
          <w:szCs w:val="22"/>
        </w:rPr>
        <w:t>The request does not seek to add more than 25 antennas at a given site.</w:t>
      </w:r>
      <w:r>
        <w:rPr>
          <w:vertAlign w:val="superscript"/>
        </w:rPr>
        <w:footnoteReference w:id="14"/>
      </w:r>
    </w:p>
    <w:p w:rsidR="00D83B3B" w:rsidP="00897F0C" w14:paraId="69B63A94" w14:textId="20CF3CFC">
      <w:pPr>
        <w:pStyle w:val="ParaNum"/>
        <w:numPr>
          <w:ilvl w:val="0"/>
          <w:numId w:val="0"/>
        </w:numPr>
      </w:pPr>
      <w:r>
        <w:t>As we have previously concluded</w:t>
      </w:r>
      <w:r w:rsidR="0015675A">
        <w:t xml:space="preserve"> with respect to th</w:t>
      </w:r>
      <w:r w:rsidR="009626BF">
        <w:t xml:space="preserve">e 60 </w:t>
      </w:r>
      <w:r w:rsidR="0015675A">
        <w:t xml:space="preserve">similarly situated </w:t>
      </w:r>
      <w:r w:rsidR="009626BF">
        <w:t xml:space="preserve">operators that were granted waivers in the </w:t>
      </w:r>
      <w:r w:rsidR="00DB30CF">
        <w:rPr>
          <w:i/>
          <w:iCs/>
        </w:rPr>
        <w:t>October 23 Waiver Order</w:t>
      </w:r>
      <w:r>
        <w:t xml:space="preserve">, </w:t>
      </w:r>
      <w:r w:rsidR="00203564">
        <w:t xml:space="preserve">these facts </w:t>
      </w:r>
      <w:r w:rsidR="00E248C3">
        <w:t xml:space="preserve">support </w:t>
      </w:r>
      <w:r w:rsidR="00232892">
        <w:t xml:space="preserve">a </w:t>
      </w:r>
      <w:r w:rsidR="00E248C3">
        <w:t xml:space="preserve">grant of the type of waiver </w:t>
      </w:r>
      <w:r w:rsidR="009643B8">
        <w:t>that Comcast and TEGNA have requested</w:t>
      </w:r>
      <w:r w:rsidR="00B12262">
        <w:t xml:space="preserve">.  Registration of </w:t>
      </w:r>
      <w:r w:rsidR="009C6D08">
        <w:t>the Comcast and TEGNA antennas</w:t>
      </w:r>
      <w:r w:rsidR="004328FA">
        <w:t xml:space="preserve"> under the conditions set out above (including </w:t>
      </w:r>
      <w:r w:rsidR="006218F0">
        <w:t>the limitation that such registration will be for interference</w:t>
      </w:r>
      <w:r w:rsidRPr="00ED47E0" w:rsidR="00ED47E0">
        <w:t>-protection</w:t>
      </w:r>
      <w:r w:rsidR="006218F0">
        <w:t xml:space="preserve"> purposes only)</w:t>
      </w:r>
      <w:r w:rsidR="009C6D08">
        <w:t>,</w:t>
      </w:r>
      <w:r w:rsidR="006218F0">
        <w:t xml:space="preserve"> </w:t>
      </w:r>
      <w:r w:rsidR="00657B71">
        <w:t>will</w:t>
      </w:r>
      <w:r w:rsidR="00E3596E">
        <w:t xml:space="preserve"> help</w:t>
      </w:r>
      <w:r w:rsidR="00657B71">
        <w:t xml:space="preserve"> </w:t>
      </w:r>
      <w:r w:rsidR="007D1C4B">
        <w:t xml:space="preserve">protect against undue disruption of existing services in the band as a result of the transition while </w:t>
      </w:r>
      <w:r w:rsidR="00657B71">
        <w:t>ensur</w:t>
      </w:r>
      <w:r w:rsidR="007D1C4B">
        <w:t>ing</w:t>
      </w:r>
      <w:r w:rsidR="00657B71">
        <w:t xml:space="preserve"> that any </w:t>
      </w:r>
      <w:r w:rsidR="007D1C4B">
        <w:t>impact to</w:t>
      </w:r>
      <w:r w:rsidRPr="00E07A32" w:rsidR="00496174">
        <w:t xml:space="preserve"> the overall interference environment</w:t>
      </w:r>
      <w:r w:rsidR="00657B71">
        <w:t xml:space="preserve"> is kept to a minimum</w:t>
      </w:r>
      <w:r w:rsidR="007D1C4B">
        <w:t>.   This decision</w:t>
      </w:r>
      <w:r w:rsidR="00AC1FF2">
        <w:t xml:space="preserve"> tak</w:t>
      </w:r>
      <w:r w:rsidR="00311B2F">
        <w:t>es</w:t>
      </w:r>
      <w:r w:rsidR="00AC1FF2">
        <w:t xml:space="preserve"> into account </w:t>
      </w:r>
      <w:r w:rsidRPr="00E07A32" w:rsidR="00496174">
        <w:t xml:space="preserve">the previous perceived uncertainty about the need to register each antenna in the registration process. </w:t>
      </w:r>
      <w:r w:rsidR="00437254">
        <w:t xml:space="preserve"> </w:t>
      </w:r>
    </w:p>
    <w:p w:rsidR="002336CF" w:rsidP="00AA6CF7" w14:paraId="6B32B308" w14:textId="58991612">
      <w:pPr>
        <w:pStyle w:val="ParaNum"/>
      </w:pPr>
      <w:r>
        <w:t>To</w:t>
      </w:r>
      <w:r w:rsidR="007812DD">
        <w:t xml:space="preserve"> convert these waiver grants </w:t>
      </w:r>
      <w:r w:rsidR="002F17BA">
        <w:t>into</w:t>
      </w:r>
      <w:r w:rsidR="00D51B5E">
        <w:t xml:space="preserve"> </w:t>
      </w:r>
      <w:r w:rsidR="00075A92">
        <w:t>antenna registrations</w:t>
      </w:r>
      <w:r w:rsidR="00317931">
        <w:t xml:space="preserve"> in IBFS, Comc</w:t>
      </w:r>
      <w:r w:rsidR="00B862E1">
        <w:t>ast, T</w:t>
      </w:r>
      <w:r w:rsidR="00ED47E0">
        <w:t>EGNA</w:t>
      </w:r>
      <w:r w:rsidR="00B862E1">
        <w:t xml:space="preserve">, and the waiver grantees listed in the </w:t>
      </w:r>
      <w:r w:rsidRPr="00B862E1" w:rsidR="00B862E1">
        <w:rPr>
          <w:i/>
          <w:iCs/>
        </w:rPr>
        <w:t>October 23 Waiver</w:t>
      </w:r>
      <w:r w:rsidR="00DB30CF">
        <w:rPr>
          <w:i/>
          <w:iCs/>
        </w:rPr>
        <w:t xml:space="preserve"> </w:t>
      </w:r>
      <w:r w:rsidRPr="00A00622" w:rsidR="00DB30CF">
        <w:rPr>
          <w:i/>
          <w:iCs/>
        </w:rPr>
        <w:t>Order</w:t>
      </w:r>
      <w:r w:rsidRPr="00A00622" w:rsidR="00B862E1">
        <w:rPr>
          <w:i/>
          <w:iCs/>
        </w:rPr>
        <w:t xml:space="preserve"> </w:t>
      </w:r>
      <w:r w:rsidR="000C4877">
        <w:t>will</w:t>
      </w:r>
      <w:r w:rsidR="00064E44">
        <w:t xml:space="preserve"> be</w:t>
      </w:r>
      <w:r w:rsidR="000C4877">
        <w:t xml:space="preserve"> instructe</w:t>
      </w:r>
      <w:r w:rsidR="00AC0574">
        <w:t>d</w:t>
      </w:r>
      <w:r w:rsidR="00D240B1">
        <w:t xml:space="preserve"> to </w:t>
      </w:r>
      <w:r w:rsidR="000C4877">
        <w:t xml:space="preserve">submit </w:t>
      </w:r>
      <w:r w:rsidR="00BD67D7">
        <w:t>specifically</w:t>
      </w:r>
      <w:r w:rsidR="00ED47E0">
        <w:t xml:space="preserve"> </w:t>
      </w:r>
      <w:r w:rsidR="00BD67D7">
        <w:t xml:space="preserve">tailored </w:t>
      </w:r>
      <w:r w:rsidR="00D240B1">
        <w:t>registration applications in IBFS.  B</w:t>
      </w:r>
      <w:r w:rsidR="00A45785">
        <w:t>ecause</w:t>
      </w:r>
      <w:r w:rsidR="004133AE">
        <w:t xml:space="preserve"> the rights of these additional co-located antennas differ significantly from those of </w:t>
      </w:r>
      <w:r w:rsidR="00A45785">
        <w:t xml:space="preserve">the respective </w:t>
      </w:r>
      <w:r w:rsidR="004133AE">
        <w:t>incumbent earth station</w:t>
      </w:r>
      <w:r w:rsidR="00A45785">
        <w:t>s</w:t>
      </w:r>
      <w:r w:rsidR="004133AE">
        <w:t xml:space="preserve">, the </w:t>
      </w:r>
      <w:r w:rsidR="00A45785">
        <w:t xml:space="preserve">International </w:t>
      </w:r>
      <w:r w:rsidR="004133AE">
        <w:t xml:space="preserve">Bureau will implement these waivers in IBFS in a manner that keeps separate these two classes of C-band earth stations.  In particular, </w:t>
      </w:r>
      <w:r w:rsidR="008F68DC">
        <w:t>the</w:t>
      </w:r>
      <w:r w:rsidR="004133AE">
        <w:t>se</w:t>
      </w:r>
      <w:r w:rsidR="008F68DC">
        <w:t xml:space="preserve"> additional antenna</w:t>
      </w:r>
      <w:r w:rsidR="004133AE">
        <w:t>s</w:t>
      </w:r>
      <w:r w:rsidR="008F68DC">
        <w:t xml:space="preserve"> will be registered under a new call sign based on the call sign of the incumbent earth station antenna upon which the waiver was based (the “anchor antenna”), followed by the letter “A”</w:t>
      </w:r>
      <w:r w:rsidR="004133AE">
        <w:t xml:space="preserve">.  That is, </w:t>
      </w:r>
      <w:r w:rsidRPr="004133AE" w:rsidR="008F68DC">
        <w:t>additional</w:t>
      </w:r>
      <w:r w:rsidRPr="008F68DC" w:rsidR="008F68DC">
        <w:t xml:space="preserve"> antenna</w:t>
      </w:r>
      <w:r w:rsidR="004133AE">
        <w:t>s</w:t>
      </w:r>
      <w:r w:rsidRPr="008F68DC" w:rsidR="008F68DC">
        <w:t xml:space="preserve"> </w:t>
      </w:r>
      <w:r w:rsidR="004133AE">
        <w:t>associated with</w:t>
      </w:r>
      <w:r w:rsidR="008F68DC">
        <w:rPr>
          <w:i/>
          <w:iCs/>
        </w:rPr>
        <w:t xml:space="preserve"> </w:t>
      </w:r>
      <w:r w:rsidR="004133AE">
        <w:t xml:space="preserve">an anchor antenna in </w:t>
      </w:r>
      <w:r w:rsidR="00FD2A40">
        <w:t xml:space="preserve">hypothetical </w:t>
      </w:r>
      <w:r w:rsidR="004133AE">
        <w:t xml:space="preserve">callsign </w:t>
      </w:r>
      <w:r w:rsidR="008F68DC">
        <w:t>E102103 w</w:t>
      </w:r>
      <w:r w:rsidR="004133AE">
        <w:t>ill</w:t>
      </w:r>
      <w:r w:rsidR="008F68DC">
        <w:t xml:space="preserve"> be </w:t>
      </w:r>
      <w:r w:rsidR="004133AE">
        <w:t xml:space="preserve">registered under the callsign </w:t>
      </w:r>
      <w:r w:rsidR="008F68DC">
        <w:t xml:space="preserve">“E102103A.”  As a result, all additional co-located earth station antennas will be registered under a call sign ending in the letter “A.”  </w:t>
      </w:r>
      <w:r w:rsidR="00FF78AA">
        <w:t xml:space="preserve">The International Bureau </w:t>
      </w:r>
      <w:r w:rsidR="00A6424F">
        <w:t xml:space="preserve">will soon </w:t>
      </w:r>
      <w:r w:rsidR="008F68DC">
        <w:t>provid</w:t>
      </w:r>
      <w:r w:rsidR="001C5826">
        <w:t>e</w:t>
      </w:r>
      <w:r w:rsidR="004133AE">
        <w:t xml:space="preserve"> more detailed</w:t>
      </w:r>
      <w:r w:rsidRPr="00E07A32" w:rsidR="008F68DC">
        <w:t xml:space="preserve"> </w:t>
      </w:r>
      <w:r w:rsidR="000C0266">
        <w:t xml:space="preserve">step-by-step </w:t>
      </w:r>
      <w:r w:rsidR="008F68DC">
        <w:t xml:space="preserve">directions </w:t>
      </w:r>
      <w:r w:rsidR="004133AE">
        <w:t xml:space="preserve">directly </w:t>
      </w:r>
      <w:r w:rsidR="00E2677A">
        <w:t xml:space="preserve">via email </w:t>
      </w:r>
      <w:r w:rsidR="008F68DC">
        <w:t xml:space="preserve">to </w:t>
      </w:r>
      <w:r w:rsidR="00FF78AA">
        <w:t xml:space="preserve">all </w:t>
      </w:r>
      <w:r w:rsidRPr="00E07A32" w:rsidR="008F68DC">
        <w:t>operators</w:t>
      </w:r>
      <w:r w:rsidR="00FF78AA">
        <w:t xml:space="preserve"> with approved waivers</w:t>
      </w:r>
      <w:r w:rsidRPr="00E07A32" w:rsidR="008F68DC">
        <w:t xml:space="preserve"> </w:t>
      </w:r>
      <w:r w:rsidR="00FF78AA">
        <w:t>about</w:t>
      </w:r>
      <w:r w:rsidR="008F68DC">
        <w:t xml:space="preserve"> how to </w:t>
      </w:r>
      <w:r w:rsidR="000C0266">
        <w:t xml:space="preserve">register </w:t>
      </w:r>
      <w:r w:rsidR="00064E44">
        <w:t xml:space="preserve">these </w:t>
      </w:r>
      <w:r w:rsidR="000C0266">
        <w:t>additional co-located antennas</w:t>
      </w:r>
      <w:r w:rsidRPr="00E07A32" w:rsidR="008F68DC">
        <w:t xml:space="preserve"> in IBFS.</w:t>
      </w:r>
      <w:r w:rsidR="00195F0D">
        <w:t xml:space="preserve"> </w:t>
      </w:r>
      <w:r w:rsidR="00463A56">
        <w:t xml:space="preserve"> </w:t>
      </w:r>
    </w:p>
    <w:p w:rsidR="00122BD5" w:rsidP="007420BE" w14:paraId="2EDCBCE8" w14:textId="77777777">
      <w:pPr>
        <w:pStyle w:val="Heading1"/>
      </w:pPr>
      <w:bookmarkStart w:id="12" w:name="_Toc54217987"/>
      <w:bookmarkEnd w:id="11"/>
      <w:r>
        <w:t>ORDERING CLAUSES</w:t>
      </w:r>
      <w:bookmarkEnd w:id="12"/>
    </w:p>
    <w:p w:rsidR="00D065BF" w:rsidP="0057731D" w14:paraId="6547CEB2" w14:textId="281B8117">
      <w:pPr>
        <w:pStyle w:val="ParaNum"/>
        <w:rPr>
          <w:snapToGrid/>
          <w:kern w:val="0"/>
          <w:sz w:val="20"/>
        </w:rPr>
      </w:pPr>
      <w:r>
        <w:t xml:space="preserve">Accordingly, IT IS ORDERED that, pursuant to </w:t>
      </w:r>
      <w:r w:rsidRPr="00B26511">
        <w:t>sections 4(</w:t>
      </w:r>
      <w:r w:rsidRPr="00B26511">
        <w:t>i</w:t>
      </w:r>
      <w:r w:rsidRPr="00B26511">
        <w:t>)</w:t>
      </w:r>
      <w:r w:rsidR="00FD2A40">
        <w:t xml:space="preserve"> and 4(j)</w:t>
      </w:r>
      <w:r w:rsidR="00251A7E">
        <w:t xml:space="preserve"> </w:t>
      </w:r>
      <w:r w:rsidRPr="00B26511">
        <w:t>of t</w:t>
      </w:r>
      <w:r w:rsidR="00DF5D55">
        <w:t xml:space="preserve">he </w:t>
      </w:r>
      <w:r w:rsidRPr="00B26511">
        <w:t>Communications Act, as amended, 47 U.S.C. §§ 154(</w:t>
      </w:r>
      <w:r w:rsidRPr="00B26511">
        <w:t>i</w:t>
      </w:r>
      <w:r w:rsidRPr="00B26511">
        <w:t>)</w:t>
      </w:r>
      <w:r w:rsidR="00FD2A40">
        <w:t xml:space="preserve"> and 154(j)</w:t>
      </w:r>
      <w:r w:rsidRPr="00B26511">
        <w:t xml:space="preserve">, and section 1.3 of the Commission’s rules, 47 CFR § 1.3, </w:t>
      </w:r>
      <w:r>
        <w:t xml:space="preserve">the Bureau GRANTS the waiver requests </w:t>
      </w:r>
      <w:r w:rsidR="004133AE">
        <w:t xml:space="preserve">of Comcast and TEGNA </w:t>
      </w:r>
      <w:r>
        <w:t>to the extent described herein. </w:t>
      </w:r>
    </w:p>
    <w:p w:rsidR="00D065BF" w:rsidP="0057731D" w14:paraId="0ED16845" w14:textId="3732439B">
      <w:pPr>
        <w:pStyle w:val="ParaNum"/>
      </w:pPr>
      <w:r w:rsidRPr="00A148B2">
        <w:t>IT IS FURTHER ORDERED</w:t>
      </w:r>
      <w:r>
        <w:rPr>
          <w:b/>
          <w:bCs/>
        </w:rPr>
        <w:t xml:space="preserve"> </w:t>
      </w:r>
      <w:r>
        <w:t xml:space="preserve">that this Order </w:t>
      </w:r>
      <w:r w:rsidRPr="00A148B2">
        <w:t>SHALL BE EFFECTIVE</w:t>
      </w:r>
      <w:r>
        <w:rPr>
          <w:b/>
          <w:bCs/>
        </w:rPr>
        <w:t xml:space="preserve"> </w:t>
      </w:r>
      <w:r>
        <w:t>upon release, in accordance with section 1.102 of the Commission’s rules, 47 CFR § 1.102.  This action is taken pursuant to the authority delegated by Sections 0.</w:t>
      </w:r>
      <w:r w:rsidR="00023B2D">
        <w:t>51</w:t>
      </w:r>
      <w:r>
        <w:t xml:space="preserve"> and 0.</w:t>
      </w:r>
      <w:r w:rsidR="00023B2D">
        <w:t>261</w:t>
      </w:r>
      <w:r>
        <w:t xml:space="preserve"> of the Commission's Rules, 47 CFR §§ 0.</w:t>
      </w:r>
      <w:r w:rsidR="00023B2D">
        <w:t>51</w:t>
      </w:r>
      <w:r>
        <w:t>, 0.</w:t>
      </w:r>
      <w:r w:rsidR="00023B2D">
        <w:t>261</w:t>
      </w:r>
      <w:r>
        <w:t>.</w:t>
      </w:r>
    </w:p>
    <w:p w:rsidR="00D22DBE" w:rsidRPr="00CD0694" w:rsidP="00EB5939" w14:paraId="1299DE3C" w14:textId="77777777">
      <w:pPr>
        <w:pStyle w:val="Heading1"/>
        <w:numPr>
          <w:ilvl w:val="0"/>
          <w:numId w:val="0"/>
        </w:numPr>
        <w:ind w:left="720"/>
      </w:pPr>
    </w:p>
    <w:p w:rsidR="00D22DBE" w:rsidRPr="00CD0694" w:rsidP="00DB1E3B" w14:paraId="33EF5BFF" w14:textId="77777777">
      <w:pPr>
        <w:ind w:left="3686"/>
      </w:pPr>
      <w:r w:rsidRPr="00CD0694">
        <w:t xml:space="preserve">FEDERAL COMMUNICATIONS COMMISSION </w:t>
      </w:r>
    </w:p>
    <w:p w:rsidR="00D22DBE" w:rsidRPr="00CD0694" w:rsidP="00D22DBE" w14:paraId="00A901F5" w14:textId="77777777">
      <w:pPr>
        <w:ind w:left="3686"/>
      </w:pPr>
    </w:p>
    <w:p w:rsidR="00D22DBE" w:rsidRPr="00CD0694" w:rsidP="00D22DBE" w14:paraId="6EBCCFF2" w14:textId="77777777">
      <w:pPr>
        <w:ind w:left="3686"/>
      </w:pPr>
    </w:p>
    <w:p w:rsidR="00D22DBE" w:rsidRPr="00CD0694" w:rsidP="00D22DBE" w14:paraId="5C825CBE" w14:textId="77777777">
      <w:pPr>
        <w:ind w:left="3686"/>
      </w:pPr>
    </w:p>
    <w:p w:rsidR="00D22DBE" w:rsidRPr="00CD0694" w:rsidP="00D22DBE" w14:paraId="102CC4B6" w14:textId="77777777">
      <w:pPr>
        <w:ind w:left="3686"/>
      </w:pPr>
    </w:p>
    <w:p w:rsidR="00D22DBE" w:rsidRPr="00CD0694" w:rsidP="00D22DBE" w14:paraId="20832BDF" w14:textId="77777777">
      <w:pPr>
        <w:ind w:left="3686"/>
      </w:pPr>
      <w:r>
        <w:t>Thomas</w:t>
      </w:r>
      <w:r w:rsidRPr="00CD0694">
        <w:t xml:space="preserve"> </w:t>
      </w:r>
      <w:r w:rsidR="001512F2">
        <w:t xml:space="preserve">P. </w:t>
      </w:r>
      <w:r w:rsidRPr="00CD0694">
        <w:t xml:space="preserve">Sullivan </w:t>
      </w:r>
    </w:p>
    <w:p w:rsidR="00D22DBE" w:rsidRPr="00CD0694" w:rsidP="00D22DBE" w14:paraId="5CC8AAE7" w14:textId="468333CD">
      <w:pPr>
        <w:ind w:left="3686"/>
      </w:pPr>
      <w:r w:rsidRPr="00CD0694">
        <w:t xml:space="preserve">Chief, International Bureau </w:t>
      </w:r>
    </w:p>
    <w:p w:rsidR="00D22DBE" w:rsidRPr="001521E2" w:rsidP="001521E2" w14:paraId="2EC8B88A" w14:textId="77777777">
      <w:pPr>
        <w:pStyle w:val="ParaNum"/>
        <w:numPr>
          <w:ilvl w:val="0"/>
          <w:numId w:val="0"/>
        </w:numPr>
        <w:ind w:firstLine="720"/>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74C9" w:rsidP="0055614C" w14:paraId="4941DF46" w14:textId="77777777">
    <w:pPr>
      <w:pStyle w:val="Footer"/>
      <w:framePr w:wrap="around" w:vAnchor="text" w:hAnchor="margin" w:xAlign="center" w:y="1"/>
    </w:pPr>
    <w:r>
      <w:fldChar w:fldCharType="begin"/>
    </w:r>
    <w:r>
      <w:instrText xml:space="preserve">PAGE  </w:instrText>
    </w:r>
    <w:r>
      <w:fldChar w:fldCharType="separate"/>
    </w:r>
    <w:r>
      <w:fldChar w:fldCharType="end"/>
    </w:r>
  </w:p>
  <w:p w:rsidR="000A74C9" w14:paraId="7F1F5BD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74C9" w:rsidP="0055614C" w14:paraId="09590DD5"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0A74C9" w14:paraId="38745B2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74C9" w14:paraId="1B2E29B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A4381" w14:paraId="5E5F25CF" w14:textId="77777777">
      <w:r>
        <w:separator/>
      </w:r>
    </w:p>
  </w:footnote>
  <w:footnote w:type="continuationSeparator" w:id="1">
    <w:p w:rsidR="000A4381" w:rsidP="00C721AC" w14:paraId="71BE030A" w14:textId="77777777">
      <w:pPr>
        <w:spacing w:before="120"/>
        <w:rPr>
          <w:sz w:val="20"/>
        </w:rPr>
      </w:pPr>
      <w:r>
        <w:rPr>
          <w:sz w:val="20"/>
        </w:rPr>
        <w:t xml:space="preserve">(Continued from previous page)  </w:t>
      </w:r>
      <w:r>
        <w:rPr>
          <w:sz w:val="20"/>
        </w:rPr>
        <w:separator/>
      </w:r>
    </w:p>
  </w:footnote>
  <w:footnote w:type="continuationNotice" w:id="2">
    <w:p w:rsidR="000A4381" w:rsidP="00C721AC" w14:paraId="68D8023E" w14:textId="77777777">
      <w:pPr>
        <w:jc w:val="right"/>
        <w:rPr>
          <w:sz w:val="20"/>
        </w:rPr>
      </w:pPr>
      <w:r>
        <w:rPr>
          <w:sz w:val="20"/>
        </w:rPr>
        <w:t>(continued….)</w:t>
      </w:r>
    </w:p>
  </w:footnote>
  <w:footnote w:id="3">
    <w:p w:rsidR="00B24949" w14:paraId="088EB9DE" w14:textId="4A5847E6">
      <w:pPr>
        <w:pStyle w:val="FootnoteText"/>
      </w:pPr>
      <w:r>
        <w:rPr>
          <w:rStyle w:val="FootnoteReference"/>
        </w:rPr>
        <w:footnoteRef/>
      </w:r>
      <w:r>
        <w:t xml:space="preserve"> </w:t>
      </w:r>
      <w:r w:rsidR="00C02803">
        <w:t xml:space="preserve">Waiver Request of Comcast Corporation, GN Docket No. 20-305 (filed Sept. 25, 2020) (Comcast Waiver Request); Request for Waiver of TEGNA, Inc., GN Docket No. 20-305 (filed Sept. 25, 2020) (TEGNA Waiver Request). </w:t>
      </w:r>
    </w:p>
  </w:footnote>
  <w:footnote w:id="4">
    <w:p w:rsidR="00FA6E72" w:rsidP="00FA6E72" w14:paraId="53AE10F6" w14:textId="3E83FFF7">
      <w:pPr>
        <w:pStyle w:val="FootnoteText"/>
      </w:pPr>
      <w:r>
        <w:rPr>
          <w:rStyle w:val="FootnoteReference"/>
        </w:rPr>
        <w:footnoteRef/>
      </w:r>
      <w:r>
        <w:t xml:space="preserve"> </w:t>
      </w:r>
      <w:r w:rsidRPr="00391E16">
        <w:rPr>
          <w:i/>
          <w:iCs/>
        </w:rPr>
        <w:t>See</w:t>
      </w:r>
      <w:r w:rsidRPr="00391E16">
        <w:t xml:space="preserve"> </w:t>
      </w:r>
      <w:r w:rsidRPr="00391E16" w:rsidR="00B24949">
        <w:rPr>
          <w:i/>
          <w:iCs/>
        </w:rPr>
        <w:t xml:space="preserve">Wireless Telecommunications Bureau </w:t>
      </w:r>
      <w:r w:rsidR="00B24949">
        <w:rPr>
          <w:i/>
          <w:iCs/>
        </w:rPr>
        <w:t>and International Bureau Announce Guidance for Potential Waiver Requests to Permit Incumbent Earth Station Operators to Amend Registrations for Adding Existing Co-Located Antennas for Interference Purposes</w:t>
      </w:r>
      <w:r w:rsidRPr="00391E16" w:rsidR="00B24949">
        <w:t>, DA 20-</w:t>
      </w:r>
      <w:r w:rsidR="00B24949">
        <w:t xml:space="preserve">1094 </w:t>
      </w:r>
      <w:r w:rsidRPr="00391E16" w:rsidR="00B24949">
        <w:t>(</w:t>
      </w:r>
      <w:r w:rsidR="00E90FEA">
        <w:t xml:space="preserve">WTB/IB </w:t>
      </w:r>
      <w:r w:rsidR="00B24949">
        <w:t>Sept.</w:t>
      </w:r>
      <w:r w:rsidRPr="00391E16" w:rsidR="00B24949">
        <w:t xml:space="preserve"> </w:t>
      </w:r>
      <w:r w:rsidR="00B24949">
        <w:t>16</w:t>
      </w:r>
      <w:r w:rsidRPr="00391E16" w:rsidR="00B24949">
        <w:t>, 2020)</w:t>
      </w:r>
      <w:r w:rsidR="00B24949">
        <w:t xml:space="preserve"> (</w:t>
      </w:r>
      <w:bookmarkStart w:id="6" w:name="_Hlk57033551"/>
      <w:r w:rsidRPr="00416A55" w:rsidR="00B24949">
        <w:rPr>
          <w:i/>
          <w:iCs/>
        </w:rPr>
        <w:t>Sept</w:t>
      </w:r>
      <w:r w:rsidR="00B24949">
        <w:rPr>
          <w:i/>
          <w:iCs/>
        </w:rPr>
        <w:t>ember</w:t>
      </w:r>
      <w:r w:rsidRPr="00416A55" w:rsidR="00B24949">
        <w:rPr>
          <w:i/>
          <w:iCs/>
        </w:rPr>
        <w:t xml:space="preserve"> 16 Waiver Guidance PN</w:t>
      </w:r>
      <w:bookmarkEnd w:id="6"/>
      <w:r w:rsidR="00B24949">
        <w:t>)</w:t>
      </w:r>
      <w:r w:rsidRPr="00391E16" w:rsidR="00B24949">
        <w:t>.</w:t>
      </w:r>
    </w:p>
  </w:footnote>
  <w:footnote w:id="5">
    <w:p w:rsidR="00F41173" w14:paraId="06AEDCAD" w14:textId="4DC73BBD">
      <w:pPr>
        <w:pStyle w:val="FootnoteText"/>
      </w:pPr>
      <w:r>
        <w:rPr>
          <w:rStyle w:val="FootnoteReference"/>
        </w:rPr>
        <w:footnoteRef/>
      </w:r>
      <w:r>
        <w:t xml:space="preserve"> </w:t>
      </w:r>
      <w:r w:rsidRPr="002B6D85" w:rsidR="00EC32E5">
        <w:rPr>
          <w:i/>
          <w:iCs/>
        </w:rPr>
        <w:t>See</w:t>
      </w:r>
      <w:r w:rsidRPr="00391E16" w:rsidR="00EC32E5">
        <w:t xml:space="preserve"> </w:t>
      </w:r>
      <w:r w:rsidRPr="002B6D85" w:rsidR="00EC32E5">
        <w:rPr>
          <w:i/>
          <w:iCs/>
          <w:spacing w:val="-2"/>
        </w:rPr>
        <w:t>Incumbent Earth Stations in the 3.7-4.2 GHz Band in the Contiguous United States</w:t>
      </w:r>
      <w:r w:rsidR="00EC32E5">
        <w:rPr>
          <w:spacing w:val="-2"/>
        </w:rPr>
        <w:t>, Order</w:t>
      </w:r>
      <w:r w:rsidRPr="002B6D85" w:rsidR="00EC32E5">
        <w:t>, DA 20-12</w:t>
      </w:r>
      <w:r w:rsidR="00EC32E5">
        <w:t>58,</w:t>
      </w:r>
      <w:r w:rsidR="001D09AC">
        <w:t xml:space="preserve"> at </w:t>
      </w:r>
      <w:r w:rsidR="004072C1">
        <w:t xml:space="preserve">para. </w:t>
      </w:r>
      <w:r w:rsidR="001D09AC">
        <w:t xml:space="preserve">7 </w:t>
      </w:r>
      <w:r w:rsidRPr="002B6D85" w:rsidR="00EC32E5">
        <w:t xml:space="preserve">(IB Oct. </w:t>
      </w:r>
      <w:r w:rsidR="00EC32E5">
        <w:t>23</w:t>
      </w:r>
      <w:r w:rsidRPr="002B6D85" w:rsidR="00EC32E5">
        <w:t>, 2020)</w:t>
      </w:r>
      <w:r w:rsidR="00B627D9">
        <w:t xml:space="preserve"> (</w:t>
      </w:r>
      <w:r w:rsidRPr="00B627D9" w:rsidR="00B627D9">
        <w:rPr>
          <w:i/>
          <w:iCs/>
        </w:rPr>
        <w:t>October 23 Waiver Order</w:t>
      </w:r>
      <w:r w:rsidR="00B627D9">
        <w:t>)</w:t>
      </w:r>
      <w:r w:rsidR="00EC32E5">
        <w:t>.</w:t>
      </w:r>
      <w:r w:rsidRPr="002B6D85" w:rsidR="00EC32E5">
        <w:t xml:space="preserve"> </w:t>
      </w:r>
      <w:r w:rsidR="007D6619">
        <w:t xml:space="preserve"> </w:t>
      </w:r>
      <w:r w:rsidRPr="00BD25E2" w:rsidR="00907E11">
        <w:t> </w:t>
      </w:r>
    </w:p>
  </w:footnote>
  <w:footnote w:id="6">
    <w:p w:rsidR="003D686A" w:rsidP="003D686A" w14:paraId="3B3A1354" w14:textId="6196FF95">
      <w:pPr>
        <w:pStyle w:val="FootnoteText"/>
      </w:pPr>
      <w:r>
        <w:rPr>
          <w:rStyle w:val="FootnoteReference"/>
        </w:rPr>
        <w:footnoteRef/>
      </w:r>
      <w:r>
        <w:t xml:space="preserve"> </w:t>
      </w:r>
      <w:r w:rsidRPr="00B627D9">
        <w:rPr>
          <w:i/>
          <w:iCs/>
        </w:rPr>
        <w:t>Id</w:t>
      </w:r>
      <w:r>
        <w:t>. at para. 8.</w:t>
      </w:r>
      <w:r w:rsidR="007E3F74">
        <w:t xml:space="preserve"> </w:t>
      </w:r>
      <w:r w:rsidRPr="007E3F74" w:rsidR="007E3F74">
        <w:t>These requests remained pending because they included certain antennas that appeared to be located more than 150 meters from the previously registered antennas.</w:t>
      </w:r>
    </w:p>
  </w:footnote>
  <w:footnote w:id="7">
    <w:p w:rsidR="003D686A" w14:paraId="3663B01A" w14:textId="1E928301">
      <w:pPr>
        <w:pStyle w:val="FootnoteText"/>
      </w:pPr>
      <w:r>
        <w:rPr>
          <w:rStyle w:val="FootnoteReference"/>
        </w:rPr>
        <w:footnoteRef/>
      </w:r>
      <w:r>
        <w:t xml:space="preserve"> </w:t>
      </w:r>
      <w:r w:rsidRPr="003D686A">
        <w:rPr>
          <w:i/>
          <w:iCs/>
        </w:rPr>
        <w:t>Id.</w:t>
      </w:r>
    </w:p>
  </w:footnote>
  <w:footnote w:id="8">
    <w:p w:rsidR="000A74C9" w:rsidRPr="005E59A2" w:rsidP="00C679C1" w14:paraId="0591ADDB" w14:textId="7C4919E9">
      <w:pPr>
        <w:pStyle w:val="FootnoteText"/>
      </w:pPr>
      <w:r w:rsidRPr="005E59A2">
        <w:rPr>
          <w:rStyle w:val="FootnoteReference"/>
        </w:rPr>
        <w:footnoteRef/>
      </w:r>
      <w:r w:rsidRPr="005E59A2">
        <w:t xml:space="preserve"> </w:t>
      </w:r>
      <w:r w:rsidR="001E07D2">
        <w:t xml:space="preserve">47 CFR § 1.3; </w:t>
      </w:r>
      <w:r w:rsidRPr="005E59A2">
        <w:rPr>
          <w:i/>
        </w:rPr>
        <w:t>Northeast Cellular Tel. Co. v. FCC</w:t>
      </w:r>
      <w:r w:rsidRPr="005E59A2">
        <w:t>, 897 F.2d 1164, 1166 (D.C. Cir. 1990).</w:t>
      </w:r>
      <w:r>
        <w:t xml:space="preserve"> </w:t>
      </w:r>
    </w:p>
  </w:footnote>
  <w:footnote w:id="9">
    <w:p w:rsidR="000A74C9" w:rsidRPr="005E59A2" w:rsidP="00C679C1" w14:paraId="40C76B5F" w14:textId="77777777">
      <w:pPr>
        <w:pStyle w:val="FootnoteText"/>
      </w:pPr>
      <w:r w:rsidRPr="005E59A2">
        <w:rPr>
          <w:rStyle w:val="FootnoteReference"/>
        </w:rPr>
        <w:footnoteRef/>
      </w:r>
      <w:r w:rsidRPr="005E59A2">
        <w:t xml:space="preserve"> </w:t>
      </w:r>
      <w:r w:rsidRPr="005E59A2">
        <w:rPr>
          <w:i/>
        </w:rPr>
        <w:t>WAIT Radio v. FCC</w:t>
      </w:r>
      <w:r w:rsidRPr="005E59A2">
        <w:t xml:space="preserve">, 418 F.2d 1153, 1159 (D.C. Cir. 1969), </w:t>
      </w:r>
      <w:r w:rsidRPr="005E59A2">
        <w:rPr>
          <w:i/>
        </w:rPr>
        <w:t>cert. denied</w:t>
      </w:r>
      <w:r w:rsidRPr="005E59A2">
        <w:t xml:space="preserve">, 409 U.S. 1027 (1972); </w:t>
      </w:r>
      <w:r w:rsidRPr="005E59A2">
        <w:rPr>
          <w:i/>
        </w:rPr>
        <w:t>Northeast Cellular</w:t>
      </w:r>
      <w:r w:rsidRPr="005E59A2">
        <w:t>, 897 F.2d at 1166.</w:t>
      </w:r>
    </w:p>
  </w:footnote>
  <w:footnote w:id="10">
    <w:p w:rsidR="00FF1719" w:rsidP="00FF1719" w14:paraId="73F22D55" w14:textId="77777777">
      <w:pPr>
        <w:pStyle w:val="FootnoteText"/>
      </w:pPr>
      <w:r>
        <w:rPr>
          <w:rStyle w:val="FootnoteReference"/>
        </w:rPr>
        <w:footnoteRef/>
      </w:r>
      <w:r>
        <w:t xml:space="preserve"> </w:t>
      </w:r>
      <w:r>
        <w:rPr>
          <w:i/>
        </w:rPr>
        <w:t>Northeast Cellular</w:t>
      </w:r>
      <w:r>
        <w:t>, 897 F.2d at 1166.</w:t>
      </w:r>
    </w:p>
  </w:footnote>
  <w:footnote w:id="11">
    <w:p w:rsidR="00F71CB2" w:rsidP="00F71CB2" w14:paraId="0DDE1A1D" w14:textId="77777777">
      <w:pPr>
        <w:pStyle w:val="FootnoteText"/>
      </w:pPr>
      <w:r>
        <w:rPr>
          <w:rStyle w:val="FootnoteReference"/>
        </w:rPr>
        <w:footnoteRef/>
      </w:r>
      <w:r>
        <w:t xml:space="preserve"> </w:t>
      </w:r>
      <w:r w:rsidRPr="00300B86">
        <w:rPr>
          <w:i/>
          <w:iCs/>
        </w:rPr>
        <w:t>September 16 Waiver Guidance PN</w:t>
      </w:r>
      <w:r>
        <w:t xml:space="preserve"> at 2-3.</w:t>
      </w:r>
    </w:p>
  </w:footnote>
  <w:footnote w:id="12">
    <w:p w:rsidR="00F71CB2" w:rsidP="00F71CB2" w14:paraId="1C9C8AD3" w14:textId="381A6B20">
      <w:pPr>
        <w:pStyle w:val="FootnoteText"/>
      </w:pPr>
      <w:r>
        <w:rPr>
          <w:rStyle w:val="FootnoteReference"/>
        </w:rPr>
        <w:footnoteRef/>
      </w:r>
      <w:r>
        <w:t xml:space="preserve"> </w:t>
      </w:r>
      <w:r w:rsidRPr="0057731D">
        <w:rPr>
          <w:i/>
          <w:iCs/>
        </w:rPr>
        <w:t>Id</w:t>
      </w:r>
      <w:r>
        <w:t>.</w:t>
      </w:r>
      <w:r w:rsidR="00D9274F">
        <w:t xml:space="preserve"> </w:t>
      </w:r>
      <w:r>
        <w:t>at 2.</w:t>
      </w:r>
    </w:p>
  </w:footnote>
  <w:footnote w:id="13">
    <w:p w:rsidR="00D8532D" w:rsidP="00D8532D" w14:paraId="22C8E050" w14:textId="77777777">
      <w:pPr>
        <w:pStyle w:val="FootnoteText"/>
      </w:pPr>
      <w:r>
        <w:rPr>
          <w:rStyle w:val="FootnoteReference"/>
        </w:rPr>
        <w:footnoteRef/>
      </w:r>
      <w:r>
        <w:t xml:space="preserve"> </w:t>
      </w:r>
      <w:r w:rsidRPr="001C7541">
        <w:rPr>
          <w:i/>
          <w:iCs/>
        </w:rPr>
        <w:t>See</w:t>
      </w:r>
      <w:r>
        <w:t xml:space="preserve"> Comcast Waiver Request; Erratum Letter from Catherine Fox, Deputy General Counsel, Comcast Corporation, to Marlene H. Dortch, Secretary, FCC, GN Docket No. 20-305 (filed Oct. 26, 2020); TEGNA Waiver Request; Erratum to Request for Waiver of TEGNA, Inc., GN Docket No. 20-305 (filed Nov. 4, 2020).</w:t>
      </w:r>
    </w:p>
  </w:footnote>
  <w:footnote w:id="14">
    <w:p w:rsidR="002C7ABC" w:rsidRPr="0022790D" w:rsidP="00DB1E3B" w14:paraId="6576A77A" w14:textId="48E0BF8C">
      <w:pPr>
        <w:tabs>
          <w:tab w:val="center" w:pos="4680"/>
        </w:tabs>
        <w:suppressAutoHyphens/>
        <w:rPr>
          <w:spacing w:val="-2"/>
        </w:rPr>
      </w:pPr>
      <w:r>
        <w:rPr>
          <w:rStyle w:val="FootnoteReference"/>
        </w:rPr>
        <w:footnoteRef/>
      </w:r>
      <w:r>
        <w:t xml:space="preserve"> </w:t>
      </w:r>
      <w:r w:rsidRPr="00DB1E3B">
        <w:rPr>
          <w:i/>
          <w:sz w:val="20"/>
        </w:rPr>
        <w:t>See</w:t>
      </w:r>
      <w:r w:rsidRPr="00391E16">
        <w:t xml:space="preserve"> </w:t>
      </w:r>
      <w:r w:rsidRPr="00DB1E3B" w:rsidR="00B00506">
        <w:rPr>
          <w:i/>
          <w:sz w:val="20"/>
        </w:rPr>
        <w:t xml:space="preserve">October </w:t>
      </w:r>
      <w:r w:rsidRPr="00DB1E3B" w:rsidR="00472C55">
        <w:rPr>
          <w:i/>
          <w:sz w:val="20"/>
        </w:rPr>
        <w:t>2</w:t>
      </w:r>
      <w:r w:rsidRPr="00DB1E3B" w:rsidR="00B00506">
        <w:rPr>
          <w:i/>
          <w:sz w:val="20"/>
        </w:rPr>
        <w:t>3</w:t>
      </w:r>
      <w:r w:rsidRPr="00DB1E3B" w:rsidR="00472C55">
        <w:rPr>
          <w:i/>
          <w:sz w:val="20"/>
        </w:rPr>
        <w:t xml:space="preserve"> Waiver Order</w:t>
      </w:r>
      <w:r w:rsidRPr="00DB1E3B" w:rsidR="00EA72B5">
        <w:rPr>
          <w:sz w:val="20"/>
        </w:rPr>
        <w:t xml:space="preserve"> at para. </w:t>
      </w:r>
      <w:r w:rsidR="00EA72B5">
        <w:rPr>
          <w:sz w:val="20"/>
        </w:rPr>
        <w:t>8.</w:t>
      </w:r>
      <w:r w:rsidRPr="002B6D85" w:rsidR="00B00506">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1B33" w14:paraId="05F430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74C9" w:rsidP="00810B6F" w14:paraId="712E93DE" w14:textId="05B6F8B1">
    <w:pPr>
      <w:pStyle w:val="Header"/>
      <w:rPr>
        <w:b w:val="0"/>
      </w:rPr>
    </w:pPr>
    <w:r>
      <w:tab/>
      <w:t>Federal Communications Commission</w:t>
    </w:r>
    <w:r>
      <w:tab/>
    </w:r>
    <w:r w:rsidR="00811374">
      <w:t>DA 20-</w:t>
    </w:r>
    <w:r w:rsidR="00AA1B33">
      <w:t>1423</w:t>
    </w:r>
  </w:p>
  <w:p w:rsidR="000A74C9" w14:paraId="22EB999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0A74C9" w14:paraId="436F3B7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74C9" w:rsidP="00810B6F" w14:paraId="55896A03" w14:textId="3499A680">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811374">
      <w:rPr>
        <w:spacing w:val="-2"/>
      </w:rPr>
      <w:t>DA 20-</w:t>
    </w:r>
    <w:r w:rsidR="00AA1B33">
      <w:rPr>
        <w:spacing w:val="-2"/>
      </w:rPr>
      <w:t>1423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9A0AC5"/>
    <w:multiLevelType w:val="hybridMultilevel"/>
    <w:tmpl w:val="5852D0D8"/>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0AC68E5"/>
    <w:multiLevelType w:val="hybridMultilevel"/>
    <w:tmpl w:val="EB023F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8C6226D"/>
    <w:multiLevelType w:val="hybridMultilevel"/>
    <w:tmpl w:val="F3F21CF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7"/>
  </w:num>
  <w:num w:numId="17">
    <w:abstractNumId w:val="1"/>
  </w:num>
  <w:num w:numId="18">
    <w:abstractNumId w:val="5"/>
  </w:num>
  <w:num w:numId="19">
    <w:abstractNumId w:val="8"/>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E5"/>
    <w:rsid w:val="000013F4"/>
    <w:rsid w:val="00003D01"/>
    <w:rsid w:val="00004DBC"/>
    <w:rsid w:val="00006642"/>
    <w:rsid w:val="00006BFF"/>
    <w:rsid w:val="00010A40"/>
    <w:rsid w:val="00015A14"/>
    <w:rsid w:val="0002139A"/>
    <w:rsid w:val="00023B2D"/>
    <w:rsid w:val="00024E1A"/>
    <w:rsid w:val="00025FAF"/>
    <w:rsid w:val="00034C6C"/>
    <w:rsid w:val="00036039"/>
    <w:rsid w:val="000372D1"/>
    <w:rsid w:val="00037F90"/>
    <w:rsid w:val="00044107"/>
    <w:rsid w:val="00044401"/>
    <w:rsid w:val="000548E7"/>
    <w:rsid w:val="000569D7"/>
    <w:rsid w:val="00061C91"/>
    <w:rsid w:val="000633AA"/>
    <w:rsid w:val="00064E44"/>
    <w:rsid w:val="00071935"/>
    <w:rsid w:val="00073523"/>
    <w:rsid w:val="0007566D"/>
    <w:rsid w:val="00075A92"/>
    <w:rsid w:val="00080177"/>
    <w:rsid w:val="00083011"/>
    <w:rsid w:val="000832C3"/>
    <w:rsid w:val="000844AA"/>
    <w:rsid w:val="00085242"/>
    <w:rsid w:val="000875BF"/>
    <w:rsid w:val="000932C1"/>
    <w:rsid w:val="00094B52"/>
    <w:rsid w:val="00096D8C"/>
    <w:rsid w:val="000A4381"/>
    <w:rsid w:val="000A74C9"/>
    <w:rsid w:val="000B2F10"/>
    <w:rsid w:val="000B6A17"/>
    <w:rsid w:val="000C0266"/>
    <w:rsid w:val="000C053B"/>
    <w:rsid w:val="000C0B65"/>
    <w:rsid w:val="000C4877"/>
    <w:rsid w:val="000C57B4"/>
    <w:rsid w:val="000D3B43"/>
    <w:rsid w:val="000D66F3"/>
    <w:rsid w:val="000D6DA9"/>
    <w:rsid w:val="000E05FE"/>
    <w:rsid w:val="000E2660"/>
    <w:rsid w:val="000E3D42"/>
    <w:rsid w:val="000F7764"/>
    <w:rsid w:val="00100DDB"/>
    <w:rsid w:val="001131C4"/>
    <w:rsid w:val="00122260"/>
    <w:rsid w:val="00122BD5"/>
    <w:rsid w:val="001269DE"/>
    <w:rsid w:val="00133F79"/>
    <w:rsid w:val="001422E6"/>
    <w:rsid w:val="00142704"/>
    <w:rsid w:val="00144896"/>
    <w:rsid w:val="001504D2"/>
    <w:rsid w:val="001512F2"/>
    <w:rsid w:val="001521E2"/>
    <w:rsid w:val="0015675A"/>
    <w:rsid w:val="00161D32"/>
    <w:rsid w:val="001631B0"/>
    <w:rsid w:val="00164E57"/>
    <w:rsid w:val="001705CF"/>
    <w:rsid w:val="00187F56"/>
    <w:rsid w:val="00191CD3"/>
    <w:rsid w:val="0019258E"/>
    <w:rsid w:val="00194A66"/>
    <w:rsid w:val="00195A70"/>
    <w:rsid w:val="00195F0D"/>
    <w:rsid w:val="001967D6"/>
    <w:rsid w:val="00197D6C"/>
    <w:rsid w:val="001A2C78"/>
    <w:rsid w:val="001A6A8A"/>
    <w:rsid w:val="001C5826"/>
    <w:rsid w:val="001C6A1B"/>
    <w:rsid w:val="001C7541"/>
    <w:rsid w:val="001D09AC"/>
    <w:rsid w:val="001D0FAC"/>
    <w:rsid w:val="001D3F09"/>
    <w:rsid w:val="001D6BCF"/>
    <w:rsid w:val="001E01CA"/>
    <w:rsid w:val="001E07D2"/>
    <w:rsid w:val="001E0C91"/>
    <w:rsid w:val="001E1196"/>
    <w:rsid w:val="001E48A4"/>
    <w:rsid w:val="001F3C2C"/>
    <w:rsid w:val="001F54B0"/>
    <w:rsid w:val="001F6616"/>
    <w:rsid w:val="0020087A"/>
    <w:rsid w:val="00202C22"/>
    <w:rsid w:val="00203564"/>
    <w:rsid w:val="002076A9"/>
    <w:rsid w:val="00214386"/>
    <w:rsid w:val="00215811"/>
    <w:rsid w:val="00227607"/>
    <w:rsid w:val="0022790D"/>
    <w:rsid w:val="002302FE"/>
    <w:rsid w:val="00232892"/>
    <w:rsid w:val="002336CF"/>
    <w:rsid w:val="00234069"/>
    <w:rsid w:val="002412CB"/>
    <w:rsid w:val="002440C8"/>
    <w:rsid w:val="00251A7E"/>
    <w:rsid w:val="00260007"/>
    <w:rsid w:val="0026114C"/>
    <w:rsid w:val="002627E8"/>
    <w:rsid w:val="002734B0"/>
    <w:rsid w:val="00274FFE"/>
    <w:rsid w:val="00275CF5"/>
    <w:rsid w:val="002761F4"/>
    <w:rsid w:val="002779AF"/>
    <w:rsid w:val="00280A97"/>
    <w:rsid w:val="0028301F"/>
    <w:rsid w:val="00285017"/>
    <w:rsid w:val="002A2D2E"/>
    <w:rsid w:val="002A4D50"/>
    <w:rsid w:val="002B4A83"/>
    <w:rsid w:val="002B4DC8"/>
    <w:rsid w:val="002B5A5A"/>
    <w:rsid w:val="002B6D85"/>
    <w:rsid w:val="002C005C"/>
    <w:rsid w:val="002C16C7"/>
    <w:rsid w:val="002C5760"/>
    <w:rsid w:val="002C7ABC"/>
    <w:rsid w:val="002D2ADC"/>
    <w:rsid w:val="002D341A"/>
    <w:rsid w:val="002D42C9"/>
    <w:rsid w:val="002D4C1F"/>
    <w:rsid w:val="002D63EB"/>
    <w:rsid w:val="002F17BA"/>
    <w:rsid w:val="002F466B"/>
    <w:rsid w:val="002F4977"/>
    <w:rsid w:val="00300B86"/>
    <w:rsid w:val="003032B6"/>
    <w:rsid w:val="00304BF7"/>
    <w:rsid w:val="00305AB1"/>
    <w:rsid w:val="00311B2F"/>
    <w:rsid w:val="0031307D"/>
    <w:rsid w:val="00313C92"/>
    <w:rsid w:val="00317931"/>
    <w:rsid w:val="0032198E"/>
    <w:rsid w:val="0032569A"/>
    <w:rsid w:val="003319F4"/>
    <w:rsid w:val="003409E3"/>
    <w:rsid w:val="00341A12"/>
    <w:rsid w:val="00343749"/>
    <w:rsid w:val="00344DE6"/>
    <w:rsid w:val="00347807"/>
    <w:rsid w:val="00355563"/>
    <w:rsid w:val="00360ED9"/>
    <w:rsid w:val="00361892"/>
    <w:rsid w:val="00361DEB"/>
    <w:rsid w:val="003630DD"/>
    <w:rsid w:val="0036443D"/>
    <w:rsid w:val="00364AEF"/>
    <w:rsid w:val="00365B70"/>
    <w:rsid w:val="003660ED"/>
    <w:rsid w:val="00372205"/>
    <w:rsid w:val="00373E1C"/>
    <w:rsid w:val="00375AC4"/>
    <w:rsid w:val="003764F8"/>
    <w:rsid w:val="00377775"/>
    <w:rsid w:val="00386377"/>
    <w:rsid w:val="00386527"/>
    <w:rsid w:val="003871EA"/>
    <w:rsid w:val="00391E16"/>
    <w:rsid w:val="00393A17"/>
    <w:rsid w:val="00397389"/>
    <w:rsid w:val="003A1586"/>
    <w:rsid w:val="003A38D3"/>
    <w:rsid w:val="003A5AFE"/>
    <w:rsid w:val="003A7909"/>
    <w:rsid w:val="003B0550"/>
    <w:rsid w:val="003B27F0"/>
    <w:rsid w:val="003B3F90"/>
    <w:rsid w:val="003B694F"/>
    <w:rsid w:val="003B79D3"/>
    <w:rsid w:val="003C5799"/>
    <w:rsid w:val="003D2B84"/>
    <w:rsid w:val="003D434A"/>
    <w:rsid w:val="003D5ED9"/>
    <w:rsid w:val="003D686A"/>
    <w:rsid w:val="003D6ACB"/>
    <w:rsid w:val="003E0E1A"/>
    <w:rsid w:val="003F171C"/>
    <w:rsid w:val="003F40DE"/>
    <w:rsid w:val="0040036A"/>
    <w:rsid w:val="00400B0D"/>
    <w:rsid w:val="0040330F"/>
    <w:rsid w:val="00403EBB"/>
    <w:rsid w:val="00404242"/>
    <w:rsid w:val="004072C1"/>
    <w:rsid w:val="00412ABA"/>
    <w:rsid w:val="00412FC5"/>
    <w:rsid w:val="004133AE"/>
    <w:rsid w:val="00414DC9"/>
    <w:rsid w:val="00416A55"/>
    <w:rsid w:val="00416AB1"/>
    <w:rsid w:val="004208BF"/>
    <w:rsid w:val="00422276"/>
    <w:rsid w:val="004238AE"/>
    <w:rsid w:val="004242F1"/>
    <w:rsid w:val="004328FA"/>
    <w:rsid w:val="00435A43"/>
    <w:rsid w:val="00437254"/>
    <w:rsid w:val="00437D94"/>
    <w:rsid w:val="00442C5D"/>
    <w:rsid w:val="0044333B"/>
    <w:rsid w:val="00444072"/>
    <w:rsid w:val="00445A00"/>
    <w:rsid w:val="00451B0F"/>
    <w:rsid w:val="00463A56"/>
    <w:rsid w:val="00464DC5"/>
    <w:rsid w:val="00465BB2"/>
    <w:rsid w:val="00470031"/>
    <w:rsid w:val="004716F7"/>
    <w:rsid w:val="00472C55"/>
    <w:rsid w:val="004736E3"/>
    <w:rsid w:val="004807AF"/>
    <w:rsid w:val="004861E2"/>
    <w:rsid w:val="00491D04"/>
    <w:rsid w:val="00491DEF"/>
    <w:rsid w:val="00495526"/>
    <w:rsid w:val="00496174"/>
    <w:rsid w:val="00497276"/>
    <w:rsid w:val="004A6046"/>
    <w:rsid w:val="004A794B"/>
    <w:rsid w:val="004B16E7"/>
    <w:rsid w:val="004B1721"/>
    <w:rsid w:val="004B4F8E"/>
    <w:rsid w:val="004C09B9"/>
    <w:rsid w:val="004C2E55"/>
    <w:rsid w:val="004C2EE3"/>
    <w:rsid w:val="004C5684"/>
    <w:rsid w:val="004D14B0"/>
    <w:rsid w:val="004D3E5E"/>
    <w:rsid w:val="004D53C6"/>
    <w:rsid w:val="004E068E"/>
    <w:rsid w:val="004E4A22"/>
    <w:rsid w:val="004E7CB4"/>
    <w:rsid w:val="004F191A"/>
    <w:rsid w:val="004F250E"/>
    <w:rsid w:val="00502218"/>
    <w:rsid w:val="00502444"/>
    <w:rsid w:val="00505834"/>
    <w:rsid w:val="00510B2F"/>
    <w:rsid w:val="00511968"/>
    <w:rsid w:val="00511CE0"/>
    <w:rsid w:val="00522132"/>
    <w:rsid w:val="00523CC9"/>
    <w:rsid w:val="0053008F"/>
    <w:rsid w:val="00531CFF"/>
    <w:rsid w:val="00542D88"/>
    <w:rsid w:val="00546A7B"/>
    <w:rsid w:val="00550D85"/>
    <w:rsid w:val="0055614C"/>
    <w:rsid w:val="00563719"/>
    <w:rsid w:val="00566BD8"/>
    <w:rsid w:val="005720D2"/>
    <w:rsid w:val="00573342"/>
    <w:rsid w:val="00574C35"/>
    <w:rsid w:val="0057731D"/>
    <w:rsid w:val="005811D8"/>
    <w:rsid w:val="00581372"/>
    <w:rsid w:val="00581809"/>
    <w:rsid w:val="00581BF3"/>
    <w:rsid w:val="00586D14"/>
    <w:rsid w:val="00592376"/>
    <w:rsid w:val="00593180"/>
    <w:rsid w:val="00593188"/>
    <w:rsid w:val="00593737"/>
    <w:rsid w:val="00594AD7"/>
    <w:rsid w:val="00596D22"/>
    <w:rsid w:val="00597B89"/>
    <w:rsid w:val="005A6F3C"/>
    <w:rsid w:val="005A7A49"/>
    <w:rsid w:val="005B3173"/>
    <w:rsid w:val="005C27F6"/>
    <w:rsid w:val="005C33EB"/>
    <w:rsid w:val="005C3CFC"/>
    <w:rsid w:val="005C4DA1"/>
    <w:rsid w:val="005C6A62"/>
    <w:rsid w:val="005D191C"/>
    <w:rsid w:val="005E14C2"/>
    <w:rsid w:val="005E29B7"/>
    <w:rsid w:val="005E33A3"/>
    <w:rsid w:val="005E59A2"/>
    <w:rsid w:val="005F34B4"/>
    <w:rsid w:val="005F365C"/>
    <w:rsid w:val="00607BA5"/>
    <w:rsid w:val="006115D4"/>
    <w:rsid w:val="006124F9"/>
    <w:rsid w:val="00616C89"/>
    <w:rsid w:val="006218F0"/>
    <w:rsid w:val="00622118"/>
    <w:rsid w:val="006256FA"/>
    <w:rsid w:val="00626EB6"/>
    <w:rsid w:val="0063345F"/>
    <w:rsid w:val="0063651B"/>
    <w:rsid w:val="00637FD1"/>
    <w:rsid w:val="00641A2A"/>
    <w:rsid w:val="00650D3B"/>
    <w:rsid w:val="006510F5"/>
    <w:rsid w:val="00655D03"/>
    <w:rsid w:val="00657B71"/>
    <w:rsid w:val="0066306C"/>
    <w:rsid w:val="00672011"/>
    <w:rsid w:val="00672036"/>
    <w:rsid w:val="006726CA"/>
    <w:rsid w:val="00672F3C"/>
    <w:rsid w:val="00674EAA"/>
    <w:rsid w:val="00681874"/>
    <w:rsid w:val="00681E93"/>
    <w:rsid w:val="00683388"/>
    <w:rsid w:val="00683F84"/>
    <w:rsid w:val="006931B7"/>
    <w:rsid w:val="00694A45"/>
    <w:rsid w:val="00695E6F"/>
    <w:rsid w:val="00696650"/>
    <w:rsid w:val="006A3170"/>
    <w:rsid w:val="006A6A81"/>
    <w:rsid w:val="006B6674"/>
    <w:rsid w:val="006B70D3"/>
    <w:rsid w:val="006B7C44"/>
    <w:rsid w:val="006C7C82"/>
    <w:rsid w:val="006D053F"/>
    <w:rsid w:val="006D1255"/>
    <w:rsid w:val="006D2B18"/>
    <w:rsid w:val="006D5E7A"/>
    <w:rsid w:val="006E13B3"/>
    <w:rsid w:val="006E36D2"/>
    <w:rsid w:val="006E76B7"/>
    <w:rsid w:val="006F18C0"/>
    <w:rsid w:val="006F6641"/>
    <w:rsid w:val="006F7393"/>
    <w:rsid w:val="0070224F"/>
    <w:rsid w:val="007115F7"/>
    <w:rsid w:val="00711AF0"/>
    <w:rsid w:val="00713D1F"/>
    <w:rsid w:val="007154F5"/>
    <w:rsid w:val="00724FE7"/>
    <w:rsid w:val="00727B21"/>
    <w:rsid w:val="007304DE"/>
    <w:rsid w:val="00732149"/>
    <w:rsid w:val="00734276"/>
    <w:rsid w:val="00740D5F"/>
    <w:rsid w:val="007420BE"/>
    <w:rsid w:val="00742B29"/>
    <w:rsid w:val="007479C2"/>
    <w:rsid w:val="007576C3"/>
    <w:rsid w:val="00760503"/>
    <w:rsid w:val="0076545C"/>
    <w:rsid w:val="00770891"/>
    <w:rsid w:val="00774219"/>
    <w:rsid w:val="00775F30"/>
    <w:rsid w:val="007810E4"/>
    <w:rsid w:val="007812DD"/>
    <w:rsid w:val="007824A7"/>
    <w:rsid w:val="007841A7"/>
    <w:rsid w:val="00785689"/>
    <w:rsid w:val="007860B4"/>
    <w:rsid w:val="00791E37"/>
    <w:rsid w:val="00794A71"/>
    <w:rsid w:val="00794A74"/>
    <w:rsid w:val="00797097"/>
    <w:rsid w:val="0079754B"/>
    <w:rsid w:val="007A0313"/>
    <w:rsid w:val="007A1E6D"/>
    <w:rsid w:val="007A3871"/>
    <w:rsid w:val="007A60F3"/>
    <w:rsid w:val="007B0EB2"/>
    <w:rsid w:val="007B31F6"/>
    <w:rsid w:val="007B3619"/>
    <w:rsid w:val="007C0AD0"/>
    <w:rsid w:val="007C2BB3"/>
    <w:rsid w:val="007C4BD6"/>
    <w:rsid w:val="007C691F"/>
    <w:rsid w:val="007D1C4B"/>
    <w:rsid w:val="007D2BF9"/>
    <w:rsid w:val="007D4108"/>
    <w:rsid w:val="007D6619"/>
    <w:rsid w:val="007E3F74"/>
    <w:rsid w:val="007E5842"/>
    <w:rsid w:val="007F3DCD"/>
    <w:rsid w:val="007F44CD"/>
    <w:rsid w:val="007F4D69"/>
    <w:rsid w:val="007F5C7E"/>
    <w:rsid w:val="007F7185"/>
    <w:rsid w:val="008035BE"/>
    <w:rsid w:val="00810B6F"/>
    <w:rsid w:val="00811374"/>
    <w:rsid w:val="00814214"/>
    <w:rsid w:val="00815C61"/>
    <w:rsid w:val="0082158F"/>
    <w:rsid w:val="00822CE0"/>
    <w:rsid w:val="008258A6"/>
    <w:rsid w:val="0084190D"/>
    <w:rsid w:val="00841AB1"/>
    <w:rsid w:val="00854958"/>
    <w:rsid w:val="00860554"/>
    <w:rsid w:val="008614F1"/>
    <w:rsid w:val="0087117E"/>
    <w:rsid w:val="008736A9"/>
    <w:rsid w:val="00877BF7"/>
    <w:rsid w:val="00882549"/>
    <w:rsid w:val="00891D9F"/>
    <w:rsid w:val="00896888"/>
    <w:rsid w:val="00897F0C"/>
    <w:rsid w:val="008A0B55"/>
    <w:rsid w:val="008A100A"/>
    <w:rsid w:val="008A32FC"/>
    <w:rsid w:val="008A3666"/>
    <w:rsid w:val="008A4FBB"/>
    <w:rsid w:val="008A5368"/>
    <w:rsid w:val="008A5D31"/>
    <w:rsid w:val="008B6716"/>
    <w:rsid w:val="008B6E97"/>
    <w:rsid w:val="008B7520"/>
    <w:rsid w:val="008C68F1"/>
    <w:rsid w:val="008C7DA9"/>
    <w:rsid w:val="008D3E22"/>
    <w:rsid w:val="008D5D0C"/>
    <w:rsid w:val="008D6F95"/>
    <w:rsid w:val="008E2CB2"/>
    <w:rsid w:val="008E6FC2"/>
    <w:rsid w:val="008F10D3"/>
    <w:rsid w:val="008F2D0B"/>
    <w:rsid w:val="008F5BDB"/>
    <w:rsid w:val="008F68DC"/>
    <w:rsid w:val="00900FF4"/>
    <w:rsid w:val="00906F2D"/>
    <w:rsid w:val="00907E11"/>
    <w:rsid w:val="00914E23"/>
    <w:rsid w:val="0091695E"/>
    <w:rsid w:val="00920DF6"/>
    <w:rsid w:val="00921803"/>
    <w:rsid w:val="0092541E"/>
    <w:rsid w:val="00925680"/>
    <w:rsid w:val="00926503"/>
    <w:rsid w:val="00927C97"/>
    <w:rsid w:val="00933526"/>
    <w:rsid w:val="00936312"/>
    <w:rsid w:val="00937EA1"/>
    <w:rsid w:val="00943BE9"/>
    <w:rsid w:val="00946CA2"/>
    <w:rsid w:val="009537B2"/>
    <w:rsid w:val="009552BB"/>
    <w:rsid w:val="009626BF"/>
    <w:rsid w:val="009643B8"/>
    <w:rsid w:val="00971575"/>
    <w:rsid w:val="009726D8"/>
    <w:rsid w:val="009800F7"/>
    <w:rsid w:val="00980FC0"/>
    <w:rsid w:val="009819A9"/>
    <w:rsid w:val="00983317"/>
    <w:rsid w:val="00983537"/>
    <w:rsid w:val="009851FD"/>
    <w:rsid w:val="009915B2"/>
    <w:rsid w:val="009918A6"/>
    <w:rsid w:val="00997252"/>
    <w:rsid w:val="00997BCC"/>
    <w:rsid w:val="009A058E"/>
    <w:rsid w:val="009A0A6E"/>
    <w:rsid w:val="009A3514"/>
    <w:rsid w:val="009B333E"/>
    <w:rsid w:val="009B6DD1"/>
    <w:rsid w:val="009B750E"/>
    <w:rsid w:val="009C0511"/>
    <w:rsid w:val="009C339E"/>
    <w:rsid w:val="009C49F1"/>
    <w:rsid w:val="009C6D08"/>
    <w:rsid w:val="009D129B"/>
    <w:rsid w:val="009D78D8"/>
    <w:rsid w:val="009E1BE2"/>
    <w:rsid w:val="009E1FF2"/>
    <w:rsid w:val="009E6AA4"/>
    <w:rsid w:val="009F0013"/>
    <w:rsid w:val="009F1704"/>
    <w:rsid w:val="009F3D37"/>
    <w:rsid w:val="009F76DB"/>
    <w:rsid w:val="00A00622"/>
    <w:rsid w:val="00A01195"/>
    <w:rsid w:val="00A018B9"/>
    <w:rsid w:val="00A052E4"/>
    <w:rsid w:val="00A061B1"/>
    <w:rsid w:val="00A113DE"/>
    <w:rsid w:val="00A148B2"/>
    <w:rsid w:val="00A1548E"/>
    <w:rsid w:val="00A223FC"/>
    <w:rsid w:val="00A243EE"/>
    <w:rsid w:val="00A26B0A"/>
    <w:rsid w:val="00A32C3B"/>
    <w:rsid w:val="00A34756"/>
    <w:rsid w:val="00A348F7"/>
    <w:rsid w:val="00A359AD"/>
    <w:rsid w:val="00A35AC9"/>
    <w:rsid w:val="00A40B91"/>
    <w:rsid w:val="00A44FF3"/>
    <w:rsid w:val="00A45785"/>
    <w:rsid w:val="00A45F4F"/>
    <w:rsid w:val="00A4786D"/>
    <w:rsid w:val="00A523B5"/>
    <w:rsid w:val="00A54CBA"/>
    <w:rsid w:val="00A54E53"/>
    <w:rsid w:val="00A55010"/>
    <w:rsid w:val="00A600A9"/>
    <w:rsid w:val="00A61C99"/>
    <w:rsid w:val="00A6424F"/>
    <w:rsid w:val="00A73861"/>
    <w:rsid w:val="00A74811"/>
    <w:rsid w:val="00A803D9"/>
    <w:rsid w:val="00A84BF2"/>
    <w:rsid w:val="00A90E29"/>
    <w:rsid w:val="00A938C0"/>
    <w:rsid w:val="00A9766C"/>
    <w:rsid w:val="00A97B87"/>
    <w:rsid w:val="00AA020F"/>
    <w:rsid w:val="00AA1B33"/>
    <w:rsid w:val="00AA55B7"/>
    <w:rsid w:val="00AA5B9E"/>
    <w:rsid w:val="00AA6CF7"/>
    <w:rsid w:val="00AA7A43"/>
    <w:rsid w:val="00AB1819"/>
    <w:rsid w:val="00AB2407"/>
    <w:rsid w:val="00AB2FB8"/>
    <w:rsid w:val="00AB3F5D"/>
    <w:rsid w:val="00AB4401"/>
    <w:rsid w:val="00AB53DF"/>
    <w:rsid w:val="00AB6886"/>
    <w:rsid w:val="00AB76EA"/>
    <w:rsid w:val="00AC0574"/>
    <w:rsid w:val="00AC1FF2"/>
    <w:rsid w:val="00AC2F0C"/>
    <w:rsid w:val="00AE20D0"/>
    <w:rsid w:val="00AE2DBA"/>
    <w:rsid w:val="00AE55E7"/>
    <w:rsid w:val="00B00506"/>
    <w:rsid w:val="00B00E14"/>
    <w:rsid w:val="00B034F7"/>
    <w:rsid w:val="00B054D9"/>
    <w:rsid w:val="00B0631B"/>
    <w:rsid w:val="00B07E5C"/>
    <w:rsid w:val="00B12262"/>
    <w:rsid w:val="00B175AE"/>
    <w:rsid w:val="00B208E3"/>
    <w:rsid w:val="00B22B99"/>
    <w:rsid w:val="00B24949"/>
    <w:rsid w:val="00B24F26"/>
    <w:rsid w:val="00B26511"/>
    <w:rsid w:val="00B26695"/>
    <w:rsid w:val="00B32581"/>
    <w:rsid w:val="00B346DE"/>
    <w:rsid w:val="00B37EBA"/>
    <w:rsid w:val="00B40621"/>
    <w:rsid w:val="00B4141F"/>
    <w:rsid w:val="00B435F1"/>
    <w:rsid w:val="00B43E7F"/>
    <w:rsid w:val="00B45ADB"/>
    <w:rsid w:val="00B518D6"/>
    <w:rsid w:val="00B5615D"/>
    <w:rsid w:val="00B5793A"/>
    <w:rsid w:val="00B627D9"/>
    <w:rsid w:val="00B643EC"/>
    <w:rsid w:val="00B64743"/>
    <w:rsid w:val="00B66205"/>
    <w:rsid w:val="00B70A0F"/>
    <w:rsid w:val="00B7423A"/>
    <w:rsid w:val="00B804C6"/>
    <w:rsid w:val="00B811F7"/>
    <w:rsid w:val="00B834AA"/>
    <w:rsid w:val="00B855B5"/>
    <w:rsid w:val="00B862E1"/>
    <w:rsid w:val="00B87C5A"/>
    <w:rsid w:val="00B924A9"/>
    <w:rsid w:val="00B96687"/>
    <w:rsid w:val="00BA1908"/>
    <w:rsid w:val="00BA1BD5"/>
    <w:rsid w:val="00BA4D4B"/>
    <w:rsid w:val="00BA5DC6"/>
    <w:rsid w:val="00BA6196"/>
    <w:rsid w:val="00BB7402"/>
    <w:rsid w:val="00BB7821"/>
    <w:rsid w:val="00BC4B61"/>
    <w:rsid w:val="00BC55FE"/>
    <w:rsid w:val="00BC6D8C"/>
    <w:rsid w:val="00BD0173"/>
    <w:rsid w:val="00BD25E2"/>
    <w:rsid w:val="00BD67D7"/>
    <w:rsid w:val="00BE741D"/>
    <w:rsid w:val="00BF2DA5"/>
    <w:rsid w:val="00BF3B0A"/>
    <w:rsid w:val="00C005C9"/>
    <w:rsid w:val="00C02803"/>
    <w:rsid w:val="00C0339A"/>
    <w:rsid w:val="00C04241"/>
    <w:rsid w:val="00C12610"/>
    <w:rsid w:val="00C12649"/>
    <w:rsid w:val="00C13E21"/>
    <w:rsid w:val="00C20F25"/>
    <w:rsid w:val="00C30CC4"/>
    <w:rsid w:val="00C34006"/>
    <w:rsid w:val="00C377F1"/>
    <w:rsid w:val="00C426B1"/>
    <w:rsid w:val="00C54AF0"/>
    <w:rsid w:val="00C556E9"/>
    <w:rsid w:val="00C610CA"/>
    <w:rsid w:val="00C62A2E"/>
    <w:rsid w:val="00C66160"/>
    <w:rsid w:val="00C679C1"/>
    <w:rsid w:val="00C700AB"/>
    <w:rsid w:val="00C7028C"/>
    <w:rsid w:val="00C713A8"/>
    <w:rsid w:val="00C721AC"/>
    <w:rsid w:val="00C73044"/>
    <w:rsid w:val="00C7455C"/>
    <w:rsid w:val="00C75BCB"/>
    <w:rsid w:val="00C76AE4"/>
    <w:rsid w:val="00C8116A"/>
    <w:rsid w:val="00C81265"/>
    <w:rsid w:val="00C85C5C"/>
    <w:rsid w:val="00C90599"/>
    <w:rsid w:val="00C90D6A"/>
    <w:rsid w:val="00C9196A"/>
    <w:rsid w:val="00C96071"/>
    <w:rsid w:val="00CA247E"/>
    <w:rsid w:val="00CA258C"/>
    <w:rsid w:val="00CA79CF"/>
    <w:rsid w:val="00CB6488"/>
    <w:rsid w:val="00CB694C"/>
    <w:rsid w:val="00CC1A59"/>
    <w:rsid w:val="00CC72B6"/>
    <w:rsid w:val="00CD0694"/>
    <w:rsid w:val="00CD0DFC"/>
    <w:rsid w:val="00CD36FB"/>
    <w:rsid w:val="00CD4157"/>
    <w:rsid w:val="00CD7C08"/>
    <w:rsid w:val="00CE06B3"/>
    <w:rsid w:val="00CF0481"/>
    <w:rsid w:val="00CF0966"/>
    <w:rsid w:val="00CF470A"/>
    <w:rsid w:val="00CF4D8A"/>
    <w:rsid w:val="00D0218D"/>
    <w:rsid w:val="00D02238"/>
    <w:rsid w:val="00D05584"/>
    <w:rsid w:val="00D06157"/>
    <w:rsid w:val="00D065BF"/>
    <w:rsid w:val="00D0727B"/>
    <w:rsid w:val="00D106E5"/>
    <w:rsid w:val="00D10D2B"/>
    <w:rsid w:val="00D13102"/>
    <w:rsid w:val="00D160BC"/>
    <w:rsid w:val="00D22DBE"/>
    <w:rsid w:val="00D23ADB"/>
    <w:rsid w:val="00D240B1"/>
    <w:rsid w:val="00D24335"/>
    <w:rsid w:val="00D25FB5"/>
    <w:rsid w:val="00D2796D"/>
    <w:rsid w:val="00D321BA"/>
    <w:rsid w:val="00D328AB"/>
    <w:rsid w:val="00D41BD0"/>
    <w:rsid w:val="00D44223"/>
    <w:rsid w:val="00D4791F"/>
    <w:rsid w:val="00D515A8"/>
    <w:rsid w:val="00D517FC"/>
    <w:rsid w:val="00D51B5E"/>
    <w:rsid w:val="00D60EDB"/>
    <w:rsid w:val="00D61BDB"/>
    <w:rsid w:val="00D6759E"/>
    <w:rsid w:val="00D727D3"/>
    <w:rsid w:val="00D76B27"/>
    <w:rsid w:val="00D772C7"/>
    <w:rsid w:val="00D800D5"/>
    <w:rsid w:val="00D8118C"/>
    <w:rsid w:val="00D83B3B"/>
    <w:rsid w:val="00D8532D"/>
    <w:rsid w:val="00D9274F"/>
    <w:rsid w:val="00D92D29"/>
    <w:rsid w:val="00D94BD2"/>
    <w:rsid w:val="00DA10E1"/>
    <w:rsid w:val="00DA1E25"/>
    <w:rsid w:val="00DA2529"/>
    <w:rsid w:val="00DA3055"/>
    <w:rsid w:val="00DB130A"/>
    <w:rsid w:val="00DB1E3B"/>
    <w:rsid w:val="00DB2EBB"/>
    <w:rsid w:val="00DB30CF"/>
    <w:rsid w:val="00DB45D0"/>
    <w:rsid w:val="00DC102D"/>
    <w:rsid w:val="00DC10A1"/>
    <w:rsid w:val="00DC578A"/>
    <w:rsid w:val="00DC655F"/>
    <w:rsid w:val="00DC65FF"/>
    <w:rsid w:val="00DD0B59"/>
    <w:rsid w:val="00DD7EBD"/>
    <w:rsid w:val="00DE0E81"/>
    <w:rsid w:val="00DE3F98"/>
    <w:rsid w:val="00DF1733"/>
    <w:rsid w:val="00DF512E"/>
    <w:rsid w:val="00DF5D55"/>
    <w:rsid w:val="00DF62B6"/>
    <w:rsid w:val="00E01AB5"/>
    <w:rsid w:val="00E07225"/>
    <w:rsid w:val="00E07A32"/>
    <w:rsid w:val="00E14A7D"/>
    <w:rsid w:val="00E16078"/>
    <w:rsid w:val="00E17E1D"/>
    <w:rsid w:val="00E22C2A"/>
    <w:rsid w:val="00E248C3"/>
    <w:rsid w:val="00E24B0F"/>
    <w:rsid w:val="00E2677A"/>
    <w:rsid w:val="00E3429B"/>
    <w:rsid w:val="00E3596E"/>
    <w:rsid w:val="00E3700F"/>
    <w:rsid w:val="00E438DA"/>
    <w:rsid w:val="00E457E2"/>
    <w:rsid w:val="00E5409F"/>
    <w:rsid w:val="00E56542"/>
    <w:rsid w:val="00E61283"/>
    <w:rsid w:val="00E61AB6"/>
    <w:rsid w:val="00E62A79"/>
    <w:rsid w:val="00E6493F"/>
    <w:rsid w:val="00E66B2F"/>
    <w:rsid w:val="00E718EB"/>
    <w:rsid w:val="00E842FE"/>
    <w:rsid w:val="00E8667E"/>
    <w:rsid w:val="00E90C6C"/>
    <w:rsid w:val="00E90FEA"/>
    <w:rsid w:val="00E949CA"/>
    <w:rsid w:val="00E96425"/>
    <w:rsid w:val="00EA0C4F"/>
    <w:rsid w:val="00EA72B5"/>
    <w:rsid w:val="00EB1BD4"/>
    <w:rsid w:val="00EB5939"/>
    <w:rsid w:val="00EC04F3"/>
    <w:rsid w:val="00EC08CA"/>
    <w:rsid w:val="00EC1B75"/>
    <w:rsid w:val="00EC32E5"/>
    <w:rsid w:val="00EC569A"/>
    <w:rsid w:val="00EC7554"/>
    <w:rsid w:val="00ED3AB6"/>
    <w:rsid w:val="00ED3D22"/>
    <w:rsid w:val="00ED47E0"/>
    <w:rsid w:val="00ED50FF"/>
    <w:rsid w:val="00ED535E"/>
    <w:rsid w:val="00EE1FBB"/>
    <w:rsid w:val="00EE25D2"/>
    <w:rsid w:val="00EE5904"/>
    <w:rsid w:val="00EE5BB4"/>
    <w:rsid w:val="00EE6488"/>
    <w:rsid w:val="00EF2A03"/>
    <w:rsid w:val="00EF4F3B"/>
    <w:rsid w:val="00F00C2D"/>
    <w:rsid w:val="00F00FB2"/>
    <w:rsid w:val="00F021FA"/>
    <w:rsid w:val="00F022D5"/>
    <w:rsid w:val="00F04287"/>
    <w:rsid w:val="00F04CA5"/>
    <w:rsid w:val="00F05642"/>
    <w:rsid w:val="00F062E2"/>
    <w:rsid w:val="00F06DC3"/>
    <w:rsid w:val="00F07D76"/>
    <w:rsid w:val="00F13CE5"/>
    <w:rsid w:val="00F2202F"/>
    <w:rsid w:val="00F25FAE"/>
    <w:rsid w:val="00F26F13"/>
    <w:rsid w:val="00F41173"/>
    <w:rsid w:val="00F4189B"/>
    <w:rsid w:val="00F56E91"/>
    <w:rsid w:val="00F62E97"/>
    <w:rsid w:val="00F63326"/>
    <w:rsid w:val="00F64209"/>
    <w:rsid w:val="00F64BBC"/>
    <w:rsid w:val="00F714D7"/>
    <w:rsid w:val="00F71591"/>
    <w:rsid w:val="00F71CB2"/>
    <w:rsid w:val="00F733A5"/>
    <w:rsid w:val="00F75D57"/>
    <w:rsid w:val="00F77AFE"/>
    <w:rsid w:val="00F84155"/>
    <w:rsid w:val="00F844DE"/>
    <w:rsid w:val="00F84512"/>
    <w:rsid w:val="00F84592"/>
    <w:rsid w:val="00F93BF5"/>
    <w:rsid w:val="00FA1416"/>
    <w:rsid w:val="00FA6E72"/>
    <w:rsid w:val="00FB2AA1"/>
    <w:rsid w:val="00FB6BEB"/>
    <w:rsid w:val="00FC5505"/>
    <w:rsid w:val="00FD1880"/>
    <w:rsid w:val="00FD2264"/>
    <w:rsid w:val="00FD2943"/>
    <w:rsid w:val="00FD2A40"/>
    <w:rsid w:val="00FD3CD4"/>
    <w:rsid w:val="00FE3FA7"/>
    <w:rsid w:val="00FF1719"/>
    <w:rsid w:val="00FF78AA"/>
    <w:rsid w:val="6D7524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68898425-A1D5-447D-B091-8B55E979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4A7"/>
    <w:pPr>
      <w:widowControl w:val="0"/>
    </w:pPr>
    <w:rPr>
      <w:snapToGrid w:val="0"/>
      <w:kern w:val="28"/>
      <w:sz w:val="22"/>
    </w:rPr>
  </w:style>
  <w:style w:type="paragraph" w:styleId="Heading1">
    <w:name w:val="heading 1"/>
    <w:basedOn w:val="Normal"/>
    <w:next w:val="ParaNum"/>
    <w:link w:val="Heading1Char"/>
    <w:qFormat/>
    <w:rsid w:val="007824A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824A7"/>
    <w:pPr>
      <w:keepNext/>
      <w:numPr>
        <w:ilvl w:val="1"/>
        <w:numId w:val="3"/>
      </w:numPr>
      <w:spacing w:after="120"/>
      <w:outlineLvl w:val="1"/>
    </w:pPr>
    <w:rPr>
      <w:b/>
    </w:rPr>
  </w:style>
  <w:style w:type="paragraph" w:styleId="Heading3">
    <w:name w:val="heading 3"/>
    <w:basedOn w:val="Normal"/>
    <w:next w:val="ParaNum"/>
    <w:link w:val="Heading3Char"/>
    <w:qFormat/>
    <w:rsid w:val="007824A7"/>
    <w:pPr>
      <w:keepNext/>
      <w:numPr>
        <w:ilvl w:val="2"/>
        <w:numId w:val="3"/>
      </w:numPr>
      <w:tabs>
        <w:tab w:val="left" w:pos="2160"/>
      </w:tabs>
      <w:spacing w:after="120"/>
      <w:outlineLvl w:val="2"/>
    </w:pPr>
    <w:rPr>
      <w:b/>
    </w:rPr>
  </w:style>
  <w:style w:type="paragraph" w:styleId="Heading4">
    <w:name w:val="heading 4"/>
    <w:basedOn w:val="Normal"/>
    <w:next w:val="ParaNum"/>
    <w:qFormat/>
    <w:rsid w:val="007824A7"/>
    <w:pPr>
      <w:keepNext/>
      <w:numPr>
        <w:ilvl w:val="3"/>
        <w:numId w:val="3"/>
      </w:numPr>
      <w:tabs>
        <w:tab w:val="left" w:pos="2880"/>
      </w:tabs>
      <w:spacing w:after="120"/>
      <w:outlineLvl w:val="3"/>
    </w:pPr>
    <w:rPr>
      <w:b/>
    </w:rPr>
  </w:style>
  <w:style w:type="paragraph" w:styleId="Heading5">
    <w:name w:val="heading 5"/>
    <w:basedOn w:val="Normal"/>
    <w:next w:val="ParaNum"/>
    <w:qFormat/>
    <w:rsid w:val="007824A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824A7"/>
    <w:pPr>
      <w:numPr>
        <w:ilvl w:val="5"/>
        <w:numId w:val="3"/>
      </w:numPr>
      <w:tabs>
        <w:tab w:val="left" w:pos="4320"/>
      </w:tabs>
      <w:spacing w:after="120"/>
      <w:outlineLvl w:val="5"/>
    </w:pPr>
    <w:rPr>
      <w:b/>
    </w:rPr>
  </w:style>
  <w:style w:type="paragraph" w:styleId="Heading7">
    <w:name w:val="heading 7"/>
    <w:basedOn w:val="Normal"/>
    <w:next w:val="ParaNum"/>
    <w:qFormat/>
    <w:rsid w:val="007824A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824A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824A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824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24A7"/>
  </w:style>
  <w:style w:type="paragraph" w:customStyle="1" w:styleId="ParaNum">
    <w:name w:val="ParaNum"/>
    <w:basedOn w:val="Normal"/>
    <w:link w:val="ParaNumChar"/>
    <w:rsid w:val="007824A7"/>
    <w:pPr>
      <w:numPr>
        <w:numId w:val="2"/>
      </w:numPr>
      <w:tabs>
        <w:tab w:val="clear" w:pos="1080"/>
        <w:tab w:val="num" w:pos="1440"/>
      </w:tabs>
      <w:spacing w:after="120"/>
    </w:pPr>
  </w:style>
  <w:style w:type="paragraph" w:styleId="EndnoteText">
    <w:name w:val="endnote text"/>
    <w:basedOn w:val="Normal"/>
    <w:semiHidden/>
    <w:rsid w:val="007824A7"/>
    <w:rPr>
      <w:sz w:val="20"/>
    </w:rPr>
  </w:style>
  <w:style w:type="character" w:styleId="EndnoteReference">
    <w:name w:val="endnote reference"/>
    <w:semiHidden/>
    <w:rsid w:val="007824A7"/>
    <w:rPr>
      <w:vertAlign w:val="superscript"/>
    </w:rPr>
  </w:style>
  <w:style w:type="paragraph" w:styleId="FootnoteText">
    <w:name w:val="footnote text"/>
    <w:aliases w:val="ALTS FOOTNOTE,Footnote Text Char Char Char,Footnote Text Char Char Char Char1 Char,Footnote Text Char1 Char,Footnote Text Char1 Char Char Char,Footnote Text Char1 Char2,Footnote Text Char2,Footnote Text Char2 Char Char Char Char Char,fn"/>
    <w:link w:val="FootnoteTextChar"/>
    <w:rsid w:val="007824A7"/>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7824A7"/>
    <w:rPr>
      <w:rFonts w:ascii="Times New Roman" w:hAnsi="Times New Roman"/>
      <w:dstrike w:val="0"/>
      <w:color w:val="auto"/>
      <w:sz w:val="20"/>
      <w:vertAlign w:val="superscript"/>
    </w:rPr>
  </w:style>
  <w:style w:type="paragraph" w:styleId="TOC1">
    <w:name w:val="toc 1"/>
    <w:basedOn w:val="Normal"/>
    <w:next w:val="Normal"/>
    <w:rsid w:val="007824A7"/>
    <w:pPr>
      <w:tabs>
        <w:tab w:val="left" w:pos="360"/>
        <w:tab w:val="right" w:leader="dot" w:pos="9360"/>
      </w:tabs>
      <w:suppressAutoHyphens/>
      <w:ind w:left="360" w:right="720" w:hanging="360"/>
    </w:pPr>
    <w:rPr>
      <w:caps/>
      <w:noProof/>
    </w:rPr>
  </w:style>
  <w:style w:type="paragraph" w:styleId="TOC2">
    <w:name w:val="toc 2"/>
    <w:basedOn w:val="Normal"/>
    <w:next w:val="Normal"/>
    <w:rsid w:val="007824A7"/>
    <w:pPr>
      <w:tabs>
        <w:tab w:val="left" w:pos="720"/>
        <w:tab w:val="right" w:leader="dot" w:pos="9360"/>
      </w:tabs>
      <w:suppressAutoHyphens/>
      <w:ind w:left="720" w:right="720" w:hanging="360"/>
    </w:pPr>
    <w:rPr>
      <w:noProof/>
    </w:rPr>
  </w:style>
  <w:style w:type="paragraph" w:styleId="TOC3">
    <w:name w:val="toc 3"/>
    <w:basedOn w:val="Normal"/>
    <w:next w:val="Normal"/>
    <w:semiHidden/>
    <w:rsid w:val="007824A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824A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824A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824A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824A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824A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824A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824A7"/>
    <w:pPr>
      <w:tabs>
        <w:tab w:val="right" w:pos="9360"/>
      </w:tabs>
      <w:suppressAutoHyphens/>
    </w:pPr>
  </w:style>
  <w:style w:type="character" w:customStyle="1" w:styleId="EquationCaption">
    <w:name w:val="_Equation Caption"/>
    <w:rsid w:val="007824A7"/>
  </w:style>
  <w:style w:type="paragraph" w:styleId="Header">
    <w:name w:val="header"/>
    <w:basedOn w:val="Normal"/>
    <w:autoRedefine/>
    <w:rsid w:val="007824A7"/>
    <w:pPr>
      <w:tabs>
        <w:tab w:val="center" w:pos="4680"/>
        <w:tab w:val="right" w:pos="9360"/>
      </w:tabs>
    </w:pPr>
    <w:rPr>
      <w:b/>
    </w:rPr>
  </w:style>
  <w:style w:type="paragraph" w:styleId="Footer">
    <w:name w:val="footer"/>
    <w:basedOn w:val="Normal"/>
    <w:link w:val="FooterChar"/>
    <w:uiPriority w:val="99"/>
    <w:rsid w:val="007824A7"/>
    <w:pPr>
      <w:tabs>
        <w:tab w:val="center" w:pos="4320"/>
        <w:tab w:val="right" w:pos="8640"/>
      </w:tabs>
    </w:pPr>
  </w:style>
  <w:style w:type="character" w:styleId="PageNumber">
    <w:name w:val="page number"/>
    <w:basedOn w:val="DefaultParagraphFont"/>
    <w:rsid w:val="007824A7"/>
  </w:style>
  <w:style w:type="paragraph" w:styleId="BlockText">
    <w:name w:val="Block Text"/>
    <w:basedOn w:val="Normal"/>
    <w:rsid w:val="007824A7"/>
    <w:pPr>
      <w:spacing w:after="240"/>
      <w:ind w:left="1440" w:right="1440"/>
    </w:pPr>
  </w:style>
  <w:style w:type="paragraph" w:customStyle="1" w:styleId="Paratitle">
    <w:name w:val="Para title"/>
    <w:basedOn w:val="Normal"/>
    <w:rsid w:val="007824A7"/>
    <w:pPr>
      <w:tabs>
        <w:tab w:val="center" w:pos="9270"/>
      </w:tabs>
      <w:spacing w:after="240"/>
    </w:pPr>
    <w:rPr>
      <w:spacing w:val="-2"/>
    </w:rPr>
  </w:style>
  <w:style w:type="paragraph" w:customStyle="1" w:styleId="Bullet">
    <w:name w:val="Bullet"/>
    <w:basedOn w:val="Normal"/>
    <w:rsid w:val="007824A7"/>
    <w:pPr>
      <w:tabs>
        <w:tab w:val="left" w:pos="2160"/>
      </w:tabs>
      <w:spacing w:after="220"/>
      <w:ind w:left="2160" w:hanging="720"/>
    </w:pPr>
  </w:style>
  <w:style w:type="paragraph" w:customStyle="1" w:styleId="TableFormat">
    <w:name w:val="TableFormat"/>
    <w:basedOn w:val="Bullet"/>
    <w:rsid w:val="007824A7"/>
    <w:pPr>
      <w:tabs>
        <w:tab w:val="clear" w:pos="2160"/>
        <w:tab w:val="left" w:pos="5040"/>
      </w:tabs>
      <w:ind w:left="5040" w:hanging="3600"/>
    </w:pPr>
  </w:style>
  <w:style w:type="paragraph" w:customStyle="1" w:styleId="TOCTitle">
    <w:name w:val="TOC Title"/>
    <w:basedOn w:val="Normal"/>
    <w:rsid w:val="007824A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824A7"/>
    <w:pPr>
      <w:jc w:val="center"/>
    </w:pPr>
    <w:rPr>
      <w:rFonts w:ascii="Times New Roman Bold" w:hAnsi="Times New Roman Bold"/>
      <w:b/>
      <w:bCs/>
      <w:caps/>
      <w:szCs w:val="22"/>
    </w:rPr>
  </w:style>
  <w:style w:type="character" w:styleId="Hyperlink">
    <w:name w:val="Hyperlink"/>
    <w:rsid w:val="007824A7"/>
    <w:rPr>
      <w:color w:val="0000FF"/>
      <w:u w:val="single"/>
    </w:rPr>
  </w:style>
  <w:style w:type="character" w:customStyle="1" w:styleId="Heading1Char">
    <w:name w:val="Heading 1 Char"/>
    <w:link w:val="Heading1"/>
    <w:rsid w:val="0031307D"/>
    <w:rPr>
      <w:rFonts w:ascii="Times New Roman Bold" w:hAnsi="Times New Roman Bold"/>
      <w:b/>
      <w:caps/>
      <w:snapToGrid w:val="0"/>
      <w:kern w:val="28"/>
      <w:sz w:val="22"/>
    </w:rPr>
  </w:style>
  <w:style w:type="character" w:customStyle="1" w:styleId="Heading2Char">
    <w:name w:val="Heading 2 Char"/>
    <w:link w:val="Heading2"/>
    <w:rsid w:val="00F13CE5"/>
    <w:rPr>
      <w:b/>
      <w:snapToGrid w:val="0"/>
      <w:kern w:val="28"/>
      <w:sz w:val="22"/>
    </w:rPr>
  </w:style>
  <w:style w:type="character" w:customStyle="1" w:styleId="FooterChar">
    <w:name w:val="Footer Char"/>
    <w:link w:val="Footer"/>
    <w:uiPriority w:val="99"/>
    <w:rsid w:val="007824A7"/>
    <w:rPr>
      <w:snapToGrid w:val="0"/>
      <w:kern w:val="28"/>
      <w:sz w:val="22"/>
    </w:rPr>
  </w:style>
  <w:style w:type="paragraph" w:styleId="BalloonText">
    <w:name w:val="Balloon Text"/>
    <w:basedOn w:val="Normal"/>
    <w:link w:val="BalloonTextChar"/>
    <w:semiHidden/>
    <w:unhideWhenUsed/>
    <w:rsid w:val="00C679C1"/>
    <w:rPr>
      <w:rFonts w:ascii="Segoe UI" w:hAnsi="Segoe UI" w:cs="Segoe UI"/>
      <w:sz w:val="18"/>
      <w:szCs w:val="18"/>
    </w:rPr>
  </w:style>
  <w:style w:type="character" w:customStyle="1" w:styleId="BalloonTextChar">
    <w:name w:val="Balloon Text Char"/>
    <w:basedOn w:val="DefaultParagraphFont"/>
    <w:link w:val="BalloonText"/>
    <w:semiHidden/>
    <w:rsid w:val="00C679C1"/>
    <w:rPr>
      <w:rFonts w:ascii="Segoe UI" w:hAnsi="Segoe UI" w:cs="Segoe UI"/>
      <w:snapToGrid w:val="0"/>
      <w:kern w:val="28"/>
      <w:sz w:val="18"/>
      <w:szCs w:val="18"/>
    </w:rPr>
  </w:style>
  <w:style w:type="character" w:customStyle="1" w:styleId="FootnoteTextChar">
    <w:name w:val="Footnote Text Char"/>
    <w:aliases w:val="ALTS FOOTNOTE Char,Footnote Text Char Char Char Char,Footnote Text Char Char Char Char1 Char Char,Footnote Text Char1 Char Char,Footnote Text Char1 Char Char Char Char,Footnote Text Char1 Char2 Char,Footnote Text Char2 Char,fn Char"/>
    <w:link w:val="FootnoteText"/>
    <w:locked/>
    <w:rsid w:val="00C679C1"/>
  </w:style>
  <w:style w:type="character" w:customStyle="1" w:styleId="Heading3Char">
    <w:name w:val="Heading 3 Char"/>
    <w:link w:val="Heading3"/>
    <w:rsid w:val="00C679C1"/>
    <w:rPr>
      <w:b/>
      <w:snapToGrid w:val="0"/>
      <w:kern w:val="28"/>
      <w:sz w:val="22"/>
    </w:rPr>
  </w:style>
  <w:style w:type="character" w:styleId="CommentReference">
    <w:name w:val="annotation reference"/>
    <w:uiPriority w:val="99"/>
    <w:semiHidden/>
    <w:unhideWhenUsed/>
    <w:rsid w:val="00C679C1"/>
    <w:rPr>
      <w:sz w:val="16"/>
      <w:szCs w:val="16"/>
    </w:rPr>
  </w:style>
  <w:style w:type="paragraph" w:styleId="CommentText">
    <w:name w:val="annotation text"/>
    <w:basedOn w:val="Normal"/>
    <w:link w:val="CommentTextChar"/>
    <w:uiPriority w:val="99"/>
    <w:unhideWhenUsed/>
    <w:rsid w:val="00C679C1"/>
    <w:rPr>
      <w:sz w:val="20"/>
    </w:rPr>
  </w:style>
  <w:style w:type="character" w:customStyle="1" w:styleId="CommentTextChar">
    <w:name w:val="Comment Text Char"/>
    <w:basedOn w:val="DefaultParagraphFont"/>
    <w:link w:val="CommentText"/>
    <w:uiPriority w:val="99"/>
    <w:rsid w:val="00C679C1"/>
    <w:rPr>
      <w:snapToGrid w:val="0"/>
      <w:kern w:val="28"/>
    </w:rPr>
  </w:style>
  <w:style w:type="paragraph" w:styleId="CommentSubject">
    <w:name w:val="annotation subject"/>
    <w:basedOn w:val="CommentText"/>
    <w:next w:val="CommentText"/>
    <w:link w:val="CommentSubjectChar"/>
    <w:semiHidden/>
    <w:unhideWhenUsed/>
    <w:rsid w:val="001E48A4"/>
    <w:rPr>
      <w:b/>
      <w:bCs/>
    </w:rPr>
  </w:style>
  <w:style w:type="character" w:customStyle="1" w:styleId="CommentSubjectChar">
    <w:name w:val="Comment Subject Char"/>
    <w:basedOn w:val="CommentTextChar"/>
    <w:link w:val="CommentSubject"/>
    <w:semiHidden/>
    <w:rsid w:val="001E48A4"/>
    <w:rPr>
      <w:b/>
      <w:bCs/>
      <w:snapToGrid w:val="0"/>
      <w:kern w:val="28"/>
    </w:rPr>
  </w:style>
  <w:style w:type="character" w:customStyle="1" w:styleId="ParaNumChar">
    <w:name w:val="ParaNum Char"/>
    <w:link w:val="ParaNum"/>
    <w:locked/>
    <w:rsid w:val="00D22DBE"/>
    <w:rPr>
      <w:snapToGrid w:val="0"/>
      <w:kern w:val="28"/>
      <w:sz w:val="22"/>
    </w:rPr>
  </w:style>
  <w:style w:type="paragraph" w:styleId="Revision">
    <w:name w:val="Revision"/>
    <w:hidden/>
    <w:uiPriority w:val="99"/>
    <w:semiHidden/>
    <w:rsid w:val="00FC5505"/>
    <w:rPr>
      <w:snapToGrid w:val="0"/>
      <w:kern w:val="28"/>
      <w:sz w:val="22"/>
    </w:rPr>
  </w:style>
  <w:style w:type="character" w:customStyle="1" w:styleId="UnresolvedMention">
    <w:name w:val="Unresolved Mention"/>
    <w:basedOn w:val="DefaultParagraphFont"/>
    <w:rsid w:val="00DF1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