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4717503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6CEBA6" w14:textId="77777777">
      <w:pPr>
        <w:pStyle w:val="StyleBoldCentered"/>
      </w:pPr>
      <w:r>
        <w:t>F</w:t>
      </w:r>
      <w:r>
        <w:rPr>
          <w:caps w:val="0"/>
        </w:rPr>
        <w:t>ederal Communications Commission</w:t>
      </w:r>
    </w:p>
    <w:p w:rsidR="004C2EE3" w:rsidP="00096D8C" w14:paraId="41993CCF" w14:textId="77777777">
      <w:pPr>
        <w:pStyle w:val="StyleBoldCentered"/>
      </w:pPr>
      <w:r>
        <w:rPr>
          <w:caps w:val="0"/>
        </w:rPr>
        <w:t>Washington, D.C. 20554</w:t>
      </w:r>
    </w:p>
    <w:p w:rsidR="004C2EE3" w:rsidP="0070224F" w14:paraId="2EBEB48E" w14:textId="77777777"/>
    <w:p w:rsidR="004C2EE3" w:rsidP="0070224F" w14:paraId="65217FE1" w14:textId="77777777"/>
    <w:tbl>
      <w:tblPr>
        <w:tblW w:w="0" w:type="auto"/>
        <w:tblLayout w:type="fixed"/>
        <w:tblLook w:val="0000"/>
      </w:tblPr>
      <w:tblGrid>
        <w:gridCol w:w="4698"/>
        <w:gridCol w:w="630"/>
        <w:gridCol w:w="4248"/>
      </w:tblGrid>
      <w:tr w14:paraId="08620EE9" w14:textId="77777777">
        <w:tblPrEx>
          <w:tblW w:w="0" w:type="auto"/>
          <w:tblLayout w:type="fixed"/>
          <w:tblLook w:val="0000"/>
        </w:tblPrEx>
        <w:tc>
          <w:tcPr>
            <w:tcW w:w="4698" w:type="dxa"/>
          </w:tcPr>
          <w:p w:rsidR="004C2EE3" w14:paraId="5133C1D7" w14:textId="77777777">
            <w:pPr>
              <w:tabs>
                <w:tab w:val="center" w:pos="4680"/>
              </w:tabs>
              <w:suppressAutoHyphens/>
              <w:rPr>
                <w:spacing w:val="-2"/>
              </w:rPr>
            </w:pPr>
            <w:r>
              <w:rPr>
                <w:spacing w:val="-2"/>
              </w:rPr>
              <w:t>In the Matter of</w:t>
            </w:r>
          </w:p>
          <w:p w:rsidR="004C2EE3" w14:paraId="49A02C8C" w14:textId="77777777">
            <w:pPr>
              <w:tabs>
                <w:tab w:val="center" w:pos="4680"/>
              </w:tabs>
              <w:suppressAutoHyphens/>
              <w:rPr>
                <w:spacing w:val="-2"/>
              </w:rPr>
            </w:pPr>
          </w:p>
          <w:p w:rsidR="002A56A0" w:rsidP="007115F7" w14:paraId="070CDA3C" w14:textId="77777777">
            <w:pPr>
              <w:tabs>
                <w:tab w:val="center" w:pos="4680"/>
              </w:tabs>
              <w:suppressAutoHyphens/>
              <w:rPr>
                <w:spacing w:val="-2"/>
              </w:rPr>
            </w:pPr>
            <w:r>
              <w:rPr>
                <w:spacing w:val="-2"/>
              </w:rPr>
              <w:t xml:space="preserve">Spectrum Five LLC </w:t>
            </w:r>
          </w:p>
          <w:p w:rsidR="002A56A0" w:rsidP="007115F7" w14:paraId="580DF1AB" w14:textId="77777777">
            <w:pPr>
              <w:tabs>
                <w:tab w:val="center" w:pos="4680"/>
              </w:tabs>
              <w:suppressAutoHyphens/>
              <w:rPr>
                <w:spacing w:val="-2"/>
              </w:rPr>
            </w:pPr>
          </w:p>
          <w:p w:rsidR="004C2EE3" w:rsidRPr="007115F7" w:rsidP="007115F7" w14:paraId="20D9CFBA" w14:textId="131CEF1D">
            <w:pPr>
              <w:tabs>
                <w:tab w:val="center" w:pos="4680"/>
              </w:tabs>
              <w:suppressAutoHyphens/>
              <w:rPr>
                <w:spacing w:val="-2"/>
              </w:rPr>
            </w:pPr>
            <w:r>
              <w:rPr>
                <w:spacing w:val="-2"/>
              </w:rPr>
              <w:t>Petition for Enforcement of Operational Limits and for Expedited Proceedings to Revoke Satellite Licenses</w:t>
            </w:r>
          </w:p>
        </w:tc>
        <w:tc>
          <w:tcPr>
            <w:tcW w:w="630" w:type="dxa"/>
          </w:tcPr>
          <w:p w:rsidR="004C2EE3" w14:paraId="5F02D661" w14:textId="77777777">
            <w:pPr>
              <w:tabs>
                <w:tab w:val="center" w:pos="4680"/>
              </w:tabs>
              <w:suppressAutoHyphens/>
              <w:rPr>
                <w:b/>
                <w:spacing w:val="-2"/>
              </w:rPr>
            </w:pPr>
            <w:r>
              <w:rPr>
                <w:b/>
                <w:spacing w:val="-2"/>
              </w:rPr>
              <w:t>)</w:t>
            </w:r>
          </w:p>
          <w:p w:rsidR="004C2EE3" w14:paraId="0AE72FD7" w14:textId="77777777">
            <w:pPr>
              <w:tabs>
                <w:tab w:val="center" w:pos="4680"/>
              </w:tabs>
              <w:suppressAutoHyphens/>
              <w:rPr>
                <w:b/>
                <w:spacing w:val="-2"/>
              </w:rPr>
            </w:pPr>
            <w:r>
              <w:rPr>
                <w:b/>
                <w:spacing w:val="-2"/>
              </w:rPr>
              <w:t>)</w:t>
            </w:r>
          </w:p>
          <w:p w:rsidR="004C2EE3" w14:paraId="62231475" w14:textId="77777777">
            <w:pPr>
              <w:tabs>
                <w:tab w:val="center" w:pos="4680"/>
              </w:tabs>
              <w:suppressAutoHyphens/>
              <w:rPr>
                <w:b/>
                <w:spacing w:val="-2"/>
              </w:rPr>
            </w:pPr>
            <w:r>
              <w:rPr>
                <w:b/>
                <w:spacing w:val="-2"/>
              </w:rPr>
              <w:t>)</w:t>
            </w:r>
          </w:p>
          <w:p w:rsidR="004C2EE3" w14:paraId="76D4C609" w14:textId="77777777">
            <w:pPr>
              <w:tabs>
                <w:tab w:val="center" w:pos="4680"/>
              </w:tabs>
              <w:suppressAutoHyphens/>
              <w:rPr>
                <w:b/>
                <w:spacing w:val="-2"/>
              </w:rPr>
            </w:pPr>
            <w:r>
              <w:rPr>
                <w:b/>
                <w:spacing w:val="-2"/>
              </w:rPr>
              <w:t>)</w:t>
            </w:r>
          </w:p>
          <w:p w:rsidR="004C2EE3" w14:paraId="5BBE38EF" w14:textId="77777777">
            <w:pPr>
              <w:tabs>
                <w:tab w:val="center" w:pos="4680"/>
              </w:tabs>
              <w:suppressAutoHyphens/>
              <w:rPr>
                <w:b/>
                <w:spacing w:val="-2"/>
              </w:rPr>
            </w:pPr>
            <w:r>
              <w:rPr>
                <w:b/>
                <w:spacing w:val="-2"/>
              </w:rPr>
              <w:t>)</w:t>
            </w:r>
          </w:p>
          <w:p w:rsidR="004C2EE3" w14:paraId="0D5FF127" w14:textId="77777777">
            <w:pPr>
              <w:tabs>
                <w:tab w:val="center" w:pos="4680"/>
              </w:tabs>
              <w:suppressAutoHyphens/>
              <w:rPr>
                <w:spacing w:val="-2"/>
              </w:rPr>
            </w:pPr>
            <w:r>
              <w:rPr>
                <w:spacing w:val="-2"/>
              </w:rPr>
              <w:t>)</w:t>
            </w:r>
          </w:p>
          <w:p w:rsidR="002A56A0" w14:paraId="1677722E" w14:textId="34B3101A">
            <w:pPr>
              <w:tabs>
                <w:tab w:val="center" w:pos="4680"/>
              </w:tabs>
              <w:suppressAutoHyphens/>
              <w:rPr>
                <w:spacing w:val="-2"/>
              </w:rPr>
            </w:pPr>
            <w:r>
              <w:rPr>
                <w:spacing w:val="-2"/>
              </w:rPr>
              <w:t>)</w:t>
            </w:r>
          </w:p>
        </w:tc>
        <w:tc>
          <w:tcPr>
            <w:tcW w:w="4248" w:type="dxa"/>
          </w:tcPr>
          <w:p w:rsidR="004C2EE3" w14:paraId="7F63FF69" w14:textId="77777777">
            <w:pPr>
              <w:tabs>
                <w:tab w:val="center" w:pos="4680"/>
              </w:tabs>
              <w:suppressAutoHyphens/>
              <w:rPr>
                <w:spacing w:val="-2"/>
              </w:rPr>
            </w:pPr>
          </w:p>
          <w:p w:rsidR="00D47C57" w14:paraId="7EEBEF43" w14:textId="77777777">
            <w:pPr>
              <w:pStyle w:val="TOAHeading"/>
              <w:tabs>
                <w:tab w:val="center" w:pos="4680"/>
                <w:tab w:val="clear" w:pos="9360"/>
              </w:tabs>
              <w:rPr>
                <w:spacing w:val="-2"/>
              </w:rPr>
            </w:pPr>
          </w:p>
          <w:p w:rsidR="004C2EE3" w14:paraId="7A9C8588" w14:textId="100C39F4">
            <w:pPr>
              <w:tabs>
                <w:tab w:val="center" w:pos="4680"/>
              </w:tabs>
              <w:suppressAutoHyphens/>
              <w:rPr>
                <w:spacing w:val="-2"/>
              </w:rPr>
            </w:pPr>
            <w:r>
              <w:rPr>
                <w:spacing w:val="-2"/>
              </w:rPr>
              <w:t>IB</w:t>
            </w:r>
            <w:r w:rsidR="004B1A10">
              <w:rPr>
                <w:spacing w:val="-2"/>
              </w:rPr>
              <w:t xml:space="preserve"> Docket No.</w:t>
            </w:r>
            <w:r w:rsidR="001246AD">
              <w:rPr>
                <w:spacing w:val="-2"/>
              </w:rPr>
              <w:t xml:space="preserve"> 20-399</w:t>
            </w:r>
          </w:p>
          <w:p w:rsidR="00C75688" w14:paraId="529A66AE" w14:textId="0855D479">
            <w:pPr>
              <w:tabs>
                <w:tab w:val="center" w:pos="4680"/>
              </w:tabs>
              <w:suppressAutoHyphens/>
              <w:rPr>
                <w:spacing w:val="-2"/>
              </w:rPr>
            </w:pPr>
          </w:p>
        </w:tc>
      </w:tr>
    </w:tbl>
    <w:p w:rsidR="004C2EE3" w:rsidP="0070224F" w14:paraId="34E2B120" w14:textId="77777777"/>
    <w:p w:rsidR="00841AB1" w:rsidP="00F021FA" w14:paraId="77B1E01B" w14:textId="17748591">
      <w:pPr>
        <w:pStyle w:val="StyleBoldCentered"/>
      </w:pPr>
      <w:r>
        <w:t>ORDER</w:t>
      </w:r>
    </w:p>
    <w:p w:rsidR="004C2EE3" w14:paraId="7DEF5095" w14:textId="77777777">
      <w:pPr>
        <w:tabs>
          <w:tab w:val="left" w:pos="-720"/>
        </w:tabs>
        <w:suppressAutoHyphens/>
        <w:spacing w:line="227" w:lineRule="auto"/>
        <w:rPr>
          <w:spacing w:val="-2"/>
        </w:rPr>
      </w:pPr>
    </w:p>
    <w:p w:rsidR="004C2EE3" w:rsidP="00133F79" w14:paraId="60F3702B" w14:textId="5BC2D860">
      <w:pPr>
        <w:tabs>
          <w:tab w:val="left" w:pos="720"/>
          <w:tab w:val="right" w:pos="9360"/>
        </w:tabs>
        <w:suppressAutoHyphens/>
        <w:spacing w:line="227" w:lineRule="auto"/>
        <w:rPr>
          <w:spacing w:val="-2"/>
        </w:rPr>
      </w:pPr>
      <w:r>
        <w:rPr>
          <w:b/>
          <w:spacing w:val="-2"/>
        </w:rPr>
        <w:t xml:space="preserve">Adopted: </w:t>
      </w:r>
      <w:r w:rsidR="00C71F59">
        <w:rPr>
          <w:b/>
          <w:spacing w:val="-2"/>
        </w:rPr>
        <w:t>December 1,</w:t>
      </w:r>
      <w:r>
        <w:rPr>
          <w:b/>
          <w:spacing w:val="-2"/>
        </w:rPr>
        <w:t xml:space="preserve">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71F59">
        <w:rPr>
          <w:b/>
          <w:spacing w:val="-2"/>
        </w:rPr>
        <w:t>December 1</w:t>
      </w:r>
      <w:r w:rsidR="00896ADE">
        <w:rPr>
          <w:b/>
          <w:spacing w:val="-2"/>
        </w:rPr>
        <w:t>, 2020</w:t>
      </w:r>
    </w:p>
    <w:p w:rsidR="00822CE0" w14:paraId="76230E30" w14:textId="77777777"/>
    <w:p w:rsidR="004C2EE3" w14:paraId="39E44F35" w14:textId="1BC4E172">
      <w:pPr>
        <w:rPr>
          <w:spacing w:val="-2"/>
        </w:rPr>
      </w:pPr>
      <w:r>
        <w:t xml:space="preserve">By </w:t>
      </w:r>
      <w:r w:rsidR="004E4A22">
        <w:t>the</w:t>
      </w:r>
      <w:r w:rsidR="002A2D2E">
        <w:t xml:space="preserve"> </w:t>
      </w:r>
      <w:r w:rsidR="00D47C57">
        <w:t xml:space="preserve">Acting </w:t>
      </w:r>
      <w:r w:rsidR="0042016D">
        <w:rPr>
          <w:spacing w:val="-2"/>
        </w:rPr>
        <w:t>Chief, Satellite Division, International Bureau</w:t>
      </w:r>
      <w:r>
        <w:rPr>
          <w:spacing w:val="-2"/>
        </w:rPr>
        <w:t>:</w:t>
      </w:r>
    </w:p>
    <w:p w:rsidR="00412FC5" w:rsidP="004B1A10" w14:paraId="7C18A798" w14:textId="6B9F6DE5">
      <w:pPr>
        <w:pStyle w:val="Heading1"/>
        <w:numPr>
          <w:ilvl w:val="0"/>
          <w:numId w:val="0"/>
        </w:numPr>
        <w:rPr>
          <w:b w:val="0"/>
          <w:bCs/>
        </w:rPr>
      </w:pPr>
    </w:p>
    <w:p w:rsidR="00D358BA" w:rsidP="009F52DC" w14:paraId="32533F2E" w14:textId="5BE8CFC5">
      <w:pPr>
        <w:pStyle w:val="ParaNum"/>
      </w:pPr>
      <w:r>
        <w:t xml:space="preserve">On November 6, 2020, Spectrum Five LLC </w:t>
      </w:r>
      <w:r w:rsidR="007C4333">
        <w:t xml:space="preserve">(Spectrum Five) </w:t>
      </w:r>
      <w:r>
        <w:t>filed a</w:t>
      </w:r>
      <w:r w:rsidR="00A941E2">
        <w:t xml:space="preserve"> document titled</w:t>
      </w:r>
      <w:r>
        <w:t xml:space="preserve"> </w:t>
      </w:r>
      <w:r w:rsidR="00A941E2">
        <w:t>“</w:t>
      </w:r>
      <w:r>
        <w:t>Petition for Enforcement of Operational Limits and for Expedited Proceedings to Revoke Satellite Licenses</w:t>
      </w:r>
      <w:r w:rsidR="0037629E">
        <w:t>”</w:t>
      </w:r>
      <w:r w:rsidR="00A941E2">
        <w:t xml:space="preserve"> (Petition)</w:t>
      </w:r>
      <w:r>
        <w:t xml:space="preserve"> </w:t>
      </w:r>
      <w:r>
        <w:t xml:space="preserve">through the </w:t>
      </w:r>
      <w:r>
        <w:t>Commission’s Electronic Comment Filing System (ECFS)</w:t>
      </w:r>
      <w:r>
        <w:t xml:space="preserve"> in Office of the Managing Director (OMD)</w:t>
      </w:r>
      <w:r>
        <w:t xml:space="preserve"> </w:t>
      </w:r>
      <w:r>
        <w:t>Docket INBOX-1.41.</w:t>
      </w:r>
      <w:r>
        <w:rPr>
          <w:rStyle w:val="FootnoteReference"/>
        </w:rPr>
        <w:footnoteReference w:id="3"/>
      </w:r>
      <w:r>
        <w:t xml:space="preserve">  The Petition relates to </w:t>
      </w:r>
      <w:r w:rsidRPr="009F52DC" w:rsidR="007347B5">
        <w:t>licenses</w:t>
      </w:r>
      <w:r w:rsidR="007347B5">
        <w:t xml:space="preserve"> for </w:t>
      </w:r>
      <w:r>
        <w:t>two space statio</w:t>
      </w:r>
      <w:r w:rsidR="007347B5">
        <w:t>ns</w:t>
      </w:r>
      <w:r w:rsidR="008943EB">
        <w:t>, Intelsat 30 (</w:t>
      </w:r>
      <w:r w:rsidR="00AF37F7">
        <w:t>C</w:t>
      </w:r>
      <w:r w:rsidR="008943EB">
        <w:t xml:space="preserve">all </w:t>
      </w:r>
      <w:r w:rsidR="00AF37F7">
        <w:t>S</w:t>
      </w:r>
      <w:r w:rsidR="008943EB">
        <w:t>ign S2887) and Intelsat 31 (</w:t>
      </w:r>
      <w:r w:rsidR="00AF37F7">
        <w:t>C</w:t>
      </w:r>
      <w:r w:rsidR="008943EB">
        <w:t xml:space="preserve">all </w:t>
      </w:r>
      <w:r w:rsidR="00AF37F7">
        <w:t>S</w:t>
      </w:r>
      <w:r w:rsidR="008943EB">
        <w:t>ign S2924),</w:t>
      </w:r>
      <w:r>
        <w:t xml:space="preserve"> </w:t>
      </w:r>
      <w:r w:rsidR="007347B5">
        <w:t xml:space="preserve">both </w:t>
      </w:r>
      <w:r>
        <w:t>held by Intelsat License LLC, as debtor in possession (Intelsat)</w:t>
      </w:r>
      <w:r w:rsidR="008943EB">
        <w:t>.</w:t>
      </w:r>
      <w:r>
        <w:rPr>
          <w:rStyle w:val="FootnoteReference"/>
        </w:rPr>
        <w:footnoteReference w:id="4"/>
      </w:r>
      <w:r w:rsidR="008943EB">
        <w:t xml:space="preserve"> </w:t>
      </w:r>
    </w:p>
    <w:p w:rsidR="00C81BEF" w:rsidP="009F52DC" w14:paraId="54686078" w14:textId="3627D43D">
      <w:pPr>
        <w:pStyle w:val="ParaNum"/>
      </w:pPr>
      <w:r>
        <w:t>On November 12, 2020, Intelsat filed a Motion for Extension of Time</w:t>
      </w:r>
      <w:r w:rsidR="00612AB3">
        <w:t xml:space="preserve"> to respond to Spectrum Five’s Petition</w:t>
      </w:r>
      <w:r>
        <w:t>.</w:t>
      </w:r>
      <w:r>
        <w:rPr>
          <w:rStyle w:val="FootnoteReference"/>
        </w:rPr>
        <w:footnoteReference w:id="5"/>
      </w:r>
      <w:r w:rsidR="001C6F98">
        <w:t xml:space="preserve">  Intelsat</w:t>
      </w:r>
      <w:r w:rsidR="00CA43A5">
        <w:t xml:space="preserve"> </w:t>
      </w:r>
      <w:r w:rsidR="004B2A04">
        <w:t>states</w:t>
      </w:r>
      <w:r w:rsidR="00777920">
        <w:t xml:space="preserve"> that </w:t>
      </w:r>
      <w:r w:rsidR="00C75688">
        <w:t xml:space="preserve">it </w:t>
      </w:r>
      <w:r w:rsidR="00777920">
        <w:t>would</w:t>
      </w:r>
      <w:r w:rsidR="00CB624A">
        <w:t xml:space="preserve"> </w:t>
      </w:r>
      <w:r w:rsidR="00DA4307">
        <w:t xml:space="preserve">not be able to adequately respond </w:t>
      </w:r>
      <w:r w:rsidR="00777920">
        <w:t>to the</w:t>
      </w:r>
      <w:r w:rsidR="00616884">
        <w:t xml:space="preserve"> more than</w:t>
      </w:r>
      <w:r w:rsidR="00777920">
        <w:t xml:space="preserve"> </w:t>
      </w:r>
      <w:r w:rsidR="0007425B">
        <w:t xml:space="preserve">90-page </w:t>
      </w:r>
      <w:r w:rsidR="00777920">
        <w:t>Petition</w:t>
      </w:r>
      <w:r w:rsidR="00DA4307">
        <w:t xml:space="preserve"> within </w:t>
      </w:r>
      <w:r w:rsidR="005426C6">
        <w:t>the</w:t>
      </w:r>
      <w:r w:rsidR="00B866A0">
        <w:t xml:space="preserve"> 10</w:t>
      </w:r>
      <w:r w:rsidR="007D2988">
        <w:t>-</w:t>
      </w:r>
      <w:r w:rsidR="00DA4307">
        <w:t>day period</w:t>
      </w:r>
      <w:r w:rsidR="00612AB3">
        <w:t xml:space="preserve"> </w:t>
      </w:r>
      <w:r w:rsidR="005426C6">
        <w:t>specified in</w:t>
      </w:r>
      <w:r w:rsidR="00612AB3">
        <w:t xml:space="preserve"> section 1.4</w:t>
      </w:r>
      <w:r w:rsidR="00616884">
        <w:t>5</w:t>
      </w:r>
      <w:r w:rsidR="00612AB3">
        <w:t xml:space="preserve"> of the Commission’s rules</w:t>
      </w:r>
      <w:r w:rsidR="00777920">
        <w:t>.</w:t>
      </w:r>
      <w:r>
        <w:rPr>
          <w:rStyle w:val="FootnoteReference"/>
        </w:rPr>
        <w:footnoteReference w:id="6"/>
      </w:r>
      <w:r w:rsidR="00777920">
        <w:t xml:space="preserve"> </w:t>
      </w:r>
      <w:r w:rsidR="00B06784">
        <w:t xml:space="preserve"> </w:t>
      </w:r>
      <w:r w:rsidR="00777920">
        <w:t xml:space="preserve">Intelsat requests that </w:t>
      </w:r>
      <w:r w:rsidR="001C6F98">
        <w:t>the Commission grant an extension of 30 days for Intelsat to file a response to the Petition</w:t>
      </w:r>
      <w:r w:rsidR="00C75688">
        <w:t>, through December 16, 2020</w:t>
      </w:r>
      <w:r w:rsidR="001C6F98">
        <w:t>.</w:t>
      </w:r>
      <w:r>
        <w:rPr>
          <w:rStyle w:val="FootnoteReference"/>
        </w:rPr>
        <w:footnoteReference w:id="7"/>
      </w:r>
      <w:r w:rsidR="001C6F98">
        <w:t xml:space="preserve"> </w:t>
      </w:r>
      <w:r w:rsidR="00C75688">
        <w:t xml:space="preserve">  </w:t>
      </w:r>
      <w:r w:rsidR="007C4333">
        <w:t>On November 19, 2020, Spectrum Five filed an Opposition to Motion for Extension of Time</w:t>
      </w:r>
      <w:r w:rsidR="004B2A04">
        <w:t>.</w:t>
      </w:r>
      <w:r>
        <w:rPr>
          <w:rStyle w:val="FootnoteReference"/>
        </w:rPr>
        <w:footnoteReference w:id="8"/>
      </w:r>
      <w:r w:rsidR="00FC7DE0">
        <w:t xml:space="preserve"> </w:t>
      </w:r>
      <w:r w:rsidR="00CA43A5">
        <w:t xml:space="preserve"> </w:t>
      </w:r>
      <w:r w:rsidR="00FC7DE0">
        <w:t xml:space="preserve">Spectrum Five </w:t>
      </w:r>
      <w:r w:rsidR="00361A78">
        <w:t>oppos</w:t>
      </w:r>
      <w:r w:rsidR="004B2A04">
        <w:t xml:space="preserve">es </w:t>
      </w:r>
      <w:r w:rsidR="00361A78">
        <w:t>the 30-day extension</w:t>
      </w:r>
      <w:r w:rsidR="00612AB3">
        <w:t>, but agree</w:t>
      </w:r>
      <w:r w:rsidR="004B2A04">
        <w:t>s</w:t>
      </w:r>
      <w:r w:rsidR="00612AB3">
        <w:t xml:space="preserve"> to an extension of time until </w:t>
      </w:r>
      <w:r w:rsidR="008E4F01">
        <w:t>December 1, 2020.</w:t>
      </w:r>
      <w:r>
        <w:rPr>
          <w:rStyle w:val="FootnoteReference"/>
        </w:rPr>
        <w:footnoteReference w:id="9"/>
      </w:r>
    </w:p>
    <w:p w:rsidR="008E4F01" w:rsidP="009F52DC" w14:paraId="4A631EA8" w14:textId="6B7FBA13">
      <w:pPr>
        <w:pStyle w:val="ParaNum"/>
      </w:pPr>
      <w:r>
        <w:t>T</w:t>
      </w:r>
      <w:r>
        <w:t>he</w:t>
      </w:r>
      <w:r w:rsidR="005426C6">
        <w:t xml:space="preserve"> public interest will be served</w:t>
      </w:r>
      <w:r w:rsidR="00C41B38">
        <w:t xml:space="preserve"> here</w:t>
      </w:r>
      <w:r w:rsidR="005426C6">
        <w:t xml:space="preserve"> by granting</w:t>
      </w:r>
      <w:r>
        <w:t xml:space="preserve"> an extension of time </w:t>
      </w:r>
      <w:r w:rsidR="005426C6">
        <w:t>for filing o</w:t>
      </w:r>
      <w:r w:rsidR="00C41B38">
        <w:t>f</w:t>
      </w:r>
      <w:r w:rsidR="005426C6">
        <w:t xml:space="preserve"> opposition</w:t>
      </w:r>
      <w:r w:rsidR="00C41B38">
        <w:t>s to the Petition</w:t>
      </w:r>
      <w:r>
        <w:t xml:space="preserve">. </w:t>
      </w:r>
      <w:r w:rsidR="00B06784">
        <w:t xml:space="preserve"> </w:t>
      </w:r>
      <w:r w:rsidR="00532E41">
        <w:t>Th</w:t>
      </w:r>
      <w:r w:rsidR="00675A31">
        <w:t>e</w:t>
      </w:r>
      <w:r w:rsidR="00532E41">
        <w:t xml:space="preserve"> extension </w:t>
      </w:r>
      <w:r w:rsidR="00405569">
        <w:t>will</w:t>
      </w:r>
      <w:r>
        <w:t xml:space="preserve"> allow Intelsat</w:t>
      </w:r>
      <w:r w:rsidR="00532E41">
        <w:t xml:space="preserve"> and any other interested parties</w:t>
      </w:r>
      <w:r>
        <w:t xml:space="preserve"> </w:t>
      </w:r>
      <w:r w:rsidR="00675A31">
        <w:t>to address</w:t>
      </w:r>
      <w:r w:rsidR="00EC73DD">
        <w:t xml:space="preserve"> </w:t>
      </w:r>
      <w:r w:rsidR="00675A31">
        <w:t>the factual, legal, and policy arguments raised</w:t>
      </w:r>
      <w:r w:rsidR="00506EB2">
        <w:t xml:space="preserve"> in the 90-page Petition</w:t>
      </w:r>
      <w:r w:rsidR="00675A31">
        <w:t>.</w:t>
      </w:r>
      <w:r>
        <w:t xml:space="preserve">  A</w:t>
      </w:r>
      <w:r w:rsidR="00FD7E65">
        <w:t>n exten</w:t>
      </w:r>
      <w:r w:rsidR="00675A31">
        <w:t>sion of th</w:t>
      </w:r>
      <w:r>
        <w:t xml:space="preserve">e </w:t>
      </w:r>
      <w:r w:rsidR="00FD7E65">
        <w:t xml:space="preserve">deadline </w:t>
      </w:r>
      <w:r>
        <w:t xml:space="preserve">for </w:t>
      </w:r>
      <w:r>
        <w:t xml:space="preserve">filing an opposition until </w:t>
      </w:r>
      <w:r w:rsidR="00FD7E65">
        <w:t xml:space="preserve">December 8, 2020, will </w:t>
      </w:r>
      <w:r>
        <w:t xml:space="preserve">facilitate the compilation of </w:t>
      </w:r>
      <w:r w:rsidR="00FD7E65">
        <w:t>a complete record.</w:t>
      </w:r>
    </w:p>
    <w:p w:rsidR="00A51C63" w:rsidP="001246AD" w14:paraId="1C19E09C" w14:textId="40BC0784">
      <w:pPr>
        <w:pStyle w:val="ParaNum"/>
      </w:pPr>
      <w:r>
        <w:t xml:space="preserve">This action was taken in consultation </w:t>
      </w:r>
      <w:r w:rsidR="00DF6612">
        <w:t>with the Commission’s Enforcement Bureau</w:t>
      </w:r>
      <w:r>
        <w:t>.</w:t>
      </w:r>
    </w:p>
    <w:p w:rsidR="00FE7828" w14:paraId="670133FC" w14:textId="2A7EE784">
      <w:pPr>
        <w:pStyle w:val="ParaNum"/>
      </w:pPr>
      <w:r>
        <w:t>Accordingly, IT IS ORDERED that,</w:t>
      </w:r>
      <w:r w:rsidR="00532E41">
        <w:t xml:space="preserve"> </w:t>
      </w:r>
      <w:r>
        <w:t>pursuant to Section</w:t>
      </w:r>
      <w:r w:rsidR="00C63F6E">
        <w:t>s 0.261, 1.45, and</w:t>
      </w:r>
      <w:r w:rsidR="005426C6">
        <w:t xml:space="preserve"> </w:t>
      </w:r>
      <w:r w:rsidR="005D095A">
        <w:t>1.46</w:t>
      </w:r>
      <w:r>
        <w:t xml:space="preserve"> of the Commission's rules, </w:t>
      </w:r>
      <w:r w:rsidRPr="00A51C63">
        <w:t>47</w:t>
      </w:r>
      <w:r>
        <w:t xml:space="preserve"> C.F.R. §</w:t>
      </w:r>
      <w:r w:rsidR="00C63F6E">
        <w:t xml:space="preserve">§ 0.261, 1.45, and </w:t>
      </w:r>
      <w:r w:rsidR="006104EB">
        <w:t>1.4</w:t>
      </w:r>
      <w:r w:rsidR="005D095A">
        <w:t>6</w:t>
      </w:r>
      <w:r>
        <w:t>,</w:t>
      </w:r>
      <w:r w:rsidR="00AE5E21">
        <w:t xml:space="preserve"> Intelsat’s Motion is </w:t>
      </w:r>
      <w:r w:rsidR="00405569">
        <w:t>GRANTED</w:t>
      </w:r>
      <w:r w:rsidR="00AF37F7">
        <w:t xml:space="preserve"> </w:t>
      </w:r>
      <w:r w:rsidR="00D47C57">
        <w:t>IN</w:t>
      </w:r>
      <w:r w:rsidR="00AF37F7">
        <w:t xml:space="preserve"> </w:t>
      </w:r>
      <w:r w:rsidR="00D47C57">
        <w:t>PART</w:t>
      </w:r>
      <w:r w:rsidR="000055F1">
        <w:t xml:space="preserve">, and the deadline for </w:t>
      </w:r>
      <w:r w:rsidR="005426C6">
        <w:t>filing oppositions</w:t>
      </w:r>
      <w:r w:rsidR="00C41B38">
        <w:t xml:space="preserve"> to the Petition</w:t>
      </w:r>
      <w:r w:rsidR="005426C6">
        <w:t xml:space="preserve"> IS EXTENDED to December 8, 2020</w:t>
      </w:r>
      <w:r>
        <w:t>.</w:t>
      </w:r>
    </w:p>
    <w:p w:rsidR="002B54D7" w14:paraId="6EF723EA" w14:textId="3435E359">
      <w:pPr>
        <w:pStyle w:val="ParaNum"/>
      </w:pPr>
      <w:r>
        <w:t>IT IS FURTHER ORDERED that this proceeding is designated a</w:t>
      </w:r>
      <w:r w:rsidRPr="001C2881">
        <w:t xml:space="preserve"> “permit-but-disclose” proceeding </w:t>
      </w:r>
      <w:r>
        <w:t>for purposes of</w:t>
      </w:r>
      <w:r w:rsidRPr="001C2881">
        <w:t xml:space="preserve"> the Commission's </w:t>
      </w:r>
      <w:r>
        <w:t xml:space="preserve">rules governing </w:t>
      </w:r>
      <w:r w:rsidRPr="009C1A01">
        <w:rPr>
          <w:i/>
          <w:iCs/>
        </w:rPr>
        <w:t xml:space="preserve">ex </w:t>
      </w:r>
      <w:r w:rsidRPr="009C1A01">
        <w:rPr>
          <w:i/>
          <w:iCs/>
        </w:rPr>
        <w:t>parte</w:t>
      </w:r>
      <w:r w:rsidRPr="001C2881">
        <w:t xml:space="preserve"> </w:t>
      </w:r>
      <w:r>
        <w:t>communications</w:t>
      </w:r>
      <w:r w:rsidRPr="001C2881">
        <w:t>.</w:t>
      </w:r>
      <w:r>
        <w:t xml:space="preserve">  We find that designating this proceeding as “permit-but-disclose” will serve the public interest by facilitating the resolution of broad policy issues raised by the Petition.</w:t>
      </w:r>
      <w:r>
        <w:rPr>
          <w:rStyle w:val="FootnoteReference"/>
        </w:rPr>
        <w:footnoteReference w:id="10"/>
      </w:r>
      <w:r>
        <w:t xml:space="preserve">  </w:t>
      </w:r>
      <w:r w:rsidRPr="001C2881">
        <w:t xml:space="preserve">Persons making </w:t>
      </w:r>
      <w:r w:rsidRPr="009C1A01">
        <w:rPr>
          <w:i/>
          <w:iCs/>
        </w:rPr>
        <w:t xml:space="preserve">ex </w:t>
      </w:r>
      <w:r w:rsidRPr="009C1A01">
        <w:rPr>
          <w:i/>
          <w:iCs/>
        </w:rPr>
        <w:t>parte</w:t>
      </w:r>
      <w:r w:rsidRPr="001C2881">
        <w:t xml:space="preserve"> presentations must file a copy of any written presentation or a memorandum summarizing any oral presentation within two business days after the presentation (unless a different deadline applicable to the Sunshine period applies). </w:t>
      </w:r>
      <w:r>
        <w:t xml:space="preserve"> </w:t>
      </w:r>
      <w:r w:rsidRPr="001C2881">
        <w:t xml:space="preserve">Persons making oral </w:t>
      </w:r>
      <w:r w:rsidRPr="009C1A01">
        <w:rPr>
          <w:i/>
          <w:iCs/>
        </w:rPr>
        <w:t xml:space="preserve">ex </w:t>
      </w:r>
      <w:r w:rsidRPr="009C1A01">
        <w:rPr>
          <w:i/>
          <w:iCs/>
        </w:rPr>
        <w:t>parte</w:t>
      </w:r>
      <w:r w:rsidRPr="001C2881">
        <w:t xml:space="preserve"> presentations are reminded that memoranda summarizing the presentation must (1) list all persons attending or otherwise participating in the meeting at which the </w:t>
      </w:r>
      <w:r w:rsidRPr="009C1A01">
        <w:rPr>
          <w:i/>
          <w:iCs/>
        </w:rPr>
        <w:t xml:space="preserve">ex </w:t>
      </w:r>
      <w:r w:rsidRPr="009C1A01">
        <w:rPr>
          <w:i/>
          <w:iCs/>
        </w:rPr>
        <w:t>parte</w:t>
      </w:r>
      <w:r w:rsidRPr="001C2881">
        <w:t xml:space="preserve"> presentation was made, and (2) summarize all data presented and arguments made during the presentation. </w:t>
      </w:r>
      <w:r>
        <w:t xml:space="preserve"> </w:t>
      </w:r>
      <w:r w:rsidRPr="001C2881">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C1A01">
        <w:rPr>
          <w:i/>
          <w:iCs/>
        </w:rPr>
        <w:t xml:space="preserve">ex </w:t>
      </w:r>
      <w:r w:rsidRPr="009C1A01">
        <w:rPr>
          <w:i/>
          <w:iCs/>
        </w:rPr>
        <w:t>parte</w:t>
      </w:r>
      <w:r w:rsidRPr="001C2881">
        <w:t xml:space="preserve"> meetings are deemed to be written </w:t>
      </w:r>
      <w:r w:rsidRPr="009C1A01">
        <w:rPr>
          <w:i/>
          <w:iCs/>
        </w:rPr>
        <w:t xml:space="preserve">ex </w:t>
      </w:r>
      <w:r w:rsidRPr="009C1A01">
        <w:rPr>
          <w:i/>
          <w:iCs/>
        </w:rPr>
        <w:t>parte</w:t>
      </w:r>
      <w:r w:rsidRPr="009C1A01">
        <w:rPr>
          <w:i/>
          <w:iCs/>
        </w:rPr>
        <w:t xml:space="preserve"> </w:t>
      </w:r>
      <w:r w:rsidRPr="001C2881">
        <w:t>presentations and must be filed consistent with rule 1.1206(b).</w:t>
      </w:r>
      <w:r>
        <w:rPr>
          <w:rStyle w:val="FootnoteReference"/>
        </w:rPr>
        <w:footnoteReference w:id="11"/>
      </w:r>
      <w:r>
        <w:t xml:space="preserve">  </w:t>
      </w:r>
      <w:r w:rsidRPr="001C2881">
        <w:t xml:space="preserve">Participants in this proceeding should familiarize themselves with the Commission's </w:t>
      </w:r>
      <w:r w:rsidRPr="009C1A01">
        <w:rPr>
          <w:i/>
          <w:iCs/>
        </w:rPr>
        <w:t xml:space="preserve">ex </w:t>
      </w:r>
      <w:r w:rsidRPr="009C1A01">
        <w:rPr>
          <w:i/>
          <w:iCs/>
        </w:rPr>
        <w:t>parte</w:t>
      </w:r>
      <w:r w:rsidRPr="001C2881">
        <w:t xml:space="preserve"> rules.</w:t>
      </w:r>
      <w:bookmarkStart w:id="0" w:name="_GoBack"/>
      <w:bookmarkEnd w:id="0"/>
    </w:p>
    <w:p w:rsidR="0079530D" w:rsidRPr="00C105A5" w:rsidP="001246AD" w14:paraId="3F0A19C3" w14:textId="77777777">
      <w:pPr>
        <w:pStyle w:val="ParaNum"/>
        <w:numPr>
          <w:ilvl w:val="0"/>
          <w:numId w:val="0"/>
        </w:numPr>
        <w:ind w:left="720"/>
      </w:pPr>
    </w:p>
    <w:p w:rsidR="0079530D" w:rsidRPr="00C105A5" w:rsidP="0079530D" w14:paraId="018B2C2E" w14:textId="61E68C18">
      <w:pPr>
        <w:spacing w:after="120"/>
        <w:ind w:left="720"/>
      </w:pPr>
      <w:r w:rsidRPr="00C105A5">
        <w:tab/>
      </w:r>
      <w:r w:rsidRPr="00C105A5">
        <w:tab/>
      </w:r>
      <w:r w:rsidRPr="00C105A5">
        <w:tab/>
      </w:r>
      <w:r w:rsidRPr="00C105A5">
        <w:tab/>
        <w:t>FEDERAL COMMUNICATIONS COMMISSION</w:t>
      </w:r>
    </w:p>
    <w:p w:rsidR="0079530D" w:rsidRPr="00C105A5" w:rsidP="0079530D" w14:paraId="532A881F" w14:textId="77777777">
      <w:pPr>
        <w:spacing w:after="120"/>
        <w:ind w:left="720"/>
      </w:pPr>
    </w:p>
    <w:p w:rsidR="0012176D" w:rsidP="0079530D" w14:paraId="08BD9ED8" w14:textId="77777777">
      <w:pPr>
        <w:ind w:left="720"/>
      </w:pPr>
      <w:r w:rsidRPr="00C105A5">
        <w:tab/>
      </w:r>
      <w:r w:rsidRPr="00C105A5">
        <w:tab/>
      </w:r>
      <w:r w:rsidRPr="00C105A5">
        <w:tab/>
      </w:r>
      <w:r w:rsidRPr="00C105A5">
        <w:tab/>
      </w:r>
      <w:r w:rsidRPr="00C105A5">
        <w:tab/>
      </w:r>
    </w:p>
    <w:p w:rsidR="0012176D" w:rsidP="0012176D" w14:paraId="0E6E6FC7" w14:textId="77777777">
      <w:pPr>
        <w:ind w:left="3600" w:firstLine="720"/>
      </w:pPr>
    </w:p>
    <w:p w:rsidR="0079530D" w:rsidRPr="00C105A5" w:rsidP="008C0291" w14:paraId="21B4FBEF" w14:textId="26BF2801">
      <w:pPr>
        <w:ind w:left="2880" w:firstLine="720"/>
      </w:pPr>
      <w:r>
        <w:t>Karl</w:t>
      </w:r>
      <w:r w:rsidR="00D47C57">
        <w:t xml:space="preserve"> A.</w:t>
      </w:r>
      <w:r>
        <w:t xml:space="preserve"> Kensinger</w:t>
      </w:r>
    </w:p>
    <w:p w:rsidR="0079530D" w:rsidRPr="00C105A5" w:rsidP="0079530D" w14:paraId="3731C9A1" w14:textId="649953CD">
      <w:pPr>
        <w:ind w:left="720"/>
      </w:pPr>
      <w:r w:rsidRPr="00C105A5">
        <w:tab/>
      </w:r>
      <w:r w:rsidRPr="00C105A5">
        <w:tab/>
      </w:r>
      <w:r w:rsidRPr="00C105A5">
        <w:tab/>
      </w:r>
      <w:r w:rsidRPr="00C105A5">
        <w:tab/>
      </w:r>
      <w:r w:rsidR="00D47C57">
        <w:t xml:space="preserve">Acting </w:t>
      </w:r>
      <w:r w:rsidRPr="00C105A5">
        <w:t>Chief</w:t>
      </w:r>
      <w:r>
        <w:t>, Satellite Division</w:t>
      </w:r>
    </w:p>
    <w:p w:rsidR="0079530D" w:rsidRPr="00C105A5" w:rsidP="0079530D" w14:paraId="0C10FC1C" w14:textId="6930CC91">
      <w:pPr>
        <w:ind w:left="720"/>
      </w:pPr>
      <w:r w:rsidRPr="00C105A5">
        <w:tab/>
      </w:r>
      <w:r w:rsidRPr="00C105A5">
        <w:tab/>
      </w:r>
      <w:r w:rsidRPr="00C105A5">
        <w:tab/>
      </w:r>
      <w:r w:rsidRPr="00C105A5">
        <w:tab/>
      </w:r>
      <w:r>
        <w:t>International</w:t>
      </w:r>
      <w:r w:rsidRPr="00C105A5">
        <w:t xml:space="preserve"> Bureau</w:t>
      </w:r>
    </w:p>
    <w:p w:rsidR="0079530D" w:rsidRPr="004B1A10" w:rsidP="0079530D" w14:paraId="4B1BAB6A" w14:textId="7AA8F69F">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4CF3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3701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FE8A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50AF86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30D" w14:paraId="06779AE6" w14:textId="7ADAC975">
    <w:pPr>
      <w:pStyle w:val="Footer"/>
      <w:jc w:val="center"/>
    </w:pPr>
  </w:p>
  <w:p w:rsidR="00D25FB5" w14:paraId="4A426C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1A2B" w14:paraId="16F9DE76" w14:textId="77777777">
      <w:r>
        <w:separator/>
      </w:r>
    </w:p>
  </w:footnote>
  <w:footnote w:type="continuationSeparator" w:id="1">
    <w:p w:rsidR="00961A2B" w:rsidP="00C721AC" w14:paraId="1E405892" w14:textId="77777777">
      <w:pPr>
        <w:spacing w:before="120"/>
        <w:rPr>
          <w:sz w:val="20"/>
        </w:rPr>
      </w:pPr>
      <w:r>
        <w:rPr>
          <w:sz w:val="20"/>
        </w:rPr>
        <w:t xml:space="preserve">(Continued from previous page)  </w:t>
      </w:r>
      <w:r>
        <w:rPr>
          <w:sz w:val="20"/>
        </w:rPr>
        <w:separator/>
      </w:r>
    </w:p>
  </w:footnote>
  <w:footnote w:type="continuationNotice" w:id="2">
    <w:p w:rsidR="00961A2B" w:rsidP="00C721AC" w14:paraId="06CB8016" w14:textId="77777777">
      <w:pPr>
        <w:jc w:val="right"/>
        <w:rPr>
          <w:sz w:val="20"/>
        </w:rPr>
      </w:pPr>
      <w:r>
        <w:rPr>
          <w:sz w:val="20"/>
        </w:rPr>
        <w:t>(continued….)</w:t>
      </w:r>
    </w:p>
  </w:footnote>
  <w:footnote w:id="3">
    <w:p w:rsidR="007C4333" w14:paraId="1AA34149" w14:textId="71BA1B0F">
      <w:pPr>
        <w:pStyle w:val="FootnoteText"/>
      </w:pPr>
      <w:r>
        <w:rPr>
          <w:rStyle w:val="FootnoteReference"/>
        </w:rPr>
        <w:footnoteRef/>
      </w:r>
      <w:r>
        <w:t xml:space="preserve"> </w:t>
      </w:r>
      <w:r w:rsidR="00CA6671">
        <w:t xml:space="preserve">Petition of Spectrum Five for Enforcement of Operational Limits and for Expedited Proceedings to Revoke Satellite Licenses, </w:t>
      </w:r>
      <w:r w:rsidR="0007425B">
        <w:rPr>
          <w:spacing w:val="-2"/>
        </w:rPr>
        <w:t xml:space="preserve">Misc. Docket No. </w:t>
      </w:r>
      <w:r w:rsidRPr="00CA6671" w:rsidR="00CA6671">
        <w:t>INBOX-1.41</w:t>
      </w:r>
      <w:r w:rsidR="00CA6671">
        <w:t xml:space="preserve"> (filed Nov. 6, 2020)</w:t>
      </w:r>
      <w:r w:rsidR="00612AB3">
        <w:t xml:space="preserve"> </w:t>
      </w:r>
      <w:r w:rsidR="00CA6671">
        <w:t>(Petition).</w:t>
      </w:r>
    </w:p>
  </w:footnote>
  <w:footnote w:id="4">
    <w:p w:rsidR="008943EB" w:rsidRPr="008943EB" w14:paraId="48F65B36" w14:textId="4B24DA14">
      <w:pPr>
        <w:pStyle w:val="FootnoteText"/>
      </w:pPr>
      <w:r>
        <w:rPr>
          <w:rStyle w:val="FootnoteReference"/>
        </w:rPr>
        <w:footnoteRef/>
      </w:r>
      <w:r>
        <w:t xml:space="preserve"> </w:t>
      </w:r>
      <w:r>
        <w:rPr>
          <w:i/>
          <w:iCs/>
        </w:rPr>
        <w:t xml:space="preserve">See id. </w:t>
      </w:r>
      <w:r>
        <w:t>at 6.</w:t>
      </w:r>
    </w:p>
  </w:footnote>
  <w:footnote w:id="5">
    <w:p w:rsidR="00CA6671" w14:paraId="6AF6B9A2" w14:textId="5FFA6B95">
      <w:pPr>
        <w:pStyle w:val="FootnoteText"/>
      </w:pPr>
      <w:r>
        <w:rPr>
          <w:rStyle w:val="FootnoteReference"/>
        </w:rPr>
        <w:footnoteRef/>
      </w:r>
      <w:r>
        <w:t xml:space="preserve"> </w:t>
      </w:r>
      <w:r w:rsidR="0007425B">
        <w:t xml:space="preserve">Motion of Intelsat for Extension of Time, </w:t>
      </w:r>
      <w:r w:rsidR="0007425B">
        <w:rPr>
          <w:spacing w:val="-2"/>
        </w:rPr>
        <w:t>Misc. Docket No. INBOX-1.41 (filed Nov. 12, 2020)</w:t>
      </w:r>
      <w:r w:rsidR="00612AB3">
        <w:rPr>
          <w:spacing w:val="-2"/>
        </w:rPr>
        <w:t xml:space="preserve"> </w:t>
      </w:r>
      <w:r w:rsidR="0007425B">
        <w:rPr>
          <w:spacing w:val="-2"/>
        </w:rPr>
        <w:t>(Motion).</w:t>
      </w:r>
    </w:p>
  </w:footnote>
  <w:footnote w:id="6">
    <w:p w:rsidR="0007425B" w:rsidRPr="005426C6" w14:paraId="37C90213" w14:textId="24FE0ACC">
      <w:pPr>
        <w:pStyle w:val="FootnoteText"/>
      </w:pPr>
      <w:r>
        <w:rPr>
          <w:rStyle w:val="FootnoteReference"/>
        </w:rPr>
        <w:footnoteRef/>
      </w:r>
      <w:r>
        <w:t xml:space="preserve"> </w:t>
      </w:r>
      <w:r w:rsidR="00612AB3">
        <w:rPr>
          <w:i/>
          <w:iCs/>
        </w:rPr>
        <w:t xml:space="preserve">See </w:t>
      </w:r>
      <w:r w:rsidR="00531071">
        <w:t>47 CFR §§ 1.41, 1.45; s</w:t>
      </w:r>
      <w:r>
        <w:rPr>
          <w:i/>
          <w:iCs/>
        </w:rPr>
        <w:t xml:space="preserve">ee </w:t>
      </w:r>
      <w:r w:rsidR="00531071">
        <w:t>Motion</w:t>
      </w:r>
      <w:r>
        <w:rPr>
          <w:i/>
          <w:iCs/>
        </w:rPr>
        <w:t xml:space="preserve"> </w:t>
      </w:r>
      <w:r>
        <w:t>at 2-3.</w:t>
      </w:r>
      <w:r w:rsidR="00612AB3">
        <w:t xml:space="preserve">  Intelsat also </w:t>
      </w:r>
      <w:r w:rsidR="00EE2164">
        <w:t>suggests</w:t>
      </w:r>
      <w:r w:rsidR="00612AB3">
        <w:t xml:space="preserve"> that the 10-day period specified in section 1.4</w:t>
      </w:r>
      <w:r w:rsidR="00EE2164">
        <w:t>5 of the Commission’s rules may</w:t>
      </w:r>
      <w:r w:rsidR="00612AB3">
        <w:t xml:space="preserve"> not apply to oppositions to the Petition.  </w:t>
      </w:r>
      <w:r w:rsidR="00612AB3">
        <w:rPr>
          <w:i/>
          <w:iCs/>
        </w:rPr>
        <w:t>See</w:t>
      </w:r>
      <w:r w:rsidR="00612AB3">
        <w:t xml:space="preserve"> Motion at 2-3.</w:t>
      </w:r>
    </w:p>
  </w:footnote>
  <w:footnote w:id="7">
    <w:p w:rsidR="00C1266D" w:rsidRPr="00C1266D" w14:paraId="4C966001" w14:textId="40F0FB84">
      <w:pPr>
        <w:pStyle w:val="FootnoteText"/>
      </w:pPr>
      <w:r>
        <w:rPr>
          <w:rStyle w:val="FootnoteReference"/>
        </w:rPr>
        <w:footnoteRef/>
      </w:r>
      <w:r>
        <w:t xml:space="preserve"> </w:t>
      </w:r>
      <w:r>
        <w:rPr>
          <w:i/>
          <w:iCs/>
        </w:rPr>
        <w:t xml:space="preserve">See </w:t>
      </w:r>
      <w:r>
        <w:t xml:space="preserve">Motion at </w:t>
      </w:r>
      <w:r w:rsidR="0026707D">
        <w:t>2-3.</w:t>
      </w:r>
    </w:p>
  </w:footnote>
  <w:footnote w:id="8">
    <w:p w:rsidR="0026707D" w:rsidRPr="00B866A0" w14:paraId="72FDD429" w14:textId="17B70983">
      <w:pPr>
        <w:pStyle w:val="FootnoteText"/>
      </w:pPr>
      <w:r>
        <w:rPr>
          <w:rStyle w:val="FootnoteReference"/>
        </w:rPr>
        <w:footnoteRef/>
      </w:r>
      <w:r>
        <w:t xml:space="preserve"> Opposition of Spectrum Five to Motion for Extension of Time,</w:t>
      </w:r>
      <w:r w:rsidRPr="0026707D">
        <w:rPr>
          <w:spacing w:val="-2"/>
        </w:rPr>
        <w:t xml:space="preserve"> </w:t>
      </w:r>
      <w:r>
        <w:rPr>
          <w:spacing w:val="-2"/>
        </w:rPr>
        <w:t>Misc. Docket No. INBOX-1.41 (filed Nov. 19, 2020)</w:t>
      </w:r>
      <w:r w:rsidR="00612AB3">
        <w:rPr>
          <w:spacing w:val="-2"/>
        </w:rPr>
        <w:t xml:space="preserve"> </w:t>
      </w:r>
      <w:r>
        <w:rPr>
          <w:spacing w:val="-2"/>
        </w:rPr>
        <w:t>(Opposition).</w:t>
      </w:r>
      <w:r w:rsidR="00801608">
        <w:rPr>
          <w:spacing w:val="-2"/>
        </w:rPr>
        <w:t xml:space="preserve"> </w:t>
      </w:r>
      <w:r w:rsidR="00B866A0">
        <w:rPr>
          <w:spacing w:val="-2"/>
        </w:rPr>
        <w:t xml:space="preserve"> Spectrum Five</w:t>
      </w:r>
      <w:r w:rsidR="005E1B2D">
        <w:rPr>
          <w:spacing w:val="-2"/>
        </w:rPr>
        <w:t xml:space="preserve"> did not se</w:t>
      </w:r>
      <w:r w:rsidR="002A56A0">
        <w:rPr>
          <w:spacing w:val="-2"/>
        </w:rPr>
        <w:t>rve</w:t>
      </w:r>
      <w:r w:rsidR="005E1B2D">
        <w:rPr>
          <w:spacing w:val="-2"/>
        </w:rPr>
        <w:t xml:space="preserve"> the Petition </w:t>
      </w:r>
      <w:r w:rsidR="002A56A0">
        <w:rPr>
          <w:spacing w:val="-2"/>
        </w:rPr>
        <w:t xml:space="preserve">on </w:t>
      </w:r>
      <w:r w:rsidR="005E1B2D">
        <w:rPr>
          <w:spacing w:val="-2"/>
        </w:rPr>
        <w:t>Intelsat until November 10, 2020, when it</w:t>
      </w:r>
      <w:r w:rsidR="00B866A0">
        <w:rPr>
          <w:spacing w:val="-2"/>
        </w:rPr>
        <w:t xml:space="preserve"> </w:t>
      </w:r>
      <w:r w:rsidR="005E1B2D">
        <w:rPr>
          <w:spacing w:val="-2"/>
        </w:rPr>
        <w:t>sent the Petition to</w:t>
      </w:r>
      <w:r w:rsidR="00B866A0">
        <w:rPr>
          <w:spacing w:val="-2"/>
        </w:rPr>
        <w:t xml:space="preserve"> Intelsat </w:t>
      </w:r>
      <w:r w:rsidR="005E1B2D">
        <w:rPr>
          <w:spacing w:val="-2"/>
        </w:rPr>
        <w:t>via e-mail</w:t>
      </w:r>
      <w:r w:rsidR="00B866A0">
        <w:rPr>
          <w:spacing w:val="-2"/>
        </w:rPr>
        <w:t xml:space="preserve">. </w:t>
      </w:r>
      <w:r w:rsidR="002A56A0">
        <w:rPr>
          <w:spacing w:val="-2"/>
        </w:rPr>
        <w:t xml:space="preserve"> </w:t>
      </w:r>
      <w:r w:rsidR="00B866A0">
        <w:rPr>
          <w:i/>
          <w:iCs/>
          <w:spacing w:val="-2"/>
        </w:rPr>
        <w:t xml:space="preserve">See </w:t>
      </w:r>
      <w:r w:rsidR="00B866A0">
        <w:rPr>
          <w:spacing w:val="-2"/>
        </w:rPr>
        <w:t>Motion, at 4, n. 16.</w:t>
      </w:r>
    </w:p>
  </w:footnote>
  <w:footnote w:id="9">
    <w:p w:rsidR="006104EB" w:rsidRPr="006104EB" w14:paraId="5845F727" w14:textId="63F4A7DA">
      <w:pPr>
        <w:pStyle w:val="FootnoteText"/>
      </w:pPr>
      <w:r>
        <w:rPr>
          <w:rStyle w:val="FootnoteReference"/>
        </w:rPr>
        <w:footnoteRef/>
      </w:r>
      <w:r>
        <w:t xml:space="preserve"> </w:t>
      </w:r>
      <w:r w:rsidRPr="002A56A0">
        <w:t>See</w:t>
      </w:r>
      <w:r>
        <w:t xml:space="preserve"> </w:t>
      </w:r>
      <w:r w:rsidR="007D2988">
        <w:t>Opposition</w:t>
      </w:r>
      <w:r w:rsidR="00612AB3">
        <w:rPr>
          <w:i/>
          <w:iCs/>
        </w:rPr>
        <w:t xml:space="preserve"> </w:t>
      </w:r>
      <w:r>
        <w:t>at 5-6.</w:t>
      </w:r>
    </w:p>
  </w:footnote>
  <w:footnote w:id="10">
    <w:p w:rsidR="00FE7828" w:rsidRPr="00FE7828" w14:paraId="74B64942" w14:textId="4E05FCCF">
      <w:pPr>
        <w:pStyle w:val="FootnoteText"/>
      </w:pPr>
      <w:r>
        <w:rPr>
          <w:rStyle w:val="FootnoteReference"/>
        </w:rPr>
        <w:footnoteRef/>
      </w:r>
      <w:r>
        <w:t xml:space="preserve"> </w:t>
      </w:r>
      <w:r>
        <w:rPr>
          <w:i/>
          <w:iCs/>
        </w:rPr>
        <w:t xml:space="preserve">See </w:t>
      </w:r>
      <w:r>
        <w:t>47 CFR §§1.1200(a), 1.1206, and 1.1208 note 2.</w:t>
      </w:r>
    </w:p>
  </w:footnote>
  <w:footnote w:id="11">
    <w:p w:rsidR="00FE7828" w:rsidP="00FE7828" w14:paraId="25F1A6E0" w14:textId="77777777">
      <w:pPr>
        <w:pStyle w:val="FootnoteText"/>
      </w:pPr>
      <w:r>
        <w:rPr>
          <w:rStyle w:val="FootnoteReference"/>
        </w:rPr>
        <w:footnoteRef/>
      </w:r>
      <w: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1490B2" w14:textId="6E843B5F">
    <w:pPr>
      <w:pStyle w:val="Header"/>
      <w:rPr>
        <w:b w:val="0"/>
      </w:rPr>
    </w:pPr>
    <w:r>
      <w:tab/>
      <w:t>Federal Communications Commission</w:t>
    </w:r>
    <w:r>
      <w:tab/>
    </w:r>
    <w:r w:rsidR="003620C2">
      <w:t>DA</w:t>
    </w:r>
    <w:r w:rsidR="008C0291">
      <w:t xml:space="preserve"> 20-1428</w:t>
    </w:r>
  </w:p>
  <w:p w:rsidR="00D25FB5" w14:paraId="77FFEE2D" w14:textId="7BC7DC0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0613BA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C520FA" w14:textId="6F611C7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620C2">
      <w:rPr>
        <w:spacing w:val="-2"/>
      </w:rPr>
      <w:t>DA</w:t>
    </w:r>
    <w:r w:rsidR="008C0291">
      <w:rPr>
        <w:spacing w:val="-2"/>
      </w:rPr>
      <w:t xml:space="preserve"> 20-1428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6D"/>
    <w:rsid w:val="000055F1"/>
    <w:rsid w:val="00036039"/>
    <w:rsid w:val="00037F90"/>
    <w:rsid w:val="0007425B"/>
    <w:rsid w:val="0008102A"/>
    <w:rsid w:val="000875BF"/>
    <w:rsid w:val="00096D8C"/>
    <w:rsid w:val="000C0B65"/>
    <w:rsid w:val="000E05FE"/>
    <w:rsid w:val="000E3D42"/>
    <w:rsid w:val="000E6F95"/>
    <w:rsid w:val="00102950"/>
    <w:rsid w:val="00117753"/>
    <w:rsid w:val="0012176D"/>
    <w:rsid w:val="00122BD5"/>
    <w:rsid w:val="001246AD"/>
    <w:rsid w:val="00133F79"/>
    <w:rsid w:val="00145CCA"/>
    <w:rsid w:val="00194A66"/>
    <w:rsid w:val="001C2881"/>
    <w:rsid w:val="001C6F98"/>
    <w:rsid w:val="001D6BCF"/>
    <w:rsid w:val="001E01CA"/>
    <w:rsid w:val="0025573E"/>
    <w:rsid w:val="0026707D"/>
    <w:rsid w:val="00275CF5"/>
    <w:rsid w:val="0028301F"/>
    <w:rsid w:val="00285017"/>
    <w:rsid w:val="002A2D2E"/>
    <w:rsid w:val="002A56A0"/>
    <w:rsid w:val="002B54D7"/>
    <w:rsid w:val="002B79A6"/>
    <w:rsid w:val="002C00E8"/>
    <w:rsid w:val="0030600F"/>
    <w:rsid w:val="00343749"/>
    <w:rsid w:val="00361A78"/>
    <w:rsid w:val="003620C2"/>
    <w:rsid w:val="003660ED"/>
    <w:rsid w:val="0037629E"/>
    <w:rsid w:val="003B0550"/>
    <w:rsid w:val="003B694F"/>
    <w:rsid w:val="003F171C"/>
    <w:rsid w:val="003F2D6D"/>
    <w:rsid w:val="00405569"/>
    <w:rsid w:val="00412FC5"/>
    <w:rsid w:val="0042016D"/>
    <w:rsid w:val="00422276"/>
    <w:rsid w:val="004242F1"/>
    <w:rsid w:val="00445A00"/>
    <w:rsid w:val="00451B0F"/>
    <w:rsid w:val="004B1A10"/>
    <w:rsid w:val="004B2A04"/>
    <w:rsid w:val="004C2EE3"/>
    <w:rsid w:val="004E4A22"/>
    <w:rsid w:val="00506EB2"/>
    <w:rsid w:val="00511968"/>
    <w:rsid w:val="00531071"/>
    <w:rsid w:val="00532E41"/>
    <w:rsid w:val="005426C6"/>
    <w:rsid w:val="0055614C"/>
    <w:rsid w:val="00566D06"/>
    <w:rsid w:val="005B5157"/>
    <w:rsid w:val="005D095A"/>
    <w:rsid w:val="005D0D68"/>
    <w:rsid w:val="005D7C6B"/>
    <w:rsid w:val="005E14C2"/>
    <w:rsid w:val="005E1B2D"/>
    <w:rsid w:val="00607BA5"/>
    <w:rsid w:val="006104EB"/>
    <w:rsid w:val="0061180A"/>
    <w:rsid w:val="00612AB3"/>
    <w:rsid w:val="00616884"/>
    <w:rsid w:val="00626EB6"/>
    <w:rsid w:val="006473F8"/>
    <w:rsid w:val="00655D03"/>
    <w:rsid w:val="00675A31"/>
    <w:rsid w:val="00683388"/>
    <w:rsid w:val="00683F84"/>
    <w:rsid w:val="006A6A81"/>
    <w:rsid w:val="006D0948"/>
    <w:rsid w:val="006F7393"/>
    <w:rsid w:val="0070224F"/>
    <w:rsid w:val="007115F7"/>
    <w:rsid w:val="0071433C"/>
    <w:rsid w:val="007347B5"/>
    <w:rsid w:val="00741C55"/>
    <w:rsid w:val="00777920"/>
    <w:rsid w:val="007814FA"/>
    <w:rsid w:val="00785689"/>
    <w:rsid w:val="0079530D"/>
    <w:rsid w:val="0079754B"/>
    <w:rsid w:val="007A1E6D"/>
    <w:rsid w:val="007B0EB2"/>
    <w:rsid w:val="007B12FC"/>
    <w:rsid w:val="007C4333"/>
    <w:rsid w:val="007C5833"/>
    <w:rsid w:val="007D2988"/>
    <w:rsid w:val="00801608"/>
    <w:rsid w:val="00810B6F"/>
    <w:rsid w:val="00822CE0"/>
    <w:rsid w:val="00841AB1"/>
    <w:rsid w:val="008943EB"/>
    <w:rsid w:val="00896ADE"/>
    <w:rsid w:val="008C0291"/>
    <w:rsid w:val="008C68F1"/>
    <w:rsid w:val="008E4F01"/>
    <w:rsid w:val="00921803"/>
    <w:rsid w:val="00926503"/>
    <w:rsid w:val="00961A2B"/>
    <w:rsid w:val="009726D8"/>
    <w:rsid w:val="009C1A01"/>
    <w:rsid w:val="009D7308"/>
    <w:rsid w:val="009F52DC"/>
    <w:rsid w:val="009F76DB"/>
    <w:rsid w:val="00A116D1"/>
    <w:rsid w:val="00A12206"/>
    <w:rsid w:val="00A32C3B"/>
    <w:rsid w:val="00A45F4F"/>
    <w:rsid w:val="00A51C63"/>
    <w:rsid w:val="00A600A9"/>
    <w:rsid w:val="00A941E2"/>
    <w:rsid w:val="00AA55B7"/>
    <w:rsid w:val="00AA5B9E"/>
    <w:rsid w:val="00AB2407"/>
    <w:rsid w:val="00AB53DF"/>
    <w:rsid w:val="00AC74DB"/>
    <w:rsid w:val="00AE5E21"/>
    <w:rsid w:val="00AF37F7"/>
    <w:rsid w:val="00B06784"/>
    <w:rsid w:val="00B075F2"/>
    <w:rsid w:val="00B07E5C"/>
    <w:rsid w:val="00B7538F"/>
    <w:rsid w:val="00B811F7"/>
    <w:rsid w:val="00B866A0"/>
    <w:rsid w:val="00BA5DC6"/>
    <w:rsid w:val="00BA6196"/>
    <w:rsid w:val="00BC2F85"/>
    <w:rsid w:val="00BC6D8C"/>
    <w:rsid w:val="00C105A5"/>
    <w:rsid w:val="00C1266D"/>
    <w:rsid w:val="00C13E57"/>
    <w:rsid w:val="00C34006"/>
    <w:rsid w:val="00C36B4C"/>
    <w:rsid w:val="00C41B38"/>
    <w:rsid w:val="00C426B1"/>
    <w:rsid w:val="00C63F6E"/>
    <w:rsid w:val="00C66160"/>
    <w:rsid w:val="00C71F59"/>
    <w:rsid w:val="00C721AC"/>
    <w:rsid w:val="00C75688"/>
    <w:rsid w:val="00C81BEF"/>
    <w:rsid w:val="00C90D6A"/>
    <w:rsid w:val="00CA247E"/>
    <w:rsid w:val="00CA43A5"/>
    <w:rsid w:val="00CA6671"/>
    <w:rsid w:val="00CA6D21"/>
    <w:rsid w:val="00CB624A"/>
    <w:rsid w:val="00CC72B6"/>
    <w:rsid w:val="00D0218D"/>
    <w:rsid w:val="00D25FB5"/>
    <w:rsid w:val="00D26939"/>
    <w:rsid w:val="00D358BA"/>
    <w:rsid w:val="00D3627F"/>
    <w:rsid w:val="00D44223"/>
    <w:rsid w:val="00D47C57"/>
    <w:rsid w:val="00DA2529"/>
    <w:rsid w:val="00DA4307"/>
    <w:rsid w:val="00DB130A"/>
    <w:rsid w:val="00DB2EBB"/>
    <w:rsid w:val="00DC10A1"/>
    <w:rsid w:val="00DC655F"/>
    <w:rsid w:val="00DD0B59"/>
    <w:rsid w:val="00DD7EBD"/>
    <w:rsid w:val="00DF62B6"/>
    <w:rsid w:val="00DF6612"/>
    <w:rsid w:val="00E02544"/>
    <w:rsid w:val="00E07225"/>
    <w:rsid w:val="00E5409F"/>
    <w:rsid w:val="00EC73DD"/>
    <w:rsid w:val="00EE2164"/>
    <w:rsid w:val="00EE6488"/>
    <w:rsid w:val="00F021FA"/>
    <w:rsid w:val="00F05065"/>
    <w:rsid w:val="00F16622"/>
    <w:rsid w:val="00F62E97"/>
    <w:rsid w:val="00F64209"/>
    <w:rsid w:val="00F93BF5"/>
    <w:rsid w:val="00FC58B6"/>
    <w:rsid w:val="00FC7DE0"/>
    <w:rsid w:val="00FD7E65"/>
    <w:rsid w:val="00FE78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C5D5D3-8740-4D17-8632-2DF2E97A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D358BA"/>
    <w:rPr>
      <w:rFonts w:ascii="Segoe UI" w:hAnsi="Segoe UI" w:cs="Segoe UI"/>
      <w:sz w:val="18"/>
      <w:szCs w:val="18"/>
    </w:rPr>
  </w:style>
  <w:style w:type="character" w:customStyle="1" w:styleId="BalloonTextChar">
    <w:name w:val="Balloon Text Char"/>
    <w:link w:val="BalloonText"/>
    <w:rsid w:val="00D358BA"/>
    <w:rPr>
      <w:rFonts w:ascii="Segoe UI" w:hAnsi="Segoe UI" w:cs="Segoe UI"/>
      <w:snapToGrid w:val="0"/>
      <w:kern w:val="28"/>
      <w:sz w:val="18"/>
      <w:szCs w:val="18"/>
    </w:rPr>
  </w:style>
  <w:style w:type="character" w:customStyle="1" w:styleId="UnresolvedMention">
    <w:name w:val="Unresolved Mention"/>
    <w:uiPriority w:val="99"/>
    <w:semiHidden/>
    <w:unhideWhenUsed/>
    <w:rsid w:val="0026707D"/>
    <w:rPr>
      <w:color w:val="605E5C"/>
      <w:shd w:val="clear" w:color="auto" w:fill="E1DFDD"/>
    </w:rPr>
  </w:style>
  <w:style w:type="character" w:styleId="CommentReference">
    <w:name w:val="annotation reference"/>
    <w:basedOn w:val="DefaultParagraphFont"/>
    <w:rsid w:val="004B2A04"/>
    <w:rPr>
      <w:sz w:val="16"/>
      <w:szCs w:val="16"/>
    </w:rPr>
  </w:style>
  <w:style w:type="paragraph" w:styleId="CommentText">
    <w:name w:val="annotation text"/>
    <w:basedOn w:val="Normal"/>
    <w:link w:val="CommentTextChar"/>
    <w:rsid w:val="004B2A04"/>
    <w:rPr>
      <w:sz w:val="20"/>
    </w:rPr>
  </w:style>
  <w:style w:type="character" w:customStyle="1" w:styleId="CommentTextChar">
    <w:name w:val="Comment Text Char"/>
    <w:basedOn w:val="DefaultParagraphFont"/>
    <w:link w:val="CommentText"/>
    <w:rsid w:val="004B2A04"/>
    <w:rPr>
      <w:snapToGrid w:val="0"/>
      <w:kern w:val="28"/>
    </w:rPr>
  </w:style>
  <w:style w:type="paragraph" w:styleId="CommentSubject">
    <w:name w:val="annotation subject"/>
    <w:basedOn w:val="CommentText"/>
    <w:next w:val="CommentText"/>
    <w:link w:val="CommentSubjectChar"/>
    <w:rsid w:val="004B2A04"/>
    <w:rPr>
      <w:b/>
      <w:bCs/>
    </w:rPr>
  </w:style>
  <w:style w:type="character" w:customStyle="1" w:styleId="CommentSubjectChar">
    <w:name w:val="Comment Subject Char"/>
    <w:basedOn w:val="CommentTextChar"/>
    <w:link w:val="CommentSubject"/>
    <w:rsid w:val="004B2A04"/>
    <w:rPr>
      <w:b/>
      <w:bCs/>
      <w:snapToGrid w:val="0"/>
      <w:kern w:val="28"/>
    </w:rPr>
  </w:style>
  <w:style w:type="paragraph" w:styleId="Revision">
    <w:name w:val="Revision"/>
    <w:hidden/>
    <w:uiPriority w:val="99"/>
    <w:semiHidden/>
    <w:rsid w:val="00CA43A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