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4F1C79DE" w14:textId="77777777">
      <w:pPr>
        <w:jc w:val="center"/>
        <w:rPr>
          <w:b/>
          <w:szCs w:val="22"/>
        </w:rPr>
      </w:pPr>
      <w:r w:rsidRPr="00947B4D">
        <w:rPr>
          <w:b/>
          <w:szCs w:val="22"/>
        </w:rPr>
        <w:t>Before the</w:t>
      </w:r>
    </w:p>
    <w:p w:rsidR="004756DA" w:rsidRPr="00947B4D" w:rsidP="004756DA" w14:paraId="127C21E0" w14:textId="77777777">
      <w:pPr>
        <w:jc w:val="center"/>
        <w:rPr>
          <w:b/>
          <w:szCs w:val="22"/>
        </w:rPr>
      </w:pPr>
      <w:r w:rsidRPr="00947B4D">
        <w:rPr>
          <w:b/>
          <w:szCs w:val="22"/>
        </w:rPr>
        <w:t>Federal Communications Commission</w:t>
      </w:r>
    </w:p>
    <w:p w:rsidR="004756DA" w:rsidRPr="00947B4D" w:rsidP="004756DA" w14:paraId="3F2C5B40"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14:paraId="23B58E07" w14:textId="77777777">
      <w:pPr>
        <w:rPr>
          <w:szCs w:val="22"/>
        </w:rPr>
      </w:pPr>
    </w:p>
    <w:tbl>
      <w:tblPr>
        <w:tblW w:w="9648" w:type="dxa"/>
        <w:tblLayout w:type="fixed"/>
        <w:tblLook w:val="0000"/>
      </w:tblPr>
      <w:tblGrid>
        <w:gridCol w:w="4698"/>
        <w:gridCol w:w="720"/>
        <w:gridCol w:w="4230"/>
      </w:tblGrid>
      <w:tr w14:paraId="2278A3D3" w14:textId="77777777" w:rsidTr="000C1190">
        <w:tblPrEx>
          <w:tblW w:w="9648" w:type="dxa"/>
          <w:tblLayout w:type="fixed"/>
          <w:tblLook w:val="0000"/>
        </w:tblPrEx>
        <w:tc>
          <w:tcPr>
            <w:tcW w:w="4698" w:type="dxa"/>
          </w:tcPr>
          <w:p w:rsidR="004756DA" w:rsidRPr="00947B4D" w:rsidP="000C1190" w14:paraId="07166BFA" w14:textId="4B631017">
            <w:pPr>
              <w:ind w:right="-18"/>
              <w:rPr>
                <w:szCs w:val="22"/>
              </w:rPr>
            </w:pPr>
            <w:r w:rsidRPr="00947B4D">
              <w:rPr>
                <w:szCs w:val="22"/>
              </w:rPr>
              <w:t xml:space="preserve">In </w:t>
            </w:r>
            <w:r>
              <w:rPr>
                <w:szCs w:val="22"/>
              </w:rPr>
              <w:t xml:space="preserve">re </w:t>
            </w:r>
            <w:r w:rsidR="00EA24F5">
              <w:rPr>
                <w:szCs w:val="22"/>
              </w:rPr>
              <w:t>Application</w:t>
            </w:r>
            <w:r w:rsidR="001A0DDA">
              <w:rPr>
                <w:szCs w:val="22"/>
              </w:rPr>
              <w:t>s</w:t>
            </w:r>
            <w:r w:rsidR="00EA24F5">
              <w:rPr>
                <w:szCs w:val="22"/>
              </w:rPr>
              <w:t xml:space="preserve"> of</w:t>
            </w:r>
            <w:r w:rsidRPr="00947B4D">
              <w:rPr>
                <w:szCs w:val="22"/>
              </w:rPr>
              <w:t xml:space="preserve">  </w:t>
            </w:r>
          </w:p>
          <w:p w:rsidR="004756DA" w:rsidP="000C1190" w14:paraId="0239099A" w14:textId="2B7D6E0C">
            <w:pPr>
              <w:ind w:right="-18"/>
              <w:rPr>
                <w:szCs w:val="22"/>
              </w:rPr>
            </w:pPr>
          </w:p>
          <w:p w:rsidR="004756DA" w:rsidRPr="00FF3C52" w:rsidP="000C1190" w14:paraId="55479D1C" w14:textId="454CEEA7">
            <w:pPr>
              <w:ind w:right="-18"/>
              <w:rPr>
                <w:bCs/>
                <w:szCs w:val="22"/>
              </w:rPr>
            </w:pPr>
            <w:r>
              <w:rPr>
                <w:bCs/>
                <w:szCs w:val="22"/>
              </w:rPr>
              <w:t>Jimmy Dale Media</w:t>
            </w:r>
            <w:r w:rsidR="00FB6F98">
              <w:rPr>
                <w:bCs/>
                <w:szCs w:val="22"/>
              </w:rPr>
              <w:t>, LLC</w:t>
            </w:r>
          </w:p>
          <w:p w:rsidR="00B42250" w:rsidP="00B42250" w14:paraId="2647EEA4" w14:textId="77777777">
            <w:pPr>
              <w:ind w:right="-18"/>
              <w:rPr>
                <w:szCs w:val="22"/>
              </w:rPr>
            </w:pPr>
            <w:r>
              <w:rPr>
                <w:szCs w:val="22"/>
              </w:rPr>
              <w:t>For Renewal of License for</w:t>
            </w:r>
          </w:p>
          <w:p w:rsidR="004F7255" w:rsidP="00B42250" w14:paraId="5308DAC8" w14:textId="77777777">
            <w:pPr>
              <w:ind w:right="-18"/>
              <w:rPr>
                <w:szCs w:val="22"/>
              </w:rPr>
            </w:pPr>
          </w:p>
          <w:p w:rsidR="00B42250" w:rsidP="00B42250" w14:paraId="309AD196" w14:textId="407B3E11">
            <w:pPr>
              <w:ind w:right="-18"/>
              <w:rPr>
                <w:szCs w:val="22"/>
              </w:rPr>
            </w:pPr>
            <w:r>
              <w:rPr>
                <w:szCs w:val="22"/>
              </w:rPr>
              <w:t>Station WFMH(AM)</w:t>
            </w:r>
          </w:p>
          <w:p w:rsidR="00B42250" w:rsidP="00B42250" w14:paraId="3E673053" w14:textId="77777777">
            <w:pPr>
              <w:ind w:right="-18"/>
              <w:rPr>
                <w:szCs w:val="22"/>
              </w:rPr>
            </w:pPr>
            <w:r>
              <w:rPr>
                <w:szCs w:val="22"/>
              </w:rPr>
              <w:t>Cullman, Alabama</w:t>
            </w:r>
          </w:p>
          <w:p w:rsidR="00B42250" w:rsidP="000C1190" w14:paraId="478A78C5" w14:textId="77777777">
            <w:pPr>
              <w:ind w:right="-18"/>
              <w:rPr>
                <w:szCs w:val="22"/>
              </w:rPr>
            </w:pPr>
          </w:p>
          <w:p w:rsidR="00EA24F5" w:rsidP="000C1190" w14:paraId="71184F84" w14:textId="7B9D00FD">
            <w:pPr>
              <w:ind w:right="-18"/>
              <w:rPr>
                <w:szCs w:val="22"/>
              </w:rPr>
            </w:pPr>
            <w:r>
              <w:rPr>
                <w:szCs w:val="22"/>
              </w:rPr>
              <w:t xml:space="preserve">Station </w:t>
            </w:r>
            <w:r w:rsidR="001A0DDA">
              <w:rPr>
                <w:szCs w:val="22"/>
              </w:rPr>
              <w:t>WMCJ</w:t>
            </w:r>
            <w:r w:rsidR="00A71F2E">
              <w:rPr>
                <w:szCs w:val="22"/>
              </w:rPr>
              <w:t>(</w:t>
            </w:r>
            <w:r w:rsidR="001A0DDA">
              <w:rPr>
                <w:szCs w:val="22"/>
              </w:rPr>
              <w:t>A</w:t>
            </w:r>
            <w:r w:rsidR="00A71F2E">
              <w:rPr>
                <w:szCs w:val="22"/>
              </w:rPr>
              <w:t>M)</w:t>
            </w:r>
          </w:p>
          <w:p w:rsidR="004756DA" w:rsidP="000C1190" w14:paraId="0045DF9D" w14:textId="747B3407">
            <w:pPr>
              <w:ind w:right="-18"/>
              <w:rPr>
                <w:szCs w:val="22"/>
              </w:rPr>
            </w:pPr>
            <w:r>
              <w:rPr>
                <w:szCs w:val="22"/>
              </w:rPr>
              <w:t>Cullman, Alabama</w:t>
            </w:r>
          </w:p>
          <w:p w:rsidR="004756DA" w:rsidRPr="00947B4D" w:rsidP="000C1190" w14:paraId="13A03E7D" w14:textId="0F8A1BE9">
            <w:pPr>
              <w:ind w:right="-18"/>
              <w:rPr>
                <w:b/>
                <w:szCs w:val="22"/>
              </w:rPr>
            </w:pPr>
          </w:p>
        </w:tc>
        <w:tc>
          <w:tcPr>
            <w:tcW w:w="720" w:type="dxa"/>
          </w:tcPr>
          <w:p w:rsidR="004756DA" w:rsidRPr="00947B4D" w:rsidP="000C1190" w14:paraId="0589FA96" w14:textId="77777777">
            <w:pPr>
              <w:rPr>
                <w:b/>
                <w:szCs w:val="22"/>
              </w:rPr>
            </w:pPr>
            <w:r w:rsidRPr="00947B4D">
              <w:rPr>
                <w:b/>
                <w:szCs w:val="22"/>
              </w:rPr>
              <w:t>)</w:t>
            </w:r>
          </w:p>
          <w:p w:rsidR="004756DA" w:rsidRPr="00947B4D" w:rsidP="000C1190" w14:paraId="195EFEAE" w14:textId="77777777">
            <w:pPr>
              <w:rPr>
                <w:b/>
                <w:szCs w:val="22"/>
              </w:rPr>
            </w:pPr>
            <w:r w:rsidRPr="00947B4D">
              <w:rPr>
                <w:b/>
                <w:szCs w:val="22"/>
              </w:rPr>
              <w:t>)</w:t>
            </w:r>
          </w:p>
          <w:p w:rsidR="004756DA" w:rsidRPr="00947B4D" w:rsidP="000C1190" w14:paraId="6C5D08FE" w14:textId="77777777">
            <w:pPr>
              <w:rPr>
                <w:b/>
                <w:szCs w:val="22"/>
              </w:rPr>
            </w:pPr>
            <w:r w:rsidRPr="00947B4D">
              <w:rPr>
                <w:b/>
                <w:szCs w:val="22"/>
              </w:rPr>
              <w:t>)</w:t>
            </w:r>
          </w:p>
          <w:p w:rsidR="004756DA" w:rsidRPr="00947B4D" w:rsidP="000C1190" w14:paraId="482EFBFA" w14:textId="77777777">
            <w:pPr>
              <w:rPr>
                <w:b/>
                <w:szCs w:val="22"/>
              </w:rPr>
            </w:pPr>
            <w:r w:rsidRPr="00947B4D">
              <w:rPr>
                <w:b/>
                <w:szCs w:val="22"/>
              </w:rPr>
              <w:t>)</w:t>
            </w:r>
          </w:p>
          <w:p w:rsidR="004756DA" w:rsidP="000C1190" w14:paraId="4D85940A" w14:textId="77777777">
            <w:pPr>
              <w:rPr>
                <w:b/>
                <w:szCs w:val="22"/>
              </w:rPr>
            </w:pPr>
            <w:r w:rsidRPr="00947B4D">
              <w:rPr>
                <w:b/>
                <w:szCs w:val="22"/>
              </w:rPr>
              <w:t>)</w:t>
            </w:r>
          </w:p>
          <w:p w:rsidR="004756DA" w:rsidRPr="00947B4D" w:rsidP="000C1190" w14:paraId="188D24E4" w14:textId="77777777">
            <w:pPr>
              <w:rPr>
                <w:b/>
                <w:szCs w:val="22"/>
              </w:rPr>
            </w:pPr>
            <w:r>
              <w:rPr>
                <w:b/>
                <w:szCs w:val="22"/>
              </w:rPr>
              <w:t>)</w:t>
            </w:r>
          </w:p>
          <w:p w:rsidR="009834E0" w:rsidP="000C1190" w14:paraId="79CD0FD3" w14:textId="77777777">
            <w:pPr>
              <w:rPr>
                <w:b/>
                <w:szCs w:val="22"/>
              </w:rPr>
            </w:pPr>
            <w:r>
              <w:rPr>
                <w:b/>
                <w:szCs w:val="22"/>
              </w:rPr>
              <w:t>)</w:t>
            </w:r>
          </w:p>
          <w:p w:rsidR="00EA24F5" w:rsidP="000C1190" w14:paraId="27F33325" w14:textId="77777777">
            <w:pPr>
              <w:rPr>
                <w:b/>
                <w:szCs w:val="22"/>
              </w:rPr>
            </w:pPr>
            <w:r>
              <w:rPr>
                <w:b/>
                <w:szCs w:val="22"/>
              </w:rPr>
              <w:t>)</w:t>
            </w:r>
          </w:p>
          <w:p w:rsidR="001A0DDA" w:rsidP="000C1190" w14:paraId="2125A486" w14:textId="77777777">
            <w:pPr>
              <w:rPr>
                <w:b/>
                <w:szCs w:val="22"/>
              </w:rPr>
            </w:pPr>
            <w:r>
              <w:rPr>
                <w:b/>
                <w:szCs w:val="22"/>
              </w:rPr>
              <w:t>)</w:t>
            </w:r>
          </w:p>
          <w:p w:rsidR="001A0DDA" w:rsidP="000C1190" w14:paraId="6AD3C2DC" w14:textId="77777777">
            <w:pPr>
              <w:rPr>
                <w:b/>
                <w:szCs w:val="22"/>
              </w:rPr>
            </w:pPr>
            <w:r>
              <w:rPr>
                <w:b/>
                <w:szCs w:val="22"/>
              </w:rPr>
              <w:t>)</w:t>
            </w:r>
          </w:p>
          <w:p w:rsidR="001A0DDA" w:rsidRPr="00947B4D" w:rsidP="000C1190" w14:paraId="4AE4F90E" w14:textId="17C90506">
            <w:pPr>
              <w:rPr>
                <w:b/>
                <w:szCs w:val="22"/>
              </w:rPr>
            </w:pPr>
          </w:p>
        </w:tc>
        <w:tc>
          <w:tcPr>
            <w:tcW w:w="4230" w:type="dxa"/>
          </w:tcPr>
          <w:p w:rsidR="004756DA" w:rsidRPr="00947B4D" w:rsidP="000C1190" w14:paraId="4D335B09" w14:textId="77777777">
            <w:pPr>
              <w:rPr>
                <w:szCs w:val="22"/>
              </w:rPr>
            </w:pPr>
          </w:p>
          <w:p w:rsidR="004756DA" w:rsidRPr="00947B4D" w:rsidP="000C1190" w14:paraId="46385703" w14:textId="77777777">
            <w:pPr>
              <w:rPr>
                <w:szCs w:val="22"/>
              </w:rPr>
            </w:pPr>
          </w:p>
          <w:p w:rsidR="00252B2F" w:rsidRPr="00252B2F" w:rsidP="00252B2F" w14:paraId="3FF07006" w14:textId="17193998">
            <w:pPr>
              <w:rPr>
                <w:szCs w:val="22"/>
              </w:rPr>
            </w:pPr>
            <w:r w:rsidRPr="00124FB3">
              <w:rPr>
                <w:szCs w:val="22"/>
              </w:rPr>
              <w:t xml:space="preserve">NAL/Acct. No. </w:t>
            </w:r>
            <w:r w:rsidRPr="00124FB3" w:rsidR="00B7104D">
              <w:rPr>
                <w:szCs w:val="22"/>
              </w:rPr>
              <w:t xml:space="preserve"> </w:t>
            </w:r>
            <w:r w:rsidRPr="007D6335" w:rsidR="007D6335">
              <w:t>MB</w:t>
            </w:r>
            <w:r w:rsidRPr="006D0F55" w:rsidR="007D6335">
              <w:t>-</w:t>
            </w:r>
            <w:r w:rsidR="00D0109D">
              <w:t>202041410011</w:t>
            </w:r>
          </w:p>
          <w:p w:rsidR="004756DA" w:rsidRPr="00124FB3" w:rsidP="000C1190" w14:paraId="0E2BCEB9" w14:textId="29D56EE3">
            <w:pPr>
              <w:rPr>
                <w:szCs w:val="22"/>
              </w:rPr>
            </w:pPr>
            <w:r w:rsidRPr="00124FB3">
              <w:rPr>
                <w:szCs w:val="22"/>
              </w:rPr>
              <w:t>FRN:</w:t>
            </w:r>
            <w:r w:rsidRPr="00124FB3" w:rsidR="00E1189A">
              <w:rPr>
                <w:szCs w:val="22"/>
              </w:rPr>
              <w:t xml:space="preserve"> </w:t>
            </w:r>
            <w:r w:rsidR="006D0F55">
              <w:rPr>
                <w:szCs w:val="22"/>
              </w:rPr>
              <w:t xml:space="preserve"> </w:t>
            </w:r>
            <w:r w:rsidRPr="001A0DDA" w:rsidR="001A0DDA">
              <w:rPr>
                <w:szCs w:val="22"/>
              </w:rPr>
              <w:t>0020096277</w:t>
            </w:r>
          </w:p>
          <w:p w:rsidR="001A0DDA" w:rsidP="000C1190" w14:paraId="6F58EBCF" w14:textId="77777777">
            <w:pPr>
              <w:rPr>
                <w:szCs w:val="22"/>
              </w:rPr>
            </w:pPr>
          </w:p>
          <w:p w:rsidR="001A0DDA" w:rsidRPr="00947B4D" w:rsidP="001A0DDA" w14:paraId="132F6D46" w14:textId="48E28479">
            <w:pPr>
              <w:ind w:right="-18"/>
              <w:rPr>
                <w:b/>
                <w:szCs w:val="22"/>
              </w:rPr>
            </w:pPr>
            <w:r w:rsidRPr="00947B4D">
              <w:rPr>
                <w:szCs w:val="22"/>
              </w:rPr>
              <w:t>Facility ID N</w:t>
            </w:r>
            <w:r w:rsidRPr="00132193">
              <w:rPr>
                <w:szCs w:val="22"/>
              </w:rPr>
              <w:t>o.</w:t>
            </w:r>
            <w:r>
              <w:rPr>
                <w:b/>
                <w:szCs w:val="22"/>
              </w:rPr>
              <w:t xml:space="preserve"> </w:t>
            </w:r>
            <w:r w:rsidR="004719D3">
              <w:rPr>
                <w:bCs/>
                <w:szCs w:val="22"/>
              </w:rPr>
              <w:t>24577</w:t>
            </w:r>
          </w:p>
          <w:p w:rsidR="001A0DDA" w:rsidP="001A0DDA" w14:paraId="1D7FD034" w14:textId="14AF7FCD">
            <w:pPr>
              <w:rPr>
                <w:szCs w:val="22"/>
              </w:rPr>
            </w:pPr>
            <w:r>
              <w:rPr>
                <w:szCs w:val="22"/>
              </w:rPr>
              <w:t>File No. 00001</w:t>
            </w:r>
            <w:r w:rsidR="004719D3">
              <w:rPr>
                <w:szCs w:val="22"/>
              </w:rPr>
              <w:t>09964</w:t>
            </w:r>
          </w:p>
          <w:p w:rsidR="00B42250" w:rsidP="00B42250" w14:paraId="42F0D94E" w14:textId="77777777">
            <w:pPr>
              <w:rPr>
                <w:szCs w:val="22"/>
              </w:rPr>
            </w:pPr>
          </w:p>
          <w:p w:rsidR="00B42250" w:rsidRPr="00947B4D" w:rsidP="00B42250" w14:paraId="2CCD689E" w14:textId="77777777">
            <w:pPr>
              <w:ind w:right="-18"/>
              <w:rPr>
                <w:b/>
                <w:szCs w:val="22"/>
              </w:rPr>
            </w:pPr>
            <w:r w:rsidRPr="00947B4D">
              <w:rPr>
                <w:szCs w:val="22"/>
              </w:rPr>
              <w:t>Facility ID N</w:t>
            </w:r>
            <w:r w:rsidRPr="00132193">
              <w:rPr>
                <w:szCs w:val="22"/>
              </w:rPr>
              <w:t>o.</w:t>
            </w:r>
            <w:r>
              <w:rPr>
                <w:b/>
                <w:szCs w:val="22"/>
              </w:rPr>
              <w:t xml:space="preserve"> </w:t>
            </w:r>
            <w:r>
              <w:rPr>
                <w:bCs/>
                <w:szCs w:val="22"/>
              </w:rPr>
              <w:t>70451</w:t>
            </w:r>
          </w:p>
          <w:p w:rsidR="001A0DDA" w:rsidRPr="00947B4D" w:rsidP="000C1190" w14:paraId="41A64382" w14:textId="5B76910E">
            <w:pPr>
              <w:rPr>
                <w:szCs w:val="22"/>
              </w:rPr>
            </w:pPr>
            <w:r>
              <w:rPr>
                <w:szCs w:val="22"/>
              </w:rPr>
              <w:t>File No. 0000109966</w:t>
            </w:r>
          </w:p>
        </w:tc>
      </w:tr>
    </w:tbl>
    <w:p w:rsidR="004756DA" w:rsidP="00EA24F5" w14:paraId="0931A814" w14:textId="77777777">
      <w:pPr>
        <w:jc w:val="center"/>
        <w:rPr>
          <w:b/>
          <w:szCs w:val="22"/>
        </w:rPr>
      </w:pPr>
      <w:r>
        <w:rPr>
          <w:b/>
          <w:szCs w:val="22"/>
        </w:rPr>
        <w:t>MEMORANDUM OPINION AND ORDER</w:t>
      </w:r>
    </w:p>
    <w:p w:rsidR="004756DA" w:rsidRPr="00AA120E" w:rsidP="004756DA" w14:paraId="5109B33F" w14:textId="77777777">
      <w:pPr>
        <w:jc w:val="center"/>
        <w:rPr>
          <w:b/>
          <w:szCs w:val="22"/>
        </w:rPr>
      </w:pPr>
      <w:r>
        <w:rPr>
          <w:b/>
          <w:szCs w:val="22"/>
        </w:rPr>
        <w:t>AND</w:t>
      </w:r>
    </w:p>
    <w:p w:rsidR="004756DA" w:rsidRPr="00947B4D" w:rsidP="004756DA" w14:paraId="7C2E69A0" w14:textId="77777777">
      <w:pPr>
        <w:jc w:val="center"/>
        <w:rPr>
          <w:b/>
          <w:szCs w:val="22"/>
        </w:rPr>
      </w:pPr>
      <w:r w:rsidRPr="00947B4D">
        <w:rPr>
          <w:b/>
          <w:spacing w:val="-2"/>
          <w:szCs w:val="22"/>
        </w:rPr>
        <w:t>NOTICE OF APPARENT LIABILITY FOR FORFEITURE</w:t>
      </w:r>
    </w:p>
    <w:p w:rsidR="004756DA" w:rsidP="004756DA" w14:paraId="1B9714FD" w14:textId="77777777">
      <w:pPr>
        <w:tabs>
          <w:tab w:val="left" w:pos="5760"/>
        </w:tabs>
        <w:rPr>
          <w:szCs w:val="22"/>
        </w:rPr>
      </w:pPr>
    </w:p>
    <w:p w:rsidR="004756DA" w:rsidRPr="00947B4D" w:rsidP="004756DA" w14:paraId="0E0CFD1D" w14:textId="249F995B">
      <w:pPr>
        <w:tabs>
          <w:tab w:val="left" w:pos="5760"/>
        </w:tabs>
        <w:rPr>
          <w:b/>
          <w:szCs w:val="22"/>
        </w:rPr>
      </w:pPr>
      <w:r>
        <w:rPr>
          <w:b/>
          <w:szCs w:val="22"/>
        </w:rPr>
        <w:t xml:space="preserve">Adopted:  </w:t>
      </w:r>
      <w:r w:rsidR="002B031F">
        <w:rPr>
          <w:b/>
          <w:szCs w:val="22"/>
        </w:rPr>
        <w:t>December</w:t>
      </w:r>
      <w:r w:rsidR="00A3167B">
        <w:rPr>
          <w:b/>
          <w:szCs w:val="22"/>
        </w:rPr>
        <w:t xml:space="preserve"> </w:t>
      </w:r>
      <w:r w:rsidR="005A17B1">
        <w:rPr>
          <w:b/>
          <w:szCs w:val="22"/>
        </w:rPr>
        <w:t>1</w:t>
      </w:r>
      <w:r w:rsidR="00990E6C">
        <w:rPr>
          <w:b/>
          <w:szCs w:val="22"/>
        </w:rPr>
        <w:t>, 2020</w:t>
      </w:r>
      <w:r>
        <w:rPr>
          <w:b/>
          <w:szCs w:val="22"/>
        </w:rPr>
        <w:tab/>
        <w:t xml:space="preserve">Released:  </w:t>
      </w:r>
      <w:r w:rsidR="002B031F">
        <w:rPr>
          <w:b/>
          <w:szCs w:val="22"/>
        </w:rPr>
        <w:t>December</w:t>
      </w:r>
      <w:r w:rsidR="00990E6C">
        <w:rPr>
          <w:b/>
          <w:szCs w:val="22"/>
        </w:rPr>
        <w:t xml:space="preserve"> </w:t>
      </w:r>
      <w:r w:rsidR="005A17B1">
        <w:rPr>
          <w:b/>
          <w:szCs w:val="22"/>
        </w:rPr>
        <w:t>2</w:t>
      </w:r>
      <w:r w:rsidR="00990E6C">
        <w:rPr>
          <w:b/>
          <w:szCs w:val="22"/>
        </w:rPr>
        <w:t>, 2020</w:t>
      </w:r>
    </w:p>
    <w:p w:rsidR="004756DA" w:rsidRPr="00947B4D" w:rsidP="004756DA" w14:paraId="2356F4CA" w14:textId="77777777">
      <w:pPr>
        <w:tabs>
          <w:tab w:val="left" w:pos="5760"/>
        </w:tabs>
        <w:rPr>
          <w:b/>
          <w:szCs w:val="22"/>
        </w:rPr>
      </w:pPr>
    </w:p>
    <w:p w:rsidR="004756DA" w:rsidRPr="00947B4D" w:rsidP="004756DA" w14:paraId="59F9A626"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5967E58E" w14:textId="77777777">
      <w:pPr>
        <w:tabs>
          <w:tab w:val="left" w:pos="5760"/>
        </w:tabs>
        <w:rPr>
          <w:szCs w:val="22"/>
        </w:rPr>
      </w:pPr>
    </w:p>
    <w:p w:rsidR="004756DA" w:rsidRPr="00146D8A" w:rsidP="00146D8A" w14:paraId="4CE4050A" w14:textId="7620321D">
      <w:pPr>
        <w:pStyle w:val="Heading1"/>
      </w:pPr>
      <w:r w:rsidRPr="00146D8A">
        <w:t>INTRODUCTION</w:t>
      </w:r>
    </w:p>
    <w:p w:rsidR="004756DA" w:rsidRPr="00875E61" w:rsidP="00146D8A" w14:paraId="03B43C15" w14:textId="575330EB">
      <w:pPr>
        <w:pStyle w:val="ParaNum"/>
        <w:rPr>
          <w:szCs w:val="22"/>
        </w:rPr>
      </w:pPr>
      <w:r>
        <w:t>The Media Bureau (Bureau) has before it the application</w:t>
      </w:r>
      <w:r w:rsidR="004719D3">
        <w:t>s</w:t>
      </w:r>
      <w:r>
        <w:t xml:space="preserve"> (Application</w:t>
      </w:r>
      <w:r w:rsidR="00CF741E">
        <w:t>s</w:t>
      </w:r>
      <w:r>
        <w:t>)</w:t>
      </w:r>
      <w:r>
        <w:rPr>
          <w:rStyle w:val="FootnoteReference"/>
        </w:rPr>
        <w:footnoteReference w:id="2"/>
      </w:r>
      <w:r>
        <w:t xml:space="preserve"> of </w:t>
      </w:r>
      <w:r w:rsidR="004719D3">
        <w:t>Jimmy Dale Media</w:t>
      </w:r>
      <w:r w:rsidR="00A3167B">
        <w:t>, LLC</w:t>
      </w:r>
      <w:r>
        <w:t xml:space="preserve"> (Licensee)</w:t>
      </w:r>
      <w:r w:rsidR="00CE7156">
        <w:t>,</w:t>
      </w:r>
      <w:r>
        <w:t xml:space="preserve"> for renewal of license for </w:t>
      </w:r>
      <w:r w:rsidR="004719D3">
        <w:t>WF</w:t>
      </w:r>
      <w:r w:rsidR="00DD0585">
        <w:t>M</w:t>
      </w:r>
      <w:r w:rsidR="004719D3">
        <w:t>H(AM)</w:t>
      </w:r>
      <w:r w:rsidR="00DD0585">
        <w:t xml:space="preserve"> and WMCJ(AM)</w:t>
      </w:r>
      <w:r>
        <w:t xml:space="preserve">, </w:t>
      </w:r>
      <w:r w:rsidR="004719D3">
        <w:t>Cullman</w:t>
      </w:r>
      <w:r>
        <w:t xml:space="preserve">, </w:t>
      </w:r>
      <w:r w:rsidR="004719D3">
        <w:t>Alabama</w:t>
      </w:r>
      <w:r>
        <w:t xml:space="preserve"> (Station</w:t>
      </w:r>
      <w:r w:rsidR="004719D3">
        <w:t>s</w:t>
      </w:r>
      <w:r>
        <w:t>)</w:t>
      </w:r>
      <w:r w:rsidR="00E306A6">
        <w:t xml:space="preserve">.  </w:t>
      </w:r>
      <w:r w:rsidRPr="00947B4D" w:rsidR="00CE7156">
        <w:t xml:space="preserve">In this </w:t>
      </w:r>
      <w:r w:rsidR="00CE7156">
        <w:rPr>
          <w:i/>
        </w:rPr>
        <w:t xml:space="preserve">Memorandum Opinion and Order and </w:t>
      </w:r>
      <w:r w:rsidRPr="00947B4D" w:rsidR="00CE7156">
        <w:rPr>
          <w:i/>
        </w:rPr>
        <w:t>Notice of Apparent Liability for Forfeiture (NAL)</w:t>
      </w:r>
      <w:r w:rsidRPr="007A2495" w:rsidR="00CE7156">
        <w:t>,</w:t>
      </w:r>
      <w:r>
        <w:rPr>
          <w:rStyle w:val="FootnoteReference"/>
        </w:rPr>
        <w:footnoteReference w:id="3"/>
      </w:r>
      <w:r w:rsidRPr="00947B4D" w:rsidR="00CE7156">
        <w:rPr>
          <w:i/>
        </w:rPr>
        <w:t xml:space="preserve"> </w:t>
      </w:r>
      <w:r w:rsidR="00E306A6">
        <w:t xml:space="preserve">we find that the Licensee apparently willfully violated </w:t>
      </w:r>
      <w:r w:rsidR="007A2495">
        <w:t>s</w:t>
      </w:r>
      <w:r w:rsidR="00E306A6">
        <w:t>ection 73.3539</w:t>
      </w:r>
      <w:r>
        <w:rPr>
          <w:rStyle w:val="FootnoteReference"/>
        </w:rPr>
        <w:footnoteReference w:id="4"/>
      </w:r>
      <w:r w:rsidR="00E306A6">
        <w:t xml:space="preserve"> of the Rules by failing to timely file license renewal application</w:t>
      </w:r>
      <w:r w:rsidR="00EC2859">
        <w:t>s</w:t>
      </w:r>
      <w:r w:rsidR="00E306A6">
        <w:t xml:space="preserve"> for the Station</w:t>
      </w:r>
      <w:r w:rsidR="00EC2859">
        <w:t>s</w:t>
      </w:r>
      <w:r w:rsidR="00E306A6">
        <w:t xml:space="preserve">.  </w:t>
      </w:r>
      <w:r w:rsidRPr="00947B4D" w:rsidR="00CE7156">
        <w:t>Based upon our review of the facts and circumstances before us, we conclude that</w:t>
      </w:r>
      <w:r w:rsidR="00E306A6">
        <w:t xml:space="preserve"> the Licensee</w:t>
      </w:r>
      <w:r w:rsidR="00CE7156">
        <w:t xml:space="preserve"> is </w:t>
      </w:r>
      <w:r w:rsidRPr="00947B4D" w:rsidR="00CE7156">
        <w:t xml:space="preserve">apparently liable for a monetary forfeiture in the amount of </w:t>
      </w:r>
      <w:r w:rsidR="00EC2859">
        <w:t>six</w:t>
      </w:r>
      <w:r w:rsidR="00CE7156">
        <w:t xml:space="preserve"> thousand</w:t>
      </w:r>
      <w:r w:rsidR="00555D44">
        <w:t xml:space="preserve"> </w:t>
      </w:r>
      <w:r w:rsidR="00CE7156">
        <w:t>dollars ($</w:t>
      </w:r>
      <w:r w:rsidR="00EC2859">
        <w:t>6</w:t>
      </w:r>
      <w:r w:rsidR="0070595C">
        <w:t>,0</w:t>
      </w:r>
      <w:r w:rsidR="00CE7156">
        <w:t>00)</w:t>
      </w:r>
      <w:r w:rsidR="000725CB">
        <w:t>.</w:t>
      </w:r>
      <w:r w:rsidR="00E306A6">
        <w:t xml:space="preserve"> </w:t>
      </w:r>
    </w:p>
    <w:p w:rsidR="004756DA" w:rsidRPr="00146D8A" w:rsidP="00146D8A" w14:paraId="06DAAE5B" w14:textId="596FA12B">
      <w:pPr>
        <w:pStyle w:val="Heading1"/>
      </w:pPr>
      <w:r w:rsidRPr="00947B4D">
        <w:t>BACKGROUN</w:t>
      </w:r>
      <w:r w:rsidR="00146D8A">
        <w:t>D</w:t>
      </w:r>
    </w:p>
    <w:p w:rsidR="00BB766F" w:rsidP="002A6A76" w14:paraId="3B87D9F6" w14:textId="3DE3449B">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0029433D">
        <w:t>Applications</w:t>
      </w:r>
      <w:r>
        <w:t xml:space="preserve"> for renewal </w:t>
      </w:r>
      <w:r w:rsidR="00555D44">
        <w:t>of the Stations</w:t>
      </w:r>
      <w:r w:rsidR="0029433D">
        <w:t>’</w:t>
      </w:r>
      <w:r w:rsidR="00555D44">
        <w:t xml:space="preserve"> license</w:t>
      </w:r>
      <w:r w:rsidR="0029433D">
        <w:t>s</w:t>
      </w:r>
      <w:r w:rsidR="00555D44">
        <w:t xml:space="preserve"> should have been filed </w:t>
      </w:r>
      <w:r w:rsidR="00CE7156">
        <w:t xml:space="preserve">by </w:t>
      </w:r>
      <w:r w:rsidR="00AB0851">
        <w:t>December</w:t>
      </w:r>
      <w:r w:rsidR="00B845A6">
        <w:t xml:space="preserve"> </w:t>
      </w:r>
      <w:r w:rsidR="00AB0851">
        <w:t>2</w:t>
      </w:r>
      <w:r w:rsidR="00B845A6">
        <w:t>, 2019</w:t>
      </w:r>
      <w:r w:rsidR="00555D44">
        <w:t>.</w:t>
      </w:r>
      <w:r>
        <w:rPr>
          <w:rStyle w:val="FootnoteReference"/>
          <w:szCs w:val="22"/>
        </w:rPr>
        <w:footnoteReference w:id="6"/>
      </w:r>
      <w:r w:rsidR="000725CB">
        <w:t xml:space="preserve">  </w:t>
      </w:r>
      <w:r w:rsidR="00A205B5">
        <w:t xml:space="preserve">The </w:t>
      </w:r>
      <w:r w:rsidR="00E1189A">
        <w:t>A</w:t>
      </w:r>
      <w:r w:rsidR="00A205B5">
        <w:t>pplication</w:t>
      </w:r>
      <w:r w:rsidR="001E77FB">
        <w:t>s</w:t>
      </w:r>
      <w:r w:rsidR="00A205B5">
        <w:t xml:space="preserve"> </w:t>
      </w:r>
      <w:r w:rsidR="001E77FB">
        <w:t>were</w:t>
      </w:r>
      <w:r w:rsidR="00A205B5">
        <w:t xml:space="preserve"> not filed until</w:t>
      </w:r>
      <w:r w:rsidR="00B845A6">
        <w:t xml:space="preserve"> </w:t>
      </w:r>
      <w:r w:rsidR="001E77FB">
        <w:t>March</w:t>
      </w:r>
      <w:r w:rsidR="0094065F">
        <w:t xml:space="preserve"> 30</w:t>
      </w:r>
      <w:r w:rsidR="0061162E">
        <w:t>, 2020</w:t>
      </w:r>
      <w:r w:rsidR="00A205B5">
        <w:t>.</w:t>
      </w:r>
    </w:p>
    <w:p w:rsidR="00E1189A" w:rsidRPr="00146D8A" w:rsidP="002A6A76" w14:paraId="672DEF0A" w14:textId="5ABCF023">
      <w:pPr>
        <w:pStyle w:val="ParaNum"/>
      </w:pPr>
      <w:r>
        <w:t>Initially,</w:t>
      </w:r>
      <w:r w:rsidR="002A6A76">
        <w:t xml:space="preserve"> t</w:t>
      </w:r>
      <w:r w:rsidR="00A205B5">
        <w:t>he Licensee provide</w:t>
      </w:r>
      <w:r w:rsidR="002A6A76">
        <w:t>d</w:t>
      </w:r>
      <w:r w:rsidR="00A205B5">
        <w:t xml:space="preserve"> no explanation for the untimely filing of the </w:t>
      </w:r>
      <w:r>
        <w:t>A</w:t>
      </w:r>
      <w:r w:rsidR="00A205B5">
        <w:t>pplication</w:t>
      </w:r>
      <w:r w:rsidR="002A6A76">
        <w:t>s</w:t>
      </w:r>
      <w:r w:rsidR="00A205B5">
        <w:t xml:space="preserve">. </w:t>
      </w:r>
      <w:r w:rsidR="002A6A76">
        <w:t xml:space="preserve"> However, in amendments to the Applications filed on </w:t>
      </w:r>
      <w:r w:rsidR="00954C18">
        <w:t>July 16, 2020</w:t>
      </w:r>
      <w:r w:rsidR="002A6A76">
        <w:t xml:space="preserve">, the Licensee </w:t>
      </w:r>
      <w:r w:rsidR="00264B62">
        <w:t>attribute</w:t>
      </w:r>
      <w:r w:rsidR="00B62DAE">
        <w:t>d</w:t>
      </w:r>
      <w:r w:rsidR="00264B62">
        <w:t xml:space="preserve"> his failure to timely file the Applications to the fact</w:t>
      </w:r>
      <w:r w:rsidR="00237847">
        <w:t xml:space="preserve"> that</w:t>
      </w:r>
      <w:r w:rsidR="000B597B">
        <w:t xml:space="preserve">, at the time the Applications were due, he </w:t>
      </w:r>
      <w:r w:rsidR="00AE2BF7">
        <w:t xml:space="preserve">was “struggling </w:t>
      </w:r>
      <w:r w:rsidR="00AE2BF7">
        <w:t>financially”</w:t>
      </w:r>
      <w:r w:rsidR="00237847">
        <w:t xml:space="preserve">—and </w:t>
      </w:r>
      <w:r w:rsidR="001F4E88">
        <w:t>“working days and many nights”</w:t>
      </w:r>
      <w:r w:rsidR="00237847">
        <w:t>—</w:t>
      </w:r>
      <w:r w:rsidR="00AE2BF7">
        <w:t>to keep the Stations on the air</w:t>
      </w:r>
      <w:r w:rsidR="002A6A76">
        <w:t>.</w:t>
      </w:r>
      <w:r>
        <w:rPr>
          <w:rStyle w:val="FootnoteReference"/>
        </w:rPr>
        <w:footnoteReference w:id="7"/>
      </w:r>
      <w:r w:rsidR="001F4E88">
        <w:t xml:space="preserve">  </w:t>
      </w:r>
      <w:r w:rsidR="00237847">
        <w:t>The Licensee</w:t>
      </w:r>
      <w:r w:rsidR="001F4E88">
        <w:t xml:space="preserve"> states that he was not “advised by legal counsel as to the FCC’s rules and requirements for the license renewal process or other filings</w:t>
      </w:r>
      <w:r w:rsidR="00F62DE4">
        <w:t>.”</w:t>
      </w:r>
      <w:r>
        <w:rPr>
          <w:rStyle w:val="FootnoteReference"/>
        </w:rPr>
        <w:footnoteReference w:id="8"/>
      </w:r>
      <w:r w:rsidR="00F62DE4">
        <w:t xml:space="preserve">  He notes that he engaged counsel prior to the expiration of the Stations’ licenses</w:t>
      </w:r>
      <w:r w:rsidR="00886098">
        <w:t>, and that counsel assisted him in filing the Applications and updated him on the Commission’s rules and regulations.</w:t>
      </w:r>
      <w:r>
        <w:rPr>
          <w:rStyle w:val="FootnoteReference"/>
        </w:rPr>
        <w:footnoteReference w:id="9"/>
      </w:r>
      <w:r w:rsidR="00886098">
        <w:t xml:space="preserve">  The Licensee </w:t>
      </w:r>
      <w:r w:rsidR="00C30C14">
        <w:t xml:space="preserve">further </w:t>
      </w:r>
      <w:r w:rsidR="00437E38">
        <w:t>indicates that he “will sincerely endeavor to comply with all FCC rules and regulations” in the future</w:t>
      </w:r>
      <w:r w:rsidR="00556B4F">
        <w:t>, and notes he now has counsel to advise him.</w:t>
      </w:r>
      <w:r>
        <w:rPr>
          <w:rStyle w:val="FootnoteReference"/>
        </w:rPr>
        <w:footnoteReference w:id="10"/>
      </w:r>
      <w:r w:rsidR="00556B4F">
        <w:t xml:space="preserve">  Finally, </w:t>
      </w:r>
      <w:r w:rsidR="00C30C14">
        <w:t>he</w:t>
      </w:r>
      <w:r w:rsidR="00556B4F">
        <w:t xml:space="preserve"> </w:t>
      </w:r>
      <w:r w:rsidR="00B7626A">
        <w:t>states that he has joined the Alabama Broadcasters Association, which will “keep [him] up to date on deadlines and requirements.”</w:t>
      </w:r>
      <w:r>
        <w:rPr>
          <w:rStyle w:val="FootnoteReference"/>
        </w:rPr>
        <w:footnoteReference w:id="11"/>
      </w:r>
    </w:p>
    <w:p w:rsidR="004756DA" w:rsidRPr="00146D8A" w:rsidP="00146D8A" w14:paraId="4F0344A3" w14:textId="6D0F47CF">
      <w:pPr>
        <w:pStyle w:val="Heading1"/>
        <w:rPr>
          <w:szCs w:val="22"/>
        </w:rPr>
      </w:pPr>
      <w:r w:rsidRPr="00753410">
        <w:t>DISCUSSION</w:t>
      </w:r>
    </w:p>
    <w:p w:rsidR="004756DA" w:rsidRPr="00146D8A" w:rsidP="00BB766F" w14:paraId="17383413" w14:textId="1E021065">
      <w:pPr>
        <w:pStyle w:val="ParaNum"/>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12"/>
      </w:r>
      <w:r w:rsidRPr="003D204D" w:rsidR="000725CB">
        <w:rPr>
          <w:rFonts w:eastAsia="SimSun"/>
        </w:rPr>
        <w:t xml:space="preserve">  S</w:t>
      </w:r>
      <w:r w:rsidRPr="003D204D" w:rsidR="00CE7156">
        <w:rPr>
          <w:rFonts w:eastAsia="SimSun"/>
        </w:rPr>
        <w:t>ection 312(f)(1) of the Act defines willful as “the conscious and deliberate commission or omission of [any] act, ir</w:t>
      </w:r>
      <w:bookmarkStart w:id="0" w:name="_GoBack"/>
      <w:bookmarkEnd w:id="0"/>
      <w:r w:rsidRPr="003D204D" w:rsidR="00CE7156">
        <w:rPr>
          <w:rFonts w:eastAsia="SimSun"/>
        </w:rPr>
        <w:t>respective of any intent to violate” the law.</w:t>
      </w:r>
      <w:r>
        <w:rPr>
          <w:rFonts w:eastAsia="SimSun"/>
          <w:vertAlign w:val="superscript"/>
        </w:rPr>
        <w:footnoteReference w:id="13"/>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14"/>
      </w:r>
      <w:r w:rsidRPr="003D204D" w:rsidR="00CE7156">
        <w:rPr>
          <w:rFonts w:eastAsia="SimSun"/>
        </w:rPr>
        <w:t xml:space="preserve"> and the Commission has so interpreted the term in the section 503(b) context.</w:t>
      </w:r>
      <w:r>
        <w:rPr>
          <w:rFonts w:eastAsia="SimSun"/>
          <w:vertAlign w:val="superscript"/>
        </w:rPr>
        <w:footnoteReference w:id="15"/>
      </w:r>
    </w:p>
    <w:p w:rsidR="004756DA" w:rsidRPr="00B41739" w:rsidP="00BB766F" w14:paraId="45F994CC" w14:textId="3236ECCA">
      <w:pPr>
        <w:pStyle w:val="ParaNum"/>
      </w:pPr>
      <w:r>
        <w:t xml:space="preserve">The Commission's </w:t>
      </w:r>
      <w:r w:rsidRPr="312387CC">
        <w:rPr>
          <w:i/>
          <w:iCs/>
        </w:rPr>
        <w:t>Forfeiture Policy Statement</w:t>
      </w:r>
      <w:r>
        <w:t xml:space="preserve"> and </w:t>
      </w:r>
      <w:r w:rsidR="000725CB">
        <w:t>s</w:t>
      </w:r>
      <w:r>
        <w:t>ection 1.80(b)(</w:t>
      </w:r>
      <w:r w:rsidR="2D2DD86D">
        <w:t>9</w:t>
      </w:r>
      <w:r>
        <w:t>) of the Rules establish a base forfeiture amount of $</w:t>
      </w:r>
      <w:r w:rsidRPr="002C7A8A">
        <w:t>3,000</w:t>
      </w:r>
      <w:r>
        <w:t xml:space="preserve"> for the failure to </w:t>
      </w:r>
      <w:r w:rsidR="000D35A2">
        <w:t xml:space="preserve">timely </w:t>
      </w:r>
      <w:r>
        <w:t>file a required form.</w:t>
      </w:r>
      <w:r>
        <w:rPr>
          <w:rStyle w:val="FootnoteReference"/>
        </w:rPr>
        <w:footnoteReference w:id="16"/>
      </w:r>
      <w:r>
        <w:t xml:space="preserve">  In determining the appropriate forfeiture amount, we may adjust the base amount upward or downward by considering the factors enumerated in </w:t>
      </w:r>
      <w:r w:rsidR="00EF7C70">
        <w:t>s</w:t>
      </w:r>
      <w:r>
        <w:t>ection 503(b)(2)(</w:t>
      </w:r>
      <w:r w:rsidR="006F5EF8">
        <w:t>E</w:t>
      </w:r>
      <w: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7"/>
      </w:r>
    </w:p>
    <w:p w:rsidR="00895A3D" w:rsidP="00147043" w14:paraId="3AE8E092" w14:textId="4BECB8AD">
      <w:pPr>
        <w:pStyle w:val="ParaNum"/>
        <w:rPr>
          <w:szCs w:val="22"/>
        </w:rPr>
      </w:pPr>
      <w:r>
        <w:rPr>
          <w:szCs w:val="22"/>
        </w:rPr>
        <w:t xml:space="preserve">In this case, </w:t>
      </w:r>
      <w:r w:rsidR="00390926">
        <w:rPr>
          <w:szCs w:val="22"/>
        </w:rPr>
        <w:t xml:space="preserve">the </w:t>
      </w:r>
      <w:r w:rsidRPr="00B41739" w:rsidR="00B41739">
        <w:rPr>
          <w:szCs w:val="22"/>
        </w:rPr>
        <w:t xml:space="preserve">Licensee does not dispute that </w:t>
      </w:r>
      <w:r w:rsidR="00C30C14">
        <w:rPr>
          <w:szCs w:val="22"/>
        </w:rPr>
        <w:t>he</w:t>
      </w:r>
      <w:r w:rsidRPr="00B41739" w:rsidR="00B41739">
        <w:rPr>
          <w:szCs w:val="22"/>
        </w:rPr>
        <w:t xml:space="preserve"> failed to file timely renewal application</w:t>
      </w:r>
      <w:r>
        <w:rPr>
          <w:szCs w:val="22"/>
        </w:rPr>
        <w:t>s</w:t>
      </w:r>
      <w:r w:rsidRPr="00B41739" w:rsidR="00B41739">
        <w:rPr>
          <w:szCs w:val="22"/>
        </w:rPr>
        <w:t xml:space="preserve"> for the Station</w:t>
      </w:r>
      <w:r>
        <w:rPr>
          <w:szCs w:val="22"/>
        </w:rPr>
        <w:t>s</w:t>
      </w:r>
      <w:r w:rsidR="00C30C14">
        <w:rPr>
          <w:szCs w:val="22"/>
        </w:rPr>
        <w:t>.  Instead, he</w:t>
      </w:r>
      <w:r w:rsidRPr="00B41739" w:rsidR="00B41739">
        <w:rPr>
          <w:szCs w:val="22"/>
        </w:rPr>
        <w:t xml:space="preserve"> claims </w:t>
      </w:r>
      <w:r w:rsidR="00650F19">
        <w:rPr>
          <w:szCs w:val="22"/>
        </w:rPr>
        <w:t>he</w:t>
      </w:r>
      <w:r w:rsidRPr="00B41739" w:rsidR="00B41739">
        <w:rPr>
          <w:szCs w:val="22"/>
        </w:rPr>
        <w:t xml:space="preserve"> failed to timely file because </w:t>
      </w:r>
      <w:r w:rsidR="00461220">
        <w:rPr>
          <w:szCs w:val="22"/>
        </w:rPr>
        <w:t xml:space="preserve">he was unaware of the Commission’s rules and requirements regarding </w:t>
      </w:r>
      <w:r w:rsidR="006759A5">
        <w:rPr>
          <w:szCs w:val="22"/>
        </w:rPr>
        <w:t xml:space="preserve">license renewals.  The </w:t>
      </w:r>
      <w:r w:rsidRPr="00B41739" w:rsidR="00B41739">
        <w:rPr>
          <w:szCs w:val="22"/>
        </w:rPr>
        <w:t>Commission has hel</w:t>
      </w:r>
      <w:r w:rsidR="006759A5">
        <w:rPr>
          <w:szCs w:val="22"/>
        </w:rPr>
        <w:t>d, however,</w:t>
      </w:r>
      <w:r w:rsidRPr="00B41739" w:rsidR="00B41739">
        <w:rPr>
          <w:szCs w:val="22"/>
        </w:rPr>
        <w:t xml:space="preserve"> that violations resulting from </w:t>
      </w:r>
      <w:r w:rsidR="006759A5">
        <w:rPr>
          <w:szCs w:val="22"/>
        </w:rPr>
        <w:t xml:space="preserve">a </w:t>
      </w:r>
      <w:r w:rsidRPr="00B41739" w:rsidR="00B41739">
        <w:rPr>
          <w:szCs w:val="22"/>
        </w:rPr>
        <w:t>failure to become familiar with the Commission</w:t>
      </w:r>
      <w:r w:rsidR="002254E3">
        <w:rPr>
          <w:szCs w:val="22"/>
        </w:rPr>
        <w:t>’</w:t>
      </w:r>
      <w:r w:rsidRPr="00B41739" w:rsidR="00B41739">
        <w:rPr>
          <w:szCs w:val="22"/>
        </w:rPr>
        <w:t xml:space="preserve">s requirements are willful </w:t>
      </w:r>
      <w:r w:rsidRPr="00B41739" w:rsidR="00B41739">
        <w:rPr>
          <w:szCs w:val="22"/>
        </w:rPr>
        <w:t>violations.</w:t>
      </w:r>
      <w:r>
        <w:rPr>
          <w:rStyle w:val="FootnoteReference"/>
          <w:szCs w:val="22"/>
        </w:rPr>
        <w:footnoteReference w:id="18"/>
      </w:r>
      <w:r w:rsidR="006759A5">
        <w:rPr>
          <w:szCs w:val="22"/>
        </w:rPr>
        <w:t xml:space="preserve">  </w:t>
      </w:r>
      <w:r w:rsidR="005E185C">
        <w:rPr>
          <w:szCs w:val="22"/>
        </w:rPr>
        <w:t xml:space="preserve">Further, </w:t>
      </w:r>
      <w:r w:rsidR="00814161">
        <w:rPr>
          <w:szCs w:val="22"/>
        </w:rPr>
        <w:t xml:space="preserve">while the Licensee asserts that the Stations are struggling financially, he </w:t>
      </w:r>
      <w:r w:rsidR="00977910">
        <w:rPr>
          <w:szCs w:val="22"/>
        </w:rPr>
        <w:t>provided</w:t>
      </w:r>
      <w:r w:rsidR="0027189D">
        <w:rPr>
          <w:szCs w:val="22"/>
        </w:rPr>
        <w:t xml:space="preserve"> no documentation </w:t>
      </w:r>
      <w:r w:rsidR="007958AA">
        <w:rPr>
          <w:szCs w:val="22"/>
        </w:rPr>
        <w:t xml:space="preserve">that would allow us to evaluate </w:t>
      </w:r>
      <w:r w:rsidR="00A931AE">
        <w:rPr>
          <w:szCs w:val="22"/>
        </w:rPr>
        <w:t>his ability to pay</w:t>
      </w:r>
      <w:r w:rsidR="007958AA">
        <w:rPr>
          <w:szCs w:val="22"/>
        </w:rPr>
        <w:t xml:space="preserve">.  </w:t>
      </w:r>
      <w:r w:rsidR="00A931AE">
        <w:rPr>
          <w:szCs w:val="22"/>
        </w:rPr>
        <w:t xml:space="preserve">Finally, to the extent that the Licensee indicates he </w:t>
      </w:r>
      <w:r w:rsidRPr="00A931AE" w:rsidR="00A931AE">
        <w:rPr>
          <w:szCs w:val="22"/>
        </w:rPr>
        <w:t>has</w:t>
      </w:r>
      <w:r w:rsidRPr="00A931AE" w:rsidR="007852DE">
        <w:rPr>
          <w:szCs w:val="22"/>
        </w:rPr>
        <w:t xml:space="preserve"> taken steps to ensure</w:t>
      </w:r>
      <w:r w:rsidR="00A931AE">
        <w:rPr>
          <w:szCs w:val="22"/>
        </w:rPr>
        <w:t xml:space="preserve"> full compliance with the Commission’s rules and requirements going forward,</w:t>
      </w:r>
      <w:r w:rsidR="00977910">
        <w:rPr>
          <w:szCs w:val="22"/>
        </w:rPr>
        <w:t xml:space="preserve"> we applaud his efforts.  However, we note that</w:t>
      </w:r>
      <w:r w:rsidR="00A931AE">
        <w:rPr>
          <w:szCs w:val="22"/>
        </w:rPr>
        <w:t xml:space="preserve"> </w:t>
      </w:r>
      <w:r w:rsidR="00DC308F">
        <w:rPr>
          <w:szCs w:val="22"/>
        </w:rPr>
        <w:t>those efforts</w:t>
      </w:r>
      <w:r w:rsidR="000B55BE">
        <w:rPr>
          <w:szCs w:val="22"/>
        </w:rPr>
        <w:t xml:space="preserve"> </w:t>
      </w:r>
      <w:r w:rsidR="00DC308F">
        <w:rPr>
          <w:szCs w:val="22"/>
        </w:rPr>
        <w:t>do</w:t>
      </w:r>
      <w:r w:rsidR="000B55BE">
        <w:rPr>
          <w:szCs w:val="22"/>
        </w:rPr>
        <w:t xml:space="preserve"> not excuse</w:t>
      </w:r>
      <w:r w:rsidR="00513D70">
        <w:rPr>
          <w:szCs w:val="22"/>
        </w:rPr>
        <w:t xml:space="preserve"> or mitigate</w:t>
      </w:r>
      <w:r w:rsidR="000B55BE">
        <w:rPr>
          <w:szCs w:val="22"/>
        </w:rPr>
        <w:t xml:space="preserve"> the violations at issue here</w:t>
      </w:r>
      <w:r w:rsidRPr="00A931AE" w:rsidR="007852DE">
        <w:rPr>
          <w:szCs w:val="22"/>
        </w:rPr>
        <w:t xml:space="preserve">. </w:t>
      </w:r>
      <w:r w:rsidR="00513D70">
        <w:rPr>
          <w:szCs w:val="22"/>
        </w:rPr>
        <w:t xml:space="preserve"> </w:t>
      </w:r>
      <w:r w:rsidR="00DC308F">
        <w:rPr>
          <w:szCs w:val="22"/>
        </w:rPr>
        <w:t>The Commission has repeatedly held that c</w:t>
      </w:r>
      <w:r w:rsidRPr="00A931AE" w:rsidR="007852DE">
        <w:rPr>
          <w:szCs w:val="22"/>
        </w:rPr>
        <w:t>orrective action taken to come into compliance with the Rules is expected, and does not nullify or mitigate any prior forfeitures or violations.</w:t>
      </w:r>
      <w:r>
        <w:rPr>
          <w:rStyle w:val="FootnoteReference"/>
          <w:szCs w:val="22"/>
        </w:rPr>
        <w:footnoteReference w:id="19"/>
      </w:r>
      <w:r w:rsidR="009B416F">
        <w:rPr>
          <w:szCs w:val="22"/>
        </w:rPr>
        <w:t xml:space="preserve">  </w:t>
      </w:r>
    </w:p>
    <w:p w:rsidR="004756DA" w:rsidRPr="00147043" w:rsidP="00147043" w14:paraId="08E1C82C" w14:textId="051FFFC8">
      <w:pPr>
        <w:pStyle w:val="ParaNum"/>
        <w:rPr>
          <w:szCs w:val="22"/>
        </w:rPr>
      </w:pPr>
      <w:r>
        <w:rPr>
          <w:szCs w:val="22"/>
        </w:rPr>
        <w:t>B</w:t>
      </w:r>
      <w:r w:rsidR="009B416F">
        <w:rPr>
          <w:szCs w:val="22"/>
        </w:rPr>
        <w:t>ased on the record before us, we find that there</w:t>
      </w:r>
      <w:r w:rsidRPr="009B416F" w:rsidR="009B416F">
        <w:rPr>
          <w:szCs w:val="22"/>
        </w:rPr>
        <w:t xml:space="preserve"> are no factors that would justify a downward adjustment of the forfeiture amount.</w:t>
      </w:r>
      <w:r w:rsidR="00147043">
        <w:rPr>
          <w:szCs w:val="22"/>
        </w:rPr>
        <w:t xml:space="preserve">  </w:t>
      </w:r>
      <w:r w:rsidRPr="00147043" w:rsidR="00600AB4">
        <w:rPr>
          <w:szCs w:val="22"/>
        </w:rPr>
        <w:t xml:space="preserve">Taking into consideration all of the factors required by </w:t>
      </w:r>
      <w:r w:rsidRPr="00147043" w:rsidR="004450EA">
        <w:rPr>
          <w:szCs w:val="22"/>
        </w:rPr>
        <w:t>s</w:t>
      </w:r>
      <w:r w:rsidRPr="00147043" w:rsidR="00600AB4">
        <w:rPr>
          <w:szCs w:val="22"/>
        </w:rPr>
        <w:t>ection 503(b)(2)(</w:t>
      </w:r>
      <w:r w:rsidRPr="00147043" w:rsidR="000027A9">
        <w:rPr>
          <w:szCs w:val="22"/>
        </w:rPr>
        <w:t>E</w:t>
      </w:r>
      <w:r w:rsidRPr="00147043" w:rsidR="00600AB4">
        <w:rPr>
          <w:szCs w:val="22"/>
        </w:rPr>
        <w:t xml:space="preserve">) of the Act and the </w:t>
      </w:r>
      <w:r w:rsidRPr="00147043" w:rsidR="00600AB4">
        <w:rPr>
          <w:i/>
          <w:szCs w:val="22"/>
        </w:rPr>
        <w:t>Forfeiture Policy Statement</w:t>
      </w:r>
      <w:r w:rsidRPr="00147043" w:rsidR="00600AB4">
        <w:rPr>
          <w:szCs w:val="22"/>
        </w:rPr>
        <w:t xml:space="preserve">, we </w:t>
      </w:r>
      <w:r w:rsidR="005E1CC9">
        <w:rPr>
          <w:szCs w:val="22"/>
        </w:rPr>
        <w:t xml:space="preserve">propose </w:t>
      </w:r>
      <w:r w:rsidR="00513C3C">
        <w:rPr>
          <w:szCs w:val="22"/>
        </w:rPr>
        <w:t xml:space="preserve">the full </w:t>
      </w:r>
      <w:r w:rsidRPr="00147043" w:rsidR="00B21D6D">
        <w:rPr>
          <w:szCs w:val="22"/>
        </w:rPr>
        <w:t>$3,000</w:t>
      </w:r>
      <w:r w:rsidR="00AF6593">
        <w:rPr>
          <w:szCs w:val="22"/>
        </w:rPr>
        <w:t xml:space="preserve"> forfeiture</w:t>
      </w:r>
      <w:r w:rsidRPr="00147043" w:rsidR="00B21D6D">
        <w:rPr>
          <w:szCs w:val="22"/>
        </w:rPr>
        <w:t xml:space="preserve"> amount for </w:t>
      </w:r>
      <w:r w:rsidR="00D8125B">
        <w:rPr>
          <w:szCs w:val="22"/>
        </w:rPr>
        <w:t>each late-filed renewal application</w:t>
      </w:r>
      <w:r w:rsidR="00AF6593">
        <w:rPr>
          <w:szCs w:val="22"/>
        </w:rPr>
        <w:t xml:space="preserve">.  Accordingly, we propose </w:t>
      </w:r>
      <w:r w:rsidR="00866054">
        <w:rPr>
          <w:szCs w:val="22"/>
        </w:rPr>
        <w:t>a total forfeiture of six thousand dollars ($6,000)</w:t>
      </w:r>
      <w:r w:rsidRPr="00147043" w:rsidR="00600AB4">
        <w:rPr>
          <w:szCs w:val="22"/>
        </w:rPr>
        <w:t>.</w:t>
      </w:r>
      <w:r w:rsidR="00895A3D">
        <w:rPr>
          <w:szCs w:val="22"/>
        </w:rPr>
        <w:t xml:space="preserve">  </w:t>
      </w:r>
    </w:p>
    <w:p w:rsidR="004756DA" w:rsidP="00BB766F" w14:paraId="2FD1EBCF" w14:textId="1DBE7103">
      <w:pPr>
        <w:pStyle w:val="ParaNum"/>
      </w:pPr>
      <w:r>
        <w:rPr>
          <w:i/>
          <w:szCs w:val="22"/>
        </w:rPr>
        <w:t>License Renewal Application</w:t>
      </w:r>
      <w:r w:rsidR="00866054">
        <w:rPr>
          <w:i/>
          <w:szCs w:val="22"/>
        </w:rPr>
        <w:t>s</w:t>
      </w:r>
      <w:r>
        <w:rPr>
          <w:i/>
          <w:szCs w:val="22"/>
        </w:rPr>
        <w:t>.</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20"/>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21"/>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22"/>
      </w:r>
      <w:r w:rsidRPr="00947B4D" w:rsidR="00CE7156">
        <w:t xml:space="preserve"> </w:t>
      </w:r>
    </w:p>
    <w:p w:rsidR="004756DA" w:rsidRPr="00EE4177" w:rsidP="00BB766F" w14:paraId="55B9D636" w14:textId="75D46018">
      <w:pPr>
        <w:pStyle w:val="ParaNum"/>
      </w:pPr>
      <w:r>
        <w:t xml:space="preserve">We </w:t>
      </w:r>
      <w:r w:rsidRPr="005F5ACF">
        <w:t xml:space="preserve">find that </w:t>
      </w:r>
      <w:r>
        <w:t xml:space="preserve">the Licensee’s apparent </w:t>
      </w:r>
      <w:r w:rsidRPr="005F5ACF">
        <w:t>violation</w:t>
      </w:r>
      <w:r w:rsidR="00B061AF">
        <w:t>s</w:t>
      </w:r>
      <w:r w:rsidRPr="005F5ACF">
        <w:t xml:space="preserve"> of </w:t>
      </w:r>
      <w:r w:rsidR="00874E66">
        <w:t>s</w:t>
      </w:r>
      <w:r w:rsidRPr="005F5ACF">
        <w:t>ection</w:t>
      </w:r>
      <w:r>
        <w:t xml:space="preserve"> 73.3539 of the Rules </w:t>
      </w:r>
      <w:r w:rsidR="00B061AF">
        <w:t>do</w:t>
      </w:r>
      <w:r>
        <w:t xml:space="preserve">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23"/>
      </w:r>
      <w:r w:rsidRPr="005F5ACF">
        <w:t xml:space="preserve">  </w:t>
      </w:r>
      <w:r w:rsidRPr="005F5ACF">
        <w:rPr>
          <w:spacing w:val="-2"/>
        </w:rPr>
        <w:t xml:space="preserve">Further, </w:t>
      </w:r>
      <w:r>
        <w:rPr>
          <w:spacing w:val="-2"/>
        </w:rPr>
        <w:t xml:space="preserve">based on our review of the </w:t>
      </w:r>
      <w:r w:rsidR="00E1189A">
        <w:rPr>
          <w:spacing w:val="-2"/>
        </w:rPr>
        <w:t>A</w:t>
      </w:r>
      <w:r>
        <w:rPr>
          <w:spacing w:val="-2"/>
        </w:rPr>
        <w:t>pplication</w:t>
      </w:r>
      <w:r w:rsidR="005452A5">
        <w:rPr>
          <w:spacing w:val="-2"/>
        </w:rPr>
        <w:t>s</w:t>
      </w:r>
      <w:r>
        <w:rPr>
          <w:spacing w:val="-2"/>
        </w:rPr>
        <w:t xml:space="preserve">, </w:t>
      </w:r>
      <w:r w:rsidRPr="005F5ACF">
        <w:rPr>
          <w:spacing w:val="-2"/>
        </w:rPr>
        <w:t>we find that</w:t>
      </w:r>
      <w:r>
        <w:rPr>
          <w:spacing w:val="-2"/>
        </w:rPr>
        <w:t xml:space="preserve"> the</w:t>
      </w:r>
      <w:r>
        <w:t xml:space="preserve"> S</w:t>
      </w:r>
      <w:r w:rsidRPr="005F5ACF">
        <w:t>tation</w:t>
      </w:r>
      <w:r w:rsidR="00B061AF">
        <w:t>s</w:t>
      </w:r>
      <w:r w:rsidRPr="005F5ACF">
        <w:t xml:space="preserve"> served the public interest, convenience, and necessity during the subject license term</w:t>
      </w:r>
      <w:r w:rsidR="00B061AF">
        <w:t>s</w:t>
      </w:r>
      <w:r w:rsidRPr="005F5ACF">
        <w:t>.</w:t>
      </w:r>
      <w:r>
        <w:t xml:space="preserve">  We will therefore grant the </w:t>
      </w:r>
      <w:r w:rsidR="00E1189A">
        <w:t>A</w:t>
      </w:r>
      <w:r>
        <w:t>pplication</w:t>
      </w:r>
      <w:r w:rsidR="00B061AF">
        <w:t>s</w:t>
      </w:r>
      <w:r>
        <w:t xml:space="preserve"> by separate action upon the conclusion of this forfeiture proceeding if there are no issues other than the apparent violation</w:t>
      </w:r>
      <w:r w:rsidR="005452A5">
        <w:t>s</w:t>
      </w:r>
      <w:r>
        <w:t xml:space="preserve"> that would preclude grant of the </w:t>
      </w:r>
      <w:r w:rsidR="00E1189A">
        <w:t>A</w:t>
      </w:r>
      <w:r>
        <w:t>pplication</w:t>
      </w:r>
      <w:r w:rsidR="00B061AF">
        <w:t>s</w:t>
      </w:r>
      <w:r>
        <w:t>.</w:t>
      </w:r>
    </w:p>
    <w:p w:rsidR="004756DA" w:rsidRPr="00146D8A" w:rsidP="00146D8A" w14:paraId="3D356156" w14:textId="715E117C">
      <w:pPr>
        <w:pStyle w:val="Heading1"/>
      </w:pPr>
      <w:r w:rsidRPr="00947B4D">
        <w:t>ORDERING CLAUSES</w:t>
      </w:r>
    </w:p>
    <w:p w:rsidR="004756DA" w:rsidRPr="00146D8A" w:rsidP="002B1850" w14:paraId="198845A0" w14:textId="7CDD5818">
      <w:pPr>
        <w:pStyle w:val="ParaNum"/>
        <w:widowControl/>
      </w:pPr>
      <w:r w:rsidRPr="00947B4D">
        <w:t xml:space="preserve">Accordingly, IT IS ORDERED, pursuant to </w:t>
      </w:r>
      <w:r w:rsidR="00EB05E5">
        <w:t>s</w:t>
      </w:r>
      <w:r w:rsidRPr="00947B4D">
        <w:t xml:space="preserve">ection 503(b) of the Communications Act of 1934, as amended, and </w:t>
      </w:r>
      <w:r w:rsidR="00EB05E5">
        <w:t>s</w:t>
      </w:r>
      <w:r w:rsidRPr="00947B4D">
        <w:t xml:space="preserve">ection 1.80 of the Commission’s </w:t>
      </w:r>
      <w:r w:rsidR="00EC1019">
        <w:t>r</w:t>
      </w:r>
      <w:r w:rsidRPr="00947B4D">
        <w:t>ules, that</w:t>
      </w:r>
      <w:r w:rsidR="002C7A8A">
        <w:t xml:space="preserve"> </w:t>
      </w:r>
      <w:r w:rsidR="004C0122">
        <w:t>Jimmy Dale Media</w:t>
      </w:r>
      <w:r w:rsidR="00CC33CA">
        <w:t>, LLC</w:t>
      </w:r>
      <w:r w:rsidR="002C18A9">
        <w:t>,</w:t>
      </w:r>
      <w:r w:rsidRPr="00947B4D">
        <w:rPr>
          <w:b/>
        </w:rPr>
        <w:t xml:space="preserve"> </w:t>
      </w:r>
      <w:r>
        <w:t>is hereby NOTIFIED of its</w:t>
      </w:r>
      <w:r w:rsidRPr="00947B4D">
        <w:t xml:space="preserve"> APPARENT LIABILITY FOR FORFEITURE in the amount of </w:t>
      </w:r>
      <w:r w:rsidR="004C0122">
        <w:t>six</w:t>
      </w:r>
      <w:r w:rsidR="00EE4177">
        <w:t xml:space="preserve"> thousand dollars (</w:t>
      </w:r>
      <w:r w:rsidRPr="00947B4D">
        <w:t>$</w:t>
      </w:r>
      <w:r w:rsidR="004C0122">
        <w:t>6</w:t>
      </w:r>
      <w:r>
        <w:t>,</w:t>
      </w:r>
      <w:r w:rsidR="00862E93">
        <w:t>0</w:t>
      </w:r>
      <w:r>
        <w:t>00</w:t>
      </w:r>
      <w:r w:rsidR="00EE4177">
        <w:t>)</w:t>
      </w:r>
      <w:r w:rsidRPr="00947B4D">
        <w:t xml:space="preserve"> for </w:t>
      </w:r>
      <w:r>
        <w:t>its apparent willful violation</w:t>
      </w:r>
      <w:r w:rsidR="004C0122">
        <w:t>s</w:t>
      </w:r>
      <w:r>
        <w:t xml:space="preserve"> of </w:t>
      </w:r>
      <w:r w:rsidR="00EB05E5">
        <w:t>s</w:t>
      </w:r>
      <w:r>
        <w:t xml:space="preserve">ection </w:t>
      </w:r>
      <w:r w:rsidR="00EE4177">
        <w:t>73.3539</w:t>
      </w:r>
      <w:r w:rsidRPr="00947B4D">
        <w:t xml:space="preserve"> of the</w:t>
      </w:r>
      <w:r w:rsidR="00EE4177">
        <w:t xml:space="preserve"> </w:t>
      </w:r>
      <w:r w:rsidRPr="00947B4D">
        <w:t xml:space="preserve">Commission’s </w:t>
      </w:r>
      <w:r w:rsidR="00EE4177">
        <w:t>r</w:t>
      </w:r>
      <w:r w:rsidRPr="00947B4D">
        <w:t>ules.</w:t>
      </w:r>
    </w:p>
    <w:p w:rsidR="004756DA" w:rsidRPr="00146D8A" w:rsidP="00BB766F" w14:paraId="0E07E99C" w14:textId="3773CBBF">
      <w:pPr>
        <w:pStyle w:val="ParaNum"/>
      </w:pPr>
      <w:r w:rsidRPr="00947B4D">
        <w:t xml:space="preserve">IT IS FURTHER ORDERED, pursuant to </w:t>
      </w:r>
      <w:r w:rsidR="00EB05E5">
        <w:t>s</w:t>
      </w:r>
      <w:r w:rsidRPr="00947B4D">
        <w:t xml:space="preserve">ection 1.80 of the Commission’s </w:t>
      </w:r>
      <w:r w:rsidR="00EB05E5">
        <w:t>r</w:t>
      </w:r>
      <w:r w:rsidRPr="00947B4D">
        <w:t xml:space="preserve">ules, that, within thirty (30) days of the release date of this </w:t>
      </w:r>
      <w:r w:rsidRPr="00947B4D">
        <w:rPr>
          <w:i/>
        </w:rPr>
        <w:t>NAL,</w:t>
      </w:r>
      <w:r w:rsidRPr="00947B4D">
        <w:t xml:space="preserve"> </w:t>
      </w:r>
      <w:r w:rsidR="004C0122">
        <w:t>Jimmy Dale Media</w:t>
      </w:r>
      <w:r w:rsidR="00CC33CA">
        <w:t>, LLC</w:t>
      </w:r>
      <w:r w:rsidR="002C18A9">
        <w:t>,</w:t>
      </w:r>
      <w:r w:rsidRPr="00947B4D" w:rsidR="003A7B6A">
        <w:rPr>
          <w:b/>
        </w:rPr>
        <w:t xml:space="preserve"> </w:t>
      </w:r>
      <w:r w:rsidRPr="00947B4D">
        <w:t xml:space="preserve">SHALL PAY the full amount of the proposed forfeiture or SHALL FILE a written statement seeking reduction or cancellation of the proposed forfeiture.  </w:t>
      </w:r>
    </w:p>
    <w:p w:rsidR="00D33CCE" w:rsidRPr="00146D8A" w:rsidP="00BB766F" w14:paraId="02DCA9F1" w14:textId="0E61D222">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4"/>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5"/>
      </w:r>
      <w:r w:rsidRPr="00264220">
        <w:t xml:space="preserve"> </w:t>
      </w:r>
    </w:p>
    <w:p w:rsidR="00EB54E2" w:rsidRPr="00264220" w:rsidP="00EB54E2" w14:paraId="66702278" w14:textId="77777777">
      <w:pPr>
        <w:numPr>
          <w:ilvl w:val="0"/>
          <w:numId w:val="10"/>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sidR="00D33CCE">
          <w:rPr>
            <w:rStyle w:val="Hyperlink"/>
          </w:rPr>
          <w:t>RROGWireFaxes@fcc.gov</w:t>
        </w:r>
      </w:hyperlink>
      <w:r w:rsidRPr="00264220" w:rsidR="00D33CCE">
        <w:t xml:space="preserve"> </w:t>
      </w:r>
      <w:r w:rsidRPr="00264220">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6"/>
      </w:r>
      <w:r w:rsidRPr="00264220">
        <w:t xml:space="preserve">  For additional detail and wire transfer instructions, go to </w:t>
      </w:r>
      <w:hyperlink r:id="rId6" w:history="1">
        <w:r w:rsidRPr="00264220" w:rsidR="00D33CCE">
          <w:rPr>
            <w:rStyle w:val="Hyperlink"/>
          </w:rPr>
          <w:t>https://www.fcc.gov/licensing-databases/fees/wire-transfer</w:t>
        </w:r>
      </w:hyperlink>
      <w:r w:rsidRPr="00264220">
        <w:t>.</w:t>
      </w:r>
    </w:p>
    <w:p w:rsidR="00EB54E2" w:rsidRPr="00264220" w:rsidP="00EB54E2" w14:paraId="76E73DF8" w14:textId="7B50FB20">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02FD7531" w14:textId="7BB222FF">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BB766F" w14:paraId="2D357F0C" w14:textId="15EBC625">
      <w:pPr>
        <w:pStyle w:val="ParaNum"/>
      </w:pPr>
      <w:r w:rsidRPr="00264220">
        <w:t xml:space="preserve">Any request for making full payment over time under an installment plan should be sent to:  Chief Financial Officer—Financial Operations, Federal Communications Commission, </w:t>
      </w:r>
      <w:r w:rsidR="002C7A8A">
        <w:t xml:space="preserve">45 L Street </w:t>
      </w:r>
      <w:r w:rsidR="002C7A8A">
        <w:t>NE</w:t>
      </w:r>
      <w:r w:rsidRPr="00264220">
        <w:t>, Washington, DC 20554.</w:t>
      </w:r>
      <w:r>
        <w:rPr>
          <w:vertAlign w:val="superscript"/>
        </w:rPr>
        <w:footnoteReference w:id="27"/>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4756DA" w:rsidRPr="00146D8A" w:rsidP="00BB766F" w14:paraId="5A0B03FE" w14:textId="04EA9305">
      <w:pPr>
        <w:pStyle w:val="ParaNum"/>
      </w:pPr>
      <w:r w:rsidRPr="00947B4D">
        <w:t xml:space="preserve">The response, if any, must be mailed to Office of the Secretary, Federal Communications Commission, </w:t>
      </w:r>
      <w:r w:rsidR="002C7A8A">
        <w:t>45 L Street NE</w:t>
      </w:r>
      <w:r w:rsidRPr="00947B4D">
        <w:t>, Washington D</w:t>
      </w:r>
      <w:r w:rsidR="00E1189A">
        <w:t>C</w:t>
      </w:r>
      <w:r w:rsidRPr="00947B4D">
        <w:t xml:space="preserve"> 20554, ATTN: </w:t>
      </w:r>
      <w:r w:rsidR="003A7B6A">
        <w:t>Albert Shuldiner</w:t>
      </w:r>
      <w:r w:rsidRPr="00947B4D">
        <w:t>, Chief, Audio Division, Media Bureau, and MUST INCLUDE the NAL/Acct. No. referenced above.</w:t>
      </w:r>
    </w:p>
    <w:p w:rsidR="008D4F70" w:rsidRPr="00146D8A" w:rsidP="00BB766F" w14:paraId="1CC2920D" w14:textId="5F1411D8">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BA318C" w:rsidP="00BA318C" w14:paraId="7A8261A6" w14:textId="10FEC8E8">
      <w:pPr>
        <w:pStyle w:val="ParaNum"/>
      </w:pPr>
      <w:r w:rsidRPr="00947B4D">
        <w:t xml:space="preserve">IT IS FURTHER </w:t>
      </w:r>
      <w:r w:rsidRPr="007C7A60">
        <w:t xml:space="preserve">ORDERED, that copies of this </w:t>
      </w:r>
      <w:r w:rsidRPr="007C7A60">
        <w:rPr>
          <w:i/>
        </w:rPr>
        <w:t>NAL</w:t>
      </w:r>
      <w:r w:rsidRPr="007C7A60">
        <w:t xml:space="preserve"> shall be sent by First Class and Certified Mail, Return Receipt Requested, </w:t>
      </w:r>
      <w:r w:rsidRPr="007C7A60" w:rsidR="00654F6D">
        <w:t>to</w:t>
      </w:r>
      <w:r w:rsidR="000A7D14">
        <w:t xml:space="preserve"> </w:t>
      </w:r>
      <w:r w:rsidR="00A15F73">
        <w:t xml:space="preserve">Jimmy Dale Burgess, 1642 Katherine Street, Cullman, AL </w:t>
      </w:r>
      <w:r w:rsidR="00035863">
        <w:t xml:space="preserve">35055, and M. Scott Johnson, Esq., Smithwick &amp; </w:t>
      </w:r>
      <w:r w:rsidR="00035863">
        <w:t>Belendiuk</w:t>
      </w:r>
      <w:r w:rsidR="00035863">
        <w:t xml:space="preserve"> PC, 5028 Wisconsin Avenue</w:t>
      </w:r>
      <w:r w:rsidR="00B262CE">
        <w:t xml:space="preserve"> NW, Suite 301, Washington, DC 20016</w:t>
      </w:r>
      <w:r w:rsidR="00FF3D47">
        <w:t>.</w:t>
      </w:r>
    </w:p>
    <w:p w:rsidR="00BA318C" w:rsidP="00124FB3" w14:paraId="320158EC" w14:textId="77777777"/>
    <w:p w:rsidR="00146D8A" w:rsidP="00124FB3" w14:paraId="649EBC15" w14:textId="196E2800">
      <w:r>
        <w:tab/>
      </w:r>
      <w:r>
        <w:tab/>
      </w:r>
      <w:r>
        <w:tab/>
      </w:r>
      <w:r>
        <w:tab/>
      </w:r>
      <w:r>
        <w:tab/>
      </w:r>
      <w:r>
        <w:tab/>
        <w:t>FEDERAL COMMUNICATIONS COMMISSION</w:t>
      </w:r>
    </w:p>
    <w:p w:rsidR="00BB766F" w:rsidP="00124FB3" w14:paraId="43429142" w14:textId="45E034A8"/>
    <w:p w:rsidR="00BB766F" w:rsidRPr="005C6F57" w:rsidP="005C6F57" w14:paraId="467D91FE" w14:textId="4113E3D6">
      <w:pPr>
        <w:ind w:firstLine="4320"/>
        <w:rPr>
          <w:rFonts w:ascii="Freestyle Script" w:hAnsi="Freestyle Script"/>
          <w:sz w:val="36"/>
          <w:szCs w:val="36"/>
        </w:rPr>
      </w:pPr>
      <w:r w:rsidRPr="005C6F57">
        <w:rPr>
          <w:rFonts w:ascii="Freestyle Script" w:hAnsi="Freestyle Script"/>
          <w:sz w:val="36"/>
          <w:szCs w:val="36"/>
        </w:rPr>
        <w:t>Albert Shuldiner</w:t>
      </w:r>
    </w:p>
    <w:p w:rsidR="00BB766F" w:rsidP="00124FB3" w14:paraId="485D14C8" w14:textId="77777777"/>
    <w:p w:rsidR="00146D8A" w:rsidP="00124FB3" w14:paraId="7BE1CF59" w14:textId="71499EB7">
      <w:r>
        <w:tab/>
      </w:r>
      <w:r>
        <w:tab/>
      </w:r>
      <w:r>
        <w:tab/>
      </w:r>
      <w:r>
        <w:tab/>
      </w:r>
      <w:r>
        <w:tab/>
      </w:r>
      <w:r>
        <w:tab/>
        <w:t>Albert Shuldiner</w:t>
      </w:r>
    </w:p>
    <w:p w:rsidR="00146D8A" w:rsidP="00124FB3" w14:paraId="20DC7216" w14:textId="33C5D41B">
      <w:r>
        <w:tab/>
      </w:r>
      <w:r>
        <w:tab/>
      </w:r>
      <w:r>
        <w:tab/>
      </w:r>
      <w:r>
        <w:tab/>
      </w:r>
      <w:r>
        <w:tab/>
      </w:r>
      <w:r>
        <w:tab/>
        <w:t>Chief, Audio Division</w:t>
      </w:r>
    </w:p>
    <w:p w:rsidR="002F075D" w14:paraId="751D6D17" w14:textId="759D6EEC">
      <w:r>
        <w:tab/>
      </w:r>
      <w:r>
        <w:tab/>
      </w:r>
      <w:r>
        <w:tab/>
      </w:r>
      <w:r>
        <w:tab/>
      </w:r>
      <w:r>
        <w:tab/>
      </w:r>
      <w:r>
        <w:tab/>
        <w:t>Media Bureau</w:t>
      </w:r>
    </w:p>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4CFD1B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2523A1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2F2D55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793EEF4D"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103CDB4E"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1B34" w14:paraId="45633418" w14:textId="77777777">
      <w:r>
        <w:separator/>
      </w:r>
    </w:p>
  </w:footnote>
  <w:footnote w:type="continuationSeparator" w:id="1">
    <w:p w:rsidR="00351B34" w14:paraId="64ABA4FE" w14:textId="77777777">
      <w:r>
        <w:continuationSeparator/>
      </w:r>
    </w:p>
  </w:footnote>
  <w:footnote w:id="2">
    <w:p w:rsidR="00124FB3" w:rsidRPr="000725CB" w14:paraId="1CCE09F8" w14:textId="52D0B254">
      <w:pPr>
        <w:pStyle w:val="FootnoteText"/>
      </w:pPr>
      <w:r w:rsidRPr="000725CB">
        <w:rPr>
          <w:rStyle w:val="FootnoteReference"/>
        </w:rPr>
        <w:footnoteRef/>
      </w:r>
      <w:r w:rsidRPr="000725CB">
        <w:t xml:space="preserve"> File No</w:t>
      </w:r>
      <w:r w:rsidR="00EC2859">
        <w:t>s</w:t>
      </w:r>
      <w:r w:rsidRPr="000725CB">
        <w:t xml:space="preserve">. </w:t>
      </w:r>
      <w:r w:rsidR="00B41F5A">
        <w:rPr>
          <w:szCs w:val="22"/>
        </w:rPr>
        <w:t>000010</w:t>
      </w:r>
      <w:r w:rsidR="00EC2859">
        <w:rPr>
          <w:szCs w:val="22"/>
        </w:rPr>
        <w:t>9</w:t>
      </w:r>
      <w:r w:rsidR="00B42250">
        <w:rPr>
          <w:szCs w:val="22"/>
        </w:rPr>
        <w:t>964 (WFM</w:t>
      </w:r>
      <w:r w:rsidR="00AE2BF7">
        <w:rPr>
          <w:szCs w:val="22"/>
        </w:rPr>
        <w:t>H Application</w:t>
      </w:r>
      <w:r w:rsidR="005E050C">
        <w:rPr>
          <w:szCs w:val="22"/>
        </w:rPr>
        <w:t>)</w:t>
      </w:r>
      <w:r w:rsidR="00B42250">
        <w:rPr>
          <w:szCs w:val="22"/>
        </w:rPr>
        <w:t>, 0000109966 (WMCJ</w:t>
      </w:r>
      <w:r w:rsidR="00AE2BF7">
        <w:rPr>
          <w:szCs w:val="22"/>
        </w:rPr>
        <w:t xml:space="preserve"> Application</w:t>
      </w:r>
      <w:r w:rsidR="005E050C">
        <w:rPr>
          <w:szCs w:val="22"/>
        </w:rPr>
        <w:t>)</w:t>
      </w:r>
      <w:r w:rsidR="00B41F5A">
        <w:rPr>
          <w:szCs w:val="22"/>
        </w:rPr>
        <w:t>.</w:t>
      </w:r>
    </w:p>
  </w:footnote>
  <w:footnote w:id="3">
    <w:p w:rsidR="00124FB3" w:rsidRPr="000725CB" w14:paraId="27612CFD" w14:textId="66DC1609">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56079ABC"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7CC7FA4E" w14:textId="2E86B052">
      <w:pPr>
        <w:pStyle w:val="FootnoteText"/>
      </w:pPr>
      <w:r w:rsidRPr="000725CB">
        <w:rPr>
          <w:rStyle w:val="FootnoteReference"/>
        </w:rPr>
        <w:footnoteRef/>
      </w:r>
      <w:r w:rsidRPr="000725CB">
        <w:t xml:space="preserve"> 47 CFR § 73.3539(a).</w:t>
      </w:r>
      <w:r>
        <w:t xml:space="preserve">  </w:t>
      </w:r>
    </w:p>
  </w:footnote>
  <w:footnote w:id="6">
    <w:p w:rsidR="00124FB3" w:rsidRPr="00555D44" w14:paraId="1EDA84A3" w14:textId="38858818">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r w:rsidR="0058360A">
        <w:t xml:space="preserve"> Because </w:t>
      </w:r>
      <w:r w:rsidR="00D72DF3">
        <w:t xml:space="preserve">December </w:t>
      </w:r>
      <w:r w:rsidR="003E0DB3">
        <w:t>1, 2019—the first day of the fourth full calendar month prior to the Station’s license expiration date of April 1, 2020—</w:t>
      </w:r>
      <w:r w:rsidR="004721EC">
        <w:t>was</w:t>
      </w:r>
      <w:r w:rsidR="003E0DB3">
        <w:t xml:space="preserve"> a </w:t>
      </w:r>
      <w:r w:rsidR="00B443F7">
        <w:t xml:space="preserve">Sunday, applications to renew the Stations’ licenses were due </w:t>
      </w:r>
      <w:r w:rsidR="00F75526">
        <w:t xml:space="preserve">on </w:t>
      </w:r>
      <w:r w:rsidR="004721EC">
        <w:t xml:space="preserve">the next business day, </w:t>
      </w:r>
      <w:r w:rsidR="00F75526">
        <w:t>December 2, 2019.</w:t>
      </w:r>
    </w:p>
  </w:footnote>
  <w:footnote w:id="7">
    <w:p w:rsidR="00AE2BF7" w14:paraId="3CF062CD" w14:textId="2F6FBE7B">
      <w:pPr>
        <w:pStyle w:val="FootnoteText"/>
      </w:pPr>
      <w:r>
        <w:rPr>
          <w:rStyle w:val="FootnoteReference"/>
        </w:rPr>
        <w:footnoteRef/>
      </w:r>
      <w:r>
        <w:t xml:space="preserve"> WFMH Application,</w:t>
      </w:r>
      <w:r w:rsidR="008D1157">
        <w:t xml:space="preserve"> Attach. 2</w:t>
      </w:r>
      <w:r w:rsidR="00822FED">
        <w:t xml:space="preserve"> (WFMH(AM) Renewal Application Amendment)</w:t>
      </w:r>
      <w:r>
        <w:t xml:space="preserve">; WMCJ Application, </w:t>
      </w:r>
      <w:r w:rsidR="004E0EE1">
        <w:t>Attach. 2 (WMCJ(AM) Renewal Application Amendment)</w:t>
      </w:r>
      <w:r>
        <w:t>.</w:t>
      </w:r>
    </w:p>
  </w:footnote>
  <w:footnote w:id="8">
    <w:p w:rsidR="004E0EE1" w14:paraId="17D49783" w14:textId="1B32F2E6">
      <w:pPr>
        <w:pStyle w:val="FootnoteText"/>
      </w:pPr>
      <w:r>
        <w:rPr>
          <w:rStyle w:val="FootnoteReference"/>
        </w:rPr>
        <w:footnoteRef/>
      </w:r>
      <w:r>
        <w:t xml:space="preserve"> </w:t>
      </w:r>
      <w:r w:rsidRPr="004E0EE1">
        <w:rPr>
          <w:i/>
          <w:iCs/>
        </w:rPr>
        <w:t>Id</w:t>
      </w:r>
      <w:r>
        <w:t>.</w:t>
      </w:r>
    </w:p>
  </w:footnote>
  <w:footnote w:id="9">
    <w:p w:rsidR="004E0EE1" w14:paraId="02A9CC29" w14:textId="75C7225A">
      <w:pPr>
        <w:pStyle w:val="FootnoteText"/>
      </w:pPr>
      <w:r>
        <w:rPr>
          <w:rStyle w:val="FootnoteReference"/>
        </w:rPr>
        <w:footnoteRef/>
      </w:r>
      <w:r>
        <w:t xml:space="preserve"> </w:t>
      </w:r>
      <w:r w:rsidRPr="004E0EE1">
        <w:rPr>
          <w:i/>
          <w:iCs/>
        </w:rPr>
        <w:t>Id</w:t>
      </w:r>
      <w:r>
        <w:t>.</w:t>
      </w:r>
    </w:p>
  </w:footnote>
  <w:footnote w:id="10">
    <w:p w:rsidR="004E0EE1" w14:paraId="3B206488" w14:textId="463ACE0C">
      <w:pPr>
        <w:pStyle w:val="FootnoteText"/>
      </w:pPr>
      <w:r>
        <w:rPr>
          <w:rStyle w:val="FootnoteReference"/>
        </w:rPr>
        <w:footnoteRef/>
      </w:r>
      <w:r>
        <w:t xml:space="preserve"> </w:t>
      </w:r>
      <w:r w:rsidRPr="004E0EE1">
        <w:rPr>
          <w:i/>
          <w:iCs/>
        </w:rPr>
        <w:t>Id</w:t>
      </w:r>
      <w:r>
        <w:t>.</w:t>
      </w:r>
    </w:p>
  </w:footnote>
  <w:footnote w:id="11">
    <w:p w:rsidR="004E0EE1" w14:paraId="48A6E6A6" w14:textId="566E4F24">
      <w:pPr>
        <w:pStyle w:val="FootnoteText"/>
      </w:pPr>
      <w:r>
        <w:rPr>
          <w:rStyle w:val="FootnoteReference"/>
        </w:rPr>
        <w:footnoteRef/>
      </w:r>
      <w:r>
        <w:t xml:space="preserve"> </w:t>
      </w:r>
      <w:r w:rsidRPr="004E0EE1">
        <w:rPr>
          <w:i/>
          <w:iCs/>
        </w:rPr>
        <w:t>Id</w:t>
      </w:r>
      <w:r>
        <w:t>.</w:t>
      </w:r>
    </w:p>
  </w:footnote>
  <w:footnote w:id="12">
    <w:p w:rsidR="00124FB3" w:rsidRPr="00E4519B" w:rsidP="00600AB4" w14:paraId="401F3642"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3">
    <w:p w:rsidR="00124FB3" w:rsidRPr="00D64E57" w:rsidP="00600AB4" w14:paraId="0871620A" w14:textId="77777777">
      <w:pPr>
        <w:pStyle w:val="FootnoteText"/>
      </w:pPr>
      <w:r w:rsidRPr="00E4519B">
        <w:rPr>
          <w:rStyle w:val="FootnoteReference"/>
        </w:rPr>
        <w:footnoteRef/>
      </w:r>
      <w:r w:rsidRPr="00E4519B">
        <w:t xml:space="preserve"> </w:t>
      </w:r>
      <w:r w:rsidRPr="00D64E57">
        <w:t>47 U.S.C. § 312(f)(1).</w:t>
      </w:r>
    </w:p>
  </w:footnote>
  <w:footnote w:id="14">
    <w:p w:rsidR="00124FB3" w:rsidRPr="00D64E57" w:rsidP="00600AB4" w14:paraId="00CAC7DE"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5">
    <w:p w:rsidR="00124FB3" w:rsidRPr="00D64E57" w:rsidP="00600AB4" w14:paraId="7E6245E5" w14:textId="77777777">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6">
    <w:p w:rsidR="00124FB3" w:rsidP="312387CC" w14:paraId="1B204F84" w14:textId="3344612B">
      <w:pPr>
        <w:pStyle w:val="Footer"/>
        <w:spacing w:after="120"/>
        <w:rPr>
          <w:sz w:val="20"/>
        </w:rPr>
      </w:pPr>
      <w:r>
        <w:rPr>
          <w:rStyle w:val="FootnoteReference"/>
        </w:rPr>
        <w:footnoteRef/>
      </w:r>
      <w:r w:rsidRPr="312387CC" w:rsidR="312387CC">
        <w:rPr>
          <w:sz w:val="20"/>
        </w:rPr>
        <w:t xml:space="preserve"> </w:t>
      </w:r>
      <w:r w:rsidRPr="312387CC" w:rsidR="312387CC">
        <w:rPr>
          <w:i/>
          <w:iCs/>
          <w:sz w:val="20"/>
        </w:rPr>
        <w:t>See Forfeiture Policy Statement and Amendment of Section 1.80(b) of the Rules to Incorporate the Forfeiture Guidelines</w:t>
      </w:r>
      <w:r w:rsidRPr="312387CC" w:rsidR="312387CC">
        <w:rPr>
          <w:sz w:val="20"/>
        </w:rPr>
        <w:t>,</w:t>
      </w:r>
      <w:r w:rsidRPr="312387CC" w:rsidR="312387CC">
        <w:rPr>
          <w:i/>
          <w:iCs/>
          <w:sz w:val="20"/>
        </w:rPr>
        <w:t xml:space="preserve"> </w:t>
      </w:r>
      <w:r w:rsidRPr="312387CC" w:rsidR="312387CC">
        <w:rPr>
          <w:sz w:val="20"/>
        </w:rPr>
        <w:t>Report and Order, 12 FCC Rcd 17087, 17113-15 (1997) (</w:t>
      </w:r>
      <w:r w:rsidRPr="312387CC" w:rsidR="312387CC">
        <w:rPr>
          <w:i/>
          <w:iCs/>
          <w:sz w:val="20"/>
        </w:rPr>
        <w:t>Forfeiture Policy Statement</w:t>
      </w:r>
      <w:r w:rsidRPr="312387CC" w:rsidR="312387CC">
        <w:rPr>
          <w:sz w:val="20"/>
        </w:rPr>
        <w:t xml:space="preserve">), </w:t>
      </w:r>
      <w:r w:rsidRPr="312387CC" w:rsidR="312387CC">
        <w:rPr>
          <w:i/>
          <w:iCs/>
          <w:sz w:val="20"/>
        </w:rPr>
        <w:t>recon. denied</w:t>
      </w:r>
      <w:r w:rsidRPr="312387CC" w:rsidR="312387CC">
        <w:rPr>
          <w:sz w:val="20"/>
        </w:rPr>
        <w:t>, 15 FCC Rcd 303 (1999); 47 CFR § 1.80(b)(9), note to paragraph (b)(9), Section I.</w:t>
      </w:r>
    </w:p>
  </w:footnote>
  <w:footnote w:id="17">
    <w:p w:rsidR="00124FB3" w:rsidRPr="00D423B0" w:rsidP="00600AB4" w14:paraId="41973A91" w14:textId="00CFAB57">
      <w:pPr>
        <w:pStyle w:val="FootnoteText"/>
      </w:pPr>
      <w:r>
        <w:rPr>
          <w:rStyle w:val="FootnoteReference"/>
        </w:rPr>
        <w:footnoteRef/>
      </w:r>
      <w:r w:rsidR="312387CC">
        <w:t xml:space="preserve"> 47 U.S.C. § 503(b)(2)(E); </w:t>
      </w:r>
      <w:r w:rsidRPr="312387CC" w:rsidR="312387CC">
        <w:rPr>
          <w:i/>
          <w:iCs/>
        </w:rPr>
        <w:t>see also Forfeiture Policy Statement</w:t>
      </w:r>
      <w:r w:rsidRPr="00874E66" w:rsidR="312387CC">
        <w:t>,</w:t>
      </w:r>
      <w:r w:rsidRPr="312387CC" w:rsidR="312387CC">
        <w:rPr>
          <w:i/>
          <w:iCs/>
        </w:rPr>
        <w:t xml:space="preserve"> </w:t>
      </w:r>
      <w:r w:rsidR="312387CC">
        <w:t xml:space="preserve">12 FCC Rcd at 17100; 47 CFR § 1.80(b)(9). </w:t>
      </w:r>
    </w:p>
  </w:footnote>
  <w:footnote w:id="18">
    <w:p w:rsidR="00B729DB" w14:paraId="01974761" w14:textId="7DA154C0">
      <w:pPr>
        <w:pStyle w:val="FootnoteText"/>
      </w:pPr>
      <w:r>
        <w:rPr>
          <w:rStyle w:val="FootnoteReference"/>
        </w:rPr>
        <w:footnoteRef/>
      </w:r>
      <w:r>
        <w:t xml:space="preserve"> </w:t>
      </w:r>
      <w:r w:rsidRPr="00B729DB">
        <w:rPr>
          <w:i/>
          <w:iCs/>
        </w:rPr>
        <w:t xml:space="preserve">Southern California </w:t>
      </w:r>
      <w:r>
        <w:rPr>
          <w:i/>
          <w:iCs/>
        </w:rPr>
        <w:t>Broad.</w:t>
      </w:r>
      <w:r w:rsidRPr="00B729DB">
        <w:rPr>
          <w:i/>
          <w:iCs/>
        </w:rPr>
        <w:t xml:space="preserve"> Co.,</w:t>
      </w:r>
      <w:r w:rsidRPr="00B729DB">
        <w:t xml:space="preserve"> Memorandum Opinion and Order, 6 FCC Rcd 4387, 4387</w:t>
      </w:r>
      <w:r w:rsidR="004D74A2">
        <w:t>, para. 3</w:t>
      </w:r>
      <w:r w:rsidRPr="00B729DB">
        <w:t xml:space="preserve"> (1991), </w:t>
      </w:r>
      <w:r w:rsidRPr="00B729DB">
        <w:rPr>
          <w:i/>
          <w:iCs/>
        </w:rPr>
        <w:t>recon. denied,</w:t>
      </w:r>
      <w:r w:rsidRPr="00B729DB">
        <w:t xml:space="preserve"> 7 FCC Rcd 3454 (1992) (</w:t>
      </w:r>
      <w:r w:rsidR="00A748CC">
        <w:t>explaining</w:t>
      </w:r>
      <w:r w:rsidRPr="00B729DB">
        <w:t xml:space="preserve"> that </w:t>
      </w:r>
      <w:r w:rsidR="00A748CC">
        <w:t>the Commission does not consider “</w:t>
      </w:r>
      <w:r w:rsidRPr="00B729DB">
        <w:t>ignorance of the law</w:t>
      </w:r>
      <w:r w:rsidR="00A748CC">
        <w:t>”</w:t>
      </w:r>
      <w:r w:rsidRPr="00B729DB">
        <w:t xml:space="preserve"> </w:t>
      </w:r>
      <w:r w:rsidR="00A748CC">
        <w:t>to be</w:t>
      </w:r>
      <w:r w:rsidRPr="00B729DB">
        <w:t xml:space="preserve"> a mitigating circumstance</w:t>
      </w:r>
      <w:r w:rsidR="00A748CC">
        <w:t>”</w:t>
      </w:r>
      <w:r w:rsidRPr="00B729DB">
        <w:t>)</w:t>
      </w:r>
      <w:r w:rsidR="00A748CC">
        <w:t>.</w:t>
      </w:r>
    </w:p>
  </w:footnote>
  <w:footnote w:id="19">
    <w:p w:rsidR="00513D70" w14:paraId="2CC125B3" w14:textId="4BC29E46">
      <w:pPr>
        <w:pStyle w:val="FootnoteText"/>
      </w:pPr>
      <w:r>
        <w:rPr>
          <w:rStyle w:val="FootnoteReference"/>
        </w:rPr>
        <w:footnoteRef/>
      </w:r>
      <w:r>
        <w:t xml:space="preserve"> </w:t>
      </w:r>
      <w:r w:rsidRPr="0008735B" w:rsidR="0008735B">
        <w:rPr>
          <w:i/>
          <w:iCs/>
        </w:rPr>
        <w:t>See, e.g.,</w:t>
      </w:r>
      <w:r w:rsidR="0008735B">
        <w:t xml:space="preserve"> </w:t>
      </w:r>
      <w:r w:rsidRPr="0008735B" w:rsidR="00237CE0">
        <w:rPr>
          <w:i/>
          <w:iCs/>
        </w:rPr>
        <w:t>Cumulus Radio, LLC</w:t>
      </w:r>
      <w:r w:rsidR="00237CE0">
        <w:t xml:space="preserve">, </w:t>
      </w:r>
      <w:r w:rsidR="00056697">
        <w:t xml:space="preserve">Notice of Apparent Liability for Forfeiture, 34 FCC Rcd 7289, 7296, para. </w:t>
      </w:r>
      <w:r w:rsidR="0008735B">
        <w:t>18 (2019) (“</w:t>
      </w:r>
      <w:r w:rsidRPr="0008735B" w:rsidR="0008735B">
        <w:t xml:space="preserve">Commission licensees are required to take corrective action in order to come into compliance with Commission </w:t>
      </w:r>
      <w:r w:rsidRPr="0008735B" w:rsidR="0008735B">
        <w:t>rules, and</w:t>
      </w:r>
      <w:r w:rsidRPr="0008735B" w:rsidR="0008735B">
        <w:t xml:space="preserve"> taking such required corrective action does not mitigate the violations themselves or reduce the associated penalties.</w:t>
      </w:r>
      <w:r w:rsidR="0008735B">
        <w:t>”).</w:t>
      </w:r>
    </w:p>
  </w:footnote>
  <w:footnote w:id="20">
    <w:p w:rsidR="00124FB3" w:rsidRPr="00D423B0" w:rsidP="00600AB4" w14:paraId="05703988"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21">
    <w:p w:rsidR="00124FB3" w:rsidRPr="00E4519B" w:rsidP="00600AB4" w14:paraId="3D5BD499"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22">
    <w:p w:rsidR="00124FB3" w:rsidRPr="00132193" w:rsidP="00600AB4" w14:paraId="06F7C249" w14:textId="77777777">
      <w:pPr>
        <w:pStyle w:val="Footer"/>
        <w:spacing w:after="120"/>
        <w:rPr>
          <w:sz w:val="20"/>
        </w:rPr>
      </w:pPr>
      <w:r w:rsidRPr="00132193">
        <w:rPr>
          <w:rStyle w:val="FootnoteReference"/>
        </w:rPr>
        <w:footnoteRef/>
      </w:r>
      <w:r w:rsidRPr="00132193">
        <w:rPr>
          <w:sz w:val="20"/>
        </w:rPr>
        <w:t xml:space="preserve"> 47 U.S.C. §§ 309(k)(2), 309(k)(3).</w:t>
      </w:r>
    </w:p>
  </w:footnote>
  <w:footnote w:id="23">
    <w:p w:rsidR="00124FB3" w:rsidRPr="00132193" w:rsidP="00EE4177" w14:paraId="69E50FAF" w14:textId="55CB9792">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C601F5">
        <w:rPr>
          <w:sz w:val="20"/>
        </w:rPr>
        <w:t>’</w:t>
      </w:r>
      <w:r w:rsidRPr="00132193">
        <w:rPr>
          <w:sz w:val="20"/>
        </w:rPr>
        <w:t>s operation</w:t>
      </w:r>
      <w:r w:rsidR="005452A5">
        <w:rPr>
          <w:sz w:val="20"/>
        </w:rPr>
        <w:t xml:space="preserve"> of the Stations</w:t>
      </w:r>
      <w:r w:rsidRPr="00132193">
        <w:rPr>
          <w:sz w:val="20"/>
        </w:rPr>
        <w:t xml:space="preserve">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4">
    <w:p w:rsidR="00124FB3" w:rsidRPr="00132193" w:rsidP="00EB54E2" w14:paraId="13978A03"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5">
    <w:p w:rsidR="00124FB3" w:rsidRPr="00132193" w:rsidP="00EB54E2" w14:paraId="37965BF9"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6">
    <w:p w:rsidR="00124FB3" w:rsidRPr="004B33E9" w:rsidP="00EB54E2" w14:paraId="1E5332DB"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7">
    <w:p w:rsidR="00124FB3" w:rsidRPr="004B33E9" w:rsidP="00D33CCE" w14:paraId="78D2B566"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305B299B" w14:textId="14911AD4">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20</w:t>
    </w:r>
    <w:r>
      <w:rPr>
        <w:b w:val="0"/>
        <w:szCs w:val="22"/>
      </w:rPr>
      <w:t>-</w:t>
    </w:r>
    <w:r w:rsidR="00D0109D">
      <w:rPr>
        <w:b w:val="0"/>
        <w:szCs w:val="22"/>
      </w:rPr>
      <w:t>1430</w:t>
    </w:r>
    <w:r>
      <w:rPr>
        <w:b w:val="0"/>
        <w:szCs w:val="22"/>
      </w:rPr>
      <w:t xml:space="preserve"> </w:t>
    </w:r>
  </w:p>
  <w:p w:rsidR="00124FB3" w:rsidRPr="00947B4D" w14:paraId="3457DC87"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29B3E9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0EF4F484" w14:textId="1A4D2829">
    <w:pPr>
      <w:pStyle w:val="Header"/>
      <w:rPr>
        <w:b w:val="0"/>
        <w:szCs w:val="22"/>
      </w:rPr>
    </w:pPr>
    <w:r>
      <w:rPr>
        <w:b w:val="0"/>
      </w:rPr>
      <w:tab/>
    </w:r>
    <w:r w:rsidRPr="00947B4D">
      <w:rPr>
        <w:b w:val="0"/>
        <w:szCs w:val="22"/>
      </w:rPr>
      <w:t>Federal Communications Commission</w:t>
    </w:r>
    <w:r w:rsidRPr="00947B4D">
      <w:rPr>
        <w:b w:val="0"/>
        <w:szCs w:val="22"/>
      </w:rPr>
      <w:tab/>
      <w:t>DA</w:t>
    </w:r>
    <w:r>
      <w:rPr>
        <w:b w:val="0"/>
        <w:szCs w:val="22"/>
      </w:rPr>
      <w:t xml:space="preserve"> </w:t>
    </w:r>
    <w:r w:rsidR="00BB69DA">
      <w:rPr>
        <w:b w:val="0"/>
        <w:szCs w:val="22"/>
      </w:rPr>
      <w:t>20</w:t>
    </w:r>
    <w:r>
      <w:rPr>
        <w:b w:val="0"/>
        <w:szCs w:val="22"/>
      </w:rPr>
      <w:t>-</w:t>
    </w:r>
    <w:r w:rsidR="00252B2F">
      <w:rPr>
        <w:b w:val="0"/>
        <w:szCs w:val="22"/>
      </w:rPr>
      <w:fldChar w:fldCharType="begin"/>
    </w:r>
    <w:r w:rsidR="00252B2F">
      <w:rPr>
        <w:b w:val="0"/>
        <w:szCs w:val="22"/>
      </w:rPr>
      <w:instrText xml:space="preserve"> MACROBUTTON  ToolsMacro </w:instrText>
    </w:r>
    <w:r w:rsidR="00252B2F">
      <w:rPr>
        <w:b w:val="0"/>
        <w:szCs w:val="22"/>
      </w:rPr>
      <w:fldChar w:fldCharType="end"/>
    </w:r>
    <w:r w:rsidR="00D0109D">
      <w:rPr>
        <w:b w:val="0"/>
        <w:szCs w:val="22"/>
      </w:rPr>
      <w:t>1430</w:t>
    </w:r>
  </w:p>
  <w:p w:rsidR="00124FB3" w:rsidRPr="00947B4D" w14:paraId="66551D54"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35863"/>
    <w:rsid w:val="00056697"/>
    <w:rsid w:val="00061845"/>
    <w:rsid w:val="000725CB"/>
    <w:rsid w:val="0008735B"/>
    <w:rsid w:val="000A45C8"/>
    <w:rsid w:val="000A7D14"/>
    <w:rsid w:val="000B55BE"/>
    <w:rsid w:val="000B597B"/>
    <w:rsid w:val="000C1190"/>
    <w:rsid w:val="000C2EFA"/>
    <w:rsid w:val="000D35A2"/>
    <w:rsid w:val="000D548B"/>
    <w:rsid w:val="000E6ACD"/>
    <w:rsid w:val="00100A37"/>
    <w:rsid w:val="0010399E"/>
    <w:rsid w:val="00113A35"/>
    <w:rsid w:val="0012244A"/>
    <w:rsid w:val="00124FB3"/>
    <w:rsid w:val="00132193"/>
    <w:rsid w:val="00146D8A"/>
    <w:rsid w:val="00147043"/>
    <w:rsid w:val="00156C92"/>
    <w:rsid w:val="001618F3"/>
    <w:rsid w:val="0017245E"/>
    <w:rsid w:val="001A0DDA"/>
    <w:rsid w:val="001A1E70"/>
    <w:rsid w:val="001B28FD"/>
    <w:rsid w:val="001E77FB"/>
    <w:rsid w:val="001F4E88"/>
    <w:rsid w:val="0021210B"/>
    <w:rsid w:val="00224394"/>
    <w:rsid w:val="002254E3"/>
    <w:rsid w:val="00237847"/>
    <w:rsid w:val="00237CE0"/>
    <w:rsid w:val="00252B2F"/>
    <w:rsid w:val="00252D07"/>
    <w:rsid w:val="002546D1"/>
    <w:rsid w:val="00261E8A"/>
    <w:rsid w:val="00264220"/>
    <w:rsid w:val="00264B62"/>
    <w:rsid w:val="002710E8"/>
    <w:rsid w:val="0027189D"/>
    <w:rsid w:val="0029085A"/>
    <w:rsid w:val="002933B5"/>
    <w:rsid w:val="00293ABB"/>
    <w:rsid w:val="0029433D"/>
    <w:rsid w:val="002A6A76"/>
    <w:rsid w:val="002B031F"/>
    <w:rsid w:val="002B1850"/>
    <w:rsid w:val="002B2CCE"/>
    <w:rsid w:val="002C18A9"/>
    <w:rsid w:val="002C2CE8"/>
    <w:rsid w:val="002C7A8A"/>
    <w:rsid w:val="002F075D"/>
    <w:rsid w:val="002F650E"/>
    <w:rsid w:val="0030351B"/>
    <w:rsid w:val="003054C8"/>
    <w:rsid w:val="00312380"/>
    <w:rsid w:val="00325EC2"/>
    <w:rsid w:val="003332D8"/>
    <w:rsid w:val="003476C5"/>
    <w:rsid w:val="00351B34"/>
    <w:rsid w:val="00377AB9"/>
    <w:rsid w:val="00390926"/>
    <w:rsid w:val="003A2719"/>
    <w:rsid w:val="003A7B6A"/>
    <w:rsid w:val="003B22E6"/>
    <w:rsid w:val="003D1495"/>
    <w:rsid w:val="003D204D"/>
    <w:rsid w:val="003E0DB3"/>
    <w:rsid w:val="003E2108"/>
    <w:rsid w:val="00400F3B"/>
    <w:rsid w:val="004020F6"/>
    <w:rsid w:val="004152D3"/>
    <w:rsid w:val="00437E38"/>
    <w:rsid w:val="004450EA"/>
    <w:rsid w:val="0045362C"/>
    <w:rsid w:val="00453EAD"/>
    <w:rsid w:val="00461220"/>
    <w:rsid w:val="004649E6"/>
    <w:rsid w:val="00466062"/>
    <w:rsid w:val="004678F4"/>
    <w:rsid w:val="004719D3"/>
    <w:rsid w:val="004721EC"/>
    <w:rsid w:val="004756DA"/>
    <w:rsid w:val="00475AB4"/>
    <w:rsid w:val="004A306A"/>
    <w:rsid w:val="004B33E9"/>
    <w:rsid w:val="004C0122"/>
    <w:rsid w:val="004C7BBC"/>
    <w:rsid w:val="004D020E"/>
    <w:rsid w:val="004D7205"/>
    <w:rsid w:val="004D74A2"/>
    <w:rsid w:val="004E0EE1"/>
    <w:rsid w:val="004F7255"/>
    <w:rsid w:val="00513C3C"/>
    <w:rsid w:val="00513D70"/>
    <w:rsid w:val="00521D61"/>
    <w:rsid w:val="00522F40"/>
    <w:rsid w:val="0054227E"/>
    <w:rsid w:val="00542911"/>
    <w:rsid w:val="005452A5"/>
    <w:rsid w:val="005471C5"/>
    <w:rsid w:val="00555D44"/>
    <w:rsid w:val="00556B4F"/>
    <w:rsid w:val="00556F2A"/>
    <w:rsid w:val="0058360A"/>
    <w:rsid w:val="005A17B1"/>
    <w:rsid w:val="005A2ED5"/>
    <w:rsid w:val="005B1D24"/>
    <w:rsid w:val="005C4BE8"/>
    <w:rsid w:val="005C6F57"/>
    <w:rsid w:val="005E050C"/>
    <w:rsid w:val="005E185C"/>
    <w:rsid w:val="005E1CC9"/>
    <w:rsid w:val="005F5ACF"/>
    <w:rsid w:val="00600AB4"/>
    <w:rsid w:val="0061162E"/>
    <w:rsid w:val="00642433"/>
    <w:rsid w:val="00650F19"/>
    <w:rsid w:val="00654F6D"/>
    <w:rsid w:val="00675642"/>
    <w:rsid w:val="006759A5"/>
    <w:rsid w:val="00694701"/>
    <w:rsid w:val="006C4AFF"/>
    <w:rsid w:val="006D0F55"/>
    <w:rsid w:val="006D41BB"/>
    <w:rsid w:val="006E5075"/>
    <w:rsid w:val="006F5EF8"/>
    <w:rsid w:val="0070595C"/>
    <w:rsid w:val="007116D3"/>
    <w:rsid w:val="00715797"/>
    <w:rsid w:val="00724F24"/>
    <w:rsid w:val="00726097"/>
    <w:rsid w:val="00753410"/>
    <w:rsid w:val="00757603"/>
    <w:rsid w:val="0076100A"/>
    <w:rsid w:val="00766006"/>
    <w:rsid w:val="0077691C"/>
    <w:rsid w:val="007817D0"/>
    <w:rsid w:val="007852DE"/>
    <w:rsid w:val="007958AA"/>
    <w:rsid w:val="00797BE6"/>
    <w:rsid w:val="007A2495"/>
    <w:rsid w:val="007B671A"/>
    <w:rsid w:val="007B6927"/>
    <w:rsid w:val="007C2913"/>
    <w:rsid w:val="007C7A60"/>
    <w:rsid w:val="007D1C6E"/>
    <w:rsid w:val="007D3D33"/>
    <w:rsid w:val="007D6335"/>
    <w:rsid w:val="00805CE8"/>
    <w:rsid w:val="00814161"/>
    <w:rsid w:val="00815E82"/>
    <w:rsid w:val="00822FED"/>
    <w:rsid w:val="00826124"/>
    <w:rsid w:val="008330FE"/>
    <w:rsid w:val="0085482E"/>
    <w:rsid w:val="00862E93"/>
    <w:rsid w:val="00864191"/>
    <w:rsid w:val="0086538D"/>
    <w:rsid w:val="00866054"/>
    <w:rsid w:val="00866C07"/>
    <w:rsid w:val="00874E66"/>
    <w:rsid w:val="008759C6"/>
    <w:rsid w:val="00875E61"/>
    <w:rsid w:val="00886098"/>
    <w:rsid w:val="00895A3D"/>
    <w:rsid w:val="008C24C1"/>
    <w:rsid w:val="008C2F1D"/>
    <w:rsid w:val="008D1157"/>
    <w:rsid w:val="008D4F70"/>
    <w:rsid w:val="008E17CE"/>
    <w:rsid w:val="009040E5"/>
    <w:rsid w:val="00911CC4"/>
    <w:rsid w:val="00913CD0"/>
    <w:rsid w:val="00920082"/>
    <w:rsid w:val="009312B8"/>
    <w:rsid w:val="0094065F"/>
    <w:rsid w:val="00947B4D"/>
    <w:rsid w:val="00947B9B"/>
    <w:rsid w:val="00954C18"/>
    <w:rsid w:val="00977910"/>
    <w:rsid w:val="00982705"/>
    <w:rsid w:val="009829AF"/>
    <w:rsid w:val="0098322A"/>
    <w:rsid w:val="009834E0"/>
    <w:rsid w:val="00990E6C"/>
    <w:rsid w:val="009A2763"/>
    <w:rsid w:val="009B416F"/>
    <w:rsid w:val="009C0115"/>
    <w:rsid w:val="009C7DB0"/>
    <w:rsid w:val="009D053D"/>
    <w:rsid w:val="009E3478"/>
    <w:rsid w:val="009E3C8D"/>
    <w:rsid w:val="009F0B0C"/>
    <w:rsid w:val="009F4C33"/>
    <w:rsid w:val="00A10393"/>
    <w:rsid w:val="00A15F73"/>
    <w:rsid w:val="00A17744"/>
    <w:rsid w:val="00A205B5"/>
    <w:rsid w:val="00A23B7C"/>
    <w:rsid w:val="00A3167B"/>
    <w:rsid w:val="00A3545B"/>
    <w:rsid w:val="00A35A4F"/>
    <w:rsid w:val="00A374EF"/>
    <w:rsid w:val="00A60A9F"/>
    <w:rsid w:val="00A71F2E"/>
    <w:rsid w:val="00A748CC"/>
    <w:rsid w:val="00A77066"/>
    <w:rsid w:val="00A931AE"/>
    <w:rsid w:val="00AA120E"/>
    <w:rsid w:val="00AA1AD6"/>
    <w:rsid w:val="00AB0851"/>
    <w:rsid w:val="00AC315A"/>
    <w:rsid w:val="00AD10FB"/>
    <w:rsid w:val="00AD30F4"/>
    <w:rsid w:val="00AD6E89"/>
    <w:rsid w:val="00AE2BF7"/>
    <w:rsid w:val="00AE773E"/>
    <w:rsid w:val="00AF2D1B"/>
    <w:rsid w:val="00AF6593"/>
    <w:rsid w:val="00B030FD"/>
    <w:rsid w:val="00B03610"/>
    <w:rsid w:val="00B061AF"/>
    <w:rsid w:val="00B11767"/>
    <w:rsid w:val="00B17777"/>
    <w:rsid w:val="00B21D6D"/>
    <w:rsid w:val="00B2621F"/>
    <w:rsid w:val="00B262CE"/>
    <w:rsid w:val="00B30481"/>
    <w:rsid w:val="00B41739"/>
    <w:rsid w:val="00B41F5A"/>
    <w:rsid w:val="00B42250"/>
    <w:rsid w:val="00B443F7"/>
    <w:rsid w:val="00B502DE"/>
    <w:rsid w:val="00B50D51"/>
    <w:rsid w:val="00B62DAE"/>
    <w:rsid w:val="00B631A8"/>
    <w:rsid w:val="00B7104D"/>
    <w:rsid w:val="00B729DB"/>
    <w:rsid w:val="00B7626A"/>
    <w:rsid w:val="00B845A6"/>
    <w:rsid w:val="00B875B4"/>
    <w:rsid w:val="00B87D47"/>
    <w:rsid w:val="00B9037E"/>
    <w:rsid w:val="00BA318C"/>
    <w:rsid w:val="00BB69DA"/>
    <w:rsid w:val="00BB766F"/>
    <w:rsid w:val="00BC36ED"/>
    <w:rsid w:val="00BC5505"/>
    <w:rsid w:val="00BE6D3E"/>
    <w:rsid w:val="00BF70C1"/>
    <w:rsid w:val="00C03EDF"/>
    <w:rsid w:val="00C30C14"/>
    <w:rsid w:val="00C40DCE"/>
    <w:rsid w:val="00C56DA8"/>
    <w:rsid w:val="00C601F5"/>
    <w:rsid w:val="00C81CE7"/>
    <w:rsid w:val="00C84165"/>
    <w:rsid w:val="00CB1226"/>
    <w:rsid w:val="00CB1E8D"/>
    <w:rsid w:val="00CC33CA"/>
    <w:rsid w:val="00CD2D1F"/>
    <w:rsid w:val="00CE6A7B"/>
    <w:rsid w:val="00CE7156"/>
    <w:rsid w:val="00CE7221"/>
    <w:rsid w:val="00CF4343"/>
    <w:rsid w:val="00CF741E"/>
    <w:rsid w:val="00D0109D"/>
    <w:rsid w:val="00D11850"/>
    <w:rsid w:val="00D12811"/>
    <w:rsid w:val="00D23EB0"/>
    <w:rsid w:val="00D33CCE"/>
    <w:rsid w:val="00D36188"/>
    <w:rsid w:val="00D410BA"/>
    <w:rsid w:val="00D423B0"/>
    <w:rsid w:val="00D64E57"/>
    <w:rsid w:val="00D70D15"/>
    <w:rsid w:val="00D72DF3"/>
    <w:rsid w:val="00D76268"/>
    <w:rsid w:val="00D8125B"/>
    <w:rsid w:val="00D815E4"/>
    <w:rsid w:val="00D86085"/>
    <w:rsid w:val="00DC308F"/>
    <w:rsid w:val="00DD0585"/>
    <w:rsid w:val="00DE6ABD"/>
    <w:rsid w:val="00E1189A"/>
    <w:rsid w:val="00E306A6"/>
    <w:rsid w:val="00E4519B"/>
    <w:rsid w:val="00E5764E"/>
    <w:rsid w:val="00E648EB"/>
    <w:rsid w:val="00E75C56"/>
    <w:rsid w:val="00E8263C"/>
    <w:rsid w:val="00E960EF"/>
    <w:rsid w:val="00EA24F5"/>
    <w:rsid w:val="00EA52E8"/>
    <w:rsid w:val="00EB05E5"/>
    <w:rsid w:val="00EB183A"/>
    <w:rsid w:val="00EB4858"/>
    <w:rsid w:val="00EB54E2"/>
    <w:rsid w:val="00EC1019"/>
    <w:rsid w:val="00EC2859"/>
    <w:rsid w:val="00EE2FCA"/>
    <w:rsid w:val="00EE4177"/>
    <w:rsid w:val="00EF7C70"/>
    <w:rsid w:val="00F03C06"/>
    <w:rsid w:val="00F30630"/>
    <w:rsid w:val="00F34389"/>
    <w:rsid w:val="00F62DE4"/>
    <w:rsid w:val="00F65E19"/>
    <w:rsid w:val="00F7221D"/>
    <w:rsid w:val="00F75526"/>
    <w:rsid w:val="00F767B1"/>
    <w:rsid w:val="00FA2D56"/>
    <w:rsid w:val="00FA4F84"/>
    <w:rsid w:val="00FB6F98"/>
    <w:rsid w:val="00FE545B"/>
    <w:rsid w:val="00FF3C52"/>
    <w:rsid w:val="00FF3D47"/>
    <w:rsid w:val="2D2DD86D"/>
    <w:rsid w:val="312387CC"/>
    <w:rsid w:val="3509C1C1"/>
    <w:rsid w:val="7D0420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9D"/>
    <w:pPr>
      <w:widowControl w:val="0"/>
    </w:pPr>
    <w:rPr>
      <w:snapToGrid w:val="0"/>
      <w:kern w:val="28"/>
      <w:sz w:val="22"/>
    </w:rPr>
  </w:style>
  <w:style w:type="paragraph" w:styleId="Heading1">
    <w:name w:val="heading 1"/>
    <w:basedOn w:val="Normal"/>
    <w:next w:val="ParaNum"/>
    <w:link w:val="Heading1Char"/>
    <w:qFormat/>
    <w:rsid w:val="00D0109D"/>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109D"/>
    <w:pPr>
      <w:keepNext/>
      <w:numPr>
        <w:ilvl w:val="1"/>
        <w:numId w:val="14"/>
      </w:numPr>
      <w:spacing w:after="120"/>
      <w:outlineLvl w:val="1"/>
    </w:pPr>
    <w:rPr>
      <w:b/>
    </w:rPr>
  </w:style>
  <w:style w:type="paragraph" w:styleId="Heading3">
    <w:name w:val="heading 3"/>
    <w:basedOn w:val="Normal"/>
    <w:next w:val="ParaNum"/>
    <w:link w:val="Heading3Char"/>
    <w:qFormat/>
    <w:rsid w:val="00D0109D"/>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D0109D"/>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D0109D"/>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D0109D"/>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D0109D"/>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D0109D"/>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109D"/>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10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09D"/>
  </w:style>
  <w:style w:type="paragraph" w:customStyle="1" w:styleId="ParaNum">
    <w:name w:val="ParaNum"/>
    <w:basedOn w:val="Normal"/>
    <w:link w:val="ParaNumChar"/>
    <w:rsid w:val="00D0109D"/>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D0109D"/>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D0109D"/>
    <w:rPr>
      <w:rFonts w:ascii="Times New Roman" w:hAnsi="Times New Roman"/>
      <w:dstrike w:val="0"/>
      <w:color w:val="auto"/>
      <w:sz w:val="20"/>
      <w:vertAlign w:val="superscript"/>
    </w:rPr>
  </w:style>
  <w:style w:type="paragraph" w:styleId="Header">
    <w:name w:val="header"/>
    <w:basedOn w:val="Normal"/>
    <w:autoRedefine/>
    <w:rsid w:val="00D0109D"/>
    <w:pPr>
      <w:tabs>
        <w:tab w:val="center" w:pos="4680"/>
        <w:tab w:val="right" w:pos="9360"/>
      </w:tabs>
    </w:pPr>
    <w:rPr>
      <w:b/>
    </w:rPr>
  </w:style>
  <w:style w:type="paragraph" w:styleId="Footer">
    <w:name w:val="footer"/>
    <w:basedOn w:val="Normal"/>
    <w:link w:val="FooterChar"/>
    <w:uiPriority w:val="99"/>
    <w:rsid w:val="00D0109D"/>
    <w:pPr>
      <w:tabs>
        <w:tab w:val="center" w:pos="4320"/>
        <w:tab w:val="right" w:pos="8640"/>
      </w:tabs>
    </w:pPr>
  </w:style>
  <w:style w:type="character" w:styleId="PageNumber">
    <w:name w:val="page number"/>
    <w:basedOn w:val="DefaultParagraphFont"/>
    <w:rsid w:val="00D0109D"/>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D0109D"/>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D0109D"/>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D0109D"/>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D0109D"/>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D0109D"/>
    <w:rPr>
      <w:vertAlign w:val="superscript"/>
    </w:rPr>
  </w:style>
  <w:style w:type="paragraph" w:styleId="TOC1">
    <w:name w:val="toc 1"/>
    <w:basedOn w:val="Normal"/>
    <w:next w:val="Normal"/>
    <w:rsid w:val="00D0109D"/>
    <w:pPr>
      <w:tabs>
        <w:tab w:val="left" w:pos="360"/>
        <w:tab w:val="right" w:leader="dot" w:pos="9360"/>
      </w:tabs>
      <w:suppressAutoHyphens/>
      <w:ind w:left="360" w:right="720" w:hanging="360"/>
    </w:pPr>
    <w:rPr>
      <w:caps/>
      <w:noProof/>
    </w:rPr>
  </w:style>
  <w:style w:type="paragraph" w:styleId="TOC2">
    <w:name w:val="toc 2"/>
    <w:basedOn w:val="Normal"/>
    <w:next w:val="Normal"/>
    <w:rsid w:val="00D0109D"/>
    <w:pPr>
      <w:tabs>
        <w:tab w:val="left" w:pos="720"/>
        <w:tab w:val="right" w:leader="dot" w:pos="9360"/>
      </w:tabs>
      <w:suppressAutoHyphens/>
      <w:ind w:left="720" w:right="720" w:hanging="360"/>
    </w:pPr>
    <w:rPr>
      <w:noProof/>
    </w:rPr>
  </w:style>
  <w:style w:type="paragraph" w:styleId="TOC3">
    <w:name w:val="toc 3"/>
    <w:basedOn w:val="Normal"/>
    <w:next w:val="Normal"/>
    <w:rsid w:val="00D0109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0109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0109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0109D"/>
    <w:pPr>
      <w:tabs>
        <w:tab w:val="left" w:pos="2160"/>
        <w:tab w:val="right" w:leader="dot" w:pos="9360"/>
      </w:tabs>
      <w:suppressAutoHyphens/>
      <w:ind w:left="2160" w:hanging="360"/>
    </w:pPr>
    <w:rPr>
      <w:noProof/>
    </w:rPr>
  </w:style>
  <w:style w:type="paragraph" w:styleId="TOC7">
    <w:name w:val="toc 7"/>
    <w:basedOn w:val="Normal"/>
    <w:next w:val="Normal"/>
    <w:autoRedefine/>
    <w:rsid w:val="00D0109D"/>
    <w:pPr>
      <w:tabs>
        <w:tab w:val="left" w:pos="2520"/>
        <w:tab w:val="right" w:leader="dot" w:pos="9360"/>
      </w:tabs>
      <w:suppressAutoHyphens/>
      <w:ind w:left="2520" w:hanging="360"/>
    </w:pPr>
    <w:rPr>
      <w:noProof/>
    </w:rPr>
  </w:style>
  <w:style w:type="paragraph" w:styleId="TOC8">
    <w:name w:val="toc 8"/>
    <w:basedOn w:val="Normal"/>
    <w:next w:val="Normal"/>
    <w:autoRedefine/>
    <w:rsid w:val="00D0109D"/>
    <w:pPr>
      <w:tabs>
        <w:tab w:val="left" w:pos="2880"/>
        <w:tab w:val="right" w:leader="dot" w:pos="9360"/>
      </w:tabs>
      <w:suppressAutoHyphens/>
      <w:ind w:left="2880" w:hanging="360"/>
    </w:pPr>
    <w:rPr>
      <w:noProof/>
    </w:rPr>
  </w:style>
  <w:style w:type="paragraph" w:styleId="TOC9">
    <w:name w:val="toc 9"/>
    <w:basedOn w:val="Normal"/>
    <w:next w:val="Normal"/>
    <w:autoRedefine/>
    <w:rsid w:val="00D0109D"/>
    <w:pPr>
      <w:tabs>
        <w:tab w:val="left" w:pos="3240"/>
        <w:tab w:val="right" w:leader="dot" w:pos="9360"/>
      </w:tabs>
      <w:suppressAutoHyphens/>
      <w:ind w:left="3240" w:hanging="360"/>
    </w:pPr>
    <w:rPr>
      <w:noProof/>
    </w:rPr>
  </w:style>
  <w:style w:type="paragraph" w:styleId="TOAHeading">
    <w:name w:val="toa heading"/>
    <w:basedOn w:val="Normal"/>
    <w:next w:val="Normal"/>
    <w:rsid w:val="00D0109D"/>
    <w:pPr>
      <w:tabs>
        <w:tab w:val="right" w:pos="9360"/>
      </w:tabs>
      <w:suppressAutoHyphens/>
    </w:pPr>
  </w:style>
  <w:style w:type="character" w:customStyle="1" w:styleId="EquationCaption">
    <w:name w:val="_Equation Caption"/>
    <w:rsid w:val="00D0109D"/>
  </w:style>
  <w:style w:type="paragraph" w:styleId="BlockText">
    <w:name w:val="Block Text"/>
    <w:basedOn w:val="Normal"/>
    <w:rsid w:val="00D0109D"/>
    <w:pPr>
      <w:spacing w:after="240"/>
      <w:ind w:left="1440" w:right="1440"/>
    </w:pPr>
  </w:style>
  <w:style w:type="paragraph" w:customStyle="1" w:styleId="Paratitle">
    <w:name w:val="Para title"/>
    <w:basedOn w:val="Normal"/>
    <w:rsid w:val="00D0109D"/>
    <w:pPr>
      <w:tabs>
        <w:tab w:val="center" w:pos="9270"/>
      </w:tabs>
      <w:spacing w:after="240"/>
    </w:pPr>
    <w:rPr>
      <w:spacing w:val="-2"/>
    </w:rPr>
  </w:style>
  <w:style w:type="paragraph" w:customStyle="1" w:styleId="TableFormat">
    <w:name w:val="TableFormat"/>
    <w:basedOn w:val="Bullet"/>
    <w:rsid w:val="00D0109D"/>
    <w:pPr>
      <w:tabs>
        <w:tab w:val="clear" w:pos="2160"/>
        <w:tab w:val="left" w:pos="5040"/>
      </w:tabs>
      <w:ind w:left="5040" w:hanging="3600"/>
    </w:pPr>
  </w:style>
  <w:style w:type="paragraph" w:customStyle="1" w:styleId="TOCTitle">
    <w:name w:val="TOC Title"/>
    <w:basedOn w:val="Normal"/>
    <w:rsid w:val="00D010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109D"/>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